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ind w:leftChars="0"/>
        <w:jc w:val="both"/>
        <w:rPr>
          <w:rFonts w:hint="eastAsia" w:ascii="宋体" w:hAnsi="宋体" w:eastAsia="宋体" w:cs="宋体"/>
          <w:i/>
          <w:iCs/>
          <w:color w:val="auto"/>
          <w:sz w:val="24"/>
          <w:szCs w:val="24"/>
          <w:highlight w:val="none"/>
          <w:shd w:val="clear" w:color="FFFFFF" w:fill="D9D9D9"/>
          <w:lang w:val="en-US" w:eastAsia="zh-CN"/>
        </w:rPr>
      </w:pPr>
      <w:bookmarkStart w:id="0" w:name="_Toc22094"/>
      <w:bookmarkStart w:id="1" w:name="_Toc4664136"/>
      <w:r>
        <w:rPr>
          <w:rFonts w:hint="eastAsia" w:ascii="宋体" w:hAnsi="宋体" w:eastAsia="宋体" w:cs="宋体"/>
          <w:i/>
          <w:iCs/>
          <w:color w:val="auto"/>
          <w:sz w:val="24"/>
          <w:szCs w:val="24"/>
          <w:highlight w:val="none"/>
          <w:shd w:val="clear" w:color="FFFFFF" w:fill="D9D9D9"/>
          <w:lang w:eastAsia="zh-CN"/>
        </w:rPr>
        <w:t>附件</w:t>
      </w:r>
      <w:r>
        <w:rPr>
          <w:rFonts w:hint="eastAsia" w:ascii="宋体" w:hAnsi="宋体" w:eastAsia="宋体" w:cs="宋体"/>
          <w:i/>
          <w:iCs/>
          <w:color w:val="auto"/>
          <w:sz w:val="24"/>
          <w:szCs w:val="24"/>
          <w:highlight w:val="none"/>
          <w:shd w:val="clear" w:color="FFFFFF" w:fill="D9D9D9"/>
          <w:lang w:val="en-US" w:eastAsia="zh-CN"/>
        </w:rPr>
        <w:t>:投标文件模板</w:t>
      </w:r>
    </w:p>
    <w:bookmarkEnd w:id="0"/>
    <w:bookmarkEnd w:id="1"/>
    <w:p>
      <w:pPr>
        <w:pStyle w:val="2"/>
        <w:numPr>
          <w:ilvl w:val="0"/>
          <w:numId w:val="2"/>
        </w:numPr>
        <w:ind w:leftChars="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法定代表人资格证明书</w:t>
      </w:r>
    </w:p>
    <w:p>
      <w:pPr>
        <w:spacing w:line="480" w:lineRule="exact"/>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8"/>
          <w:szCs w:val="28"/>
          <w:highlight w:val="none"/>
        </w:rPr>
        <w:t>单</w:t>
      </w:r>
      <w:r>
        <w:rPr>
          <w:rFonts w:hint="eastAsia" w:ascii="宋体" w:hAnsi="宋体" w:eastAsia="宋体" w:cs="宋体"/>
          <w:bCs/>
          <w:color w:val="auto"/>
          <w:sz w:val="24"/>
          <w:szCs w:val="24"/>
          <w:highlight w:val="none"/>
        </w:rPr>
        <w:t>位名称：</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地    址：</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    名：</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性    别：</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龄：</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职    务：</w:t>
      </w:r>
    </w:p>
    <w:p>
      <w:pPr>
        <w:snapToGrid w:val="0"/>
        <w:spacing w:line="360" w:lineRule="auto"/>
        <w:ind w:firstLine="1080" w:firstLineChars="450"/>
        <w:rPr>
          <w:rFonts w:hint="eastAsia" w:ascii="宋体" w:hAnsi="宋体" w:eastAsia="宋体" w:cs="宋体"/>
          <w:bCs/>
          <w:color w:val="auto"/>
          <w:sz w:val="24"/>
          <w:szCs w:val="24"/>
          <w:highlight w:val="none"/>
          <w:u w:val="single"/>
        </w:rPr>
      </w:pPr>
    </w:p>
    <w:p>
      <w:pPr>
        <w:snapToGrid w:val="0"/>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系</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（供应商全称）</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的法定代表人。为</w:t>
      </w:r>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eastAsia="zh-CN"/>
        </w:rPr>
        <w:t>中山七院消防设备采购项目</w:t>
      </w:r>
      <w:r>
        <w:rPr>
          <w:rFonts w:hint="eastAsia" w:ascii="宋体" w:hAnsi="宋体" w:eastAsia="宋体" w:cs="宋体"/>
          <w:bCs/>
          <w:color w:val="auto"/>
          <w:sz w:val="24"/>
          <w:szCs w:val="24"/>
          <w:highlight w:val="none"/>
          <w:u w:val="single"/>
        </w:rPr>
        <w:t>(</w:t>
      </w:r>
      <w:r>
        <w:rPr>
          <w:rFonts w:hint="eastAsia" w:ascii="宋体" w:hAnsi="宋体" w:cs="宋体"/>
          <w:bCs/>
          <w:color w:val="auto"/>
          <w:sz w:val="24"/>
          <w:szCs w:val="24"/>
          <w:highlight w:val="none"/>
          <w:u w:val="single"/>
          <w:lang w:eastAsia="zh-CN"/>
        </w:rPr>
        <w:t>GYK-HW-2021009</w:t>
      </w:r>
      <w:r>
        <w:rPr>
          <w:rFonts w:hint="eastAsia"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rPr>
        <w:t xml:space="preserve"> 的项目，签署上述项目的投标文件、进行合同投标、签署合同和处理与之有关的一切事务。</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特此证明</w:t>
      </w:r>
    </w:p>
    <w:p>
      <w:pPr>
        <w:snapToGrid w:val="0"/>
        <w:spacing w:line="360" w:lineRule="auto"/>
        <w:rPr>
          <w:rFonts w:hint="eastAsia" w:ascii="宋体" w:hAnsi="宋体" w:eastAsia="宋体" w:cs="宋体"/>
          <w:color w:val="auto"/>
          <w:sz w:val="24"/>
          <w:szCs w:val="24"/>
          <w:highlight w:val="none"/>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供应商（盖章）：</w:t>
      </w:r>
    </w:p>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  期：   年    月   日</w:t>
      </w:r>
    </w:p>
    <w:p>
      <w:pPr>
        <w:snapToGrid w:val="0"/>
        <w:spacing w:line="360" w:lineRule="auto"/>
        <w:ind w:firstLine="4080" w:firstLineChars="1700"/>
        <w:rPr>
          <w:rFonts w:hint="eastAsia" w:ascii="宋体" w:hAnsi="宋体" w:eastAsia="宋体" w:cs="宋体"/>
          <w:bCs/>
          <w:color w:val="auto"/>
          <w:sz w:val="24"/>
          <w:szCs w:val="24"/>
          <w:highlight w:val="none"/>
        </w:rPr>
      </w:pPr>
    </w:p>
    <w:p>
      <w:pPr>
        <w:snapToGrid w:val="0"/>
        <w:spacing w:line="360" w:lineRule="auto"/>
        <w:ind w:left="735" w:hanging="840" w:hangingChars="3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说明：1. 本证明书要求供应商提供</w:t>
      </w:r>
      <w:r>
        <w:rPr>
          <w:rFonts w:hint="eastAsia" w:ascii="宋体" w:hAnsi="宋体" w:eastAsia="宋体" w:cs="宋体"/>
          <w:b/>
          <w:bCs/>
          <w:color w:val="auto"/>
          <w:sz w:val="24"/>
          <w:szCs w:val="24"/>
          <w:highlight w:val="none"/>
        </w:rPr>
        <w:t>加盖公章</w:t>
      </w:r>
      <w:r>
        <w:rPr>
          <w:rFonts w:hint="eastAsia" w:ascii="宋体" w:hAnsi="宋体" w:eastAsia="宋体" w:cs="宋体"/>
          <w:bCs/>
          <w:color w:val="auto"/>
          <w:sz w:val="24"/>
          <w:szCs w:val="24"/>
          <w:highlight w:val="none"/>
        </w:rPr>
        <w:t>后的原件方为有效。</w:t>
      </w:r>
    </w:p>
    <w:p>
      <w:pPr>
        <w:snapToGrid w:val="0"/>
        <w:spacing w:line="360" w:lineRule="auto"/>
        <w:ind w:left="838" w:leftChars="342" w:hanging="120" w:hangingChars="5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 须提供法定代表人的身份证复印件（附后）。</w:t>
      </w:r>
    </w:p>
    <w:p>
      <w:pPr>
        <w:rPr>
          <w:rFonts w:hint="eastAsia" w:ascii="宋体" w:hAnsi="宋体" w:eastAsia="宋体" w:cs="宋体"/>
        </w:rPr>
      </w:pPr>
    </w:p>
    <w:p>
      <w:pPr>
        <w:jc w:val="center"/>
        <w:rPr>
          <w:rFonts w:hint="eastAsia" w:ascii="宋体" w:hAnsi="宋体" w:eastAsia="宋体" w:cs="宋体"/>
          <w:b/>
          <w:bCs/>
          <w:color w:val="auto"/>
          <w:sz w:val="32"/>
          <w:szCs w:val="32"/>
          <w:highlight w:val="none"/>
        </w:rPr>
      </w:pPr>
      <w:bookmarkStart w:id="2" w:name="_Toc4664137"/>
      <w:bookmarkStart w:id="3" w:name="_Toc18092"/>
      <w:r>
        <w:rPr>
          <w:rFonts w:hint="eastAsia" w:ascii="宋体" w:hAnsi="宋体" w:eastAsia="宋体" w:cs="宋体"/>
          <w:b/>
          <w:bCs/>
          <w:color w:val="auto"/>
          <w:sz w:val="32"/>
          <w:szCs w:val="32"/>
          <w:highlight w:val="none"/>
          <w:lang w:eastAsia="zh-CN"/>
        </w:rPr>
        <w:t>二、</w:t>
      </w:r>
      <w:r>
        <w:rPr>
          <w:rFonts w:hint="eastAsia" w:ascii="宋体" w:hAnsi="宋体" w:eastAsia="宋体" w:cs="宋体"/>
          <w:b/>
          <w:bCs/>
          <w:color w:val="auto"/>
          <w:sz w:val="32"/>
          <w:szCs w:val="32"/>
          <w:highlight w:val="none"/>
        </w:rPr>
        <w:t>法定代表人授权书</w:t>
      </w:r>
      <w:bookmarkEnd w:id="2"/>
      <w:bookmarkEnd w:id="3"/>
    </w:p>
    <w:p>
      <w:pPr>
        <w:rPr>
          <w:rFonts w:hint="eastAsia" w:ascii="宋体" w:hAnsi="宋体" w:eastAsia="宋体" w:cs="宋体"/>
          <w:bCs/>
          <w:color w:val="auto"/>
          <w:sz w:val="24"/>
          <w:szCs w:val="24"/>
          <w:highlight w:val="none"/>
        </w:rPr>
      </w:pP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致：中山大学附属第七医院</w:t>
      </w:r>
      <w:r>
        <w:rPr>
          <w:rFonts w:hint="eastAsia" w:ascii="宋体" w:hAnsi="宋体" w:cs="宋体"/>
          <w:color w:val="auto"/>
          <w:sz w:val="24"/>
          <w:szCs w:val="24"/>
          <w:highlight w:val="none"/>
          <w:lang w:eastAsia="zh-CN"/>
        </w:rPr>
        <w:t>（深圳）</w:t>
      </w:r>
    </w:p>
    <w:p>
      <w:pPr>
        <w:spacing w:line="360" w:lineRule="auto"/>
        <w:rPr>
          <w:rFonts w:hint="eastAsia" w:ascii="宋体" w:hAnsi="宋体" w:eastAsia="宋体" w:cs="宋体"/>
          <w:bCs/>
          <w:color w:val="auto"/>
          <w:sz w:val="24"/>
          <w:szCs w:val="24"/>
          <w:highlight w:val="none"/>
        </w:rPr>
      </w:pPr>
    </w:p>
    <w:p>
      <w:pPr>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（供应商全称）     </w:t>
      </w:r>
      <w:r>
        <w:rPr>
          <w:rFonts w:hint="eastAsia" w:ascii="宋体" w:hAnsi="宋体" w:eastAsia="宋体" w:cs="宋体"/>
          <w:bCs/>
          <w:color w:val="auto"/>
          <w:sz w:val="24"/>
          <w:szCs w:val="24"/>
          <w:highlight w:val="none"/>
        </w:rPr>
        <w:t xml:space="preserve"> 法定代表人</w:t>
      </w: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授权 </w:t>
      </w:r>
      <w:r>
        <w:rPr>
          <w:rFonts w:hint="eastAsia" w:ascii="宋体" w:hAnsi="宋体" w:eastAsia="宋体" w:cs="宋体"/>
          <w:bCs/>
          <w:color w:val="auto"/>
          <w:sz w:val="24"/>
          <w:szCs w:val="24"/>
          <w:highlight w:val="none"/>
          <w:u w:val="single"/>
        </w:rPr>
        <w:t xml:space="preserve">  （被授权代表姓名、职务）              </w:t>
      </w:r>
      <w:r>
        <w:rPr>
          <w:rFonts w:hint="eastAsia" w:ascii="宋体" w:hAnsi="宋体" w:eastAsia="宋体" w:cs="宋体"/>
          <w:bCs/>
          <w:color w:val="auto"/>
          <w:sz w:val="24"/>
          <w:szCs w:val="24"/>
          <w:highlight w:val="none"/>
        </w:rPr>
        <w:t>为本公司合法代理人，参加贵</w:t>
      </w:r>
      <w:r>
        <w:rPr>
          <w:rFonts w:hint="eastAsia" w:ascii="宋体" w:hAnsi="宋体" w:eastAsia="宋体" w:cs="宋体"/>
          <w:bCs/>
          <w:color w:val="auto"/>
          <w:sz w:val="24"/>
          <w:szCs w:val="24"/>
          <w:highlight w:val="none"/>
          <w:lang w:eastAsia="zh-CN"/>
        </w:rPr>
        <w:t>院</w:t>
      </w:r>
      <w:r>
        <w:rPr>
          <w:rFonts w:hint="eastAsia" w:ascii="宋体" w:hAnsi="宋体" w:eastAsia="宋体" w:cs="宋体"/>
          <w:bCs/>
          <w:color w:val="auto"/>
          <w:sz w:val="24"/>
          <w:szCs w:val="24"/>
          <w:highlight w:val="none"/>
        </w:rPr>
        <w:t>组织的</w:t>
      </w:r>
      <w:r>
        <w:rPr>
          <w:rFonts w:hint="eastAsia" w:ascii="宋体" w:hAnsi="宋体" w:cs="宋体"/>
          <w:bCs/>
          <w:color w:val="auto"/>
          <w:sz w:val="24"/>
          <w:szCs w:val="24"/>
          <w:highlight w:val="none"/>
          <w:u w:val="single"/>
          <w:lang w:eastAsia="zh-CN"/>
        </w:rPr>
        <w:t>中山七院消防设备采购项目</w:t>
      </w:r>
      <w:r>
        <w:rPr>
          <w:rFonts w:hint="eastAsia" w:ascii="宋体" w:hAnsi="宋体" w:eastAsia="宋体" w:cs="宋体"/>
          <w:bCs/>
          <w:color w:val="auto"/>
          <w:sz w:val="24"/>
          <w:szCs w:val="24"/>
          <w:highlight w:val="none"/>
          <w:u w:val="single"/>
        </w:rPr>
        <w:t>(</w:t>
      </w:r>
      <w:r>
        <w:rPr>
          <w:rFonts w:hint="eastAsia" w:ascii="宋体" w:hAnsi="宋体" w:cs="宋体"/>
          <w:bCs/>
          <w:color w:val="auto"/>
          <w:sz w:val="24"/>
          <w:szCs w:val="24"/>
          <w:highlight w:val="none"/>
          <w:u w:val="single"/>
          <w:lang w:eastAsia="zh-CN"/>
        </w:rPr>
        <w:t>GYK-HW-2021009</w:t>
      </w:r>
      <w:r>
        <w:rPr>
          <w:rFonts w:hint="eastAsia"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rPr>
        <w:t>项目的招标投标活动，代表本公司处理招标投标活动中的一切事宜。包括但不限于：投标、参与开标、谈判、签约</w:t>
      </w:r>
      <w:r>
        <w:rPr>
          <w:rFonts w:hint="eastAsia" w:ascii="宋体" w:hAnsi="宋体" w:cs="宋体"/>
          <w:bCs/>
          <w:color w:val="auto"/>
          <w:sz w:val="24"/>
          <w:szCs w:val="24"/>
          <w:highlight w:val="none"/>
          <w:lang w:eastAsia="zh-CN"/>
        </w:rPr>
        <w:t>、踏勘</w:t>
      </w:r>
      <w:r>
        <w:rPr>
          <w:rFonts w:hint="eastAsia" w:ascii="宋体" w:hAnsi="宋体" w:eastAsia="宋体" w:cs="宋体"/>
          <w:bCs/>
          <w:color w:val="auto"/>
          <w:sz w:val="24"/>
          <w:szCs w:val="24"/>
          <w:highlight w:val="none"/>
        </w:rPr>
        <w:t>等。供应商代表在投标过程中所签署的一切文件和处理与之有关的一切事务，本公司均予以认可并对此承担责任。供应商代表无转委权。特此授权。</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本授权书于</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日签字生效,特此声明。</w:t>
      </w:r>
    </w:p>
    <w:p>
      <w:pPr>
        <w:spacing w:line="360" w:lineRule="auto"/>
        <w:rPr>
          <w:rFonts w:hint="eastAsia" w:ascii="宋体" w:hAnsi="宋体" w:eastAsia="宋体" w:cs="宋体"/>
          <w:bCs/>
          <w:color w:val="auto"/>
          <w:sz w:val="24"/>
          <w:szCs w:val="24"/>
          <w:highlight w:val="none"/>
        </w:rPr>
      </w:pP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被授权人：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职务：</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联系电话：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手机：</w:t>
      </w:r>
    </w:p>
    <w:p>
      <w:pPr>
        <w:spacing w:line="360" w:lineRule="auto"/>
        <w:ind w:firstLine="120" w:firstLineChars="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身份证号码：</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供应商（盖章）：</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法定代表人（签名）：</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被授权人（签名）：</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w:t>
      </w:r>
    </w:p>
    <w:p>
      <w:pPr>
        <w:spacing w:line="360" w:lineRule="auto"/>
        <w:ind w:firstLine="42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1.本授权委托书要求供应商提供有</w:t>
      </w:r>
      <w:r>
        <w:rPr>
          <w:rFonts w:hint="eastAsia" w:ascii="宋体" w:hAnsi="宋体" w:eastAsia="宋体" w:cs="宋体"/>
          <w:b/>
          <w:bCs/>
          <w:color w:val="auto"/>
          <w:sz w:val="24"/>
          <w:szCs w:val="24"/>
          <w:highlight w:val="none"/>
        </w:rPr>
        <w:t>代理人签字、法定代表人的签字（或盖私章）和加盖公章</w:t>
      </w:r>
      <w:r>
        <w:rPr>
          <w:rFonts w:hint="eastAsia" w:ascii="宋体" w:hAnsi="宋体" w:eastAsia="宋体" w:cs="宋体"/>
          <w:bCs/>
          <w:color w:val="auto"/>
          <w:sz w:val="24"/>
          <w:szCs w:val="24"/>
          <w:highlight w:val="none"/>
        </w:rPr>
        <w:t>后的原件方为有效；</w:t>
      </w:r>
    </w:p>
    <w:p>
      <w:pPr>
        <w:spacing w:line="360" w:lineRule="auto"/>
        <w:ind w:firstLine="42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2.提供代理人的身份证复印件（附后）。</w:t>
      </w:r>
    </w:p>
    <w:p>
      <w:pPr>
        <w:spacing w:line="360" w:lineRule="auto"/>
        <w:ind w:firstLine="720" w:firstLineChars="300"/>
        <w:rPr>
          <w:rFonts w:hint="eastAsia" w:ascii="宋体" w:hAnsi="宋体" w:eastAsia="宋体" w:cs="宋体"/>
          <w:bCs/>
          <w:color w:val="auto"/>
          <w:sz w:val="24"/>
          <w:szCs w:val="24"/>
          <w:highlight w:val="none"/>
        </w:rPr>
      </w:pPr>
    </w:p>
    <w:p>
      <w:pPr>
        <w:pStyle w:val="2"/>
        <w:numPr>
          <w:ilvl w:val="1"/>
          <w:numId w:val="0"/>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三、营业执照及经营范围</w:t>
      </w:r>
    </w:p>
    <w:p>
      <w:pPr>
        <w:spacing w:line="360" w:lineRule="auto"/>
        <w:ind w:firstLine="420" w:firstLineChars="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如企业营业执照未反映经营范围，须提供市场监督管理局网站关于投标人经营范围查询结果的截图</w:t>
      </w:r>
      <w:r>
        <w:rPr>
          <w:rFonts w:hint="eastAsia" w:ascii="宋体" w:hAnsi="宋体" w:eastAsia="宋体" w:cs="宋体"/>
          <w:bCs/>
          <w:color w:val="auto"/>
          <w:sz w:val="24"/>
          <w:szCs w:val="24"/>
          <w:highlight w:val="none"/>
          <w:lang w:eastAsia="zh-CN"/>
        </w:rPr>
        <w:t>。）</w:t>
      </w: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rPr>
          <w:rFonts w:hint="eastAsia" w:ascii="宋体" w:hAnsi="宋体" w:eastAsia="宋体" w:cs="宋体"/>
          <w:color w:val="auto"/>
          <w:sz w:val="24"/>
          <w:szCs w:val="24"/>
        </w:rPr>
      </w:pPr>
      <w:r>
        <w:rPr>
          <w:rFonts w:hint="eastAsia" w:ascii="宋体" w:hAnsi="宋体" w:eastAsia="宋体" w:cs="宋体"/>
          <w:bCs/>
          <w:color w:val="auto"/>
          <w:sz w:val="24"/>
          <w:szCs w:val="24"/>
          <w:highlight w:val="none"/>
        </w:rPr>
        <w:br w:type="page"/>
      </w:r>
    </w:p>
    <w:p>
      <w:pPr>
        <w:pStyle w:val="2"/>
        <w:numPr>
          <w:ilvl w:val="0"/>
          <w:numId w:val="3"/>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报价单</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注意：</w:t>
      </w:r>
    </w:p>
    <w:p>
      <w:pPr>
        <w:numPr>
          <w:ilvl w:val="0"/>
          <w:numId w:val="0"/>
        </w:numPr>
        <w:spacing w:line="360" w:lineRule="auto"/>
        <w:ind w:firstLine="420" w:firstLineChars="0"/>
        <w:rPr>
          <w:rFonts w:hint="eastAsia"/>
          <w:sz w:val="21"/>
          <w:szCs w:val="21"/>
          <w:lang w:eastAsia="zh-CN"/>
        </w:rPr>
      </w:pPr>
      <w:r>
        <w:rPr>
          <w:rFonts w:hint="eastAsia" w:ascii="宋体" w:hAnsi="宋体" w:eastAsia="宋体" w:cs="宋体"/>
          <w:spacing w:val="-3"/>
          <w:sz w:val="21"/>
          <w:szCs w:val="21"/>
          <w:lang w:eastAsia="zh-CN"/>
        </w:rPr>
        <w:t>1.投标人填写各项产品的单价、总单价及合计总价（项目及数量出现少报或多报，作废标处理；商品名称及品牌参数要求发生变化或不符合要求，作废标处理；报价超过参考单价或单项参考总价视为无效报价，作废标处理）。报价为全包价，需含投标单位报价应包含材料、仓储、运输、税费、设计费、人工费等全部费用；采购人不需再支付其他费用。  </w:t>
      </w:r>
    </w:p>
    <w:p>
      <w:pPr>
        <w:numPr>
          <w:ilvl w:val="0"/>
          <w:numId w:val="0"/>
        </w:numPr>
        <w:spacing w:line="360" w:lineRule="auto"/>
        <w:ind w:firstLine="420" w:firstLineChars="0"/>
        <w:rPr>
          <w:rFonts w:hint="eastAsia" w:ascii="宋体" w:hAnsi="宋体" w:eastAsia="宋体" w:cs="宋体"/>
          <w:b/>
          <w:color w:val="auto"/>
          <w:kern w:val="2"/>
          <w:sz w:val="32"/>
          <w:szCs w:val="32"/>
          <w:highlight w:val="none"/>
          <w:lang w:val="en-US" w:eastAsia="zh-CN" w:bidi="ar-SA"/>
        </w:rPr>
      </w:pPr>
      <w:r>
        <w:rPr>
          <w:rFonts w:hint="eastAsia" w:ascii="宋体" w:hAnsi="宋体" w:cs="宋体"/>
          <w:color w:val="FF0000"/>
          <w:spacing w:val="-3"/>
          <w:sz w:val="21"/>
          <w:szCs w:val="21"/>
          <w:highlight w:val="none"/>
          <w:lang w:val="en-US" w:eastAsia="zh-CN"/>
        </w:rPr>
        <w:t xml:space="preserve">2. </w:t>
      </w:r>
      <w:r>
        <w:rPr>
          <w:rFonts w:hint="eastAsia" w:ascii="宋体" w:hAnsi="宋体" w:cs="宋体"/>
          <w:color w:val="FF0000"/>
          <w:spacing w:val="-3"/>
          <w:sz w:val="21"/>
          <w:szCs w:val="21"/>
          <w:highlight w:val="none"/>
          <w:lang w:eastAsia="zh-CN"/>
        </w:rPr>
        <w:t>本项目</w:t>
      </w:r>
      <w:r>
        <w:rPr>
          <w:rFonts w:hint="eastAsia" w:ascii="宋体" w:hAnsi="宋体" w:cs="宋体"/>
          <w:color w:val="FF0000"/>
          <w:spacing w:val="-3"/>
          <w:sz w:val="24"/>
          <w:szCs w:val="24"/>
          <w:highlight w:val="none"/>
          <w:lang w:eastAsia="zh-CN"/>
        </w:rPr>
        <w:t>预算限额为</w:t>
      </w:r>
      <w:r>
        <w:rPr>
          <w:rFonts w:hint="eastAsia" w:ascii="宋体" w:hAnsi="宋体" w:cs="宋体"/>
          <w:color w:val="FF0000"/>
          <w:spacing w:val="-3"/>
          <w:sz w:val="24"/>
          <w:szCs w:val="24"/>
          <w:highlight w:val="none"/>
          <w:lang w:val="en-US" w:eastAsia="zh-CN"/>
        </w:rPr>
        <w:t>98400</w:t>
      </w:r>
      <w:r>
        <w:rPr>
          <w:rFonts w:hint="eastAsia" w:ascii="宋体" w:hAnsi="宋体" w:cs="宋体"/>
          <w:color w:val="FF0000"/>
          <w:spacing w:val="-3"/>
          <w:sz w:val="24"/>
          <w:szCs w:val="24"/>
          <w:highlight w:val="none"/>
          <w:lang w:eastAsia="zh-CN"/>
        </w:rPr>
        <w:t>元，超过（即大于）</w:t>
      </w:r>
      <w:r>
        <w:rPr>
          <w:rFonts w:hint="eastAsia" w:ascii="宋体" w:hAnsi="宋体" w:cs="宋体"/>
          <w:color w:val="FF0000"/>
          <w:spacing w:val="-3"/>
          <w:sz w:val="24"/>
          <w:szCs w:val="24"/>
          <w:highlight w:val="none"/>
          <w:lang w:val="en-US" w:eastAsia="zh-CN"/>
        </w:rPr>
        <w:t>98400</w:t>
      </w:r>
      <w:r>
        <w:rPr>
          <w:rFonts w:hint="eastAsia" w:ascii="宋体" w:hAnsi="宋体" w:cs="宋体"/>
          <w:color w:val="FF0000"/>
          <w:spacing w:val="-3"/>
          <w:sz w:val="24"/>
          <w:szCs w:val="24"/>
          <w:highlight w:val="none"/>
          <w:lang w:eastAsia="zh-CN"/>
        </w:rPr>
        <w:t>元的报价均视为无效报价,作废标处理。</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45"/>
        <w:gridCol w:w="2020"/>
        <w:gridCol w:w="1255"/>
        <w:gridCol w:w="2034"/>
        <w:gridCol w:w="3437"/>
        <w:gridCol w:w="1561"/>
        <w:gridCol w:w="155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7" w:hRule="atLeast"/>
        </w:trPr>
        <w:tc>
          <w:tcPr>
            <w:tcW w:w="3901" w:type="pct"/>
            <w:gridSpan w:val="6"/>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招标人信息</w:t>
            </w:r>
          </w:p>
        </w:tc>
        <w:tc>
          <w:tcPr>
            <w:tcW w:w="1098" w:type="pct"/>
            <w:gridSpan w:val="2"/>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投标人报价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1" w:hRule="atLeast"/>
        </w:trPr>
        <w:tc>
          <w:tcPr>
            <w:tcW w:w="263"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序号</w:t>
            </w:r>
          </w:p>
        </w:tc>
        <w:tc>
          <w:tcPr>
            <w:tcW w:w="713"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品名</w:t>
            </w:r>
          </w:p>
        </w:tc>
        <w:tc>
          <w:tcPr>
            <w:tcW w:w="443"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eastAsia="zh-CN"/>
              </w:rPr>
              <w:t>单位</w:t>
            </w:r>
          </w:p>
        </w:tc>
        <w:tc>
          <w:tcPr>
            <w:tcW w:w="718"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eastAsia="zh-CN"/>
              </w:rPr>
              <w:t>数量</w:t>
            </w:r>
          </w:p>
        </w:tc>
        <w:tc>
          <w:tcPr>
            <w:tcW w:w="1212"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参考单价</w:t>
            </w:r>
          </w:p>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（元）</w:t>
            </w:r>
          </w:p>
        </w:tc>
        <w:tc>
          <w:tcPr>
            <w:tcW w:w="551"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eastAsia="zh-CN"/>
              </w:rPr>
              <w:t>单项参考总价（元）</w:t>
            </w:r>
          </w:p>
        </w:tc>
        <w:tc>
          <w:tcPr>
            <w:tcW w:w="548"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单价（元）</w:t>
            </w:r>
          </w:p>
        </w:tc>
        <w:tc>
          <w:tcPr>
            <w:tcW w:w="550" w:type="pct"/>
            <w:shd w:val="clear" w:color="auto" w:fill="auto"/>
            <w:vAlign w:val="center"/>
          </w:tcPr>
          <w:p>
            <w:pPr>
              <w:widowControl/>
              <w:shd w:val="clear" w:color="auto" w:fill="FFFFFF"/>
              <w:spacing w:line="240" w:lineRule="auto"/>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单项总价（元）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63" w:type="pct"/>
            <w:shd w:val="clear" w:color="auto" w:fill="auto"/>
            <w:vAlign w:val="center"/>
          </w:tcPr>
          <w:p>
            <w:pPr>
              <w:widowControl/>
              <w:shd w:val="clear" w:color="auto" w:fill="FFFFFF"/>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w:t>
            </w:r>
          </w:p>
        </w:tc>
        <w:tc>
          <w:tcPr>
            <w:tcW w:w="713" w:type="pct"/>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i w:val="0"/>
                <w:color w:val="000000"/>
                <w:kern w:val="0"/>
                <w:sz w:val="22"/>
                <w:szCs w:val="22"/>
                <w:u w:val="none"/>
                <w:lang w:val="en-US" w:eastAsia="zh-CN" w:bidi="ar"/>
              </w:rPr>
              <w:t>防毒面罩</w:t>
            </w:r>
          </w:p>
        </w:tc>
        <w:tc>
          <w:tcPr>
            <w:tcW w:w="443" w:type="pct"/>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718" w:type="pct"/>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i w:val="0"/>
                <w:color w:val="000000"/>
                <w:kern w:val="0"/>
                <w:sz w:val="22"/>
                <w:szCs w:val="22"/>
                <w:u w:val="none"/>
                <w:lang w:val="en-US" w:eastAsia="zh-CN" w:bidi="ar"/>
              </w:rPr>
              <w:t>1200</w:t>
            </w:r>
          </w:p>
        </w:tc>
        <w:tc>
          <w:tcPr>
            <w:tcW w:w="1212" w:type="pct"/>
            <w:shd w:val="clear" w:color="auto" w:fill="auto"/>
            <w:vAlign w:val="center"/>
          </w:tcPr>
          <w:p>
            <w:pPr>
              <w:keepNext w:val="0"/>
              <w:keepLines w:val="0"/>
              <w:widowControl/>
              <w:suppressLineNumbers w:val="0"/>
              <w:jc w:val="center"/>
              <w:textAlignment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82</w:t>
            </w:r>
          </w:p>
        </w:tc>
        <w:tc>
          <w:tcPr>
            <w:tcW w:w="551" w:type="pct"/>
            <w:shd w:val="clear" w:color="auto" w:fill="auto"/>
            <w:vAlign w:val="center"/>
          </w:tcPr>
          <w:p>
            <w:pPr>
              <w:keepNext w:val="0"/>
              <w:keepLines w:val="0"/>
              <w:widowControl/>
              <w:suppressLineNumbers w:val="0"/>
              <w:jc w:val="center"/>
              <w:textAlignment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98400</w:t>
            </w:r>
          </w:p>
        </w:tc>
        <w:tc>
          <w:tcPr>
            <w:tcW w:w="548" w:type="pct"/>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550" w:type="pct"/>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350" w:type="pct"/>
            <w:gridSpan w:val="5"/>
            <w:shd w:val="clear" w:color="auto" w:fill="auto"/>
            <w:vAlign w:val="center"/>
          </w:tcPr>
          <w:p>
            <w:pPr>
              <w:widowControl/>
              <w:shd w:val="clear" w:color="auto" w:fill="FFFFFF"/>
              <w:spacing w:line="360" w:lineRule="auto"/>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项目预算</w:t>
            </w:r>
          </w:p>
        </w:tc>
        <w:tc>
          <w:tcPr>
            <w:tcW w:w="551" w:type="pct"/>
            <w:shd w:val="clear" w:color="auto" w:fill="auto"/>
            <w:vAlign w:val="center"/>
          </w:tcPr>
          <w:p>
            <w:pPr>
              <w:widowControl/>
              <w:shd w:val="clear" w:color="auto" w:fill="FFFFFF"/>
              <w:spacing w:line="360" w:lineRule="auto"/>
              <w:jc w:val="center"/>
              <w:rPr>
                <w:rFonts w:hint="default"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98400</w:t>
            </w:r>
          </w:p>
        </w:tc>
        <w:tc>
          <w:tcPr>
            <w:tcW w:w="548" w:type="pct"/>
            <w:shd w:val="clear" w:color="auto" w:fill="auto"/>
            <w:vAlign w:val="center"/>
          </w:tcPr>
          <w:p>
            <w:pPr>
              <w:widowControl/>
              <w:shd w:val="clear" w:color="auto" w:fill="FFFFFF"/>
              <w:spacing w:line="360" w:lineRule="auto"/>
              <w:jc w:val="center"/>
              <w:rPr>
                <w:rFonts w:hint="eastAsia" w:ascii="宋体" w:hAnsi="宋体" w:eastAsia="宋体" w:cs="宋体"/>
                <w:b/>
                <w:bCs/>
                <w:color w:val="auto"/>
                <w:kern w:val="0"/>
                <w:sz w:val="21"/>
                <w:szCs w:val="21"/>
                <w:highlight w:val="none"/>
                <w:lang w:val="en-US" w:eastAsia="zh-CN"/>
              </w:rPr>
            </w:pPr>
          </w:p>
        </w:tc>
        <w:tc>
          <w:tcPr>
            <w:tcW w:w="550" w:type="pct"/>
            <w:shd w:val="clear" w:color="auto" w:fill="auto"/>
            <w:vAlign w:val="center"/>
          </w:tcPr>
          <w:p>
            <w:pPr>
              <w:widowControl/>
              <w:shd w:val="clear" w:color="auto" w:fill="FFFFFF"/>
              <w:spacing w:line="360" w:lineRule="auto"/>
              <w:jc w:val="center"/>
              <w:rPr>
                <w:rFonts w:hint="eastAsia" w:ascii="宋体" w:hAnsi="宋体" w:eastAsia="宋体" w:cs="宋体"/>
                <w:b/>
                <w:bCs/>
                <w:color w:val="auto"/>
                <w:kern w:val="0"/>
                <w:sz w:val="21"/>
                <w:szCs w:val="21"/>
                <w:highlight w:val="none"/>
                <w:lang w:val="en-US" w:eastAsia="zh-CN"/>
              </w:rPr>
            </w:pPr>
          </w:p>
        </w:tc>
      </w:tr>
    </w:tbl>
    <w:p>
      <w:pPr>
        <w:numPr>
          <w:ilvl w:val="0"/>
          <w:numId w:val="0"/>
        </w:numPr>
        <w:spacing w:line="360" w:lineRule="auto"/>
        <w:rPr>
          <w:rFonts w:hint="eastAsia" w:ascii="宋体" w:hAnsi="宋体" w:eastAsia="宋体" w:cs="宋体"/>
          <w:b/>
          <w:color w:val="auto"/>
          <w:kern w:val="2"/>
          <w:sz w:val="32"/>
          <w:szCs w:val="32"/>
          <w:highlight w:val="none"/>
          <w:lang w:val="en-US" w:eastAsia="zh-CN" w:bidi="ar-SA"/>
        </w:rPr>
        <w:sectPr>
          <w:pgSz w:w="16838" w:h="11906" w:orient="landscape"/>
          <w:pgMar w:top="1080" w:right="1440" w:bottom="1080" w:left="144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3"/>
        </w:numPr>
        <w:ind w:left="432" w:leftChars="0" w:hanging="432" w:firstLineChars="0"/>
        <w:jc w:val="center"/>
        <w:outlineLvl w:val="0"/>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商务要求</w:t>
      </w:r>
      <w:r>
        <w:rPr>
          <w:rFonts w:hint="eastAsia" w:ascii="宋体" w:hAnsi="宋体" w:cs="宋体"/>
          <w:b/>
          <w:color w:val="auto"/>
          <w:kern w:val="2"/>
          <w:sz w:val="32"/>
          <w:szCs w:val="32"/>
          <w:highlight w:val="none"/>
          <w:lang w:val="en-US" w:eastAsia="zh-CN" w:bidi="ar-SA"/>
        </w:rPr>
        <w:t>偏离表</w:t>
      </w:r>
    </w:p>
    <w:p>
      <w:pPr>
        <w:numPr>
          <w:ilvl w:val="0"/>
          <w:numId w:val="0"/>
        </w:numPr>
        <w:ind w:leftChars="0"/>
        <w:jc w:val="center"/>
        <w:outlineLvl w:val="0"/>
        <w:rPr>
          <w:rFonts w:hint="eastAsia" w:ascii="宋体" w:hAnsi="宋体" w:cs="宋体"/>
          <w:b w:val="0"/>
          <w:bCs/>
          <w:color w:val="FF0000"/>
          <w:kern w:val="2"/>
          <w:sz w:val="24"/>
          <w:szCs w:val="24"/>
          <w:highlight w:val="none"/>
          <w:lang w:val="en-US" w:eastAsia="zh-CN" w:bidi="ar-SA"/>
        </w:rPr>
      </w:pPr>
      <w:r>
        <w:rPr>
          <w:rFonts w:hint="eastAsia" w:ascii="宋体" w:hAnsi="宋体" w:cs="宋体"/>
          <w:b w:val="0"/>
          <w:bCs/>
          <w:color w:val="FF0000"/>
          <w:kern w:val="2"/>
          <w:sz w:val="24"/>
          <w:szCs w:val="24"/>
          <w:highlight w:val="none"/>
          <w:lang w:val="en-US" w:eastAsia="zh-CN" w:bidi="ar-SA"/>
        </w:rPr>
        <w:t>（※所有招标商务条款需完全满足，此项为废标条款，若有负偏离则按废标处理。）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1"/>
        <w:gridCol w:w="1680"/>
        <w:gridCol w:w="160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1"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招标商务条款</w:t>
            </w:r>
          </w:p>
        </w:tc>
        <w:tc>
          <w:tcPr>
            <w:tcW w:w="1680"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投标商务条款</w:t>
            </w:r>
          </w:p>
        </w:tc>
        <w:tc>
          <w:tcPr>
            <w:tcW w:w="1605"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偏离情况</w:t>
            </w:r>
          </w:p>
        </w:tc>
        <w:tc>
          <w:tcPr>
            <w:tcW w:w="1276"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（一）交货/完工期：中标后10天（日历日）内，交货期是指所有货物运抵现场安装调试完毕后交付用户验收的日期。</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（二）报价要求：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1.本项目预算金额：人民币  </w:t>
            </w:r>
            <w:r>
              <w:rPr>
                <w:rFonts w:hint="eastAsia" w:ascii="宋体" w:hAnsi="宋体" w:eastAsia="宋体" w:cs="宋体"/>
                <w:b w:val="0"/>
                <w:bCs w:val="0"/>
                <w:color w:val="auto"/>
                <w:kern w:val="0"/>
                <w:sz w:val="21"/>
                <w:szCs w:val="21"/>
                <w:highlight w:val="none"/>
                <w:u w:val="single"/>
                <w:lang w:val="en-US" w:eastAsia="zh-CN"/>
              </w:rPr>
              <w:t>98400</w:t>
            </w:r>
            <w:r>
              <w:rPr>
                <w:rFonts w:hint="eastAsia" w:ascii="宋体" w:hAnsi="宋体" w:eastAsia="宋体" w:cs="宋体"/>
                <w:b w:val="0"/>
                <w:bCs w:val="0"/>
                <w:color w:val="auto"/>
                <w:kern w:val="0"/>
                <w:sz w:val="21"/>
                <w:szCs w:val="21"/>
                <w:highlight w:val="none"/>
                <w:lang w:val="en-US" w:eastAsia="zh-CN"/>
              </w:rPr>
              <w:t xml:space="preserve">  元，响应报价超过预算金额的视为无效响应。</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2.响应总价必须是完成该项目的一切费用总和，包括设备费、运输费、装卸费、保险费、技术培训费、设备安装费、调试费、售后服务费、国家规定的各项税费等。采购人不需再支付其他费用。</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（三）付款方式：货到指定地点、验收合格并提供全额发票后支付 100 %，</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（四）质保金：投标人须在签订合同之日起 3 天内将中标金额的</w:t>
            </w:r>
            <w:r>
              <w:rPr>
                <w:rFonts w:hint="eastAsia" w:ascii="宋体" w:hAnsi="宋体" w:eastAsia="宋体" w:cs="宋体"/>
                <w:b w:val="0"/>
                <w:bCs w:val="0"/>
                <w:color w:val="auto"/>
                <w:kern w:val="0"/>
                <w:sz w:val="21"/>
                <w:szCs w:val="21"/>
                <w:highlight w:val="none"/>
                <w:u w:val="single"/>
                <w:lang w:val="en-US" w:eastAsia="zh-CN"/>
              </w:rPr>
              <w:t>10%</w:t>
            </w:r>
            <w:r>
              <w:rPr>
                <w:rFonts w:hint="eastAsia" w:ascii="宋体" w:hAnsi="宋体" w:eastAsia="宋体" w:cs="宋体"/>
                <w:b w:val="0"/>
                <w:bCs w:val="0"/>
                <w:color w:val="auto"/>
                <w:kern w:val="0"/>
                <w:sz w:val="21"/>
                <w:szCs w:val="21"/>
                <w:highlight w:val="none"/>
                <w:u w:val="none"/>
                <w:lang w:val="en-US" w:eastAsia="zh-CN"/>
              </w:rPr>
              <w:t>质保金</w:t>
            </w:r>
            <w:r>
              <w:rPr>
                <w:rFonts w:hint="eastAsia" w:ascii="宋体" w:hAnsi="宋体" w:eastAsia="宋体" w:cs="宋体"/>
                <w:b w:val="0"/>
                <w:bCs w:val="0"/>
                <w:color w:val="auto"/>
                <w:kern w:val="0"/>
                <w:sz w:val="21"/>
                <w:szCs w:val="21"/>
                <w:highlight w:val="none"/>
                <w:lang w:val="en-US" w:eastAsia="zh-CN"/>
              </w:rPr>
              <w:t xml:space="preserve">汇入采购人指定账户。质保金用于补偿采购人因投标人提供的设备质量问题或投标人不履行/不适当履行合同义务而蒙受的损失，如投标人提供的设备质量出现问题或乙方不履行/不适当履行任何一项合同义务的，采购人有权直接从质保金中扣除相应违约金/损失赔偿款项。如果未发生设备质量问题或无投标人不履行或不适当履行合同义务的情况，则采购人在合同设备免费保修期满后六十天内，将质保金无息支付给投标人。 </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五）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FF0000"/>
                <w:kern w:val="0"/>
                <w:sz w:val="21"/>
                <w:szCs w:val="21"/>
                <w:highlight w:val="none"/>
                <w:lang w:val="en-US" w:eastAsia="zh-CN"/>
              </w:rPr>
              <w:t>本次招标的防毒面罩使用有效期为3年，投标供应商必须保证提供的货物有效期在3年以内，否则不予验收。</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（六）安装、调试及验收方式：</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1.中标供应商应当派有经验的技术人员到现场进行安装、调试，直到设备正常使用。</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2.由采购人按合同和采购文件、响应文件约定的要求和标准及中华人民共和国现行的验收规范和评定标准进行交货验收。</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3.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按照采购文件要求及响应文件提供的技术参数验收必须合格。（5）在货物安装调试合格后，所有技术指标达到技术规范书要求，经验收合格后，双方共同签署验收报告。</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（七）售后服务要求：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FF0000"/>
                <w:kern w:val="0"/>
                <w:sz w:val="21"/>
                <w:szCs w:val="21"/>
                <w:highlight w:val="none"/>
                <w:lang w:val="en-US" w:eastAsia="zh-CN"/>
              </w:rPr>
              <w:t>质量保证期为半年</w:t>
            </w:r>
            <w:r>
              <w:rPr>
                <w:rFonts w:hint="eastAsia" w:ascii="宋体" w:hAnsi="宋体" w:eastAsia="宋体" w:cs="宋体"/>
                <w:b w:val="0"/>
                <w:bCs w:val="0"/>
                <w:color w:val="auto"/>
                <w:kern w:val="0"/>
                <w:sz w:val="21"/>
                <w:szCs w:val="21"/>
                <w:highlight w:val="none"/>
                <w:lang w:val="en-US" w:eastAsia="zh-CN"/>
              </w:rPr>
              <w:t>。在此期间，如遇与所供产品有关的问题在接用户通知后24小时内应赶到现场提供免费服务。</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2.中标供应商应提供售后服务队伍名称、资质、人员配备、联系地址、电话等详细资料，以及书面提出用户人员操作培训、长期保修、维护服务和今后技术支持的措施计划和承诺。 </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3.在保质期满以后，中标供应商为此设备应以优惠价格终生提供保障其正常运行的配件和维护并能提供送货上门服务（以设备正常使用年限为限）。</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（八）备件备品要求：</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1.在质保期内，中标供应商应无偿并迅速更换由于元件缺陷及制造工艺等问题而发生故障的产品。</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2.保质期满以后，中标供应商应按其在深圳地区同类产品的优惠价格提供保修服务。</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（九）违约责任：</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1" w:type="dxa"/>
          </w:tcPr>
          <w:p>
            <w:pPr>
              <w:widowControl/>
              <w:shd w:val="clear" w:color="auto" w:fill="FFFFFF"/>
              <w:spacing w:line="360" w:lineRule="auto"/>
              <w:ind w:firstLine="420" w:firstLineChars="0"/>
              <w:jc w:val="left"/>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因中标供应商原因导致逾期完成供货的，每逾期1天中标供应商向采购人偿付总价款1%的违约金，但累计违约金总额不超过总价款的30%。中标供应商应保证所供货物为全新正品、达到国家标准或行业标准。</w:t>
            </w:r>
          </w:p>
        </w:tc>
        <w:tc>
          <w:tcPr>
            <w:tcW w:w="168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0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7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bl>
    <w:p>
      <w:pPr>
        <w:numPr>
          <w:ilvl w:val="0"/>
          <w:numId w:val="0"/>
        </w:numPr>
        <w:ind w:leftChars="0"/>
        <w:jc w:val="center"/>
        <w:outlineLvl w:val="0"/>
        <w:rPr>
          <w:rFonts w:hint="eastAsia" w:ascii="宋体" w:hAnsi="宋体" w:cs="宋体"/>
          <w:b w:val="0"/>
          <w:bCs/>
          <w:color w:val="FF0000"/>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※可依公司情况做其他补充方案说明。</w:t>
      </w: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p>
    <w:p>
      <w:pPr>
        <w:jc w:val="left"/>
        <w:rPr>
          <w:rFonts w:hint="eastAsia" w:ascii="宋体" w:hAnsi="宋体" w:cs="宋体"/>
          <w:b w:val="0"/>
          <w:bCs/>
          <w:color w:val="auto"/>
          <w:kern w:val="2"/>
          <w:sz w:val="24"/>
          <w:szCs w:val="24"/>
          <w:highlight w:val="none"/>
          <w:lang w:val="en-US" w:eastAsia="zh-CN" w:bidi="ar-SA"/>
        </w:rPr>
      </w:pPr>
    </w:p>
    <w:p>
      <w:pPr>
        <w:numPr>
          <w:ilvl w:val="0"/>
          <w:numId w:val="3"/>
        </w:numPr>
        <w:ind w:left="432" w:leftChars="0" w:hanging="432" w:firstLineChars="0"/>
        <w:jc w:val="center"/>
        <w:outlineLvl w:val="0"/>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技术要求偏离表</w:t>
      </w:r>
    </w:p>
    <w:tbl>
      <w:tblPr>
        <w:tblStyle w:val="4"/>
        <w:tblW w:w="4996" w:type="pct"/>
        <w:tblInd w:w="0" w:type="dxa"/>
        <w:shd w:val="clear" w:color="auto" w:fill="auto"/>
        <w:tblLayout w:type="autofit"/>
        <w:tblCellMar>
          <w:top w:w="0" w:type="dxa"/>
          <w:left w:w="0" w:type="dxa"/>
          <w:bottom w:w="0" w:type="dxa"/>
          <w:right w:w="0" w:type="dxa"/>
        </w:tblCellMar>
      </w:tblPr>
      <w:tblGrid>
        <w:gridCol w:w="5474"/>
        <w:gridCol w:w="1476"/>
        <w:gridCol w:w="1409"/>
        <w:gridCol w:w="1409"/>
      </w:tblGrid>
      <w:tr>
        <w:tblPrEx>
          <w:shd w:val="clear" w:color="auto" w:fill="auto"/>
          <w:tblCellMar>
            <w:top w:w="0" w:type="dxa"/>
            <w:left w:w="0" w:type="dxa"/>
            <w:bottom w:w="0" w:type="dxa"/>
            <w:right w:w="0" w:type="dxa"/>
          </w:tblCellMar>
        </w:tblPrEx>
        <w:trPr>
          <w:trHeight w:val="380" w:hRule="atLeast"/>
        </w:trPr>
        <w:tc>
          <w:tcPr>
            <w:tcW w:w="2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line="240" w:lineRule="auto"/>
              <w:rPr>
                <w:rFonts w:hint="eastAsia" w:ascii="宋体" w:hAnsi="宋体" w:cs="Times New Roman" w:eastAsiaTheme="minorEastAsia"/>
                <w:kern w:val="2"/>
                <w:sz w:val="21"/>
                <w:szCs w:val="21"/>
                <w:lang w:val="en-US" w:eastAsia="zh-CN" w:bidi="ar-SA"/>
              </w:rPr>
            </w:pPr>
            <w:r>
              <w:rPr>
                <w:rFonts w:hint="eastAsia" w:ascii="宋体" w:hAnsi="宋体" w:eastAsia="宋体" w:cs="宋体"/>
                <w:b/>
                <w:color w:val="auto"/>
                <w:sz w:val="24"/>
                <w:szCs w:val="24"/>
                <w:highlight w:val="none"/>
              </w:rPr>
              <w:t>招标</w:t>
            </w:r>
            <w:r>
              <w:rPr>
                <w:rFonts w:hint="eastAsia" w:ascii="宋体" w:hAnsi="宋体" w:cs="宋体"/>
                <w:b/>
                <w:color w:val="auto"/>
                <w:sz w:val="24"/>
                <w:szCs w:val="24"/>
                <w:highlight w:val="none"/>
                <w:lang w:val="en-US" w:eastAsia="zh-CN"/>
              </w:rPr>
              <w:t>技术</w:t>
            </w:r>
            <w:r>
              <w:rPr>
                <w:rFonts w:hint="eastAsia" w:ascii="宋体" w:hAnsi="宋体" w:eastAsia="宋体" w:cs="宋体"/>
                <w:b/>
                <w:color w:val="auto"/>
                <w:sz w:val="24"/>
                <w:szCs w:val="24"/>
                <w:highlight w:val="none"/>
              </w:rPr>
              <w:t>条款</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240" w:lineRule="auto"/>
              <w:rPr>
                <w:rFonts w:hint="eastAsia" w:ascii="宋体" w:hAnsi="宋体" w:eastAsia="宋体" w:cs="Times New Roman"/>
                <w:kern w:val="2"/>
                <w:sz w:val="21"/>
                <w:szCs w:val="21"/>
                <w:lang w:val="en-US" w:eastAsia="zh-CN" w:bidi="ar-SA"/>
              </w:rPr>
            </w:pPr>
            <w:r>
              <w:rPr>
                <w:rFonts w:hint="eastAsia" w:ascii="宋体" w:hAnsi="宋体" w:eastAsia="宋体" w:cs="宋体"/>
                <w:b/>
                <w:color w:val="auto"/>
                <w:sz w:val="24"/>
                <w:szCs w:val="24"/>
                <w:highlight w:val="none"/>
              </w:rPr>
              <w:t>投标</w:t>
            </w:r>
            <w:r>
              <w:rPr>
                <w:rFonts w:hint="eastAsia" w:ascii="宋体" w:hAnsi="宋体" w:cs="宋体"/>
                <w:b/>
                <w:color w:val="auto"/>
                <w:sz w:val="24"/>
                <w:szCs w:val="24"/>
                <w:highlight w:val="none"/>
                <w:lang w:val="en-US" w:eastAsia="zh-CN"/>
              </w:rPr>
              <w:t>技术</w:t>
            </w:r>
            <w:r>
              <w:rPr>
                <w:rFonts w:hint="eastAsia" w:ascii="宋体" w:hAnsi="宋体" w:eastAsia="宋体" w:cs="宋体"/>
                <w:b/>
                <w:color w:val="auto"/>
                <w:sz w:val="24"/>
                <w:szCs w:val="24"/>
                <w:highlight w:val="none"/>
              </w:rPr>
              <w:t>条款</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240" w:lineRule="auto"/>
              <w:rPr>
                <w:rFonts w:hint="eastAsia" w:ascii="宋体" w:hAnsi="宋体" w:eastAsia="宋体" w:cs="Times New Roman"/>
                <w:kern w:val="2"/>
                <w:sz w:val="21"/>
                <w:szCs w:val="21"/>
                <w:lang w:val="en-US" w:eastAsia="zh-CN" w:bidi="ar-SA"/>
              </w:rPr>
            </w:pPr>
            <w:r>
              <w:rPr>
                <w:rFonts w:hint="eastAsia" w:ascii="宋体" w:hAnsi="宋体" w:eastAsia="宋体" w:cs="宋体"/>
                <w:b/>
                <w:color w:val="auto"/>
                <w:sz w:val="24"/>
                <w:szCs w:val="24"/>
                <w:highlight w:val="none"/>
              </w:rPr>
              <w:t>偏离情况</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spacing w:line="240" w:lineRule="auto"/>
              <w:rPr>
                <w:rFonts w:hint="eastAsia" w:ascii="宋体" w:hAnsi="宋体" w:eastAsia="宋体" w:cs="Times New Roman"/>
                <w:kern w:val="2"/>
                <w:sz w:val="21"/>
                <w:szCs w:val="21"/>
                <w:lang w:val="en-US" w:eastAsia="zh-CN" w:bidi="ar-SA"/>
              </w:rPr>
            </w:pPr>
            <w:r>
              <w:rPr>
                <w:rFonts w:hint="eastAsia" w:ascii="宋体" w:hAnsi="宋体" w:eastAsia="宋体" w:cs="宋体"/>
                <w:b/>
                <w:color w:val="auto"/>
                <w:sz w:val="24"/>
                <w:szCs w:val="24"/>
                <w:highlight w:val="none"/>
              </w:rPr>
              <w:t>说明</w:t>
            </w:r>
          </w:p>
        </w:tc>
      </w:tr>
      <w:tr>
        <w:tblPrEx>
          <w:tblCellMar>
            <w:top w:w="0" w:type="dxa"/>
            <w:left w:w="0" w:type="dxa"/>
            <w:bottom w:w="0" w:type="dxa"/>
            <w:right w:w="0" w:type="dxa"/>
          </w:tblCellMar>
        </w:tblPrEx>
        <w:trPr>
          <w:trHeight w:val="380" w:hRule="atLeast"/>
        </w:trPr>
        <w:tc>
          <w:tcPr>
            <w:tcW w:w="2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1"/>
                <w:numId w:val="4"/>
              </w:numPr>
              <w:suppressLineNumbers w:val="0"/>
              <w:ind w:left="567" w:leftChars="0" w:hanging="567" w:firstLineChars="0"/>
              <w:jc w:val="left"/>
              <w:textAlignment w:val="center"/>
              <w:rPr>
                <w:rFonts w:ascii="华文仿宋" w:hAnsi="华文仿宋" w:eastAsia="华文仿宋" w:cs="华文仿宋"/>
                <w:i w:val="0"/>
                <w:color w:val="000000"/>
                <w:sz w:val="24"/>
                <w:szCs w:val="24"/>
                <w:u w:val="none"/>
              </w:rPr>
            </w:pPr>
            <w:r>
              <w:rPr>
                <w:rFonts w:hint="eastAsia"/>
                <w:sz w:val="21"/>
                <w:szCs w:val="21"/>
                <w:vertAlign w:val="baseline"/>
                <w:lang w:eastAsia="zh-CN"/>
              </w:rPr>
              <w:t xml:space="preserve">佩戴方式：头戴式 </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2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1"/>
                <w:numId w:val="4"/>
              </w:numPr>
              <w:suppressLineNumbers w:val="0"/>
              <w:ind w:left="567" w:leftChars="0" w:hanging="567" w:firstLineChars="0"/>
              <w:jc w:val="left"/>
              <w:textAlignment w:val="center"/>
              <w:rPr>
                <w:rFonts w:hint="eastAsia" w:ascii="华文仿宋" w:hAnsi="华文仿宋" w:eastAsia="华文仿宋" w:cs="华文仿宋"/>
                <w:i w:val="0"/>
                <w:color w:val="000000"/>
                <w:sz w:val="24"/>
                <w:szCs w:val="24"/>
                <w:u w:val="none"/>
              </w:rPr>
            </w:pPr>
            <w:r>
              <w:rPr>
                <w:rFonts w:hint="eastAsia"/>
                <w:sz w:val="21"/>
                <w:szCs w:val="21"/>
                <w:vertAlign w:val="baseline"/>
                <w:lang w:eastAsia="zh-CN"/>
              </w:rPr>
              <w:t>材质：环保硅胶，确保30分钟防毒安全。</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2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1"/>
                <w:numId w:val="4"/>
              </w:numPr>
              <w:suppressLineNumbers w:val="0"/>
              <w:ind w:left="567" w:leftChars="0" w:hanging="567" w:firstLineChars="0"/>
              <w:jc w:val="left"/>
              <w:textAlignment w:val="center"/>
              <w:rPr>
                <w:rFonts w:hint="eastAsia" w:ascii="华文仿宋" w:hAnsi="华文仿宋" w:eastAsia="华文仿宋" w:cs="华文仿宋"/>
                <w:i w:val="0"/>
                <w:color w:val="000000"/>
                <w:sz w:val="24"/>
                <w:szCs w:val="24"/>
                <w:u w:val="none"/>
              </w:rPr>
            </w:pPr>
            <w:r>
              <w:rPr>
                <w:rFonts w:hint="eastAsia"/>
                <w:sz w:val="21"/>
                <w:szCs w:val="21"/>
                <w:vertAlign w:val="baseline"/>
                <w:lang w:eastAsia="zh-CN"/>
              </w:rPr>
              <w:t xml:space="preserve">认证：美国NIOSH及中国LA认证。 </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2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1"/>
                <w:numId w:val="4"/>
              </w:numPr>
              <w:suppressLineNumbers w:val="0"/>
              <w:ind w:left="567" w:leftChars="0" w:hanging="567" w:firstLineChars="0"/>
              <w:jc w:val="left"/>
              <w:textAlignment w:val="center"/>
              <w:rPr>
                <w:rFonts w:hint="eastAsia" w:ascii="华文仿宋" w:hAnsi="华文仿宋" w:eastAsia="华文仿宋" w:cs="华文仿宋"/>
                <w:i w:val="0"/>
                <w:color w:val="000000"/>
                <w:sz w:val="24"/>
                <w:szCs w:val="24"/>
                <w:u w:val="none"/>
              </w:rPr>
            </w:pPr>
            <w:r>
              <w:rPr>
                <w:rFonts w:hint="eastAsia"/>
                <w:sz w:val="21"/>
                <w:szCs w:val="21"/>
                <w:vertAlign w:val="baseline"/>
                <w:lang w:eastAsia="zh-CN"/>
              </w:rPr>
              <w:t xml:space="preserve">尺寸：76mm，重量：约317g </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2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1"/>
                <w:numId w:val="4"/>
              </w:numPr>
              <w:suppressLineNumbers w:val="0"/>
              <w:ind w:left="567" w:leftChars="0" w:hanging="567" w:firstLineChars="0"/>
              <w:jc w:val="left"/>
              <w:textAlignment w:val="center"/>
              <w:rPr>
                <w:rFonts w:hint="eastAsia" w:ascii="华文仿宋" w:hAnsi="华文仿宋" w:eastAsia="华文仿宋" w:cs="华文仿宋"/>
                <w:i w:val="0"/>
                <w:color w:val="000000"/>
                <w:sz w:val="24"/>
                <w:szCs w:val="24"/>
                <w:u w:val="none"/>
              </w:rPr>
            </w:pPr>
            <w:r>
              <w:rPr>
                <w:rFonts w:hint="eastAsia"/>
                <w:sz w:val="21"/>
                <w:szCs w:val="21"/>
                <w:vertAlign w:val="baseline"/>
                <w:lang w:eastAsia="zh-CN"/>
              </w:rPr>
              <w:t>烟尘效率97%，防护对象：优质CO 、C6H6、有机蒸汽、CS2、粉尘、CH3COCH3、R-O-R'等</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28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1"/>
                <w:numId w:val="4"/>
              </w:numPr>
              <w:suppressLineNumbers w:val="0"/>
              <w:ind w:left="567" w:leftChars="0" w:hanging="567" w:firstLineChars="0"/>
              <w:jc w:val="left"/>
              <w:textAlignment w:val="center"/>
              <w:rPr>
                <w:rFonts w:hint="eastAsia" w:ascii="华文仿宋" w:hAnsi="华文仿宋" w:eastAsia="华文仿宋" w:cs="华文仿宋"/>
                <w:i w:val="0"/>
                <w:color w:val="000000"/>
                <w:sz w:val="24"/>
                <w:szCs w:val="24"/>
                <w:u w:val="none"/>
              </w:rPr>
            </w:pPr>
            <w:r>
              <w:rPr>
                <w:rFonts w:hint="eastAsia"/>
                <w:sz w:val="21"/>
                <w:szCs w:val="21"/>
                <w:vertAlign w:val="baseline"/>
                <w:lang w:eastAsia="zh-CN"/>
              </w:rPr>
              <w:t>加印七院专属logo</w:t>
            </w:r>
          </w:p>
        </w:tc>
        <w:tc>
          <w:tcPr>
            <w:tcW w:w="75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numPr>
          <w:ilvl w:val="0"/>
          <w:numId w:val="0"/>
        </w:numPr>
        <w:ind w:leftChars="0"/>
        <w:jc w:val="left"/>
        <w:rPr>
          <w:rFonts w:hint="default" w:ascii="宋体" w:hAnsi="宋体" w:cs="宋体"/>
          <w:b w:val="0"/>
          <w:bCs/>
          <w:color w:val="auto"/>
          <w:kern w:val="2"/>
          <w:sz w:val="24"/>
          <w:szCs w:val="24"/>
          <w:highlight w:val="none"/>
          <w:lang w:val="en-US" w:eastAsia="zh-CN" w:bidi="ar-SA"/>
        </w:rPr>
      </w:pPr>
    </w:p>
    <w:p>
      <w:pP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br w:type="page"/>
      </w:r>
    </w:p>
    <w:p>
      <w:pPr>
        <w:jc w:val="left"/>
        <w:rPr>
          <w:rFonts w:hint="eastAsia" w:ascii="宋体" w:hAnsi="宋体" w:eastAsia="宋体" w:cs="宋体"/>
          <w:b w:val="0"/>
          <w:bCs/>
          <w:color w:val="auto"/>
          <w:kern w:val="2"/>
          <w:sz w:val="24"/>
          <w:szCs w:val="24"/>
          <w:highlight w:val="none"/>
          <w:lang w:val="en-US" w:eastAsia="zh-CN" w:bidi="ar-SA"/>
        </w:rPr>
      </w:pPr>
    </w:p>
    <w:p>
      <w:pPr>
        <w:pStyle w:val="2"/>
        <w:numPr>
          <w:ilvl w:val="0"/>
          <w:numId w:val="3"/>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正品货品保证书</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致：中山大学附属第七医院</w:t>
      </w:r>
      <w:r>
        <w:rPr>
          <w:rFonts w:hint="eastAsia" w:ascii="宋体" w:hAnsi="宋体" w:cs="宋体"/>
          <w:bCs/>
          <w:color w:val="auto"/>
          <w:sz w:val="24"/>
          <w:szCs w:val="24"/>
          <w:highlight w:val="none"/>
          <w:lang w:eastAsia="zh-CN"/>
        </w:rPr>
        <w:t>（深圳）</w:t>
      </w:r>
      <w:r>
        <w:rPr>
          <w:rFonts w:hint="eastAsia" w:ascii="宋体" w:hAnsi="宋体" w:eastAsia="宋体" w:cs="宋体"/>
          <w:bCs/>
          <w:color w:val="auto"/>
          <w:sz w:val="24"/>
          <w:szCs w:val="24"/>
          <w:highlight w:val="none"/>
          <w:lang w:eastAsia="zh-CN"/>
        </w:rPr>
        <w:t>：</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我公司承诺保证提供的货物须保证是全新、未使用过的原装合格正品（包括零部件）；来源于正规销售渠道。</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如我司违反上述保证，自愿承担虚假应标以及其他一切不利的法律后果。</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特此承诺。</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供应商名称：（公章）</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法定代表人签名：</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日期：      年   月   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numPr>
          <w:ilvl w:val="0"/>
          <w:numId w:val="3"/>
        </w:numPr>
        <w:ind w:left="432" w:leftChars="0" w:hanging="432" w:firstLineChars="0"/>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产品授权书</w:t>
      </w: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w:t>
      </w: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p>
    <w:p>
      <w:pPr>
        <w:rPr>
          <w:rFonts w:hint="default" w:ascii="宋体" w:hAnsi="宋体" w:cs="宋体"/>
          <w:color w:val="auto"/>
          <w:szCs w:val="21"/>
          <w:highlight w:val="none"/>
          <w:lang w:val="en-US" w:eastAsia="zh-CN"/>
        </w:rPr>
      </w:pPr>
    </w:p>
    <w:p>
      <w:pPr>
        <w:pStyle w:val="2"/>
        <w:numPr>
          <w:ilvl w:val="0"/>
          <w:numId w:val="3"/>
        </w:numPr>
        <w:ind w:left="432" w:leftChars="0" w:hanging="432" w:firstLineChars="0"/>
        <w:jc w:val="center"/>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产品合格证明书</w:t>
      </w: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bookmarkStart w:id="4" w:name="_GoBack"/>
      <w:bookmarkEnd w:id="4"/>
    </w:p>
    <w:p>
      <w:pPr>
        <w:pStyle w:val="2"/>
        <w:numPr>
          <w:ilvl w:val="0"/>
          <w:numId w:val="3"/>
        </w:numPr>
        <w:ind w:left="432" w:leftChars="0" w:hanging="432" w:firstLineChars="0"/>
        <w:jc w:val="center"/>
        <w:outlineLvl w:val="0"/>
        <w:rPr>
          <w:rFonts w:hint="eastAsia" w:ascii="宋体" w:hAnsi="宋体" w:eastAsia="宋体" w:cs="宋体"/>
          <w:color w:val="auto"/>
          <w:szCs w:val="21"/>
          <w:highlight w:val="none"/>
        </w:rPr>
      </w:pPr>
      <w:r>
        <w:rPr>
          <w:rFonts w:hint="eastAsia" w:ascii="宋体" w:hAnsi="宋体" w:eastAsia="宋体" w:cs="宋体"/>
          <w:b/>
          <w:color w:val="auto"/>
          <w:kern w:val="2"/>
          <w:sz w:val="32"/>
          <w:szCs w:val="32"/>
          <w:highlight w:val="none"/>
          <w:lang w:val="en-US" w:eastAsia="zh-CN" w:bidi="ar-SA"/>
        </w:rPr>
        <w:t>承诺函</w:t>
      </w:r>
    </w:p>
    <w:p>
      <w:pPr>
        <w:spacing w:line="360" w:lineRule="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致：中山大学附属第七医院（深圳）</w:t>
      </w:r>
    </w:p>
    <w:p>
      <w:pPr>
        <w:spacing w:line="360" w:lineRule="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我公司参与本项目谈判就以下事项进行承诺：</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1.本项目所提供的货物及服务均未侵犯知识产权。</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2.我公司承诺保证无行贿犯罪记录；且参与本项目投标前三年内，在经营活动中没有重大违法记录，无骗取中标、无严重违约及重大安全及质量问题。</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3.我公司参与本项目政府采购活动时不存在被有关部门禁止参与政府采购活动且在有效期内的情况。</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4.我公司具备《中华人民共和国政府采购法》第二十二条列明的各项条件。</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5.我公司未被列入失信被执行人、重大税收违法案件当事人名单、政府采购严重违法失信行为记录名单。</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严格遵守政府采购相关法律，投标做到诚实，不造假，不围标、串标、陪标。我公司已清楚，如违反上述要求，其投标应答将作无效处理，被将记入贵院供应商诚信档案并允许公示，同时将被提请给予一定年限内禁止参与禁止其参与贵院的招标采购等经济活动或其他处罚。</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7.我公司如果获得中标（成交）资格，将做到守信，不偷工减料，依照本项目招标文件需求内容、签署的采购合同及本公司在投标中所作的一切承诺履约。项目验收达到全部指标合格，力争优良。</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我公司承诺本项目的报价不低于我公司的成本价，否则，我公司清楚将面临应答无效的风险；我公司承诺不恶意低价谋取中标（成交）资格；我公司对本项目的报价负责，中标（成交）后将严格按照本项目采购文件需求、签署的采购合同及我公司在应答中所作的全部承诺履行。我公司清楚，若我公司以“报价太低而无法履约”为理由放弃本项目中标（成交）资格时，愿意接受贵院的处理处罚。若我公司获得中标（成交）资格且报价明显低于其他供应商的报价时，我公司清楚，本项目将成为重点监管、重点验收项目，我公司将按时保质保量完成，并全力配合有关监管、验收工作；若我公司未按上述要求履约，我公司愿意接受贵院的处理处罚。</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我公司已认真核实了投标应答文件的全部内容，所有资料均为真实资料。我公司对投标应答文件中全部资料的真实性负责，如被证实我公司的投标应答文件中存在虚假资料的，则视为我公司隐瞒真实情况、提供虚假资料，我公司愿意接受贵院作出的处罚处理。</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10.我公司承诺不非法转包或分包,不进行联合体投标。</w:t>
      </w:r>
    </w:p>
    <w:p>
      <w:pPr>
        <w:spacing w:line="240" w:lineRule="auto"/>
        <w:rPr>
          <w:rFonts w:hint="eastAsia" w:ascii="宋体" w:hAnsi="宋体" w:eastAsia="宋体" w:cs="宋体"/>
          <w:color w:val="auto"/>
          <w:sz w:val="21"/>
          <w:szCs w:val="21"/>
          <w:highlight w:val="none"/>
          <w:lang w:val="en-US" w:eastAsia="zh-CN"/>
        </w:rPr>
      </w:pP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以上承诺，如有违反，愿依照国家相关法律及贵院相关采购管理办法处理，并承担由此给采购人带来的损失。</w:t>
      </w:r>
    </w:p>
    <w:p>
      <w:pPr>
        <w:spacing w:line="360" w:lineRule="auto"/>
        <w:ind w:firstLine="420" w:firstLineChars="0"/>
        <w:rPr>
          <w:rFonts w:hint="eastAsia" w:ascii="宋体" w:hAnsi="宋体" w:eastAsia="宋体" w:cs="宋体"/>
          <w:color w:val="auto"/>
          <w:sz w:val="24"/>
          <w:szCs w:val="24"/>
          <w:highlight w:val="none"/>
          <w:lang w:val="en-US" w:eastAsia="zh-CN"/>
        </w:rPr>
      </w:pPr>
    </w:p>
    <w:p>
      <w:pPr>
        <w:spacing w:line="360" w:lineRule="auto"/>
        <w:ind w:firstLine="42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特此承诺。</w:t>
      </w:r>
    </w:p>
    <w:p>
      <w:pPr>
        <w:spacing w:line="360" w:lineRule="auto"/>
        <w:rPr>
          <w:rFonts w:hint="eastAsia" w:ascii="宋体" w:hAnsi="宋体" w:eastAsia="宋体" w:cs="宋体"/>
          <w:color w:val="auto"/>
          <w:sz w:val="24"/>
          <w:szCs w:val="24"/>
          <w:highlight w:val="none"/>
          <w:lang w:val="en-US" w:eastAsia="zh-CN"/>
        </w:rPr>
      </w:pP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供应商名称：（公章）</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投标代表签名：</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日期：      年   月   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spacing w:line="360" w:lineRule="auto"/>
        <w:rPr>
          <w:rFonts w:hint="eastAsia" w:ascii="宋体" w:hAnsi="宋体" w:eastAsia="宋体" w:cs="宋体"/>
          <w:color w:val="auto"/>
          <w:sz w:val="24"/>
          <w:szCs w:val="24"/>
          <w:highlight w:val="none"/>
          <w:lang w:val="en-US" w:eastAsia="zh-CN"/>
        </w:rPr>
      </w:pPr>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公司简介及联系方式</w:t>
      </w:r>
    </w:p>
    <w:p>
      <w:pPr>
        <w:spacing w:line="360" w:lineRule="auto"/>
        <w:rPr>
          <w:rFonts w:hint="eastAsia" w:ascii="宋体" w:hAnsi="宋体" w:eastAsia="宋体" w:cs="宋体"/>
          <w:color w:val="auto"/>
          <w:szCs w:val="21"/>
        </w:rPr>
      </w:pPr>
    </w:p>
    <w:p>
      <w:pPr>
        <w:numPr>
          <w:ilvl w:val="0"/>
          <w:numId w:val="5"/>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公司名称：</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5"/>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统一信用代码：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5"/>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地    址：</w:t>
      </w:r>
      <w:r>
        <w:rPr>
          <w:rFonts w:hint="eastAsia" w:ascii="宋体" w:hAnsi="宋体" w:cs="宋体"/>
          <w:bCs/>
          <w:color w:val="auto"/>
          <w:sz w:val="24"/>
          <w:szCs w:val="24"/>
          <w:highlight w:val="none"/>
          <w:u w:val="single"/>
          <w:lang w:val="en-US" w:eastAsia="zh-CN"/>
        </w:rPr>
        <w:t xml:space="preserve">                                                       </w:t>
      </w:r>
    </w:p>
    <w:p>
      <w:pPr>
        <w:numPr>
          <w:ilvl w:val="0"/>
          <w:numId w:val="5"/>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电话号码：</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5"/>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公司开户银行名称及账号：</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5"/>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公司简介</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eastAsia="zh-CN"/>
        </w:rPr>
        <w:t>（自行描述）</w:t>
      </w: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default"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 xml:space="preserve">                                                                </w:t>
      </w:r>
    </w:p>
    <w:p>
      <w:pPr>
        <w:numPr>
          <w:ilvl w:val="0"/>
          <w:numId w:val="5"/>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授权代表姓名及联系方式：</w:t>
      </w:r>
      <w:r>
        <w:rPr>
          <w:rFonts w:hint="eastAsia" w:ascii="宋体" w:hAnsi="宋体" w:cs="宋体"/>
          <w:bCs/>
          <w:color w:val="auto"/>
          <w:sz w:val="24"/>
          <w:szCs w:val="24"/>
          <w:highlight w:val="none"/>
          <w:u w:val="single"/>
          <w:lang w:val="en-US" w:eastAsia="zh-CN"/>
        </w:rPr>
        <w:t xml:space="preserve">                                         </w:t>
      </w:r>
    </w:p>
    <w:p>
      <w:pPr>
        <w:spacing w:line="360" w:lineRule="auto"/>
        <w:rPr>
          <w:rFonts w:ascii="宋体" w:hAnsi="宋体" w:eastAsia="宋体" w:cs="宋体"/>
          <w:color w:val="auto"/>
          <w:sz w:val="24"/>
          <w:szCs w:val="24"/>
        </w:rPr>
      </w:pPr>
    </w:p>
    <w:p>
      <w:pPr>
        <w:rPr>
          <w:rFonts w:hint="eastAsia" w:ascii="宋体" w:hAnsi="宋体" w:eastAsia="宋体" w:cs="宋体"/>
          <w:b w:val="0"/>
          <w:bCs/>
          <w:color w:val="auto"/>
          <w:kern w:val="2"/>
          <w:sz w:val="24"/>
          <w:szCs w:val="24"/>
          <w:highlight w:val="none"/>
          <w:lang w:val="en-US" w:eastAsia="zh-CN" w:bidi="ar-SA"/>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0389F"/>
    <w:multiLevelType w:val="singleLevel"/>
    <w:tmpl w:val="E9A0389F"/>
    <w:lvl w:ilvl="0" w:tentative="0">
      <w:start w:val="4"/>
      <w:numFmt w:val="chineseCounting"/>
      <w:suff w:val="nothing"/>
      <w:lvlText w:val="%1、"/>
      <w:lvlJc w:val="left"/>
      <w:rPr>
        <w:rFonts w:hint="eastAsia"/>
      </w:rPr>
    </w:lvl>
  </w:abstractNum>
  <w:abstractNum w:abstractNumId="1">
    <w:nsid w:val="FCECF274"/>
    <w:multiLevelType w:val="singleLevel"/>
    <w:tmpl w:val="FCECF274"/>
    <w:lvl w:ilvl="0" w:tentative="0">
      <w:start w:val="1"/>
      <w:numFmt w:val="decimal"/>
      <w:suff w:val="nothing"/>
      <w:lvlText w:val="%1．"/>
      <w:lvlJc w:val="left"/>
    </w:lvl>
  </w:abstractNum>
  <w:abstractNum w:abstractNumId="2">
    <w:nsid w:val="182C13D7"/>
    <w:multiLevelType w:val="multilevel"/>
    <w:tmpl w:val="182C13D7"/>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58DDB038"/>
    <w:multiLevelType w:val="multilevel"/>
    <w:tmpl w:val="58DDB038"/>
    <w:lvl w:ilvl="0" w:tentative="0">
      <w:start w:val="1"/>
      <w:numFmt w:val="chineseCounting"/>
      <w:lvlText w:val="第%1章"/>
      <w:lvlJc w:val="left"/>
      <w:pPr>
        <w:ind w:left="432" w:hanging="432"/>
      </w:pPr>
      <w:rPr>
        <w:rFonts w:hint="eastAsia" w:ascii="宋体" w:hAnsi="宋体" w:eastAsia="宋体" w:cs="宋体"/>
      </w:rPr>
    </w:lvl>
    <w:lvl w:ilvl="1" w:tentative="0">
      <w:start w:val="1"/>
      <w:numFmt w:val="decimal"/>
      <w:pStyle w:val="2"/>
      <w:isLgl/>
      <w:lvlText w:val="%1.%2."/>
      <w:lvlJc w:val="left"/>
      <w:pPr>
        <w:ind w:left="575" w:hanging="575"/>
      </w:pPr>
      <w:rPr>
        <w:rFonts w:hint="eastAsia" w:ascii="宋体" w:hAnsi="宋体" w:eastAsia="宋体" w:cs="宋体"/>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4">
    <w:nsid w:val="60A0329C"/>
    <w:multiLevelType w:val="singleLevel"/>
    <w:tmpl w:val="60A0329C"/>
    <w:lvl w:ilvl="0" w:tentative="0">
      <w:start w:val="1"/>
      <w:numFmt w:val="chineseCounting"/>
      <w:suff w:val="space"/>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D0735"/>
    <w:rsid w:val="02036219"/>
    <w:rsid w:val="03B45782"/>
    <w:rsid w:val="05EB62FE"/>
    <w:rsid w:val="07D65F72"/>
    <w:rsid w:val="10F779E0"/>
    <w:rsid w:val="12D702FB"/>
    <w:rsid w:val="14A93341"/>
    <w:rsid w:val="16B75F48"/>
    <w:rsid w:val="1C73788B"/>
    <w:rsid w:val="1EC54FFB"/>
    <w:rsid w:val="27F2644C"/>
    <w:rsid w:val="286F1DAE"/>
    <w:rsid w:val="29D430CB"/>
    <w:rsid w:val="2B176FCC"/>
    <w:rsid w:val="2DF616CE"/>
    <w:rsid w:val="2F7578DA"/>
    <w:rsid w:val="35D95F13"/>
    <w:rsid w:val="36630055"/>
    <w:rsid w:val="40C354A5"/>
    <w:rsid w:val="45026DDE"/>
    <w:rsid w:val="45BD0E44"/>
    <w:rsid w:val="4F5E1B00"/>
    <w:rsid w:val="562A68AF"/>
    <w:rsid w:val="589671AB"/>
    <w:rsid w:val="5C0934E5"/>
    <w:rsid w:val="5C573C91"/>
    <w:rsid w:val="5D11102B"/>
    <w:rsid w:val="5EBA667A"/>
    <w:rsid w:val="5EE16DFE"/>
    <w:rsid w:val="61596B67"/>
    <w:rsid w:val="73662CC3"/>
    <w:rsid w:val="76213EC9"/>
    <w:rsid w:val="772C13C5"/>
    <w:rsid w:val="776E62C5"/>
    <w:rsid w:val="777D0735"/>
    <w:rsid w:val="781D2DAF"/>
    <w:rsid w:val="795E5BCF"/>
    <w:rsid w:val="7BA40FE1"/>
    <w:rsid w:val="7EB5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numPr>
        <w:ilvl w:val="1"/>
        <w:numId w:val="1"/>
      </w:numPr>
      <w:adjustRightInd w:val="0"/>
      <w:snapToGrid w:val="0"/>
      <w:spacing w:before="120" w:after="120"/>
      <w:outlineLvl w:val="1"/>
    </w:pPr>
    <w:rPr>
      <w:rFonts w:ascii="Arial" w:hAnsi="Arial" w:eastAsia="黑体"/>
      <w:b/>
      <w:sz w:val="30"/>
      <w:szCs w:val="2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
    <w:basedOn w:val="1"/>
    <w:qFormat/>
    <w:uiPriority w:val="0"/>
    <w:pPr>
      <w:ind w:firstLine="420" w:firstLineChars="200"/>
    </w:pPr>
    <w:rPr>
      <w:rFonts w:ascii="Calibri" w:hAnsi="Calibri"/>
      <w:szCs w:val="22"/>
    </w:rPr>
  </w:style>
  <w:style w:type="character" w:customStyle="1" w:styleId="8">
    <w:name w:val="font01"/>
    <w:basedOn w:val="6"/>
    <w:qFormat/>
    <w:uiPriority w:val="0"/>
    <w:rPr>
      <w:rFonts w:hint="eastAsia" w:ascii="华文仿宋" w:hAnsi="华文仿宋" w:eastAsia="华文仿宋" w:cs="华文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2019-06-14T06:33:00Z</dcterms:created>
  <dc:creator>石琳</dc:creator>
  <cp:lastModifiedBy>LL</cp:lastModifiedBy>
  <cp:lastPrinted>2019-10-10T08:57:00Z</cp:lastPrinted>
  <dcterms:modified xsi:type="dcterms:W3CDTF">2021-03-01T10:10:05Z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