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1B" w:rsidRDefault="00D3521B">
      <w:pPr>
        <w:spacing w:after="0" w:line="360" w:lineRule="auto"/>
        <w:ind w:left="482" w:hanging="482"/>
        <w:jc w:val="center"/>
        <w:rPr>
          <w:rFonts w:ascii="Times New Roman" w:eastAsiaTheme="minorEastAsia" w:hAnsi="Times New Roman" w:cs="Times New Roman"/>
          <w:b/>
          <w:sz w:val="24"/>
          <w:szCs w:val="24"/>
        </w:rPr>
      </w:pPr>
    </w:p>
    <w:p w:rsidR="008246F5" w:rsidRPr="00C3296C" w:rsidRDefault="005754D0">
      <w:pPr>
        <w:spacing w:after="0" w:line="360" w:lineRule="auto"/>
        <w:ind w:left="482" w:hanging="482"/>
        <w:jc w:val="center"/>
        <w:rPr>
          <w:rFonts w:ascii="Times New Roman" w:eastAsiaTheme="minorEastAsia" w:hAnsi="Times New Roman" w:cs="Times New Roman"/>
          <w:b/>
          <w:sz w:val="32"/>
          <w:szCs w:val="24"/>
        </w:rPr>
      </w:pPr>
      <w:r w:rsidRPr="00C3296C">
        <w:rPr>
          <w:rFonts w:ascii="Times New Roman" w:eastAsiaTheme="minorEastAsia" w:hAnsi="Times New Roman" w:cs="Times New Roman"/>
          <w:b/>
          <w:sz w:val="32"/>
          <w:szCs w:val="24"/>
        </w:rPr>
        <w:t>合理用药软件</w:t>
      </w:r>
      <w:r w:rsidR="009774E8">
        <w:rPr>
          <w:rFonts w:ascii="Times New Roman" w:eastAsiaTheme="minorEastAsia" w:hAnsi="Times New Roman" w:cs="Times New Roman" w:hint="eastAsia"/>
          <w:b/>
          <w:sz w:val="32"/>
          <w:szCs w:val="24"/>
        </w:rPr>
        <w:t>新增功能</w:t>
      </w:r>
      <w:bookmarkStart w:id="0" w:name="_GoBack"/>
      <w:bookmarkEnd w:id="0"/>
      <w:r w:rsidR="00D3521B" w:rsidRPr="00C3296C">
        <w:rPr>
          <w:rFonts w:ascii="Times New Roman" w:eastAsiaTheme="minorEastAsia" w:hAnsi="Times New Roman" w:cs="Times New Roman" w:hint="eastAsia"/>
          <w:b/>
          <w:sz w:val="32"/>
          <w:szCs w:val="24"/>
        </w:rPr>
        <w:t>采购</w:t>
      </w:r>
      <w:r w:rsidR="00D3521B" w:rsidRPr="00C3296C">
        <w:rPr>
          <w:rFonts w:ascii="Times New Roman" w:eastAsiaTheme="minorEastAsia" w:hAnsi="Times New Roman" w:cs="Times New Roman"/>
          <w:b/>
          <w:sz w:val="32"/>
          <w:szCs w:val="24"/>
        </w:rPr>
        <w:t>需求</w:t>
      </w:r>
    </w:p>
    <w:p w:rsidR="00D55992" w:rsidRDefault="00D55992" w:rsidP="00D55992">
      <w:pPr>
        <w:spacing w:after="0" w:line="360" w:lineRule="auto"/>
        <w:ind w:left="482" w:hanging="482"/>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系统</w:t>
      </w:r>
      <w:r>
        <w:rPr>
          <w:rFonts w:ascii="Times New Roman" w:eastAsiaTheme="minorEastAsia" w:hAnsi="Times New Roman" w:cs="Times New Roman"/>
          <w:b/>
          <w:sz w:val="24"/>
          <w:szCs w:val="24"/>
        </w:rPr>
        <w:t>功能需求具体如下：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2"/>
        <w:gridCol w:w="126"/>
        <w:gridCol w:w="1718"/>
        <w:gridCol w:w="23"/>
        <w:gridCol w:w="4586"/>
      </w:tblGrid>
      <w:tr w:rsidR="008246F5">
        <w:trPr>
          <w:cantSplit/>
          <w:trHeight w:hRule="exact" w:val="567"/>
        </w:trPr>
        <w:tc>
          <w:tcPr>
            <w:tcW w:w="717" w:type="dxa"/>
            <w:shd w:val="clear" w:color="auto" w:fill="EEECE1" w:themeFill="background2"/>
            <w:vAlign w:val="bottom"/>
          </w:tcPr>
          <w:p w:rsidR="008246F5" w:rsidRDefault="005754D0">
            <w:pPr>
              <w:spacing w:line="276" w:lineRule="auto"/>
              <w:jc w:val="center"/>
              <w:rPr>
                <w:rFonts w:ascii="Times New Roman" w:eastAsiaTheme="minorEastAsia" w:hAnsi="Times New Roman" w:cs="Times New Roman"/>
                <w:b/>
                <w:bCs/>
                <w:sz w:val="24"/>
                <w:szCs w:val="24"/>
              </w:rPr>
            </w:pPr>
            <w:bookmarkStart w:id="1" w:name="_Toc75484500"/>
            <w:bookmarkStart w:id="2" w:name="_Toc75315390"/>
            <w:bookmarkStart w:id="3" w:name="_Toc382811543"/>
            <w:bookmarkStart w:id="4" w:name="_Toc74037523"/>
            <w:r>
              <w:rPr>
                <w:rFonts w:ascii="Times New Roman" w:eastAsiaTheme="minorEastAsia" w:hAnsi="Times New Roman" w:cs="Times New Roman"/>
                <w:b/>
                <w:bCs/>
                <w:sz w:val="24"/>
                <w:szCs w:val="24"/>
              </w:rPr>
              <w:t>序号</w:t>
            </w:r>
          </w:p>
        </w:tc>
        <w:tc>
          <w:tcPr>
            <w:tcW w:w="1478" w:type="dxa"/>
            <w:gridSpan w:val="2"/>
            <w:shd w:val="clear" w:color="auto" w:fill="EEECE1" w:themeFill="background2"/>
            <w:vAlign w:val="bottom"/>
          </w:tcPr>
          <w:p w:rsidR="008246F5" w:rsidRDefault="005754D0">
            <w:pPr>
              <w:spacing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功能类别</w:t>
            </w:r>
          </w:p>
        </w:tc>
        <w:tc>
          <w:tcPr>
            <w:tcW w:w="1718" w:type="dxa"/>
            <w:shd w:val="clear" w:color="auto" w:fill="EEECE1" w:themeFill="background2"/>
            <w:vAlign w:val="bottom"/>
          </w:tcPr>
          <w:p w:rsidR="008246F5" w:rsidRDefault="005754D0">
            <w:pPr>
              <w:spacing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功能模块名称</w:t>
            </w:r>
          </w:p>
        </w:tc>
        <w:tc>
          <w:tcPr>
            <w:tcW w:w="4609" w:type="dxa"/>
            <w:gridSpan w:val="2"/>
            <w:shd w:val="clear" w:color="auto" w:fill="EEECE1" w:themeFill="background2"/>
            <w:vAlign w:val="bottom"/>
          </w:tcPr>
          <w:p w:rsidR="008246F5" w:rsidRDefault="005754D0">
            <w:pPr>
              <w:spacing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功能说明</w:t>
            </w:r>
          </w:p>
        </w:tc>
      </w:tr>
      <w:tr w:rsidR="008246F5">
        <w:trPr>
          <w:cantSplit/>
          <w:trHeight w:hRule="exact" w:val="930"/>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gridSpan w:val="2"/>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门（急）诊药师工作站实时审核</w:t>
            </w: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实时审核预警</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门诊医生端出现的问题处方警示信息可以同步出现在药师端。</w:t>
            </w:r>
          </w:p>
        </w:tc>
      </w:tr>
      <w:tr w:rsidR="008246F5">
        <w:trPr>
          <w:cantSplit/>
          <w:trHeight w:hRule="exact" w:val="567"/>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患者信息查询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发药药师可查询患者信息。</w:t>
            </w:r>
          </w:p>
        </w:tc>
      </w:tr>
      <w:tr w:rsidR="008246F5">
        <w:trPr>
          <w:cantSplit/>
          <w:trHeight w:hRule="exact" w:val="567"/>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医生信息查询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发药药师可查询医生信息。</w:t>
            </w:r>
          </w:p>
        </w:tc>
      </w:tr>
      <w:tr w:rsidR="008246F5">
        <w:trPr>
          <w:cantSplit/>
          <w:trHeight w:hRule="exact" w:val="567"/>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处方信息</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发药药师可查询处方信息。</w:t>
            </w:r>
          </w:p>
        </w:tc>
      </w:tr>
      <w:tr w:rsidR="008246F5">
        <w:trPr>
          <w:cantSplit/>
          <w:trHeight w:hRule="exact" w:val="719"/>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78" w:type="dxa"/>
            <w:gridSpan w:val="2"/>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住院药师工作站实时审核</w:t>
            </w: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实时审核预警</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住院医生端出现的问题处方警示信息可以同步出现在药师端。</w:t>
            </w:r>
          </w:p>
        </w:tc>
      </w:tr>
      <w:tr w:rsidR="008246F5">
        <w:trPr>
          <w:cantSplit/>
          <w:trHeight w:hRule="exact" w:val="680"/>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患者信息查询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发药药师可查询患者病案首页、检查检验、护理信息、病程记录信息。</w:t>
            </w:r>
          </w:p>
        </w:tc>
      </w:tr>
      <w:tr w:rsidR="008246F5">
        <w:trPr>
          <w:cantSplit/>
          <w:trHeight w:hRule="exact" w:val="567"/>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医生信息查询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药师可查询医生信息。</w:t>
            </w:r>
          </w:p>
        </w:tc>
      </w:tr>
      <w:tr w:rsidR="008246F5">
        <w:trPr>
          <w:cantSplit/>
          <w:trHeight w:hRule="exact" w:val="567"/>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医嘱信息查询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药师可查询医嘱信息。</w:t>
            </w:r>
          </w:p>
        </w:tc>
      </w:tr>
      <w:tr w:rsidR="008246F5">
        <w:trPr>
          <w:cantSplit/>
          <w:trHeight w:hRule="exact" w:val="849"/>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478" w:type="dxa"/>
            <w:gridSpan w:val="2"/>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病历实时查询</w:t>
            </w:r>
          </w:p>
        </w:tc>
        <w:tc>
          <w:tcPr>
            <w:tcW w:w="1718" w:type="dxa"/>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专项医嘱查询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可以根据时间、科室、医生、名称等条件实时查询相应的患者医嘱信息</w:t>
            </w:r>
          </w:p>
        </w:tc>
      </w:tr>
      <w:tr w:rsidR="008246F5">
        <w:trPr>
          <w:cantSplit/>
          <w:trHeight w:hRule="exact" w:val="1129"/>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在院病人病历查询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可以根据查询在院病人的病历信息，包括患者基本信息、手术、检查检验、护理、患者用药等信息</w:t>
            </w:r>
          </w:p>
        </w:tc>
      </w:tr>
      <w:tr w:rsidR="008246F5">
        <w:trPr>
          <w:cantSplit/>
          <w:trHeight w:hRule="exact" w:val="1570"/>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18" w:type="dxa"/>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出院病人病历查询</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可以根据日期、科室、患者、医生等信息查询出院病人病历情况，包括患者基本信息、手术、检查检验、护理、患者用药等信息</w:t>
            </w:r>
          </w:p>
        </w:tc>
      </w:tr>
      <w:tr w:rsidR="008246F5">
        <w:trPr>
          <w:cantSplit/>
          <w:trHeight w:hRule="exact" w:val="567"/>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196" w:type="dxa"/>
            <w:gridSpan w:val="3"/>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处方</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医嘱实时干预通讯平台</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具有药师与医师在线即时沟通功能；</w:t>
            </w:r>
          </w:p>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实现药师同步查看合理用药警示信息并对处方进行实施干预，自动生成用药干预信息；</w:t>
            </w:r>
          </w:p>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具有软件快捷导航功能，快速进入处方点评、抗菌药管管理、统计分析界面，不良反应填报等界面，可快速查询说明书查询、药物指南等；</w:t>
            </w:r>
          </w:p>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具有通知发布功能。</w:t>
            </w:r>
          </w:p>
        </w:tc>
      </w:tr>
      <w:tr w:rsidR="008246F5">
        <w:trPr>
          <w:cantSplit/>
          <w:trHeight w:hRule="exact" w:val="1119"/>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196" w:type="dxa"/>
            <w:gridSpan w:val="3"/>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院内不良反应填报</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可以实现院内不良反应报表填报，同时具有能实现不良反应报表查看，统计，导入等功能。</w:t>
            </w:r>
          </w:p>
        </w:tc>
      </w:tr>
      <w:tr w:rsidR="008246F5">
        <w:trPr>
          <w:cantSplit/>
          <w:trHeight w:hRule="exact" w:val="1135"/>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196" w:type="dxa"/>
            <w:gridSpan w:val="3"/>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药品权限定性管理控制</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可以设定科室、医生、某</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个类患者针对某个药品的使用权限、警示级别及警示信息。</w:t>
            </w:r>
          </w:p>
        </w:tc>
      </w:tr>
      <w:tr w:rsidR="008246F5">
        <w:trPr>
          <w:cantSplit/>
          <w:trHeight w:hRule="exact" w:val="840"/>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7</w:t>
            </w:r>
          </w:p>
        </w:tc>
        <w:tc>
          <w:tcPr>
            <w:tcW w:w="1352"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药品定量管理控制</w:t>
            </w:r>
          </w:p>
        </w:tc>
        <w:tc>
          <w:tcPr>
            <w:tcW w:w="1844"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科室用量控制</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针对某个科室某种药品的月度用量进行设定与警示。</w:t>
            </w:r>
          </w:p>
        </w:tc>
      </w:tr>
      <w:tr w:rsidR="008246F5">
        <w:trPr>
          <w:cantSplit/>
          <w:trHeight w:hRule="exact" w:val="852"/>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352"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844"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医院药品用量控制</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实现医院某种药品的月度用量进行设定与警示。</w:t>
            </w:r>
          </w:p>
        </w:tc>
      </w:tr>
      <w:tr w:rsidR="008246F5">
        <w:trPr>
          <w:cantSplit/>
          <w:trHeight w:hRule="exact" w:val="850"/>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352"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844"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医生药品用量控制</w:t>
            </w:r>
            <w:r>
              <w:rPr>
                <w:rFonts w:ascii="Times New Roman" w:eastAsiaTheme="minorEastAsia" w:hAnsi="Times New Roman" w:cs="Times New Roman"/>
                <w:sz w:val="24"/>
                <w:szCs w:val="24"/>
              </w:rPr>
              <w:t xml:space="preserve"> </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实现针对某个医生某种药品的月度用量进行设定与警示。</w:t>
            </w:r>
          </w:p>
        </w:tc>
      </w:tr>
      <w:tr w:rsidR="008246F5">
        <w:trPr>
          <w:cantSplit/>
          <w:trHeight w:hRule="exact" w:val="848"/>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352"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844"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患者药品用量控制</w:t>
            </w: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实现针对某个</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类患者某种药品的月度用量进行设定与警示。</w:t>
            </w:r>
          </w:p>
        </w:tc>
      </w:tr>
      <w:tr w:rsidR="008246F5">
        <w:trPr>
          <w:cantSplit/>
          <w:trHeight w:hRule="exact" w:val="1413"/>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住院患者综合信息调阅</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在住院药师站可以调阅：患者信息、检验结果、检查结果、护理数据、重症监护出入记录、病程记录（电子病历需支持</w:t>
            </w:r>
            <w:r>
              <w:rPr>
                <w:rFonts w:ascii="Times New Roman" w:eastAsiaTheme="minorEastAsia" w:hAnsi="Times New Roman" w:cs="Times New Roman"/>
                <w:sz w:val="24"/>
                <w:szCs w:val="24"/>
              </w:rPr>
              <w:t>URL</w:t>
            </w:r>
            <w:r>
              <w:rPr>
                <w:rFonts w:ascii="Times New Roman" w:eastAsiaTheme="minorEastAsia" w:hAnsi="Times New Roman" w:cs="Times New Roman"/>
                <w:sz w:val="24"/>
                <w:szCs w:val="24"/>
              </w:rPr>
              <w:t>调阅）。</w:t>
            </w:r>
          </w:p>
        </w:tc>
      </w:tr>
      <w:tr w:rsidR="008246F5">
        <w:trPr>
          <w:cantSplit/>
          <w:trHeight w:hRule="exact" w:val="1136"/>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LIS</w:t>
            </w:r>
            <w:r>
              <w:rPr>
                <w:rFonts w:ascii="Times New Roman" w:eastAsiaTheme="minorEastAsia" w:hAnsi="Times New Roman" w:cs="Times New Roman"/>
                <w:sz w:val="24"/>
                <w:szCs w:val="24"/>
              </w:rPr>
              <w:t>数据带入实时审核</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在实时审核处方时，将最新的门（急）诊</w:t>
            </w:r>
            <w:r>
              <w:rPr>
                <w:rFonts w:ascii="Times New Roman" w:eastAsiaTheme="minorEastAsia" w:hAnsi="Times New Roman" w:cs="Times New Roman"/>
                <w:sz w:val="24"/>
                <w:szCs w:val="24"/>
              </w:rPr>
              <w:t>LIS</w:t>
            </w:r>
            <w:r>
              <w:rPr>
                <w:rFonts w:ascii="Times New Roman" w:eastAsiaTheme="minorEastAsia" w:hAnsi="Times New Roman" w:cs="Times New Roman"/>
                <w:sz w:val="24"/>
                <w:szCs w:val="24"/>
              </w:rPr>
              <w:t>检验数据（如谷丙转氨酶）作为审核项目，自动代入审核。</w:t>
            </w:r>
          </w:p>
        </w:tc>
      </w:tr>
      <w:tr w:rsidR="008246F5">
        <w:trPr>
          <w:cantSplit/>
          <w:trHeight w:hRule="exact" w:val="861"/>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特殊级抗菌药使用备案在线填写</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医生使用特殊级抗菌药时，可以在线填写使用申请单。</w:t>
            </w:r>
          </w:p>
        </w:tc>
      </w:tr>
      <w:tr w:rsidR="008246F5">
        <w:trPr>
          <w:cantSplit/>
          <w:trHeight w:hRule="exact" w:val="1142"/>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医院用药交待</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药师）</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可以查询、编辑和新建医院本地建立的医院用药交待规则，用于院内药师端查询，向患者告知。</w:t>
            </w:r>
          </w:p>
        </w:tc>
      </w:tr>
      <w:tr w:rsidR="008246F5">
        <w:trPr>
          <w:cantSplit/>
          <w:trHeight w:hRule="exact" w:val="1825"/>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用药指导单打印（患者）</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编辑药品注意事项：根据药品的医院名称和医院代码查询、编辑这个药品的所有可以使用的</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用药指导</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的注意事项；药房勾选注意事项，能够定制化地打印给患者的用药指导单。</w:t>
            </w:r>
          </w:p>
        </w:tc>
      </w:tr>
      <w:tr w:rsidR="008246F5">
        <w:trPr>
          <w:cantSplit/>
          <w:trHeight w:hRule="exact" w:val="1287"/>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医院适应化规则调整</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对医院在用药品及院内使用习惯，做针对性规则优化，实施阶段派出药学专员，参与实施深入优化药学规则。</w:t>
            </w:r>
          </w:p>
        </w:tc>
      </w:tr>
      <w:tr w:rsidR="008246F5">
        <w:trPr>
          <w:cantSplit/>
          <w:trHeight w:hRule="exact" w:val="1259"/>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精准化说明书标注</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将电子版说明书与本院实际在用品种做精准化匹配，查询时本院实际在用品种</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置顶</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并标识</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在用</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标签。</w:t>
            </w:r>
          </w:p>
        </w:tc>
      </w:tr>
      <w:tr w:rsidR="008246F5">
        <w:trPr>
          <w:cantSplit/>
          <w:trHeight w:hRule="exact" w:val="1473"/>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219" w:type="dxa"/>
            <w:gridSpan w:val="4"/>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处方前置审核流程改造</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实现患者在走出门急诊科室进行费用结算前就完成处方的系统与审核药师的多重审核，全面实现覆盖全院门急诊的临床不合理用药风险的管控前移。</w:t>
            </w:r>
          </w:p>
        </w:tc>
      </w:tr>
      <w:tr w:rsidR="008246F5">
        <w:trPr>
          <w:cantSplit/>
          <w:trHeight w:hRule="exact" w:val="1976"/>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3219" w:type="dxa"/>
            <w:gridSpan w:val="4"/>
            <w:vMerge/>
            <w:vAlign w:val="center"/>
          </w:tcPr>
          <w:p w:rsidR="008246F5" w:rsidRDefault="008246F5">
            <w:pPr>
              <w:spacing w:line="276" w:lineRule="auto"/>
              <w:rPr>
                <w:rFonts w:ascii="Times New Roman" w:eastAsiaTheme="minorEastAsia" w:hAnsi="Times New Roman" w:cs="Times New Roman"/>
                <w:sz w:val="24"/>
                <w:szCs w:val="24"/>
              </w:rPr>
            </w:pP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搭建审方药师平台，系统可以自动同步临床医生提交的问题处方，审方药师可以随时查看到问题处方及相关信息，能进行在线沟通和干预，审方药师可以直接通过系统对问题处方进行拦截。</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3219" w:type="dxa"/>
            <w:gridSpan w:val="4"/>
            <w:vMerge/>
            <w:vAlign w:val="center"/>
          </w:tcPr>
          <w:p w:rsidR="008246F5" w:rsidRDefault="008246F5">
            <w:pPr>
              <w:spacing w:line="276" w:lineRule="auto"/>
              <w:rPr>
                <w:rFonts w:ascii="Times New Roman" w:eastAsiaTheme="minorEastAsia" w:hAnsi="Times New Roman" w:cs="Times New Roman"/>
                <w:sz w:val="24"/>
                <w:szCs w:val="24"/>
              </w:rPr>
            </w:pP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系统可以配置需要干预的科室，按工作量自动分配待干预问题处方。</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3219" w:type="dxa"/>
            <w:gridSpan w:val="4"/>
            <w:vMerge/>
            <w:vAlign w:val="center"/>
          </w:tcPr>
          <w:p w:rsidR="008246F5" w:rsidRDefault="008246F5">
            <w:pPr>
              <w:spacing w:line="276" w:lineRule="auto"/>
              <w:rPr>
                <w:rFonts w:ascii="Times New Roman" w:eastAsiaTheme="minorEastAsia" w:hAnsi="Times New Roman" w:cs="Times New Roman"/>
                <w:sz w:val="24"/>
                <w:szCs w:val="24"/>
              </w:rPr>
            </w:pP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系统可以实现处方干预情况的统计。</w:t>
            </w:r>
          </w:p>
        </w:tc>
      </w:tr>
      <w:tr w:rsidR="008246F5">
        <w:trPr>
          <w:cantSplit/>
          <w:trHeight w:hRule="exact" w:val="822"/>
        </w:trPr>
        <w:tc>
          <w:tcPr>
            <w:tcW w:w="717" w:type="dxa"/>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478" w:type="dxa"/>
            <w:gridSpan w:val="2"/>
            <w:vMerge w:val="restart"/>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门诊用药咨询</w:t>
            </w: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合理用药咨询</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对门诊患者处方咨询问题以及医护提问进行记录，对患者处方进行用药审核</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处方审查</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对本院本人处方进行审查</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知识库查询</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可以快速查询药品知识库</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收藏夹</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对于门诊咨询中遇到的有价值的处方与问答进行收藏或者查询</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常见问题管理</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对门诊咨询遇到的常见问题进行新建和查询</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统计报表</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对门诊咨询药师工作量以及记录问题进行统计查询</w:t>
            </w:r>
          </w:p>
        </w:tc>
      </w:tr>
      <w:tr w:rsidR="008246F5">
        <w:trPr>
          <w:cantSplit/>
          <w:trHeight w:hRule="exact" w:val="794"/>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我的工作</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统计查看每个门诊药师自己的工作量以及记录用药审核工作的明细</w:t>
            </w:r>
          </w:p>
        </w:tc>
      </w:tr>
      <w:tr w:rsidR="008246F5">
        <w:trPr>
          <w:cantSplit/>
          <w:trHeight w:hRule="exact" w:val="596"/>
        </w:trPr>
        <w:tc>
          <w:tcPr>
            <w:tcW w:w="717" w:type="dxa"/>
            <w:vMerge/>
            <w:vAlign w:val="center"/>
          </w:tcPr>
          <w:p w:rsidR="008246F5" w:rsidRDefault="008246F5">
            <w:pPr>
              <w:spacing w:line="276" w:lineRule="auto"/>
              <w:rPr>
                <w:rFonts w:ascii="Times New Roman" w:eastAsiaTheme="minorEastAsia" w:hAnsi="Times New Roman" w:cs="Times New Roman"/>
                <w:sz w:val="24"/>
                <w:szCs w:val="24"/>
              </w:rPr>
            </w:pPr>
          </w:p>
        </w:tc>
        <w:tc>
          <w:tcPr>
            <w:tcW w:w="1478" w:type="dxa"/>
            <w:gridSpan w:val="2"/>
            <w:vMerge/>
            <w:vAlign w:val="center"/>
          </w:tcPr>
          <w:p w:rsidR="008246F5" w:rsidRDefault="008246F5">
            <w:pPr>
              <w:spacing w:line="276" w:lineRule="auto"/>
              <w:rPr>
                <w:rFonts w:ascii="Times New Roman" w:eastAsiaTheme="minorEastAsia" w:hAnsi="Times New Roman" w:cs="Times New Roman"/>
                <w:sz w:val="24"/>
                <w:szCs w:val="24"/>
              </w:rPr>
            </w:pPr>
          </w:p>
        </w:tc>
        <w:tc>
          <w:tcPr>
            <w:tcW w:w="1741" w:type="dxa"/>
            <w:gridSpan w:val="2"/>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回访工作</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可以展示回访信息</w:t>
            </w:r>
          </w:p>
        </w:tc>
      </w:tr>
      <w:tr w:rsidR="008246F5">
        <w:trPr>
          <w:cantSplit/>
          <w:trHeight w:hRule="exact" w:val="853"/>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17</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专项药物统计分析</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抗肿瘤药物、国家重点监控药物、抗菌药物设立专项统计指标</w:t>
            </w:r>
          </w:p>
        </w:tc>
      </w:tr>
      <w:tr w:rsidR="008246F5">
        <w:trPr>
          <w:cantSplit/>
          <w:trHeight w:hRule="exact" w:val="1059"/>
        </w:trPr>
        <w:tc>
          <w:tcPr>
            <w:tcW w:w="717" w:type="dxa"/>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18</w:t>
            </w:r>
          </w:p>
        </w:tc>
        <w:tc>
          <w:tcPr>
            <w:tcW w:w="3219" w:type="dxa"/>
            <w:gridSpan w:val="4"/>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专项处方点评</w:t>
            </w:r>
          </w:p>
        </w:tc>
        <w:tc>
          <w:tcPr>
            <w:tcW w:w="4586" w:type="dxa"/>
            <w:tcBorders>
              <w:top w:val="single" w:sz="4" w:space="0" w:color="auto"/>
              <w:left w:val="single" w:sz="4" w:space="0" w:color="auto"/>
              <w:bottom w:val="single" w:sz="4" w:space="0" w:color="auto"/>
              <w:right w:val="single" w:sz="4" w:space="0" w:color="auto"/>
            </w:tcBorders>
            <w:shd w:val="clear" w:color="auto" w:fill="auto"/>
            <w:vAlign w:val="center"/>
          </w:tcPr>
          <w:p w:rsidR="008246F5" w:rsidRDefault="005754D0">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激素类、血制品、碳青霉烯和替加环素、抗肿瘤药物、国家重点监控药物进行专项处方点评</w:t>
            </w:r>
          </w:p>
        </w:tc>
      </w:tr>
      <w:bookmarkEnd w:id="1"/>
      <w:bookmarkEnd w:id="2"/>
      <w:bookmarkEnd w:id="3"/>
      <w:bookmarkEnd w:id="4"/>
    </w:tbl>
    <w:p w:rsidR="008246F5" w:rsidRDefault="008246F5" w:rsidP="005754D0">
      <w:pPr>
        <w:ind w:left="420" w:hanging="420"/>
      </w:pPr>
    </w:p>
    <w:sectPr w:rsidR="008246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C7" w:rsidRDefault="000D63C7" w:rsidP="009774E8">
      <w:pPr>
        <w:spacing w:after="0"/>
      </w:pPr>
      <w:r>
        <w:separator/>
      </w:r>
    </w:p>
  </w:endnote>
  <w:endnote w:type="continuationSeparator" w:id="0">
    <w:p w:rsidR="000D63C7" w:rsidRDefault="000D63C7" w:rsidP="00977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C7" w:rsidRDefault="000D63C7" w:rsidP="009774E8">
      <w:pPr>
        <w:spacing w:after="0"/>
      </w:pPr>
      <w:r>
        <w:separator/>
      </w:r>
    </w:p>
  </w:footnote>
  <w:footnote w:type="continuationSeparator" w:id="0">
    <w:p w:rsidR="000D63C7" w:rsidRDefault="000D63C7" w:rsidP="009774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795"/>
    <w:rsid w:val="000D63C7"/>
    <w:rsid w:val="002C48EB"/>
    <w:rsid w:val="005754D0"/>
    <w:rsid w:val="00702CB7"/>
    <w:rsid w:val="008246F5"/>
    <w:rsid w:val="009774E8"/>
    <w:rsid w:val="00A27D0B"/>
    <w:rsid w:val="00B34795"/>
    <w:rsid w:val="00C3296C"/>
    <w:rsid w:val="00D3521B"/>
    <w:rsid w:val="00D55992"/>
    <w:rsid w:val="00DF0EE3"/>
    <w:rsid w:val="00DF4C67"/>
    <w:rsid w:val="00EE7EA4"/>
    <w:rsid w:val="40E367D0"/>
    <w:rsid w:val="55A71A32"/>
    <w:rsid w:val="589C25C9"/>
    <w:rsid w:val="5B49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A90C"/>
  <w15:docId w15:val="{2CFF6921-EEA6-4EDF-9C9D-AE021DE7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4E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774E8"/>
    <w:rPr>
      <w:rFonts w:ascii="Tahoma" w:eastAsia="微软雅黑" w:hAnsi="Tahoma"/>
      <w:sz w:val="18"/>
      <w:szCs w:val="18"/>
    </w:rPr>
  </w:style>
  <w:style w:type="paragraph" w:styleId="a5">
    <w:name w:val="footer"/>
    <w:basedOn w:val="a"/>
    <w:link w:val="a6"/>
    <w:uiPriority w:val="99"/>
    <w:unhideWhenUsed/>
    <w:rsid w:val="009774E8"/>
    <w:pPr>
      <w:tabs>
        <w:tab w:val="center" w:pos="4153"/>
        <w:tab w:val="right" w:pos="8306"/>
      </w:tabs>
    </w:pPr>
    <w:rPr>
      <w:sz w:val="18"/>
      <w:szCs w:val="18"/>
    </w:rPr>
  </w:style>
  <w:style w:type="character" w:customStyle="1" w:styleId="a6">
    <w:name w:val="页脚 字符"/>
    <w:basedOn w:val="a0"/>
    <w:link w:val="a5"/>
    <w:uiPriority w:val="99"/>
    <w:rsid w:val="009774E8"/>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284</Words>
  <Characters>1624</Characters>
  <Application>Microsoft Office Word</Application>
  <DocSecurity>0</DocSecurity>
  <Lines>13</Lines>
  <Paragraphs>3</Paragraphs>
  <ScaleCrop>false</ScaleCrop>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2018-08-16T06:45:00Z</dcterms:created>
  <dcterms:modified xsi:type="dcterms:W3CDTF">2019-01-11T02:50:00Z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