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4664136"/>
      <w:bookmarkStart w:id="1" w:name="_Toc22094"/>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bookmarkEnd w:id="0"/>
      <w:bookmarkEnd w:id="1"/>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18092"/>
      <w:bookmarkStart w:id="3" w:name="_Toc4664137"/>
      <w:r>
        <w:rPr>
          <w:rFonts w:hint="eastAsia" w:ascii="宋体" w:hAnsi="宋体" w:eastAsia="宋体" w:cs="宋体"/>
          <w:color w:val="auto"/>
          <w:sz w:val="32"/>
          <w:szCs w:val="32"/>
          <w:highlight w:val="none"/>
          <w:lang w:eastAsia="zh-CN"/>
        </w:rPr>
        <w:br w:type="page"/>
      </w:r>
    </w:p>
    <w:p>
      <w:pPr>
        <w:pStyle w:val="2"/>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u w:val="single"/>
        </w:rPr>
        <w:t xml:space="preserve">   (项目名称)（项目编号）                      </w:t>
      </w:r>
      <w:r>
        <w:rPr>
          <w:rFonts w:hint="eastAsia" w:ascii="宋体" w:hAnsi="宋体" w:eastAsia="宋体" w:cs="宋体"/>
          <w:bCs/>
          <w:color w:val="auto"/>
          <w:sz w:val="24"/>
          <w:szCs w:val="24"/>
          <w:highlight w:val="none"/>
        </w:rPr>
        <w:t xml:space="preserve"> 项目的招标投标活动，代表本公司处理招标投标活动中的一切事宜。包括但不限于：投标、参与开标、谈判、签约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br w:type="page"/>
      </w: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报价单</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4"/>
        </w:numPr>
        <w:spacing w:line="360" w:lineRule="auto"/>
        <w:ind w:firstLine="420" w:firstLineChars="0"/>
        <w:rPr>
          <w:rFonts w:hint="eastAsia"/>
          <w:lang w:eastAsia="zh-CN"/>
        </w:rPr>
      </w:pPr>
      <w:r>
        <w:rPr>
          <w:rFonts w:hint="eastAsia" w:ascii="宋体" w:hAnsi="宋体" w:eastAsia="宋体" w:cs="宋体"/>
          <w:spacing w:val="-3"/>
          <w:sz w:val="24"/>
          <w:szCs w:val="24"/>
          <w:lang w:eastAsia="zh-CN"/>
        </w:rPr>
        <w:t>项目及数量出现</w:t>
      </w:r>
      <w:r>
        <w:rPr>
          <w:rFonts w:hint="eastAsia" w:ascii="宋体" w:hAnsi="宋体" w:eastAsia="宋体" w:cs="宋体"/>
          <w:spacing w:val="-3"/>
          <w:sz w:val="24"/>
          <w:szCs w:val="24"/>
        </w:rPr>
        <w:t>少报</w:t>
      </w:r>
      <w:r>
        <w:rPr>
          <w:rFonts w:hint="eastAsia" w:ascii="宋体" w:hAnsi="宋体" w:eastAsia="宋体" w:cs="宋体"/>
          <w:spacing w:val="-3"/>
          <w:sz w:val="24"/>
          <w:szCs w:val="24"/>
          <w:lang w:eastAsia="zh-CN"/>
        </w:rPr>
        <w:t>或</w:t>
      </w:r>
      <w:r>
        <w:rPr>
          <w:rFonts w:hint="eastAsia" w:ascii="宋体" w:hAnsi="宋体" w:eastAsia="宋体" w:cs="宋体"/>
          <w:spacing w:val="-3"/>
          <w:sz w:val="24"/>
          <w:szCs w:val="24"/>
        </w:rPr>
        <w:t>多报</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商品名称及</w:t>
      </w:r>
      <w:r>
        <w:rPr>
          <w:rFonts w:hint="eastAsia" w:ascii="宋体" w:hAnsi="宋体" w:eastAsia="宋体" w:cs="宋体"/>
          <w:spacing w:val="-3"/>
          <w:sz w:val="24"/>
          <w:szCs w:val="24"/>
          <w:lang w:eastAsia="zh-CN"/>
        </w:rPr>
        <w:t>品牌</w:t>
      </w:r>
      <w:r>
        <w:rPr>
          <w:rFonts w:hint="eastAsia" w:ascii="宋体" w:hAnsi="宋体" w:eastAsia="宋体" w:cs="宋体"/>
          <w:spacing w:val="-3"/>
          <w:sz w:val="24"/>
          <w:szCs w:val="24"/>
        </w:rPr>
        <w:t>参数要求</w:t>
      </w:r>
      <w:r>
        <w:rPr>
          <w:rFonts w:hint="eastAsia" w:ascii="宋体" w:hAnsi="宋体" w:eastAsia="宋体" w:cs="宋体"/>
          <w:spacing w:val="-3"/>
          <w:sz w:val="24"/>
          <w:szCs w:val="24"/>
          <w:lang w:eastAsia="zh-CN"/>
        </w:rPr>
        <w:t>发生变化或不符合</w:t>
      </w:r>
      <w:r>
        <w:rPr>
          <w:rFonts w:hint="eastAsia" w:ascii="宋体" w:hAnsi="宋体" w:eastAsia="宋体" w:cs="宋体"/>
          <w:spacing w:val="-3"/>
          <w:sz w:val="24"/>
          <w:szCs w:val="24"/>
        </w:rPr>
        <w:t>要求</w:t>
      </w:r>
      <w:r>
        <w:rPr>
          <w:rFonts w:hint="eastAsia" w:ascii="宋体" w:hAnsi="宋体" w:eastAsia="宋体" w:cs="宋体"/>
          <w:spacing w:val="-3"/>
          <w:sz w:val="24"/>
          <w:szCs w:val="24"/>
          <w:lang w:eastAsia="zh-CN"/>
        </w:rPr>
        <w:t>；报价超过参考单价或单项参考总价均当废标处理</w:t>
      </w:r>
      <w:r>
        <w:rPr>
          <w:rFonts w:hint="eastAsia" w:ascii="宋体" w:hAnsi="宋体" w:cs="宋体"/>
          <w:color w:val="auto"/>
          <w:spacing w:val="-3"/>
          <w:sz w:val="24"/>
          <w:szCs w:val="24"/>
          <w:lang w:eastAsia="zh-CN"/>
        </w:rPr>
        <w:t>。</w:t>
      </w:r>
    </w:p>
    <w:p>
      <w:pPr>
        <w:numPr>
          <w:ilvl w:val="0"/>
          <w:numId w:val="4"/>
        </w:numPr>
        <w:spacing w:line="360" w:lineRule="auto"/>
        <w:ind w:firstLine="420" w:firstLineChars="0"/>
        <w:rPr>
          <w:rFonts w:hint="eastAsia"/>
          <w:lang w:eastAsia="zh-CN"/>
        </w:rPr>
      </w:pPr>
      <w:r>
        <w:rPr>
          <w:rFonts w:hint="eastAsia" w:ascii="宋体" w:hAnsi="宋体" w:cs="宋体"/>
          <w:color w:val="FF0000"/>
          <w:spacing w:val="-3"/>
          <w:sz w:val="24"/>
          <w:szCs w:val="24"/>
          <w:lang w:eastAsia="zh-CN"/>
        </w:rPr>
        <w:t>本项目预算限额为</w:t>
      </w:r>
      <w:r>
        <w:rPr>
          <w:rFonts w:hint="eastAsia" w:ascii="宋体" w:hAnsi="宋体" w:cs="宋体"/>
          <w:color w:val="FF0000"/>
          <w:spacing w:val="-3"/>
          <w:sz w:val="24"/>
          <w:szCs w:val="24"/>
          <w:lang w:val="en-US" w:eastAsia="zh-CN"/>
        </w:rPr>
        <w:t>41200</w:t>
      </w:r>
      <w:r>
        <w:rPr>
          <w:rFonts w:hint="eastAsia" w:ascii="宋体" w:hAnsi="宋体" w:cs="宋体"/>
          <w:color w:val="FF0000"/>
          <w:spacing w:val="-3"/>
          <w:sz w:val="24"/>
          <w:szCs w:val="24"/>
          <w:lang w:eastAsia="zh-CN"/>
        </w:rPr>
        <w:t>元，超过</w:t>
      </w:r>
      <w:r>
        <w:rPr>
          <w:rFonts w:hint="eastAsia" w:ascii="宋体" w:hAnsi="宋体" w:cs="宋体"/>
          <w:color w:val="FF0000"/>
          <w:spacing w:val="-3"/>
          <w:sz w:val="24"/>
          <w:szCs w:val="24"/>
          <w:lang w:val="en-US" w:eastAsia="zh-CN"/>
        </w:rPr>
        <w:t>41200</w:t>
      </w:r>
      <w:r>
        <w:rPr>
          <w:rFonts w:hint="eastAsia" w:ascii="宋体" w:hAnsi="宋体" w:cs="宋体"/>
          <w:color w:val="FF0000"/>
          <w:spacing w:val="-3"/>
          <w:sz w:val="24"/>
          <w:szCs w:val="24"/>
          <w:lang w:eastAsia="zh-CN"/>
        </w:rPr>
        <w:t>元的报价均视为无效报价,作废标处理。</w:t>
      </w:r>
    </w:p>
    <w:tbl>
      <w:tblPr>
        <w:tblStyle w:val="4"/>
        <w:tblW w:w="10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560"/>
        <w:gridCol w:w="547"/>
        <w:gridCol w:w="675"/>
        <w:gridCol w:w="1125"/>
        <w:gridCol w:w="1286"/>
        <w:gridCol w:w="1193"/>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7" w:type="dxa"/>
            <w:gridSpan w:val="6"/>
            <w:tcBorders>
              <w:top w:val="single" w:color="auto" w:sz="8" w:space="0"/>
              <w:left w:val="single" w:color="auto"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采购人需求</w:t>
            </w:r>
          </w:p>
        </w:tc>
        <w:tc>
          <w:tcPr>
            <w:tcW w:w="2341" w:type="dxa"/>
            <w:gridSpan w:val="2"/>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eastAsia="zh-CN"/>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tcBorders>
              <w:top w:val="single" w:color="auto" w:sz="8" w:space="0"/>
              <w:left w:val="single" w:color="auto"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序号</w:t>
            </w:r>
          </w:p>
        </w:tc>
        <w:tc>
          <w:tcPr>
            <w:tcW w:w="3560"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产品</w:t>
            </w:r>
            <w:r>
              <w:rPr>
                <w:rFonts w:hint="eastAsia" w:ascii="宋体" w:hAnsi="宋体" w:eastAsia="宋体" w:cs="宋体"/>
                <w:kern w:val="0"/>
                <w:sz w:val="22"/>
                <w:szCs w:val="22"/>
                <w:highlight w:val="none"/>
              </w:rPr>
              <w:t>商品名称及参数要求</w:t>
            </w:r>
          </w:p>
        </w:tc>
        <w:tc>
          <w:tcPr>
            <w:tcW w:w="547"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单位</w:t>
            </w:r>
          </w:p>
        </w:tc>
        <w:tc>
          <w:tcPr>
            <w:tcW w:w="675"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数量</w:t>
            </w:r>
          </w:p>
        </w:tc>
        <w:tc>
          <w:tcPr>
            <w:tcW w:w="1125" w:type="dxa"/>
            <w:tcBorders>
              <w:top w:val="single" w:color="auto"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参考单价（元）</w:t>
            </w:r>
          </w:p>
        </w:tc>
        <w:tc>
          <w:tcPr>
            <w:tcW w:w="1286"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单项</w:t>
            </w:r>
            <w:r>
              <w:rPr>
                <w:rFonts w:hint="eastAsia" w:ascii="宋体" w:hAnsi="宋体" w:cs="宋体"/>
                <w:kern w:val="0"/>
                <w:sz w:val="22"/>
                <w:szCs w:val="22"/>
                <w:highlight w:val="none"/>
                <w:lang w:eastAsia="zh-CN"/>
              </w:rPr>
              <w:t>参考</w:t>
            </w:r>
            <w:r>
              <w:rPr>
                <w:rFonts w:hint="eastAsia" w:ascii="宋体" w:hAnsi="宋体" w:eastAsia="宋体" w:cs="宋体"/>
                <w:kern w:val="0"/>
                <w:sz w:val="22"/>
                <w:szCs w:val="22"/>
                <w:highlight w:val="none"/>
                <w:lang w:eastAsia="zh-CN"/>
              </w:rPr>
              <w:t>总价（元）</w:t>
            </w:r>
          </w:p>
        </w:tc>
        <w:tc>
          <w:tcPr>
            <w:tcW w:w="1193"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val="en-US" w:eastAsia="zh-CN"/>
              </w:rPr>
              <w:t>参考单价（元）</w:t>
            </w:r>
          </w:p>
        </w:tc>
        <w:tc>
          <w:tcPr>
            <w:tcW w:w="1148" w:type="dxa"/>
            <w:tcBorders>
              <w:top w:val="single" w:color="auto"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lang w:eastAsia="zh-CN"/>
              </w:rPr>
              <w:t>单项</w:t>
            </w:r>
            <w:r>
              <w:rPr>
                <w:rFonts w:hint="eastAsia" w:ascii="宋体" w:hAnsi="宋体" w:cs="宋体"/>
                <w:kern w:val="0"/>
                <w:sz w:val="22"/>
                <w:szCs w:val="22"/>
                <w:highlight w:val="none"/>
                <w:lang w:eastAsia="zh-CN"/>
              </w:rPr>
              <w:t>参考</w:t>
            </w:r>
            <w:r>
              <w:rPr>
                <w:rFonts w:hint="eastAsia" w:ascii="宋体" w:hAnsi="宋体" w:eastAsia="宋体" w:cs="宋体"/>
                <w:kern w:val="0"/>
                <w:sz w:val="22"/>
                <w:szCs w:val="22"/>
                <w:highlight w:val="none"/>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tcBorders>
              <w:top w:val="single" w:color="000000" w:sz="8" w:space="0"/>
              <w:left w:val="single" w:color="auto"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1</w:t>
            </w:r>
          </w:p>
        </w:tc>
        <w:tc>
          <w:tcPr>
            <w:tcW w:w="3560"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ind w:firstLine="440" w:firstLineChars="200"/>
              <w:jc w:val="center"/>
              <w:rPr>
                <w:rFonts w:hint="default" w:ascii="宋体" w:hAnsi="宋体" w:eastAsia="宋体" w:cs="宋体"/>
                <w:kern w:val="0"/>
                <w:sz w:val="22"/>
                <w:szCs w:val="22"/>
                <w:highlight w:val="none"/>
                <w:lang w:val="en-US" w:eastAsia="zh-CN"/>
              </w:rPr>
            </w:pPr>
            <w:r>
              <w:rPr>
                <w:rFonts w:hint="default" w:ascii="宋体" w:hAnsi="宋体" w:eastAsia="宋体" w:cs="宋体"/>
                <w:kern w:val="0"/>
                <w:sz w:val="22"/>
                <w:szCs w:val="22"/>
                <w:highlight w:val="none"/>
                <w:lang w:val="en-US" w:eastAsia="zh-CN"/>
              </w:rPr>
              <w:t>帆布袋</w:t>
            </w:r>
            <w:r>
              <w:rPr>
                <w:rFonts w:hint="eastAsia" w:ascii="宋体" w:hAnsi="宋体" w:eastAsia="宋体" w:cs="宋体"/>
                <w:kern w:val="0"/>
                <w:sz w:val="22"/>
                <w:szCs w:val="22"/>
                <w:highlight w:val="none"/>
                <w:lang w:val="en-US" w:eastAsia="zh-CN"/>
              </w:rPr>
              <w:t>：</w:t>
            </w:r>
            <w:r>
              <w:rPr>
                <w:rFonts w:hint="default" w:ascii="宋体" w:hAnsi="宋体" w:eastAsia="宋体" w:cs="宋体"/>
                <w:kern w:val="0"/>
                <w:sz w:val="22"/>
                <w:szCs w:val="22"/>
                <w:highlight w:val="none"/>
                <w:lang w:val="en-US" w:eastAsia="zh-CN"/>
              </w:rPr>
              <w:t>40*35cm，带2条50CM长的手提，底部厚底8cm；12安本色面料。需设计logo以及图案。袋口有2个纽扣，颜色</w:t>
            </w:r>
            <w:r>
              <w:rPr>
                <w:rFonts w:hint="eastAsia" w:ascii="宋体" w:hAnsi="宋体" w:eastAsia="宋体" w:cs="宋体"/>
                <w:kern w:val="0"/>
                <w:sz w:val="22"/>
                <w:szCs w:val="22"/>
                <w:highlight w:val="none"/>
                <w:lang w:val="en-US" w:eastAsia="zh-CN"/>
              </w:rPr>
              <w:t>及</w:t>
            </w:r>
            <w:r>
              <w:rPr>
                <w:rFonts w:hint="default" w:ascii="宋体" w:hAnsi="宋体" w:eastAsia="宋体" w:cs="宋体"/>
                <w:kern w:val="0"/>
                <w:sz w:val="22"/>
                <w:szCs w:val="22"/>
                <w:highlight w:val="none"/>
                <w:lang w:val="en-US" w:eastAsia="zh-CN"/>
              </w:rPr>
              <w:t>纽扣待定，需要打样确定。</w:t>
            </w:r>
          </w:p>
        </w:tc>
        <w:tc>
          <w:tcPr>
            <w:tcW w:w="547"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个</w:t>
            </w:r>
          </w:p>
        </w:tc>
        <w:tc>
          <w:tcPr>
            <w:tcW w:w="675"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5000</w:t>
            </w:r>
          </w:p>
        </w:tc>
        <w:tc>
          <w:tcPr>
            <w:tcW w:w="1125" w:type="dxa"/>
            <w:tcBorders>
              <w:top w:val="single" w:color="000000" w:sz="8" w:space="0"/>
              <w:left w:val="single" w:color="000000" w:sz="8" w:space="0"/>
              <w:bottom w:val="single" w:color="000000" w:sz="8" w:space="0"/>
              <w:right w:val="single" w:color="000000"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8.</w:t>
            </w:r>
            <w:r>
              <w:rPr>
                <w:rFonts w:hint="eastAsia" w:ascii="宋体" w:hAnsi="宋体" w:cs="宋体"/>
                <w:kern w:val="0"/>
                <w:sz w:val="22"/>
                <w:szCs w:val="22"/>
                <w:highlight w:val="none"/>
                <w:lang w:val="en-US" w:eastAsia="zh-CN"/>
              </w:rPr>
              <w:t>24</w:t>
            </w:r>
          </w:p>
        </w:tc>
        <w:tc>
          <w:tcPr>
            <w:tcW w:w="1286"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w:t>
            </w:r>
            <w:r>
              <w:rPr>
                <w:rFonts w:hint="eastAsia" w:ascii="宋体" w:hAnsi="宋体" w:cs="宋体"/>
                <w:kern w:val="0"/>
                <w:sz w:val="22"/>
                <w:szCs w:val="22"/>
                <w:highlight w:val="none"/>
                <w:lang w:val="en-US" w:eastAsia="zh-CN"/>
              </w:rPr>
              <w:t>12</w:t>
            </w:r>
            <w:r>
              <w:rPr>
                <w:rFonts w:hint="eastAsia" w:ascii="宋体" w:hAnsi="宋体" w:eastAsia="宋体" w:cs="宋体"/>
                <w:kern w:val="0"/>
                <w:sz w:val="22"/>
                <w:szCs w:val="22"/>
                <w:highlight w:val="none"/>
                <w:lang w:val="en-US" w:eastAsia="zh-CN"/>
              </w:rPr>
              <w:t>00</w:t>
            </w:r>
          </w:p>
        </w:tc>
        <w:tc>
          <w:tcPr>
            <w:tcW w:w="1193"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p>
        </w:tc>
        <w:tc>
          <w:tcPr>
            <w:tcW w:w="1148"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0" w:type="dxa"/>
            <w:gridSpan w:val="7"/>
            <w:tcBorders>
              <w:top w:val="single" w:color="000000" w:sz="8" w:space="0"/>
              <w:left w:val="single" w:color="auto" w:sz="8" w:space="0"/>
              <w:bottom w:val="single" w:color="000000" w:sz="8" w:space="0"/>
              <w:right w:val="single" w:color="auto" w:sz="8" w:space="0"/>
            </w:tcBorders>
            <w:vAlign w:val="center"/>
          </w:tcPr>
          <w:p>
            <w:pPr>
              <w:widowControl/>
              <w:shd w:val="clear" w:color="auto" w:fill="FFFFFF"/>
              <w:spacing w:line="240" w:lineRule="auto"/>
              <w:ind w:firstLine="442" w:firstLineChars="200"/>
              <w:jc w:val="center"/>
              <w:rPr>
                <w:rFonts w:hint="eastAsia" w:ascii="宋体" w:hAnsi="宋体" w:eastAsia="宋体" w:cs="宋体"/>
                <w:b/>
                <w:bCs/>
                <w:kern w:val="0"/>
                <w:sz w:val="22"/>
                <w:szCs w:val="22"/>
                <w:highlight w:val="none"/>
                <w:lang w:val="en-US" w:eastAsia="zh-CN"/>
              </w:rPr>
            </w:pPr>
            <w:r>
              <w:rPr>
                <w:rFonts w:hint="eastAsia" w:ascii="宋体" w:hAnsi="宋体" w:eastAsia="宋体" w:cs="宋体"/>
                <w:b/>
                <w:bCs/>
                <w:kern w:val="0"/>
                <w:sz w:val="22"/>
                <w:szCs w:val="22"/>
                <w:highlight w:val="none"/>
                <w:lang w:eastAsia="zh-CN"/>
              </w:rPr>
              <w:t>合计（人民币：元）</w:t>
            </w:r>
          </w:p>
        </w:tc>
        <w:tc>
          <w:tcPr>
            <w:tcW w:w="1148" w:type="dxa"/>
            <w:tcBorders>
              <w:top w:val="single" w:color="000000" w:sz="8" w:space="0"/>
              <w:left w:val="single" w:color="000000" w:sz="8" w:space="0"/>
              <w:bottom w:val="single" w:color="000000" w:sz="8" w:space="0"/>
              <w:right w:val="single" w:color="auto" w:sz="8" w:space="0"/>
            </w:tcBorders>
            <w:vAlign w:val="center"/>
          </w:tcPr>
          <w:p>
            <w:pPr>
              <w:widowControl/>
              <w:shd w:val="clear" w:color="auto" w:fill="FFFFFF"/>
              <w:spacing w:line="240" w:lineRule="auto"/>
              <w:jc w:val="center"/>
              <w:rPr>
                <w:rFonts w:hint="eastAsia" w:ascii="宋体" w:hAnsi="宋体" w:eastAsia="宋体" w:cs="宋体"/>
                <w:b/>
                <w:bCs/>
                <w:kern w:val="0"/>
                <w:sz w:val="22"/>
                <w:szCs w:val="22"/>
                <w:highlight w:val="none"/>
                <w:lang w:val="en-US" w:eastAsia="zh-CN"/>
              </w:rPr>
            </w:pPr>
          </w:p>
        </w:tc>
      </w:tr>
    </w:tbl>
    <w:p>
      <w:pPr>
        <w:rPr>
          <w:rFonts w:hint="eastAsia" w:ascii="宋体" w:hAnsi="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FF0000"/>
          <w:spacing w:val="-3"/>
          <w:sz w:val="21"/>
          <w:szCs w:val="21"/>
          <w:lang w:eastAsia="zh-CN"/>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公司简介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（自行描述）</w:t>
      </w: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default" w:ascii="宋体" w:hAnsi="宋体" w:cs="宋体"/>
          <w:bCs/>
          <w:color w:val="auto"/>
          <w:sz w:val="24"/>
          <w:szCs w:val="24"/>
          <w:highlight w:val="none"/>
          <w:u w:val="single"/>
          <w:lang w:val="en-US" w:eastAsia="zh-CN"/>
        </w:rPr>
      </w:pPr>
    </w:p>
    <w:p>
      <w:pPr>
        <w:numPr>
          <w:ilvl w:val="0"/>
          <w:numId w:val="5"/>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Cs w:val="21"/>
        </w:rPr>
      </w:pPr>
    </w:p>
    <w:p>
      <w:pPr>
        <w:rPr>
          <w:rFonts w:hint="eastAsia" w:ascii="宋体" w:hAnsi="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br w:type="page"/>
      </w:r>
    </w:p>
    <w:p>
      <w:pPr>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cs="宋体"/>
          <w:b/>
          <w:color w:val="auto"/>
          <w:kern w:val="2"/>
          <w:sz w:val="32"/>
          <w:szCs w:val="32"/>
          <w:highlight w:val="none"/>
          <w:lang w:val="en-US" w:eastAsia="zh-CN" w:bidi="ar-SA"/>
        </w:rPr>
        <w:t>六</w:t>
      </w:r>
      <w:r>
        <w:rPr>
          <w:rFonts w:hint="eastAsia" w:ascii="宋体" w:hAnsi="宋体" w:eastAsia="宋体" w:cs="宋体"/>
          <w:b/>
          <w:color w:val="auto"/>
          <w:kern w:val="2"/>
          <w:sz w:val="32"/>
          <w:szCs w:val="32"/>
          <w:highlight w:val="none"/>
          <w:lang w:val="en-US" w:eastAsia="zh-CN" w:bidi="ar-SA"/>
        </w:rPr>
        <w:t>、 商务偏离情况</w:t>
      </w:r>
      <w:bookmarkStart w:id="6" w:name="_GoBack"/>
      <w:bookmarkEnd w:id="6"/>
    </w:p>
    <w:tbl>
      <w:tblPr>
        <w:tblStyle w:val="3"/>
        <w:tblW w:w="10571" w:type="dxa"/>
        <w:jc w:val="center"/>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2"/>
        <w:gridCol w:w="2698"/>
        <w:gridCol w:w="1274"/>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282"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招标商务条款</w:t>
            </w:r>
          </w:p>
        </w:tc>
        <w:tc>
          <w:tcPr>
            <w:tcW w:w="2698"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投标商务条款</w:t>
            </w:r>
          </w:p>
        </w:tc>
        <w:tc>
          <w:tcPr>
            <w:tcW w:w="1274"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317"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numPr>
                <w:ilvl w:val="0"/>
                <w:numId w:val="0"/>
              </w:numPr>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送货期限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 xml:space="preserve"> 送货期限：中标人需保证按照科室确定的样品进行下单，11月中旬完成送货（生产时间控制于25个日历日内）。</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因中标人原因导致逾期完成供货的，每逾期1天中标人向采购人偿付总价款1%的违约金，但累计违约金总额不超过总价款的30%。</w:t>
            </w:r>
            <w:r>
              <w:rPr>
                <w:rFonts w:hint="eastAsia" w:ascii="宋体" w:hAnsi="宋体" w:eastAsia="宋体" w:cs="宋体"/>
                <w:b/>
                <w:bCs/>
                <w:color w:val="auto"/>
                <w:kern w:val="0"/>
                <w:sz w:val="24"/>
                <w:szCs w:val="24"/>
                <w:highlight w:val="none"/>
              </w:rPr>
              <w:t>中标人应保证所供货物为全新正品、达到国家标准或行业标准。</w:t>
            </w:r>
          </w:p>
        </w:tc>
        <w:tc>
          <w:tcPr>
            <w:tcW w:w="2698" w:type="dxa"/>
          </w:tcPr>
          <w:p>
            <w:pPr>
              <w:rPr>
                <w:rFonts w:hint="eastAsia" w:ascii="宋体" w:hAnsi="宋体" w:eastAsia="宋体" w:cs="宋体"/>
                <w:color w:val="auto"/>
                <w:sz w:val="24"/>
                <w:szCs w:val="24"/>
                <w:highlight w:val="none"/>
              </w:rPr>
            </w:pPr>
          </w:p>
        </w:tc>
        <w:tc>
          <w:tcPr>
            <w:tcW w:w="1274" w:type="dxa"/>
          </w:tcPr>
          <w:p>
            <w:pPr>
              <w:rPr>
                <w:rFonts w:hint="eastAsia" w:ascii="宋体" w:hAnsi="宋体" w:eastAsia="宋体" w:cs="宋体"/>
                <w:color w:val="auto"/>
                <w:sz w:val="24"/>
                <w:szCs w:val="24"/>
                <w:highlight w:val="none"/>
              </w:rPr>
            </w:pPr>
          </w:p>
        </w:tc>
        <w:tc>
          <w:tcPr>
            <w:tcW w:w="1317"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numPr>
                <w:ilvl w:val="0"/>
                <w:numId w:val="0"/>
              </w:numPr>
              <w:spacing w:line="240" w:lineRule="auto"/>
              <w:ind w:leftChars="0"/>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服务要求</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中标人需送货品至指定地点（深圳市光明区圳园路中山大学附属第七医院院区）且完成全部货品的整体安装及保养服务。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产品有因质量问题引起的损坏，或中标人交付的货物存在采购人验收人员无法肉眼现场发现的质量问题，包括但不限于货物技术质量问题、使用后才能发现的问题等，中标人应对产品予以维修或更换。接到报修后，应承诺在4小时内响应，24小时解决或提出解决方案。</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如若出现货物损坏及零件更换，更换产品或配件的费用依据投标报价单所报价格；如若有投标报价单未体现的产品或配件出现损坏及零件更换，中标人提供不高于市场价有偿维修服务。</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1" w:type="dxa"/>
            <w:gridSpan w:val="4"/>
          </w:tcPr>
          <w:p>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82"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其他风险承担：中标人未履行本招标文件下的其他义务或违反其在投标文件中的承诺的，应按中标价总价款的30%向采购人承担违约责任。</w:t>
            </w:r>
          </w:p>
        </w:tc>
        <w:tc>
          <w:tcPr>
            <w:tcW w:w="2698" w:type="dxa"/>
          </w:tcPr>
          <w:p>
            <w:pPr>
              <w:rPr>
                <w:rFonts w:hint="eastAsia" w:ascii="宋体" w:hAnsi="宋体" w:eastAsia="宋体" w:cs="宋体"/>
                <w:b/>
                <w:color w:val="auto"/>
                <w:sz w:val="24"/>
                <w:szCs w:val="24"/>
                <w:highlight w:val="none"/>
              </w:rPr>
            </w:pPr>
          </w:p>
        </w:tc>
        <w:tc>
          <w:tcPr>
            <w:tcW w:w="1274" w:type="dxa"/>
          </w:tcPr>
          <w:p>
            <w:pPr>
              <w:rPr>
                <w:rFonts w:hint="eastAsia" w:ascii="宋体" w:hAnsi="宋体" w:eastAsia="宋体" w:cs="宋体"/>
                <w:b/>
                <w:color w:val="auto"/>
                <w:sz w:val="24"/>
                <w:szCs w:val="24"/>
                <w:highlight w:val="none"/>
              </w:rPr>
            </w:pPr>
          </w:p>
        </w:tc>
        <w:tc>
          <w:tcPr>
            <w:tcW w:w="1317" w:type="dxa"/>
          </w:tcPr>
          <w:p>
            <w:pPr>
              <w:rPr>
                <w:rFonts w:hint="eastAsia" w:ascii="宋体" w:hAnsi="宋体" w:eastAsia="宋体" w:cs="宋体"/>
                <w:b/>
                <w:color w:val="auto"/>
                <w:sz w:val="24"/>
                <w:szCs w:val="24"/>
                <w:highlight w:val="none"/>
              </w:rPr>
            </w:pPr>
          </w:p>
        </w:tc>
      </w:tr>
    </w:tbl>
    <w:p>
      <w:pPr>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※可依公司情况做其他补充方案说明。</w:t>
      </w:r>
    </w:p>
    <w:p>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pPr>
        <w:pStyle w:val="2"/>
        <w:numPr>
          <w:ilvl w:val="1"/>
          <w:numId w:val="0"/>
        </w:numPr>
        <w:ind w:leftChars="0"/>
        <w:jc w:val="center"/>
        <w:outlineLvl w:val="0"/>
        <w:rPr>
          <w:rFonts w:hint="eastAsia" w:ascii="宋体" w:hAnsi="宋体" w:eastAsia="宋体" w:cs="宋体"/>
          <w:b/>
          <w:color w:val="auto"/>
          <w:kern w:val="2"/>
          <w:sz w:val="32"/>
          <w:szCs w:val="32"/>
          <w:highlight w:val="none"/>
          <w:lang w:val="en-US" w:eastAsia="zh-CN" w:bidi="ar-SA"/>
        </w:rPr>
      </w:pPr>
      <w:bookmarkStart w:id="4" w:name="_Toc16753"/>
      <w:bookmarkStart w:id="5" w:name="_Toc4664135"/>
      <w:r>
        <w:rPr>
          <w:rFonts w:hint="eastAsia" w:ascii="宋体" w:hAnsi="宋体" w:eastAsia="宋体" w:cs="宋体"/>
          <w:b/>
          <w:color w:val="auto"/>
          <w:kern w:val="2"/>
          <w:sz w:val="32"/>
          <w:szCs w:val="32"/>
          <w:highlight w:val="none"/>
          <w:lang w:val="en-US" w:eastAsia="zh-CN" w:bidi="ar-SA"/>
        </w:rPr>
        <w:t>八、承诺函</w:t>
      </w:r>
      <w:bookmarkEnd w:id="4"/>
      <w:bookmarkEnd w:id="5"/>
    </w:p>
    <w:p>
      <w:pPr>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致：中山大学附属第七医院</w:t>
      </w:r>
    </w:p>
    <w:p>
      <w:pPr>
        <w:spacing w:line="360" w:lineRule="auto"/>
        <w:rPr>
          <w:rFonts w:hint="eastAsia" w:ascii="宋体" w:hAnsi="宋体" w:eastAsia="宋体" w:cs="宋体"/>
          <w:color w:val="auto"/>
          <w:sz w:val="24"/>
          <w:szCs w:val="24"/>
          <w:highlight w:val="none"/>
          <w:lang w:val="en-US" w:eastAsia="zh-CN"/>
        </w:rPr>
      </w:pP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我公司承诺保证无行贿犯罪记录，三年内的经营活动中没有重大违法违规记录，无骗取中标、无严重违约及重大安全及质量问题。</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如我司存在以上情形，我司自愿承担虚假应标以及其他一切不利的法律后果。</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供应商名称：（公章）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投标代表签名：</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日期：      年   月   日</w:t>
      </w:r>
    </w:p>
    <w:p>
      <w:pPr>
        <w:spacing w:line="360" w:lineRule="auto"/>
        <w:jc w:val="left"/>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48C63"/>
    <w:multiLevelType w:val="singleLevel"/>
    <w:tmpl w:val="D9848C63"/>
    <w:lvl w:ilvl="0" w:tentative="0">
      <w:start w:val="1"/>
      <w:numFmt w:val="decimal"/>
      <w:suff w:val="nothing"/>
      <w:lvlText w:val="%1、"/>
      <w:lvlJc w:val="left"/>
    </w:lvl>
  </w:abstractNum>
  <w:abstractNum w:abstractNumId="1">
    <w:nsid w:val="E9A0389F"/>
    <w:multiLevelType w:val="singleLevel"/>
    <w:tmpl w:val="E9A0389F"/>
    <w:lvl w:ilvl="0" w:tentative="0">
      <w:start w:val="4"/>
      <w:numFmt w:val="chineseCounting"/>
      <w:suff w:val="nothing"/>
      <w:lvlText w:val="%1、"/>
      <w:lvlJc w:val="left"/>
      <w:rPr>
        <w:rFonts w:hint="eastAsia"/>
      </w:rPr>
    </w:lvl>
  </w:abstractNum>
  <w:abstractNum w:abstractNumId="2">
    <w:nsid w:val="FCECF274"/>
    <w:multiLevelType w:val="singleLevel"/>
    <w:tmpl w:val="FCECF274"/>
    <w:lvl w:ilvl="0" w:tentative="0">
      <w:start w:val="1"/>
      <w:numFmt w:val="decimal"/>
      <w:suff w:val="nothing"/>
      <w:lvlText w:val="%1．"/>
      <w:lvlJc w:val="left"/>
    </w:lvl>
  </w:abstractNum>
  <w:abstractNum w:abstractNumId="3">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60A0329C"/>
    <w:multiLevelType w:val="singleLevel"/>
    <w:tmpl w:val="60A0329C"/>
    <w:lvl w:ilvl="0" w:tentative="0">
      <w:start w:val="1"/>
      <w:numFmt w:val="chineseCounting"/>
      <w:suff w:val="space"/>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10F779E0"/>
    <w:rsid w:val="12A436B8"/>
    <w:rsid w:val="12D702FB"/>
    <w:rsid w:val="14A93341"/>
    <w:rsid w:val="1B9F086C"/>
    <w:rsid w:val="286F1DAE"/>
    <w:rsid w:val="29D430CB"/>
    <w:rsid w:val="36630055"/>
    <w:rsid w:val="3F821559"/>
    <w:rsid w:val="40C354A5"/>
    <w:rsid w:val="562A68AF"/>
    <w:rsid w:val="589671AB"/>
    <w:rsid w:val="5C573C91"/>
    <w:rsid w:val="5D11102B"/>
    <w:rsid w:val="5EBA667A"/>
    <w:rsid w:val="73662CC3"/>
    <w:rsid w:val="76213EC9"/>
    <w:rsid w:val="772C13C5"/>
    <w:rsid w:val="776E62C5"/>
    <w:rsid w:val="777D0735"/>
    <w:rsid w:val="7A611905"/>
    <w:rsid w:val="7BA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2019-10-14T08:42:00Z</cp:lastPrinted>
  <dcterms:modified xsi:type="dcterms:W3CDTF">2019-10-25T07:21:38Z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