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Arial"/>
          <w:b/>
          <w:bCs/>
          <w:color w:val="FF0000"/>
          <w:szCs w:val="21"/>
          <w:lang w:val="en-US" w:eastAsia="zh-CN"/>
        </w:rPr>
        <w:t>（加盖公章）</w:t>
      </w: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Arial"/>
          <w:b/>
          <w:bCs/>
          <w:color w:val="FF0000"/>
          <w:szCs w:val="21"/>
          <w:lang w:val="en-US" w:eastAsia="zh-CN"/>
        </w:rPr>
        <w:t>（加盖公章）</w:t>
      </w: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auto"/>
          <w:sz w:val="21"/>
          <w:szCs w:val="21"/>
        </w:rPr>
      </w:pPr>
      <w:bookmarkStart w:id="1" w:name="OLE_LINK3"/>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2E38F72F">
      <w:pPr>
        <w:spacing w:line="360" w:lineRule="auto"/>
        <w:ind w:firstLine="422" w:firstLineChars="200"/>
        <w:rPr>
          <w:rFonts w:hint="eastAsia" w:ascii="宋体" w:hAnsi="宋体" w:eastAsia="宋体" w:cs="宋体"/>
          <w:b/>
          <w:color w:val="FF0000"/>
          <w:sz w:val="21"/>
          <w:szCs w:val="21"/>
        </w:rPr>
      </w:pPr>
    </w:p>
    <w:p w14:paraId="7BB7601F">
      <w:pPr>
        <w:spacing w:line="360" w:lineRule="auto"/>
        <w:ind w:firstLine="422" w:firstLineChars="200"/>
        <w:rPr>
          <w:rFonts w:hint="eastAsia" w:ascii="宋体" w:hAnsi="宋体" w:eastAsia="宋体" w:cs="宋体"/>
          <w:b/>
          <w:color w:val="FF0000"/>
          <w:sz w:val="21"/>
          <w:szCs w:val="21"/>
        </w:rPr>
      </w:pPr>
    </w:p>
    <w:p w14:paraId="551CF8C4">
      <w:pPr>
        <w:spacing w:line="360" w:lineRule="auto"/>
        <w:ind w:firstLine="422" w:firstLineChars="200"/>
        <w:rPr>
          <w:rFonts w:hint="eastAsia" w:ascii="宋体" w:hAnsi="宋体" w:eastAsia="宋体" w:cs="宋体"/>
          <w:b/>
          <w:color w:val="FF0000"/>
          <w:sz w:val="21"/>
          <w:szCs w:val="21"/>
        </w:rPr>
      </w:pPr>
    </w:p>
    <w:p w14:paraId="7907D675">
      <w:pPr>
        <w:spacing w:line="360" w:lineRule="auto"/>
        <w:ind w:firstLine="422" w:firstLineChars="200"/>
        <w:rPr>
          <w:rFonts w:hint="eastAsia" w:ascii="宋体" w:hAnsi="宋体" w:eastAsia="宋体" w:cs="宋体"/>
          <w:b/>
          <w:color w:val="FF0000"/>
          <w:sz w:val="21"/>
          <w:szCs w:val="21"/>
        </w:rPr>
      </w:pPr>
    </w:p>
    <w:p w14:paraId="41357582">
      <w:pPr>
        <w:spacing w:line="360" w:lineRule="auto"/>
        <w:ind w:firstLine="422" w:firstLineChars="200"/>
        <w:rPr>
          <w:rFonts w:hint="eastAsia" w:ascii="宋体" w:hAnsi="宋体" w:eastAsia="宋体" w:cs="宋体"/>
          <w:b/>
          <w:color w:val="FF0000"/>
          <w:sz w:val="21"/>
          <w:szCs w:val="21"/>
        </w:rPr>
      </w:pPr>
    </w:p>
    <w:p w14:paraId="7204F79B">
      <w:pPr>
        <w:spacing w:line="360" w:lineRule="auto"/>
        <w:ind w:firstLine="422" w:firstLineChars="200"/>
        <w:rPr>
          <w:rFonts w:hint="eastAsia" w:ascii="宋体" w:hAnsi="宋体" w:eastAsia="宋体" w:cs="宋体"/>
          <w:b/>
          <w:color w:val="FF0000"/>
          <w:sz w:val="21"/>
          <w:szCs w:val="21"/>
        </w:rPr>
      </w:pPr>
    </w:p>
    <w:p w14:paraId="419F1A4C">
      <w:pPr>
        <w:spacing w:line="360" w:lineRule="auto"/>
        <w:ind w:firstLine="422" w:firstLineChars="200"/>
        <w:rPr>
          <w:rFonts w:hint="eastAsia" w:ascii="宋体" w:hAnsi="宋体" w:eastAsia="宋体" w:cs="宋体"/>
          <w:b/>
          <w:color w:val="FF0000"/>
          <w:sz w:val="21"/>
          <w:szCs w:val="21"/>
        </w:rPr>
      </w:pPr>
    </w:p>
    <w:p w14:paraId="64BDFF4C">
      <w:pPr>
        <w:spacing w:line="360" w:lineRule="auto"/>
        <w:ind w:firstLine="422" w:firstLineChars="200"/>
        <w:rPr>
          <w:rFonts w:hint="eastAsia" w:ascii="宋体" w:hAnsi="宋体" w:eastAsia="宋体" w:cs="宋体"/>
          <w:b/>
          <w:color w:val="FF0000"/>
          <w:sz w:val="21"/>
          <w:szCs w:val="21"/>
        </w:rPr>
      </w:pPr>
    </w:p>
    <w:p w14:paraId="37E935AB">
      <w:pPr>
        <w:spacing w:line="360" w:lineRule="auto"/>
        <w:ind w:firstLine="422" w:firstLineChars="200"/>
        <w:rPr>
          <w:rFonts w:hint="eastAsia" w:ascii="宋体" w:hAnsi="宋体" w:eastAsia="宋体" w:cs="宋体"/>
          <w:b/>
          <w:color w:val="FF0000"/>
          <w:sz w:val="21"/>
          <w:szCs w:val="21"/>
        </w:rPr>
      </w:pPr>
    </w:p>
    <w:p w14:paraId="2036AAF3">
      <w:pPr>
        <w:spacing w:line="360" w:lineRule="auto"/>
        <w:ind w:firstLine="422" w:firstLineChars="200"/>
        <w:rPr>
          <w:rFonts w:hint="eastAsia" w:ascii="宋体" w:hAnsi="宋体" w:eastAsia="宋体" w:cs="宋体"/>
          <w:b/>
          <w:color w:val="FF0000"/>
          <w:sz w:val="21"/>
          <w:szCs w:val="21"/>
        </w:rPr>
      </w:pPr>
    </w:p>
    <w:p w14:paraId="37E12E14">
      <w:pPr>
        <w:spacing w:line="360" w:lineRule="auto"/>
        <w:ind w:firstLine="422" w:firstLineChars="200"/>
        <w:rPr>
          <w:rFonts w:hint="eastAsia" w:ascii="宋体" w:hAnsi="宋体" w:eastAsia="宋体" w:cs="宋体"/>
          <w:b/>
          <w:color w:val="FF0000"/>
          <w:sz w:val="21"/>
          <w:szCs w:val="21"/>
        </w:rPr>
      </w:pPr>
    </w:p>
    <w:p w14:paraId="19ABEC98">
      <w:pPr>
        <w:spacing w:line="360" w:lineRule="auto"/>
        <w:ind w:firstLine="422" w:firstLineChars="200"/>
        <w:rPr>
          <w:rFonts w:hint="eastAsia" w:ascii="宋体" w:hAnsi="宋体" w:eastAsia="宋体" w:cs="宋体"/>
          <w:b/>
          <w:color w:val="FF0000"/>
          <w:sz w:val="21"/>
          <w:szCs w:val="21"/>
        </w:rPr>
      </w:pPr>
    </w:p>
    <w:p w14:paraId="25F124C2">
      <w:pPr>
        <w:spacing w:line="360" w:lineRule="auto"/>
        <w:ind w:firstLine="422" w:firstLineChars="200"/>
        <w:rPr>
          <w:rFonts w:hint="eastAsia" w:ascii="宋体" w:hAnsi="宋体" w:eastAsia="宋体" w:cs="宋体"/>
          <w:b/>
          <w:color w:val="FF0000"/>
          <w:sz w:val="21"/>
          <w:szCs w:val="21"/>
        </w:rPr>
      </w:pPr>
    </w:p>
    <w:p w14:paraId="4FE36F2B">
      <w:pPr>
        <w:spacing w:line="360" w:lineRule="auto"/>
        <w:ind w:firstLine="422" w:firstLineChars="200"/>
        <w:rPr>
          <w:rFonts w:hint="eastAsia" w:ascii="宋体" w:hAnsi="宋体" w:eastAsia="宋体" w:cs="宋体"/>
          <w:b/>
          <w:color w:val="FF0000"/>
          <w:sz w:val="21"/>
          <w:szCs w:val="21"/>
        </w:rPr>
      </w:pPr>
    </w:p>
    <w:p w14:paraId="49B3D725">
      <w:pPr>
        <w:numPr>
          <w:ilvl w:val="0"/>
          <w:numId w:val="0"/>
        </w:numPr>
        <w:rPr>
          <w:rFonts w:hint="default" w:ascii="宋体" w:hAnsi="宋体" w:cs="宋体"/>
          <w:color w:val="333333"/>
          <w:kern w:val="0"/>
          <w:sz w:val="24"/>
          <w:szCs w:val="24"/>
          <w:lang w:val="en-US"/>
        </w:rPr>
      </w:pPr>
      <w:r>
        <w:rPr>
          <w:rFonts w:hint="eastAsia" w:ascii="宋体" w:hAnsi="宋体" w:cs="宋体"/>
          <w:color w:val="333333"/>
          <w:kern w:val="0"/>
          <w:sz w:val="24"/>
          <w:szCs w:val="24"/>
          <w:lang w:val="en-US" w:eastAsia="zh-CN"/>
        </w:rPr>
        <w:t>三、企业营业执照复印件</w:t>
      </w:r>
      <w:r>
        <w:rPr>
          <w:rFonts w:hint="eastAsia" w:ascii="宋体" w:hAnsi="宋体" w:cs="Arial"/>
          <w:b/>
          <w:bCs/>
          <w:color w:val="FF0000"/>
          <w:szCs w:val="21"/>
          <w:lang w:val="en-US" w:eastAsia="zh-CN"/>
        </w:rPr>
        <w:t>（加盖公章）</w:t>
      </w:r>
    </w:p>
    <w:p w14:paraId="46C60535">
      <w:pPr>
        <w:spacing w:line="360" w:lineRule="auto"/>
        <w:ind w:firstLine="422" w:firstLineChars="200"/>
        <w:rPr>
          <w:rFonts w:hint="eastAsia" w:ascii="宋体" w:hAnsi="宋体" w:eastAsia="宋体" w:cs="宋体"/>
          <w:b/>
          <w:color w:val="FF0000"/>
          <w:sz w:val="21"/>
          <w:szCs w:val="21"/>
        </w:rPr>
      </w:pPr>
    </w:p>
    <w:p w14:paraId="2D24E561">
      <w:pPr>
        <w:spacing w:line="360" w:lineRule="auto"/>
        <w:rPr>
          <w:rFonts w:hint="eastAsia" w:ascii="宋体" w:hAnsi="宋体" w:eastAsia="宋体" w:cs="宋体"/>
          <w:b/>
          <w:color w:val="FF0000"/>
          <w:sz w:val="21"/>
          <w:szCs w:val="21"/>
          <w:lang w:val="en-US" w:eastAsia="zh-CN"/>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rPr>
          <w:rFonts w:hint="eastAsia" w:ascii="宋体" w:hAnsi="宋体" w:eastAsia="宋体" w:cs="宋体"/>
          <w:b/>
          <w:color w:val="FF0000"/>
          <w:sz w:val="21"/>
          <w:szCs w:val="21"/>
        </w:rPr>
      </w:pPr>
    </w:p>
    <w:p w14:paraId="42D82ADA">
      <w:pPr>
        <w:spacing w:line="360" w:lineRule="auto"/>
        <w:rPr>
          <w:rFonts w:hint="eastAsia" w:ascii="宋体" w:hAnsi="宋体" w:eastAsia="宋体" w:cs="宋体"/>
          <w:b/>
          <w:color w:val="FF0000"/>
          <w:sz w:val="21"/>
          <w:szCs w:val="21"/>
        </w:rPr>
      </w:pPr>
    </w:p>
    <w:p w14:paraId="6CC65CAC">
      <w:pPr>
        <w:spacing w:line="360" w:lineRule="auto"/>
        <w:rPr>
          <w:rFonts w:hint="eastAsia" w:ascii="宋体" w:hAnsi="宋体" w:eastAsia="宋体" w:cs="宋体"/>
          <w:b/>
          <w:color w:val="FF0000"/>
          <w:sz w:val="21"/>
          <w:szCs w:val="21"/>
        </w:rPr>
      </w:pPr>
    </w:p>
    <w:p w14:paraId="11AF16DF">
      <w:pPr>
        <w:spacing w:line="360" w:lineRule="auto"/>
        <w:rPr>
          <w:rFonts w:hint="eastAsia" w:ascii="宋体" w:hAnsi="宋体" w:eastAsia="宋体" w:cs="宋体"/>
          <w:b/>
          <w:color w:val="FF0000"/>
          <w:sz w:val="21"/>
          <w:szCs w:val="21"/>
        </w:rPr>
      </w:pPr>
    </w:p>
    <w:p w14:paraId="472EA27C">
      <w:pPr>
        <w:spacing w:line="360" w:lineRule="auto"/>
        <w:rPr>
          <w:rFonts w:hint="eastAsia" w:ascii="宋体" w:hAnsi="宋体" w:eastAsia="宋体" w:cs="宋体"/>
          <w:b/>
          <w:color w:val="FF0000"/>
          <w:sz w:val="21"/>
          <w:szCs w:val="21"/>
        </w:rPr>
      </w:pPr>
    </w:p>
    <w:p w14:paraId="7D58B6FD">
      <w:pPr>
        <w:spacing w:line="360" w:lineRule="auto"/>
        <w:rPr>
          <w:rFonts w:hint="eastAsia" w:ascii="宋体" w:hAnsi="宋体" w:eastAsia="宋体" w:cs="宋体"/>
          <w:b/>
          <w:color w:val="FF0000"/>
          <w:sz w:val="21"/>
          <w:szCs w:val="21"/>
        </w:rPr>
      </w:pPr>
    </w:p>
    <w:p w14:paraId="3095DB19">
      <w:pPr>
        <w:spacing w:line="360" w:lineRule="auto"/>
        <w:rPr>
          <w:rFonts w:hint="eastAsia" w:ascii="宋体" w:hAnsi="宋体" w:eastAsia="宋体" w:cs="宋体"/>
          <w:b/>
          <w:color w:val="FF0000"/>
          <w:sz w:val="21"/>
          <w:szCs w:val="21"/>
        </w:rPr>
      </w:pPr>
    </w:p>
    <w:p w14:paraId="3BF48A22">
      <w:pPr>
        <w:spacing w:line="360" w:lineRule="auto"/>
        <w:rPr>
          <w:rFonts w:hint="eastAsia" w:ascii="宋体" w:hAnsi="宋体" w:eastAsia="宋体" w:cs="宋体"/>
          <w:b/>
          <w:color w:val="FF0000"/>
          <w:sz w:val="21"/>
          <w:szCs w:val="21"/>
        </w:rPr>
      </w:pPr>
    </w:p>
    <w:p w14:paraId="58B7C5AC">
      <w:pPr>
        <w:spacing w:line="360" w:lineRule="auto"/>
        <w:rPr>
          <w:rFonts w:hint="eastAsia" w:ascii="宋体" w:hAnsi="宋体" w:eastAsia="宋体" w:cs="宋体"/>
          <w:b/>
          <w:color w:val="FF0000"/>
          <w:sz w:val="21"/>
          <w:szCs w:val="21"/>
        </w:rPr>
      </w:pPr>
    </w:p>
    <w:p w14:paraId="68B0893A">
      <w:pPr>
        <w:spacing w:line="360" w:lineRule="auto"/>
        <w:rPr>
          <w:rFonts w:hint="eastAsia" w:ascii="宋体" w:hAnsi="宋体" w:eastAsia="宋体" w:cs="宋体"/>
          <w:b/>
          <w:color w:val="FF0000"/>
          <w:sz w:val="21"/>
          <w:szCs w:val="21"/>
        </w:rPr>
      </w:pPr>
    </w:p>
    <w:p w14:paraId="561DA4D7">
      <w:pPr>
        <w:spacing w:line="360" w:lineRule="auto"/>
        <w:rPr>
          <w:rFonts w:hint="eastAsia" w:ascii="宋体" w:hAnsi="宋体" w:eastAsia="宋体" w:cs="宋体"/>
          <w:b/>
          <w:color w:val="FF0000"/>
          <w:sz w:val="21"/>
          <w:szCs w:val="21"/>
        </w:rPr>
      </w:pPr>
    </w:p>
    <w:p w14:paraId="06E00335">
      <w:pPr>
        <w:spacing w:line="360" w:lineRule="auto"/>
        <w:rPr>
          <w:rFonts w:hint="eastAsia" w:ascii="宋体" w:hAnsi="宋体" w:eastAsia="宋体" w:cs="宋体"/>
          <w:b/>
          <w:color w:val="FF0000"/>
          <w:sz w:val="21"/>
          <w:szCs w:val="21"/>
        </w:rPr>
      </w:pPr>
    </w:p>
    <w:p w14:paraId="700C407B">
      <w:pPr>
        <w:spacing w:line="360" w:lineRule="auto"/>
        <w:rPr>
          <w:rFonts w:hint="eastAsia" w:ascii="宋体" w:hAnsi="宋体" w:eastAsia="宋体" w:cs="宋体"/>
          <w:b/>
          <w:color w:val="FF0000"/>
          <w:sz w:val="21"/>
          <w:szCs w:val="21"/>
        </w:rPr>
      </w:pPr>
    </w:p>
    <w:p w14:paraId="13A2FC2E">
      <w:pPr>
        <w:spacing w:line="360" w:lineRule="auto"/>
        <w:rPr>
          <w:rFonts w:hint="eastAsia" w:ascii="宋体" w:hAnsi="宋体" w:eastAsia="宋体" w:cs="宋体"/>
          <w:b/>
          <w:color w:val="FF0000"/>
          <w:sz w:val="21"/>
          <w:szCs w:val="21"/>
        </w:rPr>
      </w:pPr>
    </w:p>
    <w:p w14:paraId="5CFB5FAF">
      <w:pPr>
        <w:spacing w:line="360" w:lineRule="auto"/>
        <w:rPr>
          <w:rFonts w:hint="eastAsia" w:ascii="宋体" w:hAnsi="宋体" w:eastAsia="宋体" w:cs="宋体"/>
          <w:b/>
          <w:color w:val="FF0000"/>
          <w:sz w:val="21"/>
          <w:szCs w:val="21"/>
        </w:rPr>
      </w:pPr>
    </w:p>
    <w:p w14:paraId="7B9AF879">
      <w:pPr>
        <w:spacing w:line="360" w:lineRule="auto"/>
        <w:rPr>
          <w:rFonts w:hint="eastAsia" w:ascii="宋体" w:hAnsi="宋体" w:eastAsia="宋体" w:cs="宋体"/>
          <w:b/>
          <w:color w:val="FF0000"/>
          <w:sz w:val="21"/>
          <w:szCs w:val="21"/>
        </w:rPr>
      </w:pPr>
    </w:p>
    <w:p w14:paraId="41067E5F">
      <w:pPr>
        <w:spacing w:line="360" w:lineRule="auto"/>
        <w:rPr>
          <w:rFonts w:hint="eastAsia" w:ascii="宋体" w:hAnsi="宋体" w:eastAsia="宋体" w:cs="宋体"/>
          <w:b/>
          <w:color w:val="FF0000"/>
          <w:sz w:val="21"/>
          <w:szCs w:val="21"/>
        </w:rPr>
      </w:pPr>
    </w:p>
    <w:p w14:paraId="68F1CE37">
      <w:pPr>
        <w:spacing w:line="360" w:lineRule="auto"/>
        <w:rPr>
          <w:rFonts w:hint="eastAsia" w:ascii="宋体" w:hAnsi="宋体" w:eastAsia="宋体" w:cs="宋体"/>
          <w:b/>
          <w:color w:val="FF0000"/>
          <w:sz w:val="21"/>
          <w:szCs w:val="21"/>
        </w:rPr>
      </w:pPr>
    </w:p>
    <w:p w14:paraId="6E4431F5">
      <w:pPr>
        <w:spacing w:line="360" w:lineRule="auto"/>
        <w:rPr>
          <w:rFonts w:hint="eastAsia" w:ascii="宋体" w:hAnsi="宋体" w:eastAsia="宋体" w:cs="宋体"/>
          <w:b/>
          <w:color w:val="FF0000"/>
          <w:sz w:val="21"/>
          <w:szCs w:val="21"/>
        </w:rPr>
      </w:pPr>
    </w:p>
    <w:p w14:paraId="0AD8BE59">
      <w:pPr>
        <w:spacing w:line="360" w:lineRule="auto"/>
        <w:rPr>
          <w:rFonts w:hint="eastAsia" w:ascii="宋体" w:hAnsi="宋体" w:eastAsia="宋体" w:cs="宋体"/>
          <w:b/>
          <w:color w:val="FF0000"/>
          <w:sz w:val="21"/>
          <w:szCs w:val="21"/>
        </w:rPr>
      </w:pPr>
    </w:p>
    <w:p w14:paraId="76A40EB1">
      <w:pPr>
        <w:spacing w:line="360" w:lineRule="auto"/>
        <w:rPr>
          <w:rFonts w:hint="eastAsia" w:ascii="宋体" w:hAnsi="宋体" w:eastAsia="宋体" w:cs="宋体"/>
          <w:b/>
          <w:color w:val="FF0000"/>
          <w:sz w:val="21"/>
          <w:szCs w:val="21"/>
        </w:rPr>
      </w:pPr>
    </w:p>
    <w:p w14:paraId="326B24BC">
      <w:pPr>
        <w:spacing w:line="360" w:lineRule="auto"/>
        <w:rPr>
          <w:rFonts w:hint="eastAsia" w:ascii="宋体" w:hAnsi="宋体" w:eastAsia="宋体" w:cs="宋体"/>
          <w:b/>
          <w:color w:val="FF0000"/>
          <w:sz w:val="21"/>
          <w:szCs w:val="21"/>
        </w:rPr>
      </w:pPr>
    </w:p>
    <w:bookmarkEnd w:id="1"/>
    <w:p w14:paraId="4549B1D9">
      <w:pPr>
        <w:numPr>
          <w:ilvl w:val="0"/>
          <w:numId w:val="0"/>
        </w:numPr>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四、报价表</w:t>
      </w:r>
      <w:r>
        <w:rPr>
          <w:rFonts w:hint="eastAsia" w:ascii="宋体" w:hAnsi="宋体" w:cs="Arial"/>
          <w:b/>
          <w:bCs/>
          <w:color w:val="FF0000"/>
          <w:szCs w:val="21"/>
          <w:lang w:val="en-US" w:eastAsia="zh-CN"/>
        </w:rPr>
        <w:t>（加盖公章）</w:t>
      </w:r>
    </w:p>
    <w:tbl>
      <w:tblPr>
        <w:tblStyle w:val="4"/>
        <w:tblpPr w:leftFromText="180" w:rightFromText="180" w:vertAnchor="text" w:horzAnchor="page" w:tblpX="670" w:tblpY="303"/>
        <w:tblOverlap w:val="never"/>
        <w:tblW w:w="11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50"/>
        <w:gridCol w:w="900"/>
        <w:gridCol w:w="990"/>
        <w:gridCol w:w="1500"/>
        <w:gridCol w:w="1324"/>
        <w:gridCol w:w="1984"/>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Align w:val="center"/>
          </w:tcPr>
          <w:p w14:paraId="2C71E510">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3650" w:type="dxa"/>
            <w:vAlign w:val="center"/>
          </w:tcPr>
          <w:p w14:paraId="501821F1">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项目</w:t>
            </w:r>
            <w:r>
              <w:rPr>
                <w:rFonts w:hint="eastAsia" w:ascii="仿宋" w:hAnsi="仿宋" w:eastAsia="仿宋" w:cs="仿宋"/>
                <w:bCs/>
                <w:kern w:val="0"/>
                <w:sz w:val="24"/>
                <w:szCs w:val="24"/>
              </w:rPr>
              <w:t>名称</w:t>
            </w:r>
          </w:p>
        </w:tc>
        <w:tc>
          <w:tcPr>
            <w:tcW w:w="900" w:type="dxa"/>
            <w:vAlign w:val="center"/>
          </w:tcPr>
          <w:p w14:paraId="1DF4E1B7">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数量</w:t>
            </w:r>
          </w:p>
        </w:tc>
        <w:tc>
          <w:tcPr>
            <w:tcW w:w="990" w:type="dxa"/>
            <w:vAlign w:val="center"/>
          </w:tcPr>
          <w:p w14:paraId="399FF8A4">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单位</w:t>
            </w:r>
          </w:p>
        </w:tc>
        <w:tc>
          <w:tcPr>
            <w:tcW w:w="1500" w:type="dxa"/>
          </w:tcPr>
          <w:p w14:paraId="66F33398">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单价（元）</w:t>
            </w:r>
          </w:p>
        </w:tc>
        <w:tc>
          <w:tcPr>
            <w:tcW w:w="1324" w:type="dxa"/>
            <w:vAlign w:val="center"/>
          </w:tcPr>
          <w:p w14:paraId="1983F646">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总价（元）</w:t>
            </w:r>
          </w:p>
        </w:tc>
        <w:tc>
          <w:tcPr>
            <w:tcW w:w="1984" w:type="dxa"/>
          </w:tcPr>
          <w:p w14:paraId="772AC112">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最高限价（元）</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0FFAD8F0">
            <w:pPr>
              <w:widowControl/>
              <w:jc w:val="center"/>
              <w:textAlignment w:val="center"/>
              <w:rPr>
                <w:rFonts w:ascii="宋体" w:hAnsi="宋体" w:cs="宋体"/>
                <w:color w:val="333333"/>
                <w:kern w:val="0"/>
                <w:sz w:val="24"/>
                <w:szCs w:val="24"/>
              </w:rPr>
            </w:pPr>
            <w:r>
              <w:rPr>
                <w:rFonts w:hint="eastAsia" w:ascii="宋体" w:hAnsi="宋体" w:cs="宋体"/>
                <w:color w:val="333333"/>
                <w:kern w:val="0"/>
                <w:sz w:val="24"/>
                <w:szCs w:val="24"/>
              </w:rPr>
              <w:t>1</w:t>
            </w:r>
          </w:p>
        </w:tc>
        <w:tc>
          <w:tcPr>
            <w:tcW w:w="3650" w:type="dxa"/>
            <w:vAlign w:val="center"/>
          </w:tcPr>
          <w:p w14:paraId="5397B3F2">
            <w:pPr>
              <w:spacing w:line="360" w:lineRule="auto"/>
              <w:rPr>
                <w:rFonts w:hint="eastAsia" w:ascii="宋体" w:hAnsi="宋体" w:cs="宋体"/>
                <w:color w:val="333333"/>
                <w:kern w:val="0"/>
                <w:sz w:val="24"/>
                <w:szCs w:val="24"/>
              </w:rPr>
            </w:pPr>
            <w:r>
              <w:rPr>
                <w:rFonts w:hint="eastAsia" w:eastAsia="宋体"/>
                <w:lang w:eastAsia="zh-CN"/>
              </w:rPr>
              <w:t>第五批735项目（心血管内科）临床试验保险</w:t>
            </w:r>
          </w:p>
        </w:tc>
        <w:tc>
          <w:tcPr>
            <w:tcW w:w="900" w:type="dxa"/>
            <w:vAlign w:val="center"/>
          </w:tcPr>
          <w:p w14:paraId="611E007B">
            <w:pPr>
              <w:spacing w:line="360" w:lineRule="auto"/>
              <w:jc w:val="center"/>
              <w:rPr>
                <w:rFonts w:hint="default" w:eastAsiaTheme="minorEastAsia"/>
                <w:color w:val="000000"/>
                <w:kern w:val="0"/>
                <w:sz w:val="22"/>
                <w:szCs w:val="22"/>
                <w:lang w:val="en-US" w:eastAsia="zh-CN"/>
              </w:rPr>
            </w:pPr>
            <w:r>
              <w:rPr>
                <w:rFonts w:hint="eastAsia" w:ascii="仿宋" w:hAnsi="仿宋" w:eastAsia="仿宋" w:cs="仿宋"/>
                <w:bCs/>
                <w:sz w:val="24"/>
                <w:szCs w:val="24"/>
                <w:lang w:val="en-US" w:eastAsia="zh-CN"/>
              </w:rPr>
              <w:t>1770</w:t>
            </w:r>
          </w:p>
        </w:tc>
        <w:tc>
          <w:tcPr>
            <w:tcW w:w="990" w:type="dxa"/>
            <w:vAlign w:val="center"/>
          </w:tcPr>
          <w:p w14:paraId="1CB43C13">
            <w:pPr>
              <w:spacing w:line="360" w:lineRule="auto"/>
              <w:jc w:val="center"/>
              <w:rPr>
                <w:rFonts w:hint="default" w:eastAsiaTheme="minorEastAsia"/>
                <w:color w:val="000000"/>
                <w:kern w:val="0"/>
                <w:sz w:val="22"/>
                <w:szCs w:val="22"/>
                <w:lang w:val="en-US" w:eastAsia="zh-CN"/>
              </w:rPr>
            </w:pPr>
            <w:r>
              <w:rPr>
                <w:rFonts w:hint="eastAsia" w:cs="仿宋" w:asciiTheme="minorEastAsia" w:hAnsiTheme="minorEastAsia" w:eastAsiaTheme="minorEastAsia"/>
                <w:bCs/>
                <w:sz w:val="24"/>
                <w:szCs w:val="24"/>
                <w:lang w:val="en-US" w:eastAsia="zh-CN"/>
              </w:rPr>
              <w:t>例</w:t>
            </w:r>
          </w:p>
        </w:tc>
        <w:tc>
          <w:tcPr>
            <w:tcW w:w="1500" w:type="dxa"/>
            <w:vAlign w:val="center"/>
          </w:tcPr>
          <w:p w14:paraId="6C5DAB02">
            <w:pPr>
              <w:jc w:val="center"/>
              <w:rPr>
                <w:color w:val="000000"/>
                <w:kern w:val="0"/>
                <w:sz w:val="22"/>
                <w:szCs w:val="22"/>
              </w:rPr>
            </w:pPr>
          </w:p>
        </w:tc>
        <w:tc>
          <w:tcPr>
            <w:tcW w:w="1324" w:type="dxa"/>
            <w:vAlign w:val="center"/>
          </w:tcPr>
          <w:p w14:paraId="38A6C1F2">
            <w:pPr>
              <w:rPr>
                <w:rFonts w:hint="default" w:eastAsiaTheme="minorEastAsia"/>
                <w:color w:val="000000"/>
                <w:kern w:val="0"/>
                <w:sz w:val="22"/>
                <w:szCs w:val="22"/>
                <w:lang w:val="en-US" w:eastAsia="zh-CN"/>
              </w:rPr>
            </w:pPr>
          </w:p>
        </w:tc>
        <w:tc>
          <w:tcPr>
            <w:tcW w:w="1984" w:type="dxa"/>
            <w:vAlign w:val="center"/>
          </w:tcPr>
          <w:p w14:paraId="2A23090E">
            <w:pPr>
              <w:jc w:val="center"/>
              <w:rPr>
                <w:rFonts w:hint="default" w:ascii="仿宋" w:hAnsi="仿宋" w:eastAsia="仿宋" w:cs="仿宋"/>
                <w:bCs/>
                <w:kern w:val="0"/>
                <w:sz w:val="24"/>
                <w:szCs w:val="24"/>
                <w:lang w:val="en-US" w:eastAsia="zh-CN"/>
              </w:rPr>
            </w:pPr>
            <w:r>
              <w:rPr>
                <w:rFonts w:ascii="Arial" w:hAnsi="Arial" w:eastAsia="Arial" w:cs="Arial"/>
                <w:i w:val="0"/>
                <w:iCs w:val="0"/>
                <w:caps w:val="0"/>
                <w:color w:val="585858"/>
                <w:spacing w:val="0"/>
                <w:sz w:val="21"/>
                <w:szCs w:val="21"/>
                <w:shd w:val="clear" w:fill="FFFFFF"/>
              </w:rPr>
              <w:t>61,950</w:t>
            </w:r>
          </w:p>
        </w:tc>
      </w:tr>
      <w:tr w14:paraId="451C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BD6762">
            <w:pPr>
              <w:widowControl/>
              <w:jc w:val="center"/>
              <w:textAlignment w:val="center"/>
              <w:rPr>
                <w:rFonts w:ascii="仿宋" w:hAnsi="仿宋" w:eastAsia="仿宋" w:cs="仿宋"/>
                <w:bCs/>
                <w:kern w:val="0"/>
                <w:sz w:val="24"/>
                <w:szCs w:val="24"/>
              </w:rPr>
            </w:pPr>
          </w:p>
        </w:tc>
        <w:tc>
          <w:tcPr>
            <w:tcW w:w="10348" w:type="dxa"/>
            <w:gridSpan w:val="6"/>
            <w:vAlign w:val="center"/>
          </w:tcPr>
          <w:p w14:paraId="3C54CBDD">
            <w:pPr>
              <w:widowControl/>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合计：人民币   万  仟  佰  元  角   分（</w:t>
            </w:r>
            <w:r>
              <w:rPr>
                <w:rFonts w:hint="eastAsia" w:ascii="宋体" w:hAnsi="宋体" w:cs="宋体"/>
                <w:bCs/>
                <w:kern w:val="0"/>
                <w:sz w:val="24"/>
                <w:szCs w:val="24"/>
              </w:rPr>
              <w:t>￥</w:t>
            </w:r>
            <w:r>
              <w:rPr>
                <w:rFonts w:hint="eastAsia" w:ascii="仿宋" w:hAnsi="仿宋" w:eastAsia="仿宋" w:cs="仿宋"/>
                <w:bCs/>
                <w:kern w:val="0"/>
                <w:sz w:val="24"/>
                <w:szCs w:val="24"/>
              </w:rPr>
              <w:t xml:space="preserve">      ）</w:t>
            </w:r>
          </w:p>
        </w:tc>
      </w:tr>
    </w:tbl>
    <w:p w14:paraId="012326E5">
      <w:pPr>
        <w:widowControl w:val="0"/>
        <w:numPr>
          <w:ilvl w:val="0"/>
          <w:numId w:val="0"/>
        </w:numPr>
        <w:jc w:val="both"/>
        <w:rPr>
          <w:rFonts w:hint="eastAsia" w:ascii="宋体" w:hAnsi="宋体" w:cs="宋体"/>
          <w:color w:val="333333"/>
          <w:kern w:val="0"/>
          <w:sz w:val="24"/>
          <w:szCs w:val="24"/>
          <w:lang w:val="en-US" w:eastAsia="zh-CN"/>
        </w:rPr>
      </w:pPr>
    </w:p>
    <w:p w14:paraId="775CB1ED">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07D45C12">
      <w:pPr>
        <w:spacing w:line="360" w:lineRule="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1</w:t>
      </w:r>
      <w:r>
        <w:rPr>
          <w:rFonts w:hint="eastAsia" w:cs="仿宋" w:asciiTheme="minorEastAsia" w:hAnsiTheme="minorEastAsia" w:eastAsiaTheme="minorEastAsia"/>
          <w:bCs/>
          <w:sz w:val="24"/>
          <w:szCs w:val="24"/>
        </w:rPr>
        <w:t>、以上请各投标人按清单报价，并统计出合计总价</w:t>
      </w:r>
      <w:r>
        <w:rPr>
          <w:rFonts w:hint="eastAsia" w:cs="仿宋" w:asciiTheme="minorEastAsia" w:hAnsiTheme="minorEastAsia"/>
          <w:bCs/>
          <w:sz w:val="24"/>
          <w:szCs w:val="24"/>
          <w:lang w:eastAsia="zh-CN"/>
        </w:rPr>
        <w:t>，</w:t>
      </w:r>
      <w:r>
        <w:rPr>
          <w:rFonts w:hint="eastAsia" w:cs="仿宋" w:asciiTheme="minorEastAsia" w:hAnsiTheme="minorEastAsia"/>
          <w:bCs/>
          <w:sz w:val="24"/>
          <w:szCs w:val="24"/>
          <w:lang w:val="en-US" w:eastAsia="zh-CN"/>
        </w:rPr>
        <w:t>合计总价</w:t>
      </w:r>
      <w:r>
        <w:rPr>
          <w:rFonts w:hint="eastAsia" w:cs="仿宋" w:asciiTheme="minorEastAsia" w:hAnsiTheme="minorEastAsia" w:eastAsiaTheme="minorEastAsia"/>
          <w:bCs/>
          <w:sz w:val="24"/>
          <w:szCs w:val="24"/>
        </w:rPr>
        <w:t>不可超过最高限价（</w:t>
      </w:r>
      <w:r>
        <w:rPr>
          <w:rFonts w:hint="eastAsia" w:cs="仿宋" w:asciiTheme="minorEastAsia" w:hAnsiTheme="minorEastAsia" w:eastAsiaTheme="minorEastAsia"/>
          <w:b/>
          <w:bCs w:val="0"/>
          <w:color w:val="FF0000"/>
          <w:sz w:val="24"/>
          <w:szCs w:val="24"/>
        </w:rPr>
        <w:t>少报、多报或未按顺序报价的，视为未实质性响应，作废标处理）</w:t>
      </w:r>
      <w:r>
        <w:rPr>
          <w:rFonts w:hint="eastAsia" w:cs="仿宋" w:asciiTheme="minorEastAsia" w:hAnsiTheme="minorEastAsia" w:eastAsiaTheme="minorEastAsia"/>
          <w:bCs/>
          <w:sz w:val="24"/>
          <w:szCs w:val="24"/>
        </w:rPr>
        <w:t>。</w:t>
      </w:r>
    </w:p>
    <w:p w14:paraId="15507B1D">
      <w:pPr>
        <w:widowControl w:val="0"/>
        <w:numPr>
          <w:ilvl w:val="0"/>
          <w:numId w:val="0"/>
        </w:numPr>
        <w:jc w:val="both"/>
        <w:rPr>
          <w:rFonts w:hint="eastAsia" w:ascii="宋体" w:hAnsi="宋体" w:cs="宋体"/>
          <w:color w:val="333333"/>
          <w:kern w:val="0"/>
          <w:sz w:val="24"/>
          <w:szCs w:val="24"/>
          <w:lang w:val="en-US" w:eastAsia="zh-CN"/>
        </w:rPr>
      </w:pPr>
    </w:p>
    <w:p w14:paraId="49977E3F">
      <w:pPr>
        <w:widowControl w:val="0"/>
        <w:numPr>
          <w:ilvl w:val="0"/>
          <w:numId w:val="0"/>
        </w:numPr>
        <w:jc w:val="both"/>
        <w:rPr>
          <w:rFonts w:hint="eastAsia" w:ascii="宋体" w:hAnsi="宋体" w:cs="宋体"/>
          <w:color w:val="333333"/>
          <w:kern w:val="0"/>
          <w:sz w:val="24"/>
          <w:szCs w:val="24"/>
          <w:lang w:val="en-US" w:eastAsia="zh-CN"/>
        </w:rPr>
      </w:pPr>
    </w:p>
    <w:p w14:paraId="468EB04F">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35BAB205">
      <w:pPr>
        <w:widowControl w:val="0"/>
        <w:numPr>
          <w:ilvl w:val="0"/>
          <w:numId w:val="0"/>
        </w:numPr>
        <w:jc w:val="both"/>
        <w:rPr>
          <w:rFonts w:hint="eastAsia" w:ascii="宋体" w:hAnsi="宋体" w:cs="宋体"/>
          <w:color w:val="333333"/>
          <w:kern w:val="0"/>
          <w:sz w:val="24"/>
          <w:szCs w:val="24"/>
          <w:lang w:val="en-US" w:eastAsia="zh-CN"/>
        </w:rPr>
      </w:pPr>
    </w:p>
    <w:p w14:paraId="0FC7B460">
      <w:pPr>
        <w:widowControl w:val="0"/>
        <w:numPr>
          <w:ilvl w:val="0"/>
          <w:numId w:val="0"/>
        </w:numPr>
        <w:jc w:val="both"/>
        <w:rPr>
          <w:rFonts w:hint="eastAsia" w:ascii="宋体" w:hAnsi="宋体" w:cs="宋体"/>
          <w:color w:val="333333"/>
          <w:kern w:val="0"/>
          <w:sz w:val="24"/>
          <w:szCs w:val="24"/>
          <w:lang w:val="en-US" w:eastAsia="zh-CN"/>
        </w:rPr>
      </w:pPr>
    </w:p>
    <w:p w14:paraId="58058555">
      <w:pPr>
        <w:widowControl w:val="0"/>
        <w:numPr>
          <w:ilvl w:val="0"/>
          <w:numId w:val="0"/>
        </w:numPr>
        <w:jc w:val="both"/>
        <w:rPr>
          <w:rFonts w:hint="eastAsia" w:ascii="宋体" w:hAnsi="宋体" w:cs="宋体"/>
          <w:color w:val="333333"/>
          <w:kern w:val="0"/>
          <w:sz w:val="24"/>
          <w:szCs w:val="24"/>
          <w:lang w:val="en-US" w:eastAsia="zh-CN"/>
        </w:rPr>
      </w:pPr>
    </w:p>
    <w:p w14:paraId="76C6C804">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33460C04">
      <w:pPr>
        <w:widowControl w:val="0"/>
        <w:numPr>
          <w:ilvl w:val="0"/>
          <w:numId w:val="0"/>
        </w:numPr>
        <w:jc w:val="both"/>
        <w:rPr>
          <w:rFonts w:hint="eastAsia" w:ascii="宋体" w:hAnsi="宋体" w:cs="宋体"/>
          <w:color w:val="333333"/>
          <w:kern w:val="0"/>
          <w:sz w:val="24"/>
          <w:szCs w:val="24"/>
          <w:lang w:val="en-US" w:eastAsia="zh-CN"/>
        </w:rPr>
      </w:pPr>
    </w:p>
    <w:p w14:paraId="693876D0">
      <w:pPr>
        <w:widowControl w:val="0"/>
        <w:numPr>
          <w:ilvl w:val="0"/>
          <w:numId w:val="0"/>
        </w:numPr>
        <w:jc w:val="both"/>
        <w:rPr>
          <w:rFonts w:hint="eastAsia" w:ascii="宋体" w:hAnsi="宋体" w:cs="宋体"/>
          <w:color w:val="333333"/>
          <w:kern w:val="0"/>
          <w:sz w:val="24"/>
          <w:szCs w:val="24"/>
          <w:lang w:val="en-US" w:eastAsia="zh-CN"/>
        </w:rPr>
      </w:pPr>
    </w:p>
    <w:p w14:paraId="67C6C237">
      <w:pPr>
        <w:pStyle w:val="6"/>
        <w:rPr>
          <w:rFonts w:hint="eastAsia"/>
          <w:lang w:val="en-US" w:eastAsia="zh-CN"/>
        </w:rPr>
      </w:pPr>
    </w:p>
    <w:p w14:paraId="37D74BD7">
      <w:pPr>
        <w:rPr>
          <w:rFonts w:hint="eastAsia"/>
          <w:lang w:val="en-US" w:eastAsia="zh-CN"/>
        </w:rPr>
      </w:pPr>
    </w:p>
    <w:p w14:paraId="672135BF">
      <w:pPr>
        <w:widowControl w:val="0"/>
        <w:numPr>
          <w:ilvl w:val="0"/>
          <w:numId w:val="2"/>
        </w:numPr>
        <w:jc w:val="both"/>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lang w:eastAsia="zh-CN"/>
        </w:rPr>
        <w:t>：</w:t>
      </w:r>
      <w:r>
        <w:rPr>
          <w:rFonts w:hint="eastAsia" w:ascii="微软雅黑" w:hAnsi="微软雅黑" w:eastAsia="微软雅黑" w:cs="微软雅黑"/>
          <w:color w:val="FF0000"/>
          <w:sz w:val="28"/>
          <w:szCs w:val="28"/>
          <w:lang w:eastAsia="zh-CN"/>
        </w:rPr>
        <w:t>（</w:t>
      </w:r>
      <w:r>
        <w:rPr>
          <w:rFonts w:hint="eastAsia" w:ascii="微软雅黑" w:hAnsi="微软雅黑" w:eastAsia="微软雅黑" w:cs="微软雅黑"/>
          <w:color w:val="FF0000"/>
          <w:sz w:val="28"/>
          <w:szCs w:val="28"/>
          <w:lang w:val="en-US" w:eastAsia="zh-CN"/>
        </w:rPr>
        <w:t>加盖单位公章</w:t>
      </w:r>
      <w:r>
        <w:rPr>
          <w:rFonts w:hint="eastAsia" w:ascii="微软雅黑" w:hAnsi="微软雅黑" w:eastAsia="微软雅黑" w:cs="微软雅黑"/>
          <w:color w:val="FF0000"/>
          <w:sz w:val="28"/>
          <w:szCs w:val="28"/>
          <w:lang w:eastAsia="zh-CN"/>
        </w:rPr>
        <w:t>）</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8"/>
              <w:spacing w:before="180" w:line="203" w:lineRule="auto"/>
              <w:ind w:left="35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采购人</w:t>
            </w:r>
          </w:p>
        </w:tc>
        <w:tc>
          <w:tcPr>
            <w:tcW w:w="3016" w:type="dxa"/>
            <w:gridSpan w:val="2"/>
            <w:vAlign w:val="top"/>
          </w:tcPr>
          <w:p w14:paraId="18B09EE1">
            <w:pP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4"/>
                <w:sz w:val="21"/>
                <w:szCs w:val="21"/>
                <w:lang w:val="en-US" w:eastAsia="zh-CN"/>
              </w:rPr>
              <w:t>中山大学附属第七医院（深圳）</w:t>
            </w:r>
          </w:p>
        </w:tc>
        <w:tc>
          <w:tcPr>
            <w:tcW w:w="1620" w:type="dxa"/>
            <w:gridSpan w:val="2"/>
            <w:vAlign w:val="top"/>
          </w:tcPr>
          <w:p w14:paraId="75034EC6">
            <w:pPr>
              <w:pStyle w:val="8"/>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8"/>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8"/>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8"/>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8"/>
              <w:spacing w:before="217" w:line="202" w:lineRule="auto"/>
              <w:ind w:left="145"/>
            </w:pPr>
            <w:r>
              <w:rPr>
                <w:spacing w:val="-5"/>
              </w:rPr>
              <w:t>序号</w:t>
            </w:r>
          </w:p>
        </w:tc>
        <w:tc>
          <w:tcPr>
            <w:tcW w:w="2732" w:type="dxa"/>
            <w:gridSpan w:val="2"/>
            <w:vAlign w:val="top"/>
          </w:tcPr>
          <w:p w14:paraId="4F3BD2C3">
            <w:pPr>
              <w:pStyle w:val="8"/>
              <w:spacing w:before="213" w:line="202" w:lineRule="auto"/>
              <w:ind w:left="916"/>
            </w:pPr>
            <w:r>
              <w:rPr>
                <w:spacing w:val="-6"/>
              </w:rPr>
              <w:t>职务</w:t>
            </w:r>
          </w:p>
        </w:tc>
        <w:tc>
          <w:tcPr>
            <w:tcW w:w="960" w:type="dxa"/>
            <w:vAlign w:val="top"/>
          </w:tcPr>
          <w:p w14:paraId="783AF3F3">
            <w:pPr>
              <w:pStyle w:val="8"/>
              <w:spacing w:before="213" w:line="203" w:lineRule="auto"/>
              <w:ind w:left="245"/>
            </w:pPr>
            <w:r>
              <w:rPr>
                <w:spacing w:val="-4"/>
              </w:rPr>
              <w:t>姓名</w:t>
            </w:r>
          </w:p>
        </w:tc>
        <w:tc>
          <w:tcPr>
            <w:tcW w:w="1620" w:type="dxa"/>
            <w:gridSpan w:val="2"/>
            <w:vAlign w:val="top"/>
          </w:tcPr>
          <w:p w14:paraId="3FB9C412">
            <w:pPr>
              <w:pStyle w:val="8"/>
              <w:spacing w:before="214" w:line="203" w:lineRule="auto"/>
              <w:ind w:left="410"/>
            </w:pPr>
            <w:r>
              <w:rPr>
                <w:spacing w:val="-3"/>
              </w:rPr>
              <w:t>身份证号码</w:t>
            </w:r>
          </w:p>
        </w:tc>
        <w:tc>
          <w:tcPr>
            <w:tcW w:w="1404" w:type="dxa"/>
            <w:vAlign w:val="top"/>
          </w:tcPr>
          <w:p w14:paraId="3FB60CB3">
            <w:pPr>
              <w:pStyle w:val="8"/>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8"/>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8"/>
              <w:spacing w:before="103" w:line="169" w:lineRule="auto"/>
              <w:ind w:left="321"/>
            </w:pPr>
            <w:r>
              <w:t>1</w:t>
            </w:r>
          </w:p>
        </w:tc>
        <w:tc>
          <w:tcPr>
            <w:tcW w:w="2732" w:type="dxa"/>
            <w:gridSpan w:val="2"/>
            <w:vAlign w:val="top"/>
          </w:tcPr>
          <w:p w14:paraId="55EC78C5">
            <w:pPr>
              <w:pStyle w:val="8"/>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8"/>
              <w:spacing w:before="211" w:line="168" w:lineRule="auto"/>
              <w:ind w:left="322"/>
            </w:pPr>
            <w:r>
              <w:t>2</w:t>
            </w:r>
          </w:p>
        </w:tc>
        <w:tc>
          <w:tcPr>
            <w:tcW w:w="2732" w:type="dxa"/>
            <w:gridSpan w:val="2"/>
            <w:vAlign w:val="top"/>
          </w:tcPr>
          <w:p w14:paraId="4AC4DCAE">
            <w:pPr>
              <w:pStyle w:val="8"/>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8"/>
              <w:spacing w:before="210" w:line="167" w:lineRule="auto"/>
              <w:ind w:left="321"/>
            </w:pPr>
            <w:r>
              <w:t>3</w:t>
            </w:r>
          </w:p>
        </w:tc>
        <w:tc>
          <w:tcPr>
            <w:tcW w:w="2732" w:type="dxa"/>
            <w:gridSpan w:val="2"/>
            <w:vAlign w:val="top"/>
          </w:tcPr>
          <w:p w14:paraId="28ABBA2C">
            <w:pPr>
              <w:pStyle w:val="8"/>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8"/>
              <w:spacing w:before="210" w:line="168" w:lineRule="auto"/>
              <w:ind w:left="314"/>
            </w:pPr>
            <w:r>
              <w:t>4</w:t>
            </w:r>
          </w:p>
        </w:tc>
        <w:tc>
          <w:tcPr>
            <w:tcW w:w="2732" w:type="dxa"/>
            <w:gridSpan w:val="2"/>
            <w:vAlign w:val="top"/>
          </w:tcPr>
          <w:p w14:paraId="31BB09F1">
            <w:pPr>
              <w:pStyle w:val="8"/>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8"/>
              <w:spacing w:before="215" w:line="165" w:lineRule="auto"/>
              <w:ind w:left="325"/>
            </w:pPr>
            <w:r>
              <w:t>5</w:t>
            </w:r>
          </w:p>
        </w:tc>
        <w:tc>
          <w:tcPr>
            <w:tcW w:w="2732" w:type="dxa"/>
            <w:gridSpan w:val="2"/>
            <w:vAlign w:val="top"/>
          </w:tcPr>
          <w:p w14:paraId="3AC1BD82">
            <w:pPr>
              <w:pStyle w:val="8"/>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8"/>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8"/>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8"/>
              <w:spacing w:before="178" w:line="202" w:lineRule="auto"/>
              <w:ind w:left="145"/>
            </w:pPr>
            <w:r>
              <w:rPr>
                <w:spacing w:val="-5"/>
              </w:rPr>
              <w:t>序号</w:t>
            </w:r>
          </w:p>
        </w:tc>
        <w:tc>
          <w:tcPr>
            <w:tcW w:w="2732" w:type="dxa"/>
            <w:gridSpan w:val="2"/>
            <w:vAlign w:val="top"/>
          </w:tcPr>
          <w:p w14:paraId="1F791490">
            <w:pPr>
              <w:pStyle w:val="8"/>
              <w:spacing w:before="177" w:line="202" w:lineRule="auto"/>
              <w:ind w:left="436"/>
            </w:pPr>
            <w:r>
              <w:rPr>
                <w:spacing w:val="-3"/>
              </w:rPr>
              <w:t>关联关系类型</w:t>
            </w:r>
          </w:p>
        </w:tc>
        <w:tc>
          <w:tcPr>
            <w:tcW w:w="1286" w:type="dxa"/>
            <w:gridSpan w:val="2"/>
            <w:vAlign w:val="top"/>
          </w:tcPr>
          <w:p w14:paraId="21836B40">
            <w:pPr>
              <w:pStyle w:val="8"/>
              <w:spacing w:before="177" w:line="203" w:lineRule="auto"/>
              <w:ind w:left="166"/>
            </w:pPr>
            <w:r>
              <w:rPr>
                <w:spacing w:val="-3"/>
              </w:rPr>
              <w:t>关联主体名称</w:t>
            </w:r>
          </w:p>
        </w:tc>
        <w:tc>
          <w:tcPr>
            <w:tcW w:w="4187" w:type="dxa"/>
            <w:gridSpan w:val="3"/>
            <w:vAlign w:val="top"/>
          </w:tcPr>
          <w:p w14:paraId="71687DAA">
            <w:pPr>
              <w:pStyle w:val="8"/>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8"/>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8"/>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8"/>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8"/>
              <w:spacing w:before="251" w:line="168" w:lineRule="auto"/>
              <w:ind w:left="322"/>
            </w:pPr>
            <w:r>
              <w:t>2</w:t>
            </w:r>
          </w:p>
        </w:tc>
        <w:tc>
          <w:tcPr>
            <w:tcW w:w="2732" w:type="dxa"/>
            <w:gridSpan w:val="2"/>
            <w:vAlign w:val="top"/>
          </w:tcPr>
          <w:p w14:paraId="290EC4EA">
            <w:pPr>
              <w:pStyle w:val="8"/>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8"/>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8"/>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F7A936B">
      <w:pPr>
        <w:pStyle w:val="6"/>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05FC2258">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技术条款偏离情况表(</w:t>
      </w:r>
      <w:r>
        <w:rPr>
          <w:rFonts w:hint="eastAsia" w:ascii="宋体" w:hAnsi="宋体" w:cs="宋体"/>
          <w:b/>
          <w:bCs/>
          <w:color w:val="FF0000"/>
          <w:kern w:val="0"/>
          <w:sz w:val="24"/>
          <w:szCs w:val="24"/>
        </w:rPr>
        <w:t>所有技术条款均为★实质性条款，有任何一条负偏离将导致无效投标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p w14:paraId="2CD0B7C2">
      <w:pPr>
        <w:widowControl w:val="0"/>
        <w:numPr>
          <w:ilvl w:val="0"/>
          <w:numId w:val="0"/>
        </w:numPr>
        <w:jc w:val="both"/>
        <w:rPr>
          <w:rFonts w:hint="eastAsia" w:ascii="宋体" w:hAnsi="宋体" w:cs="宋体"/>
          <w:color w:val="333333"/>
          <w:kern w:val="0"/>
          <w:sz w:val="24"/>
          <w:szCs w:val="24"/>
        </w:rPr>
      </w:pPr>
    </w:p>
    <w:tbl>
      <w:tblPr>
        <w:tblStyle w:val="3"/>
        <w:tblW w:w="5228" w:type="pct"/>
        <w:tblInd w:w="-394" w:type="dxa"/>
        <w:tblLayout w:type="autofit"/>
        <w:tblCellMar>
          <w:top w:w="0" w:type="dxa"/>
          <w:left w:w="108" w:type="dxa"/>
          <w:bottom w:w="0" w:type="dxa"/>
          <w:right w:w="108" w:type="dxa"/>
        </w:tblCellMar>
      </w:tblPr>
      <w:tblGrid>
        <w:gridCol w:w="886"/>
        <w:gridCol w:w="740"/>
        <w:gridCol w:w="3214"/>
        <w:gridCol w:w="2736"/>
        <w:gridCol w:w="1335"/>
      </w:tblGrid>
      <w:tr w14:paraId="618D1CF9">
        <w:tblPrEx>
          <w:tblCellMar>
            <w:top w:w="0" w:type="dxa"/>
            <w:left w:w="108" w:type="dxa"/>
            <w:bottom w:w="0" w:type="dxa"/>
            <w:right w:w="108" w:type="dxa"/>
          </w:tblCellMar>
        </w:tblPrEx>
        <w:trPr>
          <w:trHeight w:val="453" w:hRule="atLeast"/>
        </w:trPr>
        <w:tc>
          <w:tcPr>
            <w:tcW w:w="497" w:type="pct"/>
            <w:tcBorders>
              <w:top w:val="single" w:color="auto" w:sz="8" w:space="0"/>
              <w:left w:val="single" w:color="auto" w:sz="8" w:space="0"/>
              <w:bottom w:val="single" w:color="auto" w:sz="8" w:space="0"/>
              <w:right w:val="single" w:color="auto" w:sz="8" w:space="0"/>
            </w:tcBorders>
            <w:noWrap w:val="0"/>
            <w:vAlign w:val="center"/>
          </w:tcPr>
          <w:p w14:paraId="763EC97A">
            <w:pPr>
              <w:widowControl/>
              <w:jc w:val="center"/>
              <w:rPr>
                <w:rFonts w:ascii="宋体" w:hAnsi="宋体" w:cs="宋体"/>
                <w:kern w:val="0"/>
                <w:szCs w:val="21"/>
              </w:rPr>
            </w:pPr>
            <w:r>
              <w:rPr>
                <w:rFonts w:hint="eastAsia" w:ascii="宋体" w:hAnsi="宋体" w:cs="宋体"/>
                <w:kern w:val="0"/>
                <w:szCs w:val="21"/>
              </w:rPr>
              <w:t>需求名称</w:t>
            </w:r>
          </w:p>
        </w:tc>
        <w:tc>
          <w:tcPr>
            <w:tcW w:w="415" w:type="pct"/>
            <w:tcBorders>
              <w:top w:val="single" w:color="auto" w:sz="8" w:space="0"/>
              <w:left w:val="nil"/>
              <w:bottom w:val="single" w:color="auto" w:sz="8" w:space="0"/>
              <w:right w:val="single" w:color="auto" w:sz="8" w:space="0"/>
            </w:tcBorders>
            <w:noWrap w:val="0"/>
            <w:vAlign w:val="center"/>
          </w:tcPr>
          <w:p w14:paraId="47B3BFA8">
            <w:pPr>
              <w:widowControl/>
              <w:jc w:val="center"/>
              <w:rPr>
                <w:rFonts w:ascii="宋体" w:hAnsi="宋体" w:cs="宋体"/>
                <w:kern w:val="0"/>
                <w:szCs w:val="21"/>
              </w:rPr>
            </w:pPr>
            <w:r>
              <w:rPr>
                <w:rFonts w:hint="eastAsia" w:ascii="宋体" w:hAnsi="宋体" w:cs="宋体"/>
                <w:kern w:val="0"/>
                <w:szCs w:val="21"/>
              </w:rPr>
              <w:t>序号</w:t>
            </w:r>
          </w:p>
        </w:tc>
        <w:tc>
          <w:tcPr>
            <w:tcW w:w="1803" w:type="pct"/>
            <w:tcBorders>
              <w:top w:val="single" w:color="auto" w:sz="8" w:space="0"/>
              <w:left w:val="nil"/>
              <w:bottom w:val="single" w:color="auto" w:sz="8" w:space="0"/>
              <w:right w:val="single" w:color="auto" w:sz="8" w:space="0"/>
            </w:tcBorders>
            <w:noWrap w:val="0"/>
            <w:vAlign w:val="center"/>
          </w:tcPr>
          <w:p w14:paraId="34919F80">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招标技术条款</w:t>
            </w:r>
          </w:p>
        </w:tc>
        <w:tc>
          <w:tcPr>
            <w:tcW w:w="1535" w:type="pct"/>
            <w:tcBorders>
              <w:top w:val="single" w:color="auto" w:sz="8" w:space="0"/>
              <w:left w:val="nil"/>
              <w:bottom w:val="single" w:color="auto" w:sz="8" w:space="0"/>
              <w:right w:val="single" w:color="auto" w:sz="8" w:space="0"/>
            </w:tcBorders>
            <w:noWrap w:val="0"/>
            <w:vAlign w:val="center"/>
          </w:tcPr>
          <w:p w14:paraId="019BA2D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投标技术条款</w:t>
            </w:r>
          </w:p>
        </w:tc>
        <w:tc>
          <w:tcPr>
            <w:tcW w:w="749" w:type="pct"/>
            <w:tcBorders>
              <w:top w:val="single" w:color="auto" w:sz="8" w:space="0"/>
              <w:left w:val="nil"/>
              <w:bottom w:val="single" w:color="auto" w:sz="8" w:space="0"/>
              <w:right w:val="single" w:color="auto" w:sz="8" w:space="0"/>
            </w:tcBorders>
            <w:noWrap w:val="0"/>
            <w:vAlign w:val="center"/>
          </w:tcPr>
          <w:p w14:paraId="58C8FDD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偏离情况</w:t>
            </w:r>
          </w:p>
        </w:tc>
      </w:tr>
      <w:tr w14:paraId="016FEB1F">
        <w:tblPrEx>
          <w:tblCellMar>
            <w:top w:w="0" w:type="dxa"/>
            <w:left w:w="108" w:type="dxa"/>
            <w:bottom w:w="0" w:type="dxa"/>
            <w:right w:w="108" w:type="dxa"/>
          </w:tblCellMar>
        </w:tblPrEx>
        <w:trPr>
          <w:trHeight w:val="483" w:hRule="atLeast"/>
        </w:trPr>
        <w:tc>
          <w:tcPr>
            <w:tcW w:w="2715" w:type="pct"/>
            <w:gridSpan w:val="3"/>
            <w:tcBorders>
              <w:top w:val="nil"/>
              <w:left w:val="single" w:color="auto" w:sz="8" w:space="0"/>
              <w:bottom w:val="single" w:color="000000" w:sz="8" w:space="0"/>
              <w:right w:val="single" w:color="auto" w:sz="8" w:space="0"/>
            </w:tcBorders>
            <w:noWrap w:val="0"/>
            <w:vAlign w:val="center"/>
          </w:tcPr>
          <w:p w14:paraId="22B581C2">
            <w:pPr>
              <w:widowControl/>
              <w:rPr>
                <w:rFonts w:ascii="宋体" w:hAnsi="宋体" w:cs="宋体"/>
                <w:b/>
                <w:bCs/>
                <w:kern w:val="0"/>
                <w:szCs w:val="21"/>
              </w:rPr>
            </w:pPr>
            <w:r>
              <w:rPr>
                <w:rFonts w:hint="eastAsia" w:ascii="宋体" w:hAnsi="宋体" w:cs="宋体"/>
                <w:b/>
                <w:bCs/>
                <w:kern w:val="0"/>
                <w:szCs w:val="21"/>
                <w:lang w:eastAsia="zh-CN"/>
              </w:rPr>
              <w:t>服务</w:t>
            </w:r>
            <w:r>
              <w:rPr>
                <w:rFonts w:hint="eastAsia" w:ascii="宋体" w:hAnsi="宋体" w:cs="宋体"/>
                <w:b/>
                <w:bCs/>
                <w:kern w:val="0"/>
                <w:szCs w:val="21"/>
              </w:rPr>
              <w:t>需求：</w:t>
            </w:r>
          </w:p>
        </w:tc>
        <w:tc>
          <w:tcPr>
            <w:tcW w:w="1535" w:type="pct"/>
            <w:tcBorders>
              <w:top w:val="nil"/>
              <w:left w:val="single" w:color="auto" w:sz="8" w:space="0"/>
              <w:bottom w:val="single" w:color="000000" w:sz="8" w:space="0"/>
              <w:right w:val="single" w:color="auto" w:sz="8" w:space="0"/>
            </w:tcBorders>
            <w:noWrap w:val="0"/>
            <w:vAlign w:val="center"/>
          </w:tcPr>
          <w:p w14:paraId="31BDEA3C">
            <w:pPr>
              <w:widowControl/>
              <w:rPr>
                <w:rFonts w:hint="eastAsia" w:ascii="宋体" w:hAnsi="宋体" w:cs="宋体"/>
                <w:b/>
                <w:bCs/>
                <w:kern w:val="0"/>
                <w:szCs w:val="21"/>
                <w:lang w:eastAsia="zh-CN"/>
              </w:rPr>
            </w:pPr>
          </w:p>
        </w:tc>
        <w:tc>
          <w:tcPr>
            <w:tcW w:w="749" w:type="pct"/>
            <w:tcBorders>
              <w:top w:val="nil"/>
              <w:left w:val="single" w:color="auto" w:sz="8" w:space="0"/>
              <w:bottom w:val="single" w:color="000000" w:sz="8" w:space="0"/>
              <w:right w:val="single" w:color="auto" w:sz="8" w:space="0"/>
            </w:tcBorders>
            <w:noWrap w:val="0"/>
            <w:vAlign w:val="center"/>
          </w:tcPr>
          <w:p w14:paraId="4B1E2BDF">
            <w:pPr>
              <w:widowControl/>
              <w:rPr>
                <w:rFonts w:hint="eastAsia" w:ascii="宋体" w:hAnsi="宋体" w:cs="宋体"/>
                <w:b/>
                <w:bCs/>
                <w:kern w:val="0"/>
                <w:szCs w:val="21"/>
                <w:lang w:eastAsia="zh-CN"/>
              </w:rPr>
            </w:pPr>
          </w:p>
        </w:tc>
      </w:tr>
      <w:tr w14:paraId="18268D70">
        <w:tblPrEx>
          <w:tblCellMar>
            <w:top w:w="0" w:type="dxa"/>
            <w:left w:w="108" w:type="dxa"/>
            <w:bottom w:w="0" w:type="dxa"/>
            <w:right w:w="108" w:type="dxa"/>
          </w:tblCellMar>
        </w:tblPrEx>
        <w:trPr>
          <w:trHeight w:val="1511" w:hRule="atLeast"/>
        </w:trPr>
        <w:tc>
          <w:tcPr>
            <w:tcW w:w="497" w:type="pct"/>
            <w:vMerge w:val="restart"/>
            <w:tcBorders>
              <w:top w:val="nil"/>
              <w:left w:val="single" w:color="auto" w:sz="8" w:space="0"/>
              <w:right w:val="single" w:color="auto" w:sz="8" w:space="0"/>
            </w:tcBorders>
            <w:noWrap w:val="0"/>
            <w:vAlign w:val="center"/>
          </w:tcPr>
          <w:p w14:paraId="395993D6">
            <w:pPr>
              <w:widowControl/>
              <w:adjustRightInd/>
              <w:spacing w:line="240" w:lineRule="auto"/>
              <w:jc w:val="center"/>
              <w:textAlignment w:val="auto"/>
              <w:rPr>
                <w:rFonts w:hint="eastAsia" w:ascii="宋体" w:hAnsi="宋体" w:eastAsia="宋体" w:cs="宋体"/>
                <w:b w:val="0"/>
                <w:bCs w:val="0"/>
                <w:kern w:val="0"/>
                <w:sz w:val="21"/>
                <w:szCs w:val="21"/>
                <w:lang w:val="en-US" w:eastAsia="zh-CN" w:bidi="ar-SA"/>
              </w:rPr>
            </w:pPr>
          </w:p>
        </w:tc>
        <w:tc>
          <w:tcPr>
            <w:tcW w:w="415" w:type="pct"/>
            <w:tcBorders>
              <w:top w:val="nil"/>
              <w:left w:val="nil"/>
              <w:bottom w:val="single" w:color="auto" w:sz="8" w:space="0"/>
              <w:right w:val="single" w:color="auto" w:sz="8" w:space="0"/>
            </w:tcBorders>
            <w:noWrap w:val="0"/>
            <w:vAlign w:val="center"/>
          </w:tcPr>
          <w:p w14:paraId="3A939396">
            <w:pPr>
              <w:widowControl/>
              <w:adjustRightInd/>
              <w:spacing w:line="240" w:lineRule="auto"/>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w:t>
            </w:r>
          </w:p>
        </w:tc>
        <w:tc>
          <w:tcPr>
            <w:tcW w:w="1803" w:type="pct"/>
            <w:tcBorders>
              <w:top w:val="nil"/>
              <w:left w:val="nil"/>
              <w:bottom w:val="single" w:color="auto" w:sz="8" w:space="0"/>
              <w:right w:val="single" w:color="auto" w:sz="8" w:space="0"/>
            </w:tcBorders>
            <w:noWrap w:val="0"/>
            <w:vAlign w:val="center"/>
          </w:tcPr>
          <w:p w14:paraId="20169AA8">
            <w:pPr>
              <w:widowControl/>
              <w:adjustRightInd/>
              <w:spacing w:line="240" w:lineRule="auto"/>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项目名称：早期强化降脂和持续强化降脂对初诊CHD患者斑块进展和MACE事件的非劣效性、开放、随机对照研究，受试者例数为1770例，保险期限为</w:t>
            </w:r>
            <w:r>
              <w:rPr>
                <w:rFonts w:hint="eastAsia" w:ascii="宋体" w:hAnsi="宋体" w:eastAsia="宋体" w:cs="宋体"/>
                <w:b w:val="0"/>
                <w:bCs w:val="0"/>
                <w:kern w:val="0"/>
                <w:sz w:val="21"/>
                <w:szCs w:val="21"/>
                <w:lang w:val="en-US" w:eastAsia="zh-CN"/>
              </w:rPr>
              <w:t>3</w:t>
            </w:r>
            <w:r>
              <w:rPr>
                <w:rFonts w:hint="eastAsia" w:ascii="宋体" w:hAnsi="宋体" w:eastAsia="宋体" w:cs="宋体"/>
                <w:b w:val="0"/>
                <w:bCs w:val="0"/>
                <w:kern w:val="0"/>
                <w:sz w:val="21"/>
                <w:szCs w:val="21"/>
              </w:rPr>
              <w:t>年。</w:t>
            </w:r>
          </w:p>
        </w:tc>
        <w:tc>
          <w:tcPr>
            <w:tcW w:w="1535" w:type="pct"/>
            <w:tcBorders>
              <w:top w:val="nil"/>
              <w:left w:val="nil"/>
              <w:bottom w:val="single" w:color="auto" w:sz="8" w:space="0"/>
              <w:right w:val="single" w:color="auto" w:sz="8" w:space="0"/>
            </w:tcBorders>
            <w:noWrap w:val="0"/>
            <w:vAlign w:val="center"/>
          </w:tcPr>
          <w:p w14:paraId="0259FF62">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nil"/>
              <w:left w:val="nil"/>
              <w:bottom w:val="single" w:color="auto" w:sz="8" w:space="0"/>
              <w:right w:val="single" w:color="auto" w:sz="8" w:space="0"/>
            </w:tcBorders>
            <w:noWrap w:val="0"/>
            <w:vAlign w:val="center"/>
          </w:tcPr>
          <w:p w14:paraId="2EFB9D2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443C985">
        <w:tblPrEx>
          <w:tblCellMar>
            <w:top w:w="0" w:type="dxa"/>
            <w:left w:w="108" w:type="dxa"/>
            <w:bottom w:w="0" w:type="dxa"/>
            <w:right w:w="108" w:type="dxa"/>
          </w:tblCellMar>
        </w:tblPrEx>
        <w:trPr>
          <w:trHeight w:val="636" w:hRule="atLeast"/>
        </w:trPr>
        <w:tc>
          <w:tcPr>
            <w:tcW w:w="497" w:type="pct"/>
            <w:vMerge w:val="continue"/>
            <w:tcBorders>
              <w:left w:val="single" w:color="auto" w:sz="8" w:space="0"/>
              <w:right w:val="single" w:color="auto" w:sz="8" w:space="0"/>
            </w:tcBorders>
            <w:noWrap w:val="0"/>
            <w:vAlign w:val="center"/>
          </w:tcPr>
          <w:p w14:paraId="53E579C5">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415" w:type="pct"/>
            <w:tcBorders>
              <w:top w:val="nil"/>
              <w:left w:val="nil"/>
              <w:bottom w:val="single" w:color="auto" w:sz="8" w:space="0"/>
              <w:right w:val="single" w:color="auto" w:sz="8" w:space="0"/>
            </w:tcBorders>
            <w:noWrap w:val="0"/>
            <w:vAlign w:val="center"/>
          </w:tcPr>
          <w:p w14:paraId="48D760BD">
            <w:pPr>
              <w:widowControl/>
              <w:adjustRightInd/>
              <w:spacing w:line="240" w:lineRule="auto"/>
              <w:jc w:val="center"/>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2</w:t>
            </w:r>
          </w:p>
        </w:tc>
        <w:tc>
          <w:tcPr>
            <w:tcW w:w="1803" w:type="pct"/>
            <w:tcBorders>
              <w:top w:val="nil"/>
              <w:left w:val="nil"/>
              <w:bottom w:val="single" w:color="auto" w:sz="8" w:space="0"/>
              <w:right w:val="single" w:color="auto" w:sz="8" w:space="0"/>
            </w:tcBorders>
            <w:noWrap w:val="0"/>
            <w:vAlign w:val="center"/>
          </w:tcPr>
          <w:p w14:paraId="59DD152C">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保险名称：临床试验责任保险</w:t>
            </w:r>
          </w:p>
        </w:tc>
        <w:tc>
          <w:tcPr>
            <w:tcW w:w="1535" w:type="pct"/>
            <w:tcBorders>
              <w:top w:val="nil"/>
              <w:left w:val="nil"/>
              <w:bottom w:val="single" w:color="auto" w:sz="8" w:space="0"/>
              <w:right w:val="single" w:color="auto" w:sz="8" w:space="0"/>
            </w:tcBorders>
            <w:noWrap w:val="0"/>
            <w:vAlign w:val="center"/>
          </w:tcPr>
          <w:p w14:paraId="56289C7C">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nil"/>
              <w:left w:val="nil"/>
              <w:bottom w:val="single" w:color="auto" w:sz="8" w:space="0"/>
              <w:right w:val="single" w:color="auto" w:sz="8" w:space="0"/>
            </w:tcBorders>
            <w:noWrap w:val="0"/>
            <w:vAlign w:val="center"/>
          </w:tcPr>
          <w:p w14:paraId="0CE3EC02">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7A654999">
        <w:tblPrEx>
          <w:tblCellMar>
            <w:top w:w="0" w:type="dxa"/>
            <w:left w:w="108" w:type="dxa"/>
            <w:bottom w:w="0" w:type="dxa"/>
            <w:right w:w="108" w:type="dxa"/>
          </w:tblCellMar>
        </w:tblPrEx>
        <w:trPr>
          <w:trHeight w:val="811" w:hRule="atLeast"/>
        </w:trPr>
        <w:tc>
          <w:tcPr>
            <w:tcW w:w="497" w:type="pct"/>
            <w:vMerge w:val="continue"/>
            <w:tcBorders>
              <w:left w:val="single" w:color="auto" w:sz="8" w:space="0"/>
              <w:right w:val="single" w:color="auto" w:sz="8" w:space="0"/>
            </w:tcBorders>
            <w:noWrap w:val="0"/>
            <w:vAlign w:val="center"/>
          </w:tcPr>
          <w:p w14:paraId="7603C80D">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415" w:type="pct"/>
            <w:tcBorders>
              <w:top w:val="nil"/>
              <w:left w:val="nil"/>
              <w:bottom w:val="single" w:color="auto" w:sz="8" w:space="0"/>
              <w:right w:val="single" w:color="auto" w:sz="8" w:space="0"/>
            </w:tcBorders>
            <w:noWrap w:val="0"/>
            <w:vAlign w:val="center"/>
          </w:tcPr>
          <w:p w14:paraId="7EBBBFDF">
            <w:pPr>
              <w:widowControl/>
              <w:adjustRightInd/>
              <w:spacing w:line="240" w:lineRule="auto"/>
              <w:jc w:val="center"/>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w:t>
            </w:r>
          </w:p>
        </w:tc>
        <w:tc>
          <w:tcPr>
            <w:tcW w:w="1803" w:type="pct"/>
            <w:tcBorders>
              <w:top w:val="nil"/>
              <w:left w:val="nil"/>
              <w:bottom w:val="single" w:color="auto" w:sz="8" w:space="0"/>
              <w:right w:val="single" w:color="auto" w:sz="8" w:space="0"/>
            </w:tcBorders>
            <w:noWrap w:val="0"/>
            <w:vAlign w:val="center"/>
          </w:tcPr>
          <w:p w14:paraId="38CCF462">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投保人：中山大学附属第七医院（深圳）</w:t>
            </w:r>
          </w:p>
        </w:tc>
        <w:tc>
          <w:tcPr>
            <w:tcW w:w="1535" w:type="pct"/>
            <w:tcBorders>
              <w:top w:val="nil"/>
              <w:left w:val="nil"/>
              <w:bottom w:val="single" w:color="auto" w:sz="8" w:space="0"/>
              <w:right w:val="single" w:color="auto" w:sz="8" w:space="0"/>
            </w:tcBorders>
            <w:noWrap w:val="0"/>
            <w:vAlign w:val="center"/>
          </w:tcPr>
          <w:p w14:paraId="17D7291F">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nil"/>
              <w:left w:val="nil"/>
              <w:bottom w:val="single" w:color="auto" w:sz="8" w:space="0"/>
              <w:right w:val="single" w:color="auto" w:sz="8" w:space="0"/>
            </w:tcBorders>
            <w:noWrap w:val="0"/>
            <w:vAlign w:val="center"/>
          </w:tcPr>
          <w:p w14:paraId="53915290">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2E23C799">
        <w:tblPrEx>
          <w:tblCellMar>
            <w:top w:w="0" w:type="dxa"/>
            <w:left w:w="108" w:type="dxa"/>
            <w:bottom w:w="0" w:type="dxa"/>
            <w:right w:w="108" w:type="dxa"/>
          </w:tblCellMar>
        </w:tblPrEx>
        <w:trPr>
          <w:trHeight w:val="1511" w:hRule="atLeast"/>
        </w:trPr>
        <w:tc>
          <w:tcPr>
            <w:tcW w:w="497" w:type="pct"/>
            <w:vMerge w:val="continue"/>
            <w:tcBorders>
              <w:left w:val="single" w:color="auto" w:sz="8" w:space="0"/>
              <w:right w:val="single" w:color="auto" w:sz="8" w:space="0"/>
            </w:tcBorders>
            <w:noWrap w:val="0"/>
            <w:vAlign w:val="center"/>
          </w:tcPr>
          <w:p w14:paraId="75BC51D5">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415" w:type="pct"/>
            <w:tcBorders>
              <w:top w:val="nil"/>
              <w:left w:val="nil"/>
              <w:bottom w:val="nil"/>
              <w:right w:val="single" w:color="auto" w:sz="8" w:space="0"/>
            </w:tcBorders>
            <w:noWrap w:val="0"/>
            <w:vAlign w:val="center"/>
          </w:tcPr>
          <w:p w14:paraId="5B0DAEC5">
            <w:pPr>
              <w:widowControl/>
              <w:adjustRightInd/>
              <w:spacing w:line="240" w:lineRule="auto"/>
              <w:jc w:val="center"/>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4</w:t>
            </w:r>
          </w:p>
        </w:tc>
        <w:tc>
          <w:tcPr>
            <w:tcW w:w="1803" w:type="pct"/>
            <w:tcBorders>
              <w:top w:val="nil"/>
              <w:left w:val="nil"/>
              <w:bottom w:val="nil"/>
              <w:right w:val="single" w:color="auto" w:sz="8" w:space="0"/>
            </w:tcBorders>
            <w:noWrap w:val="0"/>
            <w:vAlign w:val="center"/>
          </w:tcPr>
          <w:p w14:paraId="0CDA216B">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被保险人（受试者）：参与“早期强化降脂和持续强化降脂对初诊CHD患者斑块进展和MACE事件的非劣效性、开放、随机对照研究”项目受试者</w:t>
            </w:r>
          </w:p>
        </w:tc>
        <w:tc>
          <w:tcPr>
            <w:tcW w:w="1535" w:type="pct"/>
            <w:tcBorders>
              <w:top w:val="nil"/>
              <w:left w:val="nil"/>
              <w:bottom w:val="nil"/>
              <w:right w:val="single" w:color="auto" w:sz="8" w:space="0"/>
            </w:tcBorders>
            <w:noWrap w:val="0"/>
            <w:vAlign w:val="center"/>
          </w:tcPr>
          <w:p w14:paraId="7441F221">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749" w:type="pct"/>
            <w:tcBorders>
              <w:top w:val="nil"/>
              <w:left w:val="nil"/>
              <w:bottom w:val="nil"/>
              <w:right w:val="single" w:color="auto" w:sz="8" w:space="0"/>
            </w:tcBorders>
            <w:noWrap w:val="0"/>
            <w:vAlign w:val="center"/>
          </w:tcPr>
          <w:p w14:paraId="4C873EA3">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r>
      <w:tr w14:paraId="3B30CCE5">
        <w:tblPrEx>
          <w:tblCellMar>
            <w:top w:w="0" w:type="dxa"/>
            <w:left w:w="108" w:type="dxa"/>
            <w:bottom w:w="0" w:type="dxa"/>
            <w:right w:w="108" w:type="dxa"/>
          </w:tblCellMar>
        </w:tblPrEx>
        <w:trPr>
          <w:trHeight w:val="1511" w:hRule="atLeast"/>
        </w:trPr>
        <w:tc>
          <w:tcPr>
            <w:tcW w:w="497" w:type="pct"/>
            <w:vMerge w:val="continue"/>
            <w:tcBorders>
              <w:left w:val="single" w:color="auto" w:sz="8" w:space="0"/>
              <w:right w:val="single" w:color="auto" w:sz="8" w:space="0"/>
            </w:tcBorders>
            <w:noWrap w:val="0"/>
            <w:vAlign w:val="center"/>
          </w:tcPr>
          <w:p w14:paraId="34B9AF7D">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415" w:type="pct"/>
            <w:tcBorders>
              <w:top w:val="nil"/>
              <w:left w:val="nil"/>
              <w:bottom w:val="nil"/>
              <w:right w:val="single" w:color="auto" w:sz="8" w:space="0"/>
            </w:tcBorders>
            <w:noWrap w:val="0"/>
            <w:vAlign w:val="center"/>
          </w:tcPr>
          <w:p w14:paraId="2BE77957">
            <w:pPr>
              <w:widowControl/>
              <w:adjustRightInd/>
              <w:spacing w:line="240" w:lineRule="auto"/>
              <w:jc w:val="center"/>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5</w:t>
            </w:r>
          </w:p>
        </w:tc>
        <w:tc>
          <w:tcPr>
            <w:tcW w:w="1803" w:type="pct"/>
            <w:tcBorders>
              <w:top w:val="nil"/>
              <w:left w:val="nil"/>
              <w:bottom w:val="nil"/>
              <w:right w:val="single" w:color="auto" w:sz="8" w:space="0"/>
            </w:tcBorders>
            <w:noWrap w:val="0"/>
            <w:vAlign w:val="center"/>
          </w:tcPr>
          <w:p w14:paraId="2988A938">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保险对象：参与“期强化降脂和持续强化降脂对初诊CHD患者斑块进展和MACE事件的非劣效性、开放、随机对照研究”项目受试者</w:t>
            </w:r>
          </w:p>
        </w:tc>
        <w:tc>
          <w:tcPr>
            <w:tcW w:w="1535" w:type="pct"/>
            <w:tcBorders>
              <w:top w:val="nil"/>
              <w:left w:val="nil"/>
              <w:bottom w:val="nil"/>
              <w:right w:val="single" w:color="auto" w:sz="8" w:space="0"/>
            </w:tcBorders>
            <w:noWrap w:val="0"/>
            <w:vAlign w:val="center"/>
          </w:tcPr>
          <w:p w14:paraId="2A754785">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749" w:type="pct"/>
            <w:tcBorders>
              <w:top w:val="nil"/>
              <w:left w:val="nil"/>
              <w:bottom w:val="nil"/>
              <w:right w:val="single" w:color="auto" w:sz="8" w:space="0"/>
            </w:tcBorders>
            <w:noWrap w:val="0"/>
            <w:vAlign w:val="center"/>
          </w:tcPr>
          <w:p w14:paraId="23DD2E63">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r>
      <w:tr w14:paraId="4D7FE882">
        <w:tblPrEx>
          <w:tblCellMar>
            <w:top w:w="0" w:type="dxa"/>
            <w:left w:w="108" w:type="dxa"/>
            <w:bottom w:w="0" w:type="dxa"/>
            <w:right w:w="108" w:type="dxa"/>
          </w:tblCellMar>
        </w:tblPrEx>
        <w:trPr>
          <w:trHeight w:val="1511" w:hRule="atLeast"/>
        </w:trPr>
        <w:tc>
          <w:tcPr>
            <w:tcW w:w="497" w:type="pct"/>
            <w:vMerge w:val="continue"/>
            <w:tcBorders>
              <w:left w:val="single" w:color="auto" w:sz="8" w:space="0"/>
              <w:right w:val="single" w:color="auto" w:sz="8" w:space="0"/>
            </w:tcBorders>
            <w:noWrap w:val="0"/>
            <w:vAlign w:val="center"/>
          </w:tcPr>
          <w:p w14:paraId="0892F8E7">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415" w:type="pct"/>
            <w:tcBorders>
              <w:top w:val="nil"/>
              <w:left w:val="nil"/>
              <w:bottom w:val="nil"/>
              <w:right w:val="single" w:color="auto" w:sz="8" w:space="0"/>
            </w:tcBorders>
            <w:noWrap w:val="0"/>
            <w:vAlign w:val="center"/>
          </w:tcPr>
          <w:p w14:paraId="2385C351">
            <w:pPr>
              <w:widowControl/>
              <w:adjustRightInd/>
              <w:spacing w:line="240" w:lineRule="auto"/>
              <w:jc w:val="center"/>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6</w:t>
            </w:r>
          </w:p>
        </w:tc>
        <w:tc>
          <w:tcPr>
            <w:tcW w:w="1803" w:type="pct"/>
            <w:tcBorders>
              <w:top w:val="nil"/>
              <w:left w:val="nil"/>
              <w:bottom w:val="nil"/>
              <w:right w:val="single" w:color="auto" w:sz="8" w:space="0"/>
            </w:tcBorders>
            <w:noWrap w:val="0"/>
            <w:vAlign w:val="center"/>
          </w:tcPr>
          <w:p w14:paraId="1D8E2256">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保单承保方式：在保险期间或本保险合同载明的追溯期内，被保险人（受试者）在中华人民共和国境内（不包括港、澳、台地区）依法从事本保险合同载明的药物临床试验活动中，因保险单明细表中列明的试验药物或试验相关产品，导致试验发生严重不良事件，造成受试者人身伤亡，由受试者及其索赔权利人在保险期间内首次向被保险人提出损害赔偿请求依照中华人民共和国法律应由被保险人承担的经济赔偿责任，保险人按照本保险合同约定负责赔偿。保险事故发生后，被保险人（受试者）因保险事故而被提起仲裁或者诉讼的，对应由被保险人支付的仲裁或诉讼费用以及事先经保险人书面同意支付的其他必要的、合理的费用，保险人按照保险合同约定负责赔偿。</w:t>
            </w:r>
          </w:p>
        </w:tc>
        <w:tc>
          <w:tcPr>
            <w:tcW w:w="1535" w:type="pct"/>
            <w:tcBorders>
              <w:top w:val="nil"/>
              <w:left w:val="nil"/>
              <w:bottom w:val="nil"/>
              <w:right w:val="single" w:color="auto" w:sz="8" w:space="0"/>
            </w:tcBorders>
            <w:noWrap w:val="0"/>
            <w:vAlign w:val="center"/>
          </w:tcPr>
          <w:p w14:paraId="76536BF4">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749" w:type="pct"/>
            <w:tcBorders>
              <w:top w:val="nil"/>
              <w:left w:val="nil"/>
              <w:bottom w:val="nil"/>
              <w:right w:val="single" w:color="auto" w:sz="8" w:space="0"/>
            </w:tcBorders>
            <w:noWrap w:val="0"/>
            <w:vAlign w:val="center"/>
          </w:tcPr>
          <w:p w14:paraId="2CC4CED9">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r>
      <w:tr w14:paraId="4ADEA292">
        <w:tblPrEx>
          <w:tblCellMar>
            <w:top w:w="0" w:type="dxa"/>
            <w:left w:w="108" w:type="dxa"/>
            <w:bottom w:w="0" w:type="dxa"/>
            <w:right w:w="108" w:type="dxa"/>
          </w:tblCellMar>
        </w:tblPrEx>
        <w:trPr>
          <w:trHeight w:val="1511" w:hRule="atLeast"/>
        </w:trPr>
        <w:tc>
          <w:tcPr>
            <w:tcW w:w="497" w:type="pct"/>
            <w:vMerge w:val="continue"/>
            <w:tcBorders>
              <w:left w:val="single" w:color="auto" w:sz="8" w:space="0"/>
              <w:right w:val="single" w:color="auto" w:sz="8" w:space="0"/>
            </w:tcBorders>
            <w:noWrap w:val="0"/>
            <w:vAlign w:val="center"/>
          </w:tcPr>
          <w:p w14:paraId="7CFC7F65">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415" w:type="pct"/>
            <w:tcBorders>
              <w:top w:val="nil"/>
              <w:left w:val="nil"/>
              <w:bottom w:val="nil"/>
              <w:right w:val="single" w:color="auto" w:sz="8" w:space="0"/>
            </w:tcBorders>
            <w:noWrap w:val="0"/>
            <w:vAlign w:val="center"/>
          </w:tcPr>
          <w:p w14:paraId="6B91E1CC">
            <w:pPr>
              <w:widowControl/>
              <w:adjustRightInd/>
              <w:spacing w:line="240" w:lineRule="auto"/>
              <w:jc w:val="center"/>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7</w:t>
            </w:r>
          </w:p>
        </w:tc>
        <w:tc>
          <w:tcPr>
            <w:tcW w:w="1803" w:type="pct"/>
            <w:tcBorders>
              <w:top w:val="nil"/>
              <w:left w:val="nil"/>
              <w:bottom w:val="nil"/>
              <w:right w:val="single" w:color="auto" w:sz="8" w:space="0"/>
            </w:tcBorders>
            <w:noWrap w:val="0"/>
            <w:vAlign w:val="center"/>
          </w:tcPr>
          <w:p w14:paraId="2FFC9693">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赔偿限额：对于每次事故造成的损失，保险人在每次事故赔偿限额内计算赔偿，其中对每位受害者的赔偿金额不得超过每人赔偿限额；对每次事故承担的法律费用的赔偿金额在每次事故赔偿限额内计算赔偿，最高不超过每次事故赔偿限额的 10%，对每人承担的法律费用的赔偿金额在每人赔偿限额内计算赔偿，最高不超过每人赔偿限额的 10%，但本保险合同另有约定的除外；在以上的基础上，保险人在扣除每次事故免赔额或根据本保险合同载明的每次事故免赔率计算的免赔额后进行赔偿； 在保险期间内，保险人对多次事故损失的累计赔偿金额不超过累计赔偿限额。</w:t>
            </w:r>
          </w:p>
          <w:p w14:paraId="007BFC45">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每人每次事故赔偿限额：1.5万元；</w:t>
            </w:r>
          </w:p>
          <w:p w14:paraId="7A6A8EAC">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每次事故赔偿限额：100万元；</w:t>
            </w:r>
          </w:p>
          <w:p w14:paraId="355529CE">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累计赔偿限额：100万元。</w:t>
            </w:r>
          </w:p>
        </w:tc>
        <w:tc>
          <w:tcPr>
            <w:tcW w:w="1535" w:type="pct"/>
            <w:tcBorders>
              <w:top w:val="nil"/>
              <w:left w:val="nil"/>
              <w:bottom w:val="nil"/>
              <w:right w:val="single" w:color="auto" w:sz="8" w:space="0"/>
            </w:tcBorders>
            <w:noWrap w:val="0"/>
            <w:vAlign w:val="center"/>
          </w:tcPr>
          <w:p w14:paraId="38D73CD7">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749" w:type="pct"/>
            <w:tcBorders>
              <w:top w:val="nil"/>
              <w:left w:val="nil"/>
              <w:bottom w:val="nil"/>
              <w:right w:val="single" w:color="auto" w:sz="8" w:space="0"/>
            </w:tcBorders>
            <w:noWrap w:val="0"/>
            <w:vAlign w:val="center"/>
          </w:tcPr>
          <w:p w14:paraId="5471CBF5">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r>
      <w:tr w14:paraId="03E179D4">
        <w:tblPrEx>
          <w:tblCellMar>
            <w:top w:w="0" w:type="dxa"/>
            <w:left w:w="108" w:type="dxa"/>
            <w:bottom w:w="0" w:type="dxa"/>
            <w:right w:w="108" w:type="dxa"/>
          </w:tblCellMar>
        </w:tblPrEx>
        <w:trPr>
          <w:trHeight w:val="1511" w:hRule="atLeast"/>
        </w:trPr>
        <w:tc>
          <w:tcPr>
            <w:tcW w:w="497" w:type="pct"/>
            <w:tcBorders>
              <w:left w:val="single" w:color="auto" w:sz="8" w:space="0"/>
              <w:bottom w:val="single" w:color="000000" w:sz="8" w:space="0"/>
              <w:right w:val="single" w:color="auto" w:sz="8" w:space="0"/>
            </w:tcBorders>
            <w:noWrap w:val="0"/>
            <w:vAlign w:val="center"/>
          </w:tcPr>
          <w:p w14:paraId="73F8E3D9">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415" w:type="pct"/>
            <w:tcBorders>
              <w:top w:val="nil"/>
              <w:left w:val="nil"/>
              <w:bottom w:val="single" w:color="auto" w:sz="8" w:space="0"/>
              <w:right w:val="single" w:color="auto" w:sz="8" w:space="0"/>
            </w:tcBorders>
            <w:noWrap w:val="0"/>
            <w:vAlign w:val="center"/>
          </w:tcPr>
          <w:p w14:paraId="6A292B4C">
            <w:pPr>
              <w:widowControl/>
              <w:adjustRightInd/>
              <w:spacing w:line="240" w:lineRule="auto"/>
              <w:jc w:val="center"/>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8</w:t>
            </w:r>
          </w:p>
        </w:tc>
        <w:tc>
          <w:tcPr>
            <w:tcW w:w="1803" w:type="pct"/>
            <w:tcBorders>
              <w:top w:val="nil"/>
              <w:left w:val="nil"/>
              <w:bottom w:val="single" w:color="auto" w:sz="8" w:space="0"/>
              <w:right w:val="single" w:color="auto" w:sz="8" w:space="0"/>
            </w:tcBorders>
            <w:noWrap w:val="0"/>
            <w:vAlign w:val="center"/>
          </w:tcPr>
          <w:p w14:paraId="16ED2E9D">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免赔额2500元</w:t>
            </w:r>
          </w:p>
        </w:tc>
        <w:tc>
          <w:tcPr>
            <w:tcW w:w="1535" w:type="pct"/>
            <w:tcBorders>
              <w:top w:val="nil"/>
              <w:left w:val="nil"/>
              <w:bottom w:val="single" w:color="auto" w:sz="8" w:space="0"/>
              <w:right w:val="single" w:color="auto" w:sz="8" w:space="0"/>
            </w:tcBorders>
            <w:noWrap w:val="0"/>
            <w:vAlign w:val="center"/>
          </w:tcPr>
          <w:p w14:paraId="7B095580">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749" w:type="pct"/>
            <w:tcBorders>
              <w:top w:val="nil"/>
              <w:left w:val="nil"/>
              <w:bottom w:val="single" w:color="auto" w:sz="8" w:space="0"/>
              <w:right w:val="single" w:color="auto" w:sz="8" w:space="0"/>
            </w:tcBorders>
            <w:noWrap w:val="0"/>
            <w:vAlign w:val="center"/>
          </w:tcPr>
          <w:p w14:paraId="6F6D5E36">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r>
    </w:tbl>
    <w:p w14:paraId="646D5AE2">
      <w:pPr>
        <w:widowControl w:val="0"/>
        <w:numPr>
          <w:ilvl w:val="0"/>
          <w:numId w:val="0"/>
        </w:numPr>
        <w:jc w:val="both"/>
        <w:rPr>
          <w:rFonts w:hint="eastAsia" w:ascii="宋体" w:hAnsi="宋体" w:cs="宋体"/>
          <w:color w:val="333333"/>
          <w:kern w:val="0"/>
          <w:sz w:val="24"/>
          <w:szCs w:val="24"/>
        </w:rPr>
      </w:pPr>
    </w:p>
    <w:p w14:paraId="0F18936D">
      <w:pPr>
        <w:rPr>
          <w:rFonts w:ascii="宋体" w:hAnsi="宋体" w:cs="宋体"/>
          <w:color w:val="333333"/>
          <w:kern w:val="0"/>
          <w:sz w:val="24"/>
          <w:szCs w:val="24"/>
        </w:rPr>
      </w:pPr>
      <w:bookmarkStart w:id="2" w:name="_Hlk180506025"/>
      <w:r>
        <w:rPr>
          <w:rFonts w:hint="eastAsia" w:ascii="宋体" w:hAnsi="宋体" w:cs="宋体"/>
          <w:color w:val="333333"/>
          <w:kern w:val="0"/>
          <w:sz w:val="24"/>
          <w:szCs w:val="24"/>
        </w:rPr>
        <w:t>备注：</w:t>
      </w:r>
    </w:p>
    <w:p w14:paraId="584C0142">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请逐项填写投标技术条款。</w:t>
      </w:r>
    </w:p>
    <w:p w14:paraId="5D75FCD1">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偏离情况请填写</w:t>
      </w:r>
      <w:r>
        <w:rPr>
          <w:rFonts w:ascii="宋体" w:hAnsi="宋体" w:cs="宋体"/>
          <w:color w:val="333333"/>
          <w:kern w:val="0"/>
          <w:sz w:val="24"/>
          <w:szCs w:val="24"/>
        </w:rPr>
        <w:t xml:space="preserve"> </w:t>
      </w:r>
      <w:r>
        <w:rPr>
          <w:rFonts w:hint="eastAsia" w:ascii="宋体" w:hAnsi="宋体" w:cs="宋体"/>
          <w:color w:val="333333"/>
          <w:kern w:val="0"/>
          <w:sz w:val="24"/>
          <w:szCs w:val="24"/>
        </w:rPr>
        <w:t>正偏离</w:t>
      </w:r>
      <w:r>
        <w:rPr>
          <w:rFonts w:ascii="宋体" w:hAnsi="宋体" w:cs="宋体"/>
          <w:color w:val="333333"/>
          <w:kern w:val="0"/>
          <w:sz w:val="24"/>
          <w:szCs w:val="24"/>
        </w:rPr>
        <w:t xml:space="preserve"> </w:t>
      </w:r>
      <w:r>
        <w:rPr>
          <w:rFonts w:hint="eastAsia" w:ascii="宋体" w:hAnsi="宋体" w:cs="宋体"/>
          <w:color w:val="333333"/>
          <w:kern w:val="0"/>
          <w:sz w:val="24"/>
          <w:szCs w:val="24"/>
        </w:rPr>
        <w:t>或 负偏离 或 无偏离。</w:t>
      </w:r>
      <w:bookmarkEnd w:id="2"/>
    </w:p>
    <w:p w14:paraId="4FA07711">
      <w:pPr>
        <w:pStyle w:val="10"/>
        <w:widowControl w:val="0"/>
        <w:numPr>
          <w:ilvl w:val="0"/>
          <w:numId w:val="0"/>
        </w:numPr>
        <w:jc w:val="both"/>
        <w:rPr>
          <w:rFonts w:hint="eastAsia" w:ascii="宋体" w:hAnsi="宋体" w:cs="宋体"/>
          <w:color w:val="333333"/>
          <w:kern w:val="0"/>
          <w:sz w:val="24"/>
          <w:szCs w:val="24"/>
        </w:rPr>
      </w:pPr>
      <w:bookmarkStart w:id="3" w:name="_GoBack"/>
      <w:bookmarkEnd w:id="3"/>
    </w:p>
    <w:p w14:paraId="5C760F5D">
      <w:pPr>
        <w:pStyle w:val="10"/>
        <w:widowControl w:val="0"/>
        <w:numPr>
          <w:ilvl w:val="0"/>
          <w:numId w:val="0"/>
        </w:numPr>
        <w:jc w:val="both"/>
        <w:rPr>
          <w:rFonts w:hint="eastAsia" w:ascii="宋体" w:hAnsi="宋体" w:cs="宋体"/>
          <w:color w:val="333333"/>
          <w:kern w:val="0"/>
          <w:sz w:val="24"/>
          <w:szCs w:val="24"/>
        </w:rPr>
      </w:pPr>
    </w:p>
    <w:p w14:paraId="3D61F13C">
      <w:pPr>
        <w:pStyle w:val="10"/>
        <w:widowControl w:val="0"/>
        <w:numPr>
          <w:ilvl w:val="0"/>
          <w:numId w:val="0"/>
        </w:numPr>
        <w:jc w:val="both"/>
        <w:rPr>
          <w:rFonts w:hint="eastAsia" w:ascii="宋体" w:hAnsi="宋体" w:cs="宋体"/>
          <w:color w:val="333333"/>
          <w:kern w:val="0"/>
          <w:sz w:val="24"/>
          <w:szCs w:val="24"/>
        </w:rPr>
      </w:pPr>
    </w:p>
    <w:p w14:paraId="7D43D92B">
      <w:pPr>
        <w:pStyle w:val="10"/>
        <w:widowControl w:val="0"/>
        <w:numPr>
          <w:ilvl w:val="0"/>
          <w:numId w:val="0"/>
        </w:numPr>
        <w:jc w:val="both"/>
        <w:rPr>
          <w:rFonts w:hint="eastAsia" w:ascii="宋体" w:hAnsi="宋体" w:cs="宋体"/>
          <w:color w:val="333333"/>
          <w:kern w:val="0"/>
          <w:sz w:val="24"/>
          <w:szCs w:val="24"/>
        </w:rPr>
      </w:pPr>
    </w:p>
    <w:p w14:paraId="44FC9FE7">
      <w:pPr>
        <w:pStyle w:val="10"/>
        <w:widowControl w:val="0"/>
        <w:numPr>
          <w:ilvl w:val="0"/>
          <w:numId w:val="0"/>
        </w:numPr>
        <w:jc w:val="both"/>
        <w:rPr>
          <w:rFonts w:hint="eastAsia" w:ascii="宋体" w:hAnsi="宋体" w:cs="宋体"/>
          <w:color w:val="333333"/>
          <w:kern w:val="0"/>
          <w:sz w:val="24"/>
          <w:szCs w:val="24"/>
        </w:rPr>
      </w:pPr>
    </w:p>
    <w:p w14:paraId="7D446B89">
      <w:pPr>
        <w:pStyle w:val="10"/>
        <w:widowControl w:val="0"/>
        <w:numPr>
          <w:ilvl w:val="0"/>
          <w:numId w:val="0"/>
        </w:numPr>
        <w:jc w:val="both"/>
        <w:rPr>
          <w:rFonts w:hint="eastAsia" w:ascii="宋体" w:hAnsi="宋体" w:cs="宋体"/>
          <w:color w:val="333333"/>
          <w:kern w:val="0"/>
          <w:sz w:val="24"/>
          <w:szCs w:val="24"/>
        </w:rPr>
      </w:pPr>
    </w:p>
    <w:p w14:paraId="3A2F42C8">
      <w:pPr>
        <w:pStyle w:val="10"/>
        <w:widowControl w:val="0"/>
        <w:numPr>
          <w:ilvl w:val="0"/>
          <w:numId w:val="0"/>
        </w:numPr>
        <w:jc w:val="both"/>
        <w:rPr>
          <w:rFonts w:hint="eastAsia" w:ascii="宋体" w:hAnsi="宋体" w:cs="宋体"/>
          <w:color w:val="333333"/>
          <w:kern w:val="0"/>
          <w:sz w:val="24"/>
          <w:szCs w:val="24"/>
        </w:rPr>
      </w:pPr>
    </w:p>
    <w:p w14:paraId="1EDCEA1A">
      <w:pPr>
        <w:pStyle w:val="10"/>
        <w:numPr>
          <w:ilvl w:val="0"/>
          <w:numId w:val="0"/>
        </w:numPr>
        <w:ind w:leftChars="0"/>
        <w:rPr>
          <w:rFonts w:ascii="宋体" w:hAnsi="宋体" w:cs="宋体"/>
          <w:color w:val="333333"/>
          <w:kern w:val="0"/>
          <w:sz w:val="24"/>
          <w:szCs w:val="24"/>
        </w:rPr>
      </w:pPr>
    </w:p>
    <w:p w14:paraId="3A7481A7">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商务条款偏离情况表(</w:t>
      </w:r>
      <w:r>
        <w:rPr>
          <w:rFonts w:hint="eastAsia" w:ascii="宋体" w:hAnsi="宋体" w:cs="宋体"/>
          <w:b/>
          <w:bCs/>
          <w:color w:val="FF0000"/>
          <w:kern w:val="0"/>
          <w:sz w:val="24"/>
          <w:szCs w:val="24"/>
        </w:rPr>
        <w:t>所有商务条款均为★实质性条款，有任何一条负偏离将导致无效投标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4"/>
        <w:tblW w:w="9718"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7"/>
        <w:gridCol w:w="3823"/>
        <w:gridCol w:w="1448"/>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447" w:type="dxa"/>
          </w:tcPr>
          <w:p w14:paraId="7A5EA410">
            <w:pPr>
              <w:jc w:val="center"/>
              <w:rPr>
                <w:rFonts w:ascii="宋体" w:hAnsi="宋体" w:cs="宋体"/>
                <w:color w:val="333333"/>
                <w:kern w:val="0"/>
                <w:sz w:val="24"/>
                <w:szCs w:val="24"/>
              </w:rPr>
            </w:pPr>
            <w:r>
              <w:rPr>
                <w:rFonts w:hint="eastAsia" w:ascii="宋体" w:hAnsi="宋体" w:cs="宋体"/>
                <w:color w:val="333333"/>
                <w:kern w:val="0"/>
                <w:sz w:val="24"/>
                <w:szCs w:val="24"/>
              </w:rPr>
              <w:t>招标商务条款</w:t>
            </w:r>
          </w:p>
        </w:tc>
        <w:tc>
          <w:tcPr>
            <w:tcW w:w="3823" w:type="dxa"/>
          </w:tcPr>
          <w:p w14:paraId="1DE9E809">
            <w:pPr>
              <w:jc w:val="center"/>
              <w:rPr>
                <w:rFonts w:ascii="宋体" w:hAnsi="宋体" w:cs="宋体"/>
                <w:color w:val="333333"/>
                <w:kern w:val="0"/>
                <w:sz w:val="24"/>
                <w:szCs w:val="24"/>
              </w:rPr>
            </w:pPr>
            <w:r>
              <w:rPr>
                <w:rFonts w:hint="eastAsia" w:ascii="宋体" w:hAnsi="宋体" w:cs="宋体"/>
                <w:color w:val="333333"/>
                <w:kern w:val="0"/>
                <w:sz w:val="24"/>
                <w:szCs w:val="24"/>
              </w:rPr>
              <w:t>投标商务条款</w:t>
            </w:r>
          </w:p>
        </w:tc>
        <w:tc>
          <w:tcPr>
            <w:tcW w:w="1448" w:type="dxa"/>
          </w:tcPr>
          <w:p w14:paraId="57DE9625">
            <w:pPr>
              <w:jc w:val="center"/>
              <w:rPr>
                <w:rFonts w:ascii="宋体" w:hAnsi="宋体" w:cs="宋体"/>
                <w:color w:val="333333"/>
                <w:kern w:val="0"/>
                <w:sz w:val="24"/>
                <w:szCs w:val="24"/>
              </w:rPr>
            </w:pPr>
            <w:r>
              <w:rPr>
                <w:rFonts w:hint="eastAsia" w:ascii="宋体" w:hAnsi="宋体" w:cs="宋体"/>
                <w:color w:val="333333"/>
                <w:kern w:val="0"/>
                <w:sz w:val="24"/>
                <w:szCs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4447" w:type="dxa"/>
            <w:vAlign w:val="center"/>
          </w:tcPr>
          <w:p w14:paraId="2C0B294B">
            <w:pPr>
              <w:widowControl/>
              <w:rPr>
                <w:rFonts w:hint="eastAsia"/>
                <w:lang w:val="en-US" w:eastAsia="zh-CN"/>
              </w:rPr>
            </w:pPr>
            <w:r>
              <w:rPr>
                <w:rFonts w:hint="eastAsia"/>
                <w:lang w:val="en-US" w:eastAsia="zh-CN"/>
              </w:rPr>
              <w:t>1.服务期限：保险服务期限36个月</w:t>
            </w:r>
          </w:p>
        </w:tc>
        <w:tc>
          <w:tcPr>
            <w:tcW w:w="3823" w:type="dxa"/>
          </w:tcPr>
          <w:p w14:paraId="0741A494">
            <w:pPr>
              <w:rPr>
                <w:kern w:val="0"/>
                <w:sz w:val="20"/>
                <w:szCs w:val="20"/>
              </w:rPr>
            </w:pPr>
          </w:p>
        </w:tc>
        <w:tc>
          <w:tcPr>
            <w:tcW w:w="1448" w:type="dxa"/>
          </w:tcPr>
          <w:p w14:paraId="2A307743">
            <w:pPr>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4447" w:type="dxa"/>
            <w:vAlign w:val="center"/>
          </w:tcPr>
          <w:p w14:paraId="6083993A">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2.付款方式：保险公司提供投保单及缴费通知单后，采购人预付款对公转账。</w:t>
            </w:r>
          </w:p>
        </w:tc>
        <w:tc>
          <w:tcPr>
            <w:tcW w:w="3823" w:type="dxa"/>
          </w:tcPr>
          <w:p w14:paraId="0C734FC3">
            <w:pPr>
              <w:rPr>
                <w:kern w:val="0"/>
                <w:sz w:val="20"/>
                <w:szCs w:val="20"/>
              </w:rPr>
            </w:pPr>
          </w:p>
        </w:tc>
        <w:tc>
          <w:tcPr>
            <w:tcW w:w="1448" w:type="dxa"/>
          </w:tcPr>
          <w:p w14:paraId="4C57845E">
            <w:pPr>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4447" w:type="dxa"/>
            <w:vAlign w:val="center"/>
          </w:tcPr>
          <w:p w14:paraId="5D4373DF">
            <w:pPr>
              <w:widowControl/>
              <w:rPr>
                <w:rFonts w:hint="default" w:ascii="宋体" w:hAnsi="宋体" w:cs="宋体"/>
                <w:color w:val="333333"/>
                <w:kern w:val="0"/>
                <w:sz w:val="21"/>
                <w:szCs w:val="21"/>
                <w:lang w:val="en-US" w:eastAsia="zh-CN"/>
              </w:rPr>
            </w:pPr>
            <w:r>
              <w:rPr>
                <w:rFonts w:hint="default" w:ascii="宋体" w:hAnsi="宋体" w:cs="宋体"/>
                <w:color w:val="333333"/>
                <w:kern w:val="0"/>
                <w:sz w:val="21"/>
                <w:szCs w:val="21"/>
                <w:lang w:val="en-US" w:eastAsia="zh-CN"/>
              </w:rPr>
              <w:t>3.完成期限：</w:t>
            </w:r>
          </w:p>
          <w:p w14:paraId="45909995">
            <w:pPr>
              <w:widowControl/>
              <w:rPr>
                <w:rFonts w:hint="default" w:ascii="宋体" w:hAnsi="宋体" w:cs="宋体"/>
                <w:color w:val="333333"/>
                <w:kern w:val="0"/>
                <w:sz w:val="21"/>
                <w:szCs w:val="21"/>
                <w:lang w:val="en-US" w:eastAsia="zh-CN"/>
              </w:rPr>
            </w:pPr>
            <w:r>
              <w:rPr>
                <w:rFonts w:hint="default" w:ascii="宋体" w:hAnsi="宋体" w:cs="宋体"/>
                <w:color w:val="333333"/>
                <w:kern w:val="0"/>
                <w:sz w:val="21"/>
                <w:szCs w:val="21"/>
                <w:lang w:val="en-US" w:eastAsia="zh-CN"/>
              </w:rPr>
              <w:t>①保险供应商收到款项后，5-10个工作日内出具正式保险单及相关合法发票。保险生效时间以合同约定为准。</w:t>
            </w:r>
          </w:p>
          <w:p w14:paraId="5AFF9180">
            <w:pPr>
              <w:widowControl/>
              <w:rPr>
                <w:rFonts w:hint="default" w:ascii="宋体" w:hAnsi="宋体" w:cs="宋体"/>
                <w:color w:val="333333"/>
                <w:kern w:val="0"/>
                <w:sz w:val="21"/>
                <w:szCs w:val="21"/>
                <w:lang w:val="en-US" w:eastAsia="zh-CN"/>
              </w:rPr>
            </w:pPr>
            <w:r>
              <w:rPr>
                <w:rFonts w:hint="default" w:ascii="宋体" w:hAnsi="宋体" w:cs="宋体"/>
                <w:color w:val="333333"/>
                <w:kern w:val="0"/>
                <w:sz w:val="21"/>
                <w:szCs w:val="21"/>
                <w:lang w:val="en-US" w:eastAsia="zh-CN"/>
              </w:rPr>
              <w:t>②保险责任生效日不得晚于首例受试者签署知情同意书的日期。供应商有义务提前提醒我院，确保无缝衔接。</w:t>
            </w:r>
          </w:p>
        </w:tc>
        <w:tc>
          <w:tcPr>
            <w:tcW w:w="3823" w:type="dxa"/>
          </w:tcPr>
          <w:p w14:paraId="24F1E143">
            <w:pPr>
              <w:rPr>
                <w:kern w:val="0"/>
                <w:sz w:val="20"/>
                <w:szCs w:val="20"/>
              </w:rPr>
            </w:pPr>
          </w:p>
        </w:tc>
        <w:tc>
          <w:tcPr>
            <w:tcW w:w="1448" w:type="dxa"/>
          </w:tcPr>
          <w:p w14:paraId="0703E1C5">
            <w:pPr>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4447" w:type="dxa"/>
            <w:vAlign w:val="center"/>
          </w:tcPr>
          <w:p w14:paraId="30CFB1F0">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4.项目进度安排：</w:t>
            </w:r>
          </w:p>
          <w:p w14:paraId="645D9209">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①投保阶段： 在收到完整投保资料后，【24】 小时内确认资料完整性并反馈；【5】 个工作日内完成核保并出具正式保单。</w:t>
            </w:r>
          </w:p>
          <w:p w14:paraId="656340A6">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②变更响应： 在试验过程中，如发生临床试验方案修订、研究中心增加、受试者人数调整等情况，供应商应在收到我院书面通知后 【3】 个工作日内完成保险合同的变更批注。</w:t>
            </w:r>
          </w:p>
          <w:p w14:paraId="3C9148C9">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③理赔启动： 在接到潜在索赔通知或正式理赔申请后，【24】 小时内响应并指导后续流程；在收到齐全的理赔资料后，【10】 个工作日内完成初步审核并给出处理意见。</w:t>
            </w:r>
          </w:p>
        </w:tc>
        <w:tc>
          <w:tcPr>
            <w:tcW w:w="3823" w:type="dxa"/>
          </w:tcPr>
          <w:p w14:paraId="7E6CDD0E">
            <w:pPr>
              <w:rPr>
                <w:kern w:val="0"/>
                <w:sz w:val="20"/>
                <w:szCs w:val="20"/>
              </w:rPr>
            </w:pPr>
          </w:p>
        </w:tc>
        <w:tc>
          <w:tcPr>
            <w:tcW w:w="1448" w:type="dxa"/>
          </w:tcPr>
          <w:p w14:paraId="3FF42EC0">
            <w:pPr>
              <w:rPr>
                <w:kern w:val="0"/>
                <w:sz w:val="20"/>
                <w:szCs w:val="20"/>
              </w:rPr>
            </w:pPr>
          </w:p>
        </w:tc>
      </w:tr>
      <w:tr w14:paraId="69A1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4447" w:type="dxa"/>
            <w:vAlign w:val="center"/>
          </w:tcPr>
          <w:p w14:paraId="7C3852EF">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5.报价要求：</w:t>
            </w:r>
          </w:p>
          <w:p w14:paraId="0C1F43E1">
            <w:pPr>
              <w:widowControl/>
              <w:rPr>
                <w:rFonts w:hint="eastAsia" w:ascii="宋体" w:hAnsi="宋体" w:cs="宋体"/>
                <w:color w:val="333333"/>
                <w:kern w:val="0"/>
                <w:sz w:val="21"/>
                <w:szCs w:val="21"/>
                <w:lang w:val="en-US" w:eastAsia="zh-CN"/>
              </w:rPr>
            </w:pPr>
            <w:r>
              <w:rPr>
                <w:rFonts w:hint="eastAsia" w:cs="仿宋" w:asciiTheme="minorEastAsia" w:hAnsiTheme="minorEastAsia" w:eastAsiaTheme="minorEastAsia"/>
                <w:sz w:val="24"/>
                <w:szCs w:val="24"/>
              </w:rPr>
              <w:t>①</w:t>
            </w:r>
            <w:r>
              <w:rPr>
                <w:rFonts w:hint="eastAsia" w:ascii="宋体" w:hAnsi="宋体" w:cs="宋体"/>
                <w:color w:val="333333"/>
                <w:kern w:val="0"/>
                <w:sz w:val="21"/>
                <w:szCs w:val="21"/>
                <w:lang w:val="en-US" w:eastAsia="zh-CN"/>
              </w:rPr>
              <w:t>本项目服务费采用包干制，应包括服务成本、法定税费和企业的利润。由投标供应商根据采购文件所提供的资料自行测算投标报价；一经中标，报价作为中标供应商与采购人签定的合同金额，合同期限内不做调整。</w:t>
            </w:r>
          </w:p>
          <w:p w14:paraId="0072EC95">
            <w:pPr>
              <w:widowControl/>
              <w:rPr>
                <w:rFonts w:hint="eastAsia" w:ascii="宋体" w:hAnsi="宋体" w:cs="宋体"/>
                <w:color w:val="333333"/>
                <w:kern w:val="0"/>
                <w:sz w:val="21"/>
                <w:szCs w:val="21"/>
                <w:lang w:val="en-US" w:eastAsia="zh-CN"/>
              </w:rPr>
            </w:pPr>
            <w:r>
              <w:rPr>
                <w:rFonts w:hint="eastAsia" w:cs="仿宋" w:asciiTheme="minorEastAsia" w:hAnsiTheme="minorEastAsia" w:eastAsiaTheme="minorEastAsia"/>
                <w:sz w:val="24"/>
                <w:szCs w:val="24"/>
              </w:rPr>
              <w:t>②</w:t>
            </w:r>
            <w:r>
              <w:rPr>
                <w:rFonts w:hint="eastAsia" w:ascii="宋体" w:hAnsi="宋体" w:cs="宋体"/>
                <w:color w:val="333333"/>
                <w:kern w:val="0"/>
                <w:sz w:val="21"/>
                <w:szCs w:val="21"/>
                <w:lang w:val="en-US" w:eastAsia="zh-CN"/>
              </w:rPr>
              <w:t>投标供应商应当根据本企业的成本自行决定报价，但不得以低于其企业成本的报价投标。</w:t>
            </w:r>
          </w:p>
          <w:p w14:paraId="168CEC5C">
            <w:pPr>
              <w:widowControl/>
              <w:rPr>
                <w:rFonts w:hint="eastAsia" w:ascii="宋体" w:hAnsi="宋体" w:cs="宋体"/>
                <w:color w:val="333333"/>
                <w:kern w:val="0"/>
                <w:sz w:val="21"/>
                <w:szCs w:val="21"/>
                <w:lang w:val="en-US" w:eastAsia="zh-CN"/>
              </w:rPr>
            </w:pPr>
            <w:r>
              <w:rPr>
                <w:rFonts w:hint="eastAsia" w:cs="仿宋" w:asciiTheme="minorEastAsia" w:hAnsiTheme="minorEastAsia" w:eastAsiaTheme="minorEastAsia"/>
                <w:b/>
                <w:sz w:val="24"/>
                <w:szCs w:val="24"/>
              </w:rPr>
              <w:t>③</w:t>
            </w:r>
            <w:r>
              <w:rPr>
                <w:rFonts w:hint="eastAsia" w:ascii="宋体" w:hAnsi="宋体" w:cs="宋体"/>
                <w:b/>
                <w:bCs/>
                <w:color w:val="333333"/>
                <w:kern w:val="0"/>
                <w:sz w:val="21"/>
                <w:szCs w:val="21"/>
                <w:lang w:val="en-US" w:eastAsia="zh-CN"/>
              </w:rPr>
              <w:t>投标供应商的报价不得超过项目预算金额</w:t>
            </w:r>
            <w:r>
              <w:rPr>
                <w:rFonts w:hint="eastAsia" w:ascii="宋体" w:hAnsi="宋体" w:cs="宋体"/>
                <w:color w:val="333333"/>
                <w:kern w:val="0"/>
                <w:sz w:val="21"/>
                <w:szCs w:val="21"/>
                <w:lang w:val="en-US" w:eastAsia="zh-CN"/>
              </w:rPr>
              <w:t>。</w:t>
            </w:r>
          </w:p>
          <w:p w14:paraId="4FDECFFD">
            <w:pPr>
              <w:widowControl/>
              <w:rPr>
                <w:rFonts w:hint="eastAsia" w:ascii="宋体" w:hAnsi="宋体" w:cs="宋体"/>
                <w:color w:val="333333"/>
                <w:kern w:val="0"/>
                <w:sz w:val="21"/>
                <w:szCs w:val="21"/>
                <w:lang w:val="en-US" w:eastAsia="zh-CN"/>
              </w:rPr>
            </w:pPr>
            <w:r>
              <w:rPr>
                <w:rFonts w:hint="eastAsia" w:cs="仿宋" w:asciiTheme="minorEastAsia" w:hAnsiTheme="minorEastAsia" w:eastAsiaTheme="minorEastAsia"/>
                <w:sz w:val="24"/>
                <w:szCs w:val="24"/>
              </w:rPr>
              <w:t>④</w:t>
            </w:r>
            <w:r>
              <w:rPr>
                <w:rFonts w:hint="eastAsia" w:ascii="宋体" w:hAnsi="宋体" w:cs="宋体"/>
                <w:color w:val="333333"/>
                <w:kern w:val="0"/>
                <w:sz w:val="21"/>
                <w:szCs w:val="21"/>
                <w:lang w:val="en-US" w:eastAsia="zh-CN"/>
              </w:rPr>
              <w:t>投标供应商的报价，应当是本项目采购范围和采购文件及合同条款上所列的各项内容中所述的全部，不得以任何理由予以重复。</w:t>
            </w:r>
          </w:p>
          <w:p w14:paraId="4540BD18">
            <w:pPr>
              <w:widowControl/>
              <w:rPr>
                <w:rFonts w:hint="eastAsia" w:ascii="宋体" w:hAnsi="宋体" w:cs="宋体"/>
                <w:color w:val="333333"/>
                <w:kern w:val="0"/>
                <w:sz w:val="21"/>
                <w:szCs w:val="21"/>
                <w:lang w:val="en-US" w:eastAsia="zh-CN"/>
              </w:rPr>
            </w:pPr>
            <w:r>
              <w:rPr>
                <w:rFonts w:hint="eastAsia" w:cs="仿宋" w:asciiTheme="minorEastAsia" w:hAnsiTheme="minorEastAsia" w:eastAsiaTheme="minorEastAsia"/>
                <w:sz w:val="24"/>
                <w:szCs w:val="24"/>
              </w:rPr>
              <w:t>⑤</w:t>
            </w:r>
            <w:r>
              <w:rPr>
                <w:rFonts w:hint="eastAsia" w:ascii="宋体" w:hAnsi="宋体" w:cs="宋体"/>
                <w:color w:val="333333"/>
                <w:kern w:val="0"/>
                <w:sz w:val="21"/>
                <w:szCs w:val="21"/>
                <w:lang w:val="en-US" w:eastAsia="zh-CN"/>
              </w:rPr>
              <w:t>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60C84670">
            <w:pPr>
              <w:widowControl/>
              <w:rPr>
                <w:rFonts w:hint="eastAsia" w:ascii="宋体" w:hAnsi="宋体" w:cs="宋体"/>
                <w:color w:val="333333"/>
                <w:kern w:val="0"/>
                <w:sz w:val="21"/>
                <w:szCs w:val="21"/>
                <w:lang w:val="en-US" w:eastAsia="zh-CN"/>
              </w:rPr>
            </w:pPr>
            <w:r>
              <w:rPr>
                <w:rFonts w:hint="eastAsia" w:cs="仿宋" w:asciiTheme="minorEastAsia" w:hAnsiTheme="minorEastAsia" w:eastAsiaTheme="minorEastAsia"/>
                <w:sz w:val="24"/>
                <w:szCs w:val="24"/>
              </w:rPr>
              <w:t>⑥</w:t>
            </w:r>
            <w:r>
              <w:rPr>
                <w:rFonts w:hint="eastAsia" w:ascii="宋体" w:hAnsi="宋体" w:cs="宋体"/>
                <w:color w:val="333333"/>
                <w:kern w:val="0"/>
                <w:sz w:val="21"/>
                <w:szCs w:val="21"/>
                <w:lang w:val="en-US" w:eastAsia="zh-CN"/>
              </w:rPr>
              <w:t>投标供应商应先到项目地点踏勘以充分了解项目的位置、情况、道路及任何其它足以影响投标报价的情况，任何因忽视或误解项目情况而导致的索赔或服务期限延长申请将不获批准。</w:t>
            </w:r>
          </w:p>
          <w:p w14:paraId="5DD62C61">
            <w:pPr>
              <w:widowControl/>
              <w:rPr>
                <w:rFonts w:hint="eastAsia" w:ascii="宋体" w:hAnsi="宋体" w:cs="宋体"/>
                <w:color w:val="333333"/>
                <w:kern w:val="0"/>
                <w:sz w:val="21"/>
                <w:szCs w:val="21"/>
                <w:lang w:val="en-US" w:eastAsia="zh-CN"/>
              </w:rPr>
            </w:pPr>
            <w:r>
              <w:rPr>
                <w:rFonts w:hint="eastAsia" w:cs="仿宋" w:asciiTheme="minorEastAsia" w:hAnsiTheme="minorEastAsia" w:eastAsiaTheme="minorEastAsia"/>
                <w:sz w:val="24"/>
                <w:szCs w:val="24"/>
              </w:rPr>
              <w:t>⑦</w:t>
            </w:r>
            <w:r>
              <w:rPr>
                <w:rFonts w:hint="eastAsia" w:ascii="宋体" w:hAnsi="宋体" w:cs="宋体"/>
                <w:color w:val="333333"/>
                <w:kern w:val="0"/>
                <w:sz w:val="21"/>
                <w:szCs w:val="21"/>
                <w:lang w:val="en-US" w:eastAsia="zh-CN"/>
              </w:rPr>
              <w:t>投标供应商不得期望通过索赔等方式获取补偿，否则，除可能遭到拒绝外，还可能将被作为不良行为记录在案，并可能影响其以后参加政府采购的项目投标。各投标供应商在报价时，应充分考虑报价的风险。</w:t>
            </w:r>
          </w:p>
        </w:tc>
        <w:tc>
          <w:tcPr>
            <w:tcW w:w="3823" w:type="dxa"/>
          </w:tcPr>
          <w:p w14:paraId="33E13C74">
            <w:pPr>
              <w:rPr>
                <w:kern w:val="0"/>
                <w:sz w:val="20"/>
                <w:szCs w:val="20"/>
              </w:rPr>
            </w:pPr>
          </w:p>
        </w:tc>
        <w:tc>
          <w:tcPr>
            <w:tcW w:w="1448" w:type="dxa"/>
          </w:tcPr>
          <w:p w14:paraId="4FAFF637">
            <w:pPr>
              <w:rPr>
                <w:kern w:val="0"/>
                <w:sz w:val="20"/>
                <w:szCs w:val="20"/>
              </w:rPr>
            </w:pPr>
          </w:p>
        </w:tc>
      </w:tr>
    </w:tbl>
    <w:p w14:paraId="72BED36B">
      <w:pPr>
        <w:rPr>
          <w:rFonts w:ascii="宋体" w:hAnsi="宋体" w:cs="宋体"/>
          <w:color w:val="333333"/>
          <w:kern w:val="0"/>
          <w:sz w:val="24"/>
          <w:szCs w:val="24"/>
        </w:rPr>
      </w:pPr>
      <w:r>
        <w:rPr>
          <w:rFonts w:ascii="宋体" w:hAnsi="宋体" w:cs="宋体"/>
          <w:color w:val="333333"/>
          <w:kern w:val="0"/>
          <w:sz w:val="24"/>
          <w:szCs w:val="24"/>
        </w:rPr>
        <w:t>备注：</w:t>
      </w:r>
    </w:p>
    <w:p w14:paraId="0C79455D">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请逐项填写投标商务条款。</w:t>
      </w:r>
    </w:p>
    <w:p w14:paraId="44BA5D7C">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偏离情况请填写 正偏离 或 负偏离 或 无偏离。</w:t>
      </w:r>
    </w:p>
    <w:p w14:paraId="01649366">
      <w:pPr>
        <w:pStyle w:val="10"/>
        <w:numPr>
          <w:ilvl w:val="0"/>
          <w:numId w:val="0"/>
        </w:numPr>
        <w:ind w:leftChars="0"/>
        <w:rPr>
          <w:rFonts w:hint="eastAsia" w:ascii="宋体" w:hAnsi="宋体" w:cs="宋体"/>
          <w:color w:val="333333"/>
          <w:kern w:val="0"/>
          <w:sz w:val="24"/>
          <w:szCs w:val="24"/>
        </w:rPr>
      </w:pPr>
    </w:p>
    <w:p w14:paraId="2E026D4D">
      <w:pPr>
        <w:pStyle w:val="10"/>
        <w:numPr>
          <w:ilvl w:val="0"/>
          <w:numId w:val="0"/>
        </w:numPr>
        <w:ind w:leftChars="0"/>
        <w:rPr>
          <w:rFonts w:hint="eastAsia" w:ascii="宋体" w:hAnsi="宋体" w:cs="宋体"/>
          <w:color w:val="333333"/>
          <w:kern w:val="0"/>
          <w:sz w:val="24"/>
          <w:szCs w:val="24"/>
        </w:rPr>
      </w:pPr>
    </w:p>
    <w:p w14:paraId="5B957C58">
      <w:pPr>
        <w:pStyle w:val="10"/>
        <w:numPr>
          <w:ilvl w:val="0"/>
          <w:numId w:val="0"/>
        </w:numPr>
        <w:ind w:leftChars="0"/>
        <w:rPr>
          <w:rFonts w:hint="eastAsia" w:ascii="宋体" w:hAnsi="宋体" w:cs="宋体"/>
          <w:color w:val="333333"/>
          <w:kern w:val="0"/>
          <w:sz w:val="24"/>
          <w:szCs w:val="24"/>
        </w:rPr>
      </w:pPr>
    </w:p>
    <w:p w14:paraId="57EDA8A5">
      <w:pPr>
        <w:pStyle w:val="10"/>
        <w:numPr>
          <w:ilvl w:val="0"/>
          <w:numId w:val="0"/>
        </w:numPr>
        <w:ind w:leftChars="0"/>
        <w:rPr>
          <w:rFonts w:hint="eastAsia" w:ascii="宋体" w:hAnsi="宋体" w:cs="宋体"/>
          <w:color w:val="333333"/>
          <w:kern w:val="0"/>
          <w:sz w:val="24"/>
          <w:szCs w:val="24"/>
        </w:rPr>
      </w:pPr>
    </w:p>
    <w:p w14:paraId="455D426A">
      <w:pPr>
        <w:pStyle w:val="10"/>
        <w:numPr>
          <w:ilvl w:val="0"/>
          <w:numId w:val="0"/>
        </w:numPr>
        <w:ind w:leftChars="0"/>
        <w:rPr>
          <w:rFonts w:hint="eastAsia" w:ascii="宋体" w:hAnsi="宋体" w:cs="宋体"/>
          <w:color w:val="333333"/>
          <w:kern w:val="0"/>
          <w:sz w:val="24"/>
          <w:szCs w:val="24"/>
        </w:rPr>
      </w:pPr>
    </w:p>
    <w:p w14:paraId="4688EB20">
      <w:pPr>
        <w:pStyle w:val="10"/>
        <w:numPr>
          <w:ilvl w:val="0"/>
          <w:numId w:val="0"/>
        </w:numPr>
        <w:ind w:leftChars="0"/>
        <w:rPr>
          <w:rFonts w:hint="eastAsia" w:ascii="宋体" w:hAnsi="宋体" w:cs="宋体"/>
          <w:color w:val="333333"/>
          <w:kern w:val="0"/>
          <w:sz w:val="24"/>
          <w:szCs w:val="24"/>
        </w:rPr>
      </w:pPr>
    </w:p>
    <w:p w14:paraId="5F95B2DB">
      <w:pPr>
        <w:pStyle w:val="10"/>
        <w:numPr>
          <w:ilvl w:val="0"/>
          <w:numId w:val="0"/>
        </w:numPr>
        <w:ind w:leftChars="0"/>
        <w:rPr>
          <w:rFonts w:hint="eastAsia" w:ascii="宋体" w:hAnsi="宋体" w:cs="宋体"/>
          <w:color w:val="333333"/>
          <w:kern w:val="0"/>
          <w:sz w:val="24"/>
          <w:szCs w:val="24"/>
        </w:rPr>
      </w:pPr>
    </w:p>
    <w:p w14:paraId="2D13866C">
      <w:pPr>
        <w:pStyle w:val="10"/>
        <w:numPr>
          <w:ilvl w:val="0"/>
          <w:numId w:val="0"/>
        </w:numPr>
        <w:ind w:leftChars="0"/>
        <w:rPr>
          <w:rFonts w:hint="eastAsia" w:ascii="宋体" w:hAnsi="宋体" w:cs="宋体"/>
          <w:color w:val="333333"/>
          <w:kern w:val="0"/>
          <w:sz w:val="24"/>
          <w:szCs w:val="24"/>
        </w:rPr>
      </w:pPr>
    </w:p>
    <w:p w14:paraId="1AC52858">
      <w:pPr>
        <w:pStyle w:val="10"/>
        <w:numPr>
          <w:ilvl w:val="0"/>
          <w:numId w:val="0"/>
        </w:numPr>
        <w:ind w:leftChars="0"/>
        <w:rPr>
          <w:rFonts w:hint="eastAsia" w:ascii="宋体" w:hAnsi="宋体" w:cs="宋体"/>
          <w:color w:val="333333"/>
          <w:kern w:val="0"/>
          <w:sz w:val="24"/>
          <w:szCs w:val="24"/>
        </w:rPr>
      </w:pPr>
    </w:p>
    <w:p w14:paraId="67D7EB72">
      <w:pPr>
        <w:pStyle w:val="10"/>
        <w:numPr>
          <w:ilvl w:val="0"/>
          <w:numId w:val="0"/>
        </w:numPr>
        <w:ind w:leftChars="0"/>
        <w:rPr>
          <w:rFonts w:hint="eastAsia" w:ascii="宋体" w:hAnsi="宋体" w:cs="宋体"/>
          <w:color w:val="333333"/>
          <w:kern w:val="0"/>
          <w:sz w:val="24"/>
          <w:szCs w:val="24"/>
        </w:rPr>
      </w:pPr>
    </w:p>
    <w:p w14:paraId="29931436">
      <w:pPr>
        <w:pStyle w:val="10"/>
        <w:numPr>
          <w:ilvl w:val="0"/>
          <w:numId w:val="0"/>
        </w:numPr>
        <w:ind w:leftChars="0"/>
        <w:rPr>
          <w:rFonts w:hint="eastAsia" w:ascii="宋体" w:hAnsi="宋体" w:cs="宋体"/>
          <w:color w:val="333333"/>
          <w:kern w:val="0"/>
          <w:sz w:val="24"/>
          <w:szCs w:val="24"/>
        </w:rPr>
      </w:pPr>
    </w:p>
    <w:p w14:paraId="66EB337C">
      <w:pPr>
        <w:pStyle w:val="10"/>
        <w:numPr>
          <w:ilvl w:val="0"/>
          <w:numId w:val="0"/>
        </w:numPr>
        <w:ind w:leftChars="0"/>
        <w:rPr>
          <w:rFonts w:hint="eastAsia" w:ascii="宋体" w:hAnsi="宋体" w:cs="宋体"/>
          <w:color w:val="333333"/>
          <w:kern w:val="0"/>
          <w:sz w:val="24"/>
          <w:szCs w:val="24"/>
        </w:rPr>
      </w:pPr>
    </w:p>
    <w:p w14:paraId="114B76B1">
      <w:pPr>
        <w:pStyle w:val="10"/>
        <w:numPr>
          <w:ilvl w:val="0"/>
          <w:numId w:val="0"/>
        </w:numPr>
        <w:ind w:leftChars="0"/>
        <w:rPr>
          <w:rFonts w:hint="eastAsia" w:ascii="宋体" w:hAnsi="宋体" w:cs="宋体"/>
          <w:color w:val="333333"/>
          <w:kern w:val="0"/>
          <w:sz w:val="24"/>
          <w:szCs w:val="24"/>
        </w:rPr>
      </w:pPr>
    </w:p>
    <w:p w14:paraId="52CD11C3">
      <w:pPr>
        <w:pStyle w:val="10"/>
        <w:numPr>
          <w:ilvl w:val="0"/>
          <w:numId w:val="0"/>
        </w:numPr>
        <w:ind w:leftChars="0"/>
        <w:rPr>
          <w:rFonts w:hint="eastAsia" w:ascii="宋体" w:hAnsi="宋体" w:cs="宋体"/>
          <w:color w:val="333333"/>
          <w:kern w:val="0"/>
          <w:sz w:val="24"/>
          <w:szCs w:val="24"/>
        </w:rPr>
      </w:pPr>
    </w:p>
    <w:p w14:paraId="17D23786">
      <w:pPr>
        <w:pStyle w:val="10"/>
        <w:numPr>
          <w:ilvl w:val="0"/>
          <w:numId w:val="0"/>
        </w:numPr>
        <w:ind w:leftChars="0"/>
        <w:rPr>
          <w:rFonts w:hint="eastAsia" w:ascii="宋体" w:hAnsi="宋体" w:cs="宋体"/>
          <w:color w:val="333333"/>
          <w:kern w:val="0"/>
          <w:sz w:val="24"/>
          <w:szCs w:val="24"/>
        </w:rPr>
      </w:pPr>
    </w:p>
    <w:p w14:paraId="6FE3C245">
      <w:pPr>
        <w:pStyle w:val="10"/>
        <w:numPr>
          <w:ilvl w:val="0"/>
          <w:numId w:val="0"/>
        </w:numPr>
        <w:ind w:leftChars="0"/>
        <w:rPr>
          <w:rFonts w:hint="eastAsia" w:ascii="宋体" w:hAnsi="宋体" w:cs="宋体"/>
          <w:color w:val="333333"/>
          <w:kern w:val="0"/>
          <w:sz w:val="24"/>
          <w:szCs w:val="24"/>
        </w:rPr>
      </w:pPr>
    </w:p>
    <w:p w14:paraId="3AB6E9FB">
      <w:pPr>
        <w:pStyle w:val="10"/>
        <w:numPr>
          <w:ilvl w:val="0"/>
          <w:numId w:val="0"/>
        </w:numPr>
        <w:ind w:leftChars="0"/>
        <w:rPr>
          <w:rFonts w:hint="eastAsia" w:ascii="宋体" w:hAnsi="宋体" w:cs="宋体"/>
          <w:color w:val="333333"/>
          <w:kern w:val="0"/>
          <w:sz w:val="24"/>
          <w:szCs w:val="24"/>
        </w:rPr>
      </w:pPr>
    </w:p>
    <w:p w14:paraId="392E28DE">
      <w:pPr>
        <w:pStyle w:val="10"/>
        <w:numPr>
          <w:ilvl w:val="0"/>
          <w:numId w:val="0"/>
        </w:numPr>
        <w:ind w:leftChars="0"/>
        <w:rPr>
          <w:rFonts w:hint="eastAsia" w:ascii="宋体" w:hAnsi="宋体" w:cs="宋体"/>
          <w:color w:val="333333"/>
          <w:kern w:val="0"/>
          <w:sz w:val="24"/>
          <w:szCs w:val="24"/>
        </w:rPr>
      </w:pPr>
    </w:p>
    <w:p w14:paraId="7133BEBE">
      <w:pPr>
        <w:pStyle w:val="10"/>
        <w:numPr>
          <w:ilvl w:val="0"/>
          <w:numId w:val="0"/>
        </w:numPr>
        <w:ind w:leftChars="0"/>
        <w:rPr>
          <w:rFonts w:hint="eastAsia" w:ascii="宋体" w:hAnsi="宋体" w:cs="宋体"/>
          <w:color w:val="333333"/>
          <w:kern w:val="0"/>
          <w:sz w:val="24"/>
          <w:szCs w:val="24"/>
        </w:rPr>
      </w:pPr>
    </w:p>
    <w:p w14:paraId="502EC77C">
      <w:pPr>
        <w:pStyle w:val="10"/>
        <w:numPr>
          <w:ilvl w:val="0"/>
          <w:numId w:val="0"/>
        </w:numPr>
        <w:ind w:leftChars="0"/>
        <w:rPr>
          <w:rFonts w:hint="eastAsia" w:ascii="宋体" w:hAnsi="宋体" w:cs="宋体"/>
          <w:color w:val="333333"/>
          <w:kern w:val="0"/>
          <w:sz w:val="24"/>
          <w:szCs w:val="24"/>
        </w:rPr>
      </w:pPr>
    </w:p>
    <w:p w14:paraId="6B50B608">
      <w:pPr>
        <w:pStyle w:val="10"/>
        <w:numPr>
          <w:ilvl w:val="0"/>
          <w:numId w:val="0"/>
        </w:numPr>
        <w:ind w:leftChars="0"/>
        <w:rPr>
          <w:rFonts w:hint="eastAsia" w:ascii="宋体" w:hAnsi="宋体" w:cs="宋体"/>
          <w:color w:val="333333"/>
          <w:kern w:val="0"/>
          <w:sz w:val="24"/>
          <w:szCs w:val="24"/>
        </w:rPr>
      </w:pPr>
    </w:p>
    <w:p w14:paraId="357FEA4A">
      <w:pPr>
        <w:pStyle w:val="10"/>
        <w:numPr>
          <w:ilvl w:val="0"/>
          <w:numId w:val="0"/>
        </w:numPr>
        <w:ind w:leftChars="0"/>
        <w:rPr>
          <w:rFonts w:hint="eastAsia" w:ascii="宋体" w:hAnsi="宋体" w:cs="宋体"/>
          <w:color w:val="333333"/>
          <w:kern w:val="0"/>
          <w:sz w:val="24"/>
          <w:szCs w:val="24"/>
        </w:rPr>
      </w:pPr>
    </w:p>
    <w:p w14:paraId="458A3ED7">
      <w:pPr>
        <w:pStyle w:val="10"/>
        <w:numPr>
          <w:ilvl w:val="0"/>
          <w:numId w:val="0"/>
        </w:numPr>
        <w:ind w:leftChars="0"/>
        <w:rPr>
          <w:rFonts w:hint="eastAsia" w:ascii="宋体" w:hAnsi="宋体" w:cs="宋体"/>
          <w:color w:val="333333"/>
          <w:kern w:val="0"/>
          <w:sz w:val="24"/>
          <w:szCs w:val="24"/>
        </w:rPr>
      </w:pPr>
    </w:p>
    <w:p w14:paraId="34CACBBA">
      <w:pPr>
        <w:pStyle w:val="10"/>
        <w:numPr>
          <w:ilvl w:val="0"/>
          <w:numId w:val="0"/>
        </w:numPr>
        <w:ind w:leftChars="0"/>
        <w:rPr>
          <w:rFonts w:hint="eastAsia" w:ascii="宋体" w:hAnsi="宋体" w:cs="宋体"/>
          <w:color w:val="333333"/>
          <w:kern w:val="0"/>
          <w:sz w:val="24"/>
          <w:szCs w:val="24"/>
        </w:rPr>
      </w:pPr>
    </w:p>
    <w:p w14:paraId="30CF43F3">
      <w:pPr>
        <w:pStyle w:val="10"/>
        <w:numPr>
          <w:ilvl w:val="0"/>
          <w:numId w:val="0"/>
        </w:numPr>
        <w:ind w:leftChars="0"/>
        <w:rPr>
          <w:rFonts w:hint="eastAsia" w:ascii="宋体" w:hAnsi="宋体" w:cs="宋体"/>
          <w:color w:val="333333"/>
          <w:kern w:val="0"/>
          <w:sz w:val="24"/>
          <w:szCs w:val="24"/>
        </w:rPr>
      </w:pPr>
    </w:p>
    <w:p w14:paraId="1600B792">
      <w:pPr>
        <w:pStyle w:val="10"/>
        <w:numPr>
          <w:ilvl w:val="0"/>
          <w:numId w:val="0"/>
        </w:numPr>
        <w:ind w:leftChars="0"/>
        <w:rPr>
          <w:rFonts w:hint="eastAsia" w:ascii="宋体" w:hAnsi="宋体" w:cs="宋体"/>
          <w:color w:val="333333"/>
          <w:kern w:val="0"/>
          <w:sz w:val="24"/>
          <w:szCs w:val="24"/>
        </w:rPr>
      </w:pPr>
    </w:p>
    <w:p w14:paraId="63D22175">
      <w:pPr>
        <w:pStyle w:val="10"/>
        <w:numPr>
          <w:ilvl w:val="0"/>
          <w:numId w:val="0"/>
        </w:numPr>
        <w:ind w:leftChars="0"/>
        <w:rPr>
          <w:rFonts w:hint="eastAsia" w:ascii="宋体" w:hAnsi="宋体" w:cs="宋体"/>
          <w:color w:val="333333"/>
          <w:kern w:val="0"/>
          <w:sz w:val="24"/>
          <w:szCs w:val="24"/>
        </w:rPr>
      </w:pPr>
    </w:p>
    <w:p w14:paraId="1F36A130">
      <w:pPr>
        <w:pStyle w:val="10"/>
        <w:numPr>
          <w:ilvl w:val="0"/>
          <w:numId w:val="2"/>
        </w:numPr>
        <w:ind w:left="0" w:leftChars="0" w:firstLine="0" w:firstLineChars="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《诚信承诺函》</w:t>
      </w:r>
      <w:r>
        <w:rPr>
          <w:rFonts w:hint="eastAsia" w:ascii="宋体" w:hAnsi="宋体" w:cs="Arial"/>
          <w:b/>
          <w:bCs/>
          <w:color w:val="FF0000"/>
          <w:szCs w:val="21"/>
          <w:lang w:val="en-US" w:eastAsia="zh-CN"/>
        </w:rPr>
        <w:t>（加盖公章）</w:t>
      </w:r>
    </w:p>
    <w:p w14:paraId="28816D87">
      <w:pPr>
        <w:pStyle w:val="10"/>
        <w:numPr>
          <w:ilvl w:val="0"/>
          <w:numId w:val="0"/>
        </w:numPr>
        <w:ind w:leftChars="0"/>
        <w:rPr>
          <w:rFonts w:hint="default" w:ascii="宋体" w:hAnsi="宋体" w:cs="宋体"/>
          <w:color w:val="333333"/>
          <w:kern w:val="0"/>
          <w:sz w:val="24"/>
          <w:szCs w:val="24"/>
          <w:lang w:val="en-US" w:eastAsia="zh-CN"/>
        </w:rPr>
      </w:pPr>
    </w:p>
    <w:p w14:paraId="55E72D75">
      <w:pPr>
        <w:spacing w:line="360" w:lineRule="auto"/>
        <w:ind w:firstLine="480" w:firstLineChars="20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我司做出以下诚信承诺：</w:t>
      </w:r>
    </w:p>
    <w:p w14:paraId="4887A304">
      <w:pPr>
        <w:numPr>
          <w:ilvl w:val="0"/>
          <w:numId w:val="5"/>
        </w:num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w:t>
      </w:r>
    </w:p>
    <w:p w14:paraId="05D931D4">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参与本项目政府采购活动时不存在被有关部门禁止参与政府采购活动且在有效期内的情况；</w:t>
      </w:r>
    </w:p>
    <w:p w14:paraId="442B8438">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本公司具备《中华人民共和国政府采购法》第二十二条第一款的条件；</w:t>
      </w:r>
    </w:p>
    <w:p w14:paraId="052B447C">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本公司未被列入失信被执行人、重大税收违法案件当事人名单、政府采购严重违法失信行为记录名单；</w:t>
      </w:r>
    </w:p>
    <w:p w14:paraId="1BAFAF0E">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本公司不围标、不串标。</w:t>
      </w:r>
    </w:p>
    <w:p w14:paraId="4797FD87">
      <w:pPr>
        <w:numPr>
          <w:ilvl w:val="0"/>
          <w:numId w:val="0"/>
        </w:numPr>
        <w:spacing w:line="360" w:lineRule="auto"/>
        <w:rPr>
          <w:rFonts w:hint="default" w:ascii="宋体" w:hAnsi="宋体" w:cs="宋体"/>
          <w:color w:val="333333"/>
          <w:kern w:val="0"/>
          <w:sz w:val="24"/>
          <w:szCs w:val="24"/>
          <w:lang w:val="en-US" w:eastAsia="zh-CN"/>
        </w:rPr>
      </w:pPr>
    </w:p>
    <w:p w14:paraId="2A7436A2">
      <w:pPr>
        <w:numPr>
          <w:ilvl w:val="0"/>
          <w:numId w:val="0"/>
        </w:numPr>
        <w:spacing w:line="360" w:lineRule="auto"/>
        <w:ind w:firstLine="5520" w:firstLineChars="2300"/>
        <w:rPr>
          <w:rFonts w:hint="eastAsia" w:ascii="宋体" w:hAnsi="宋体" w:cs="宋体"/>
          <w:color w:val="333333"/>
          <w:kern w:val="0"/>
          <w:sz w:val="24"/>
          <w:szCs w:val="24"/>
        </w:rPr>
      </w:pPr>
      <w:r>
        <w:rPr>
          <w:rFonts w:hint="eastAsia" w:ascii="宋体" w:hAnsi="宋体" w:cs="宋体"/>
          <w:color w:val="333333"/>
          <w:kern w:val="0"/>
          <w:sz w:val="24"/>
          <w:szCs w:val="24"/>
        </w:rPr>
        <w:t>投标人名称：（公章）</w:t>
      </w:r>
    </w:p>
    <w:p w14:paraId="102CB47A">
      <w:pPr>
        <w:numPr>
          <w:ilvl w:val="0"/>
          <w:numId w:val="0"/>
        </w:numPr>
        <w:spacing w:line="360" w:lineRule="auto"/>
        <w:rPr>
          <w:rFonts w:hint="eastAsia" w:ascii="宋体" w:hAnsi="宋体" w:cs="宋体"/>
          <w:color w:val="333333"/>
          <w:kern w:val="0"/>
          <w:sz w:val="24"/>
          <w:szCs w:val="24"/>
        </w:rPr>
        <w:sectPr>
          <w:pgSz w:w="11906" w:h="16838"/>
          <w:pgMar w:top="1440" w:right="1800" w:bottom="1440" w:left="1800" w:header="851" w:footer="992" w:gutter="0"/>
          <w:cols w:space="425" w:num="1"/>
          <w:docGrid w:type="lines" w:linePitch="312" w:charSpace="0"/>
        </w:sectPr>
      </w:pPr>
      <w:r>
        <w:rPr>
          <w:rFonts w:hint="eastAsia" w:ascii="宋体" w:hAnsi="宋体" w:cs="宋体"/>
          <w:color w:val="333333"/>
          <w:kern w:val="0"/>
          <w:sz w:val="24"/>
          <w:szCs w:val="24"/>
        </w:rPr>
        <w:t xml:space="preserve">                                             日期：    年   月   日</w:t>
      </w:r>
    </w:p>
    <w:p w14:paraId="131E1B86">
      <w:pPr>
        <w:numPr>
          <w:ilvl w:val="0"/>
          <w:numId w:val="0"/>
        </w:numPr>
        <w:spacing w:line="360" w:lineRule="auto"/>
        <w:rPr>
          <w:rFonts w:hint="eastAsia" w:ascii="宋体" w:hAnsi="宋体" w:cs="宋体" w:eastAsiaTheme="minorEastAsia"/>
          <w:color w:val="333333"/>
          <w:kern w:val="0"/>
          <w:sz w:val="24"/>
          <w:szCs w:val="24"/>
          <w:lang w:val="en-US" w:eastAsia="zh-CN"/>
        </w:rPr>
      </w:pPr>
      <w:r>
        <w:rPr>
          <w:rFonts w:hint="eastAsia" w:ascii="宋体" w:hAnsi="宋体" w:cs="宋体"/>
          <w:color w:val="333333"/>
          <w:kern w:val="0"/>
          <w:sz w:val="24"/>
          <w:szCs w:val="24"/>
          <w:lang w:val="en-US" w:eastAsia="zh-CN"/>
        </w:rPr>
        <w:t>9、投标人必须具备中国保险监督管理委员会核发的《保险公司法人许可证》或《保险许可证》或《经营保险业务许可证》（须提供许可证复印件，原件备查）；</w:t>
      </w:r>
    </w:p>
    <w:p w14:paraId="4BC96FA0">
      <w:pPr>
        <w:pStyle w:val="10"/>
        <w:numPr>
          <w:ilvl w:val="0"/>
          <w:numId w:val="0"/>
        </w:numPr>
        <w:ind w:leftChars="0"/>
        <w:rPr>
          <w:rFonts w:hint="default" w:ascii="宋体" w:hAnsi="宋体" w:cs="宋体"/>
          <w:color w:val="FF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4F76"/>
    <w:multiLevelType w:val="singleLevel"/>
    <w:tmpl w:val="848F4F76"/>
    <w:lvl w:ilvl="0" w:tentative="0">
      <w:start w:val="1"/>
      <w:numFmt w:val="decimal"/>
      <w:suff w:val="nothing"/>
      <w:lvlText w:val="%1、"/>
      <w:lvlJc w:val="left"/>
    </w:lvl>
  </w:abstractNum>
  <w:abstractNum w:abstractNumId="1">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47048"/>
    <w:multiLevelType w:val="singleLevel"/>
    <w:tmpl w:val="3D247048"/>
    <w:lvl w:ilvl="0" w:tentative="0">
      <w:start w:val="5"/>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29DC"/>
    <w:rsid w:val="09075A53"/>
    <w:rsid w:val="0CD80B33"/>
    <w:rsid w:val="0D890E30"/>
    <w:rsid w:val="105C48D7"/>
    <w:rsid w:val="11F927A3"/>
    <w:rsid w:val="14E009F6"/>
    <w:rsid w:val="15910B7E"/>
    <w:rsid w:val="16381990"/>
    <w:rsid w:val="19243E19"/>
    <w:rsid w:val="196F3B37"/>
    <w:rsid w:val="19CD6175"/>
    <w:rsid w:val="21374CD0"/>
    <w:rsid w:val="244E0D7D"/>
    <w:rsid w:val="29D05CC2"/>
    <w:rsid w:val="2AEA324F"/>
    <w:rsid w:val="2BEC66B7"/>
    <w:rsid w:val="2CE51C06"/>
    <w:rsid w:val="2DE735DA"/>
    <w:rsid w:val="2E995F79"/>
    <w:rsid w:val="328D6125"/>
    <w:rsid w:val="33450CED"/>
    <w:rsid w:val="3402116D"/>
    <w:rsid w:val="391D4354"/>
    <w:rsid w:val="39A405D1"/>
    <w:rsid w:val="3B022B49"/>
    <w:rsid w:val="40BE466E"/>
    <w:rsid w:val="456C44DB"/>
    <w:rsid w:val="47320852"/>
    <w:rsid w:val="48C16567"/>
    <w:rsid w:val="4AB10E0B"/>
    <w:rsid w:val="4E2201FD"/>
    <w:rsid w:val="55197C6D"/>
    <w:rsid w:val="58BF54BA"/>
    <w:rsid w:val="5FCB6008"/>
    <w:rsid w:val="6045400C"/>
    <w:rsid w:val="61191464"/>
    <w:rsid w:val="63F975E8"/>
    <w:rsid w:val="654C3B64"/>
    <w:rsid w:val="69821E2D"/>
    <w:rsid w:val="6C7B4AF2"/>
    <w:rsid w:val="6D6D06FE"/>
    <w:rsid w:val="72942A63"/>
    <w:rsid w:val="735A7977"/>
    <w:rsid w:val="73DB0AB8"/>
    <w:rsid w:val="78160310"/>
    <w:rsid w:val="7AEC1B46"/>
    <w:rsid w:val="7CC45D36"/>
    <w:rsid w:val="7F1B3F13"/>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Heading2"/>
    <w:basedOn w:val="7"/>
    <w:next w:val="1"/>
    <w:qFormat/>
    <w:uiPriority w:val="0"/>
  </w:style>
  <w:style w:type="paragraph" w:customStyle="1" w:styleId="7">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34"/>
    <w:pPr>
      <w:ind w:firstLine="420" w:firstLineChars="200"/>
    </w:pPr>
  </w:style>
  <w:style w:type="paragraph" w:customStyle="1" w:styleId="11">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2984</Words>
  <Characters>3033</Characters>
  <Lines>0</Lines>
  <Paragraphs>0</Paragraphs>
  <TotalTime>2</TotalTime>
  <ScaleCrop>false</ScaleCrop>
  <LinksUpToDate>false</LinksUpToDate>
  <CharactersWithSpaces>3465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cgzx</cp:lastModifiedBy>
  <dcterms:modified xsi:type="dcterms:W3CDTF">2026-04-27T02:42:07Z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eyJoZGlkIjoiOTQzZDE3OTQ4OTFmNGU5MmYzNzVlYzA4YjY4NzhhMTUiLCJ1c2VySWQiOiIxMjk5NDI1MyJ9</vt:lpwstr>
  </property>
  <property fmtid="{D5CDD505-2E9C-101B-9397-08002B2CF9AE}" pid="4" name="ICV">
    <vt:lpwstr>84FE47AC6D974A76B22145D7D3D6C6AD_12</vt:lpwstr>
  </property>
</Properties>
</file>