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7"/>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jc w:val="center"/>
              <w:rPr>
                <w:rFonts w:hint="default" w:ascii="宋体" w:hAnsi="宋体" w:cs="宋体"/>
                <w:color w:val="333333"/>
                <w:kern w:val="0"/>
                <w:sz w:val="24"/>
                <w:szCs w:val="24"/>
                <w:lang w:val="en-US"/>
              </w:rPr>
            </w:pPr>
            <w:r>
              <w:rPr>
                <w:rFonts w:hint="eastAsia" w:ascii="仿宋" w:hAnsi="仿宋" w:eastAsia="仿宋" w:cs="仿宋"/>
                <w:bCs/>
                <w:sz w:val="24"/>
                <w:szCs w:val="24"/>
                <w:lang w:val="en-US" w:eastAsia="zh-CN"/>
              </w:rPr>
              <w:t>2025-2026年度卫健委视频会议专线采购项目</w:t>
            </w: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39,570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3F4E042C">
      <w:pPr>
        <w:pStyle w:val="9"/>
        <w:jc w:val="left"/>
        <w:rPr>
          <w:rFonts w:hint="eastAsia"/>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11"/>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11"/>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11"/>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11"/>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11"/>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11"/>
              <w:spacing w:before="217" w:line="202" w:lineRule="auto"/>
              <w:ind w:left="145"/>
            </w:pPr>
            <w:r>
              <w:rPr>
                <w:spacing w:val="-5"/>
              </w:rPr>
              <w:t>序号</w:t>
            </w:r>
          </w:p>
        </w:tc>
        <w:tc>
          <w:tcPr>
            <w:tcW w:w="2732" w:type="dxa"/>
            <w:gridSpan w:val="2"/>
            <w:vAlign w:val="top"/>
          </w:tcPr>
          <w:p w14:paraId="4F3BD2C3">
            <w:pPr>
              <w:pStyle w:val="11"/>
              <w:spacing w:before="213" w:line="202" w:lineRule="auto"/>
              <w:ind w:left="916"/>
            </w:pPr>
            <w:r>
              <w:rPr>
                <w:spacing w:val="-6"/>
              </w:rPr>
              <w:t>职务</w:t>
            </w:r>
          </w:p>
        </w:tc>
        <w:tc>
          <w:tcPr>
            <w:tcW w:w="960" w:type="dxa"/>
            <w:vAlign w:val="top"/>
          </w:tcPr>
          <w:p w14:paraId="783AF3F3">
            <w:pPr>
              <w:pStyle w:val="11"/>
              <w:spacing w:before="213" w:line="203" w:lineRule="auto"/>
              <w:ind w:left="245"/>
            </w:pPr>
            <w:r>
              <w:rPr>
                <w:spacing w:val="-4"/>
              </w:rPr>
              <w:t>姓名</w:t>
            </w:r>
          </w:p>
        </w:tc>
        <w:tc>
          <w:tcPr>
            <w:tcW w:w="1620" w:type="dxa"/>
            <w:gridSpan w:val="2"/>
            <w:vAlign w:val="top"/>
          </w:tcPr>
          <w:p w14:paraId="3FB9C412">
            <w:pPr>
              <w:pStyle w:val="11"/>
              <w:spacing w:before="214" w:line="203" w:lineRule="auto"/>
              <w:ind w:left="410"/>
            </w:pPr>
            <w:r>
              <w:rPr>
                <w:spacing w:val="-3"/>
              </w:rPr>
              <w:t>身份证号码</w:t>
            </w:r>
          </w:p>
        </w:tc>
        <w:tc>
          <w:tcPr>
            <w:tcW w:w="1404" w:type="dxa"/>
            <w:vAlign w:val="top"/>
          </w:tcPr>
          <w:p w14:paraId="3FB60CB3">
            <w:pPr>
              <w:pStyle w:val="11"/>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11"/>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11"/>
              <w:spacing w:before="103" w:line="169" w:lineRule="auto"/>
              <w:ind w:left="321"/>
            </w:pPr>
            <w:r>
              <w:t>1</w:t>
            </w:r>
          </w:p>
        </w:tc>
        <w:tc>
          <w:tcPr>
            <w:tcW w:w="2732" w:type="dxa"/>
            <w:gridSpan w:val="2"/>
            <w:vAlign w:val="top"/>
          </w:tcPr>
          <w:p w14:paraId="55EC78C5">
            <w:pPr>
              <w:pStyle w:val="11"/>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11"/>
              <w:spacing w:before="211" w:line="168" w:lineRule="auto"/>
              <w:ind w:left="322"/>
            </w:pPr>
            <w:r>
              <w:t>2</w:t>
            </w:r>
          </w:p>
        </w:tc>
        <w:tc>
          <w:tcPr>
            <w:tcW w:w="2732" w:type="dxa"/>
            <w:gridSpan w:val="2"/>
            <w:vAlign w:val="top"/>
          </w:tcPr>
          <w:p w14:paraId="4AC4DCAE">
            <w:pPr>
              <w:pStyle w:val="11"/>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11"/>
              <w:spacing w:before="210" w:line="167" w:lineRule="auto"/>
              <w:ind w:left="321"/>
            </w:pPr>
            <w:r>
              <w:t>3</w:t>
            </w:r>
          </w:p>
        </w:tc>
        <w:tc>
          <w:tcPr>
            <w:tcW w:w="2732" w:type="dxa"/>
            <w:gridSpan w:val="2"/>
            <w:vAlign w:val="top"/>
          </w:tcPr>
          <w:p w14:paraId="28ABBA2C">
            <w:pPr>
              <w:pStyle w:val="11"/>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11"/>
              <w:spacing w:before="210" w:line="168" w:lineRule="auto"/>
              <w:ind w:left="314"/>
            </w:pPr>
            <w:r>
              <w:t>4</w:t>
            </w:r>
          </w:p>
        </w:tc>
        <w:tc>
          <w:tcPr>
            <w:tcW w:w="2732" w:type="dxa"/>
            <w:gridSpan w:val="2"/>
            <w:vAlign w:val="top"/>
          </w:tcPr>
          <w:p w14:paraId="31BB09F1">
            <w:pPr>
              <w:pStyle w:val="11"/>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11"/>
              <w:spacing w:before="215" w:line="165" w:lineRule="auto"/>
              <w:ind w:left="325"/>
            </w:pPr>
            <w:r>
              <w:t>5</w:t>
            </w:r>
          </w:p>
        </w:tc>
        <w:tc>
          <w:tcPr>
            <w:tcW w:w="2732" w:type="dxa"/>
            <w:gridSpan w:val="2"/>
            <w:vAlign w:val="top"/>
          </w:tcPr>
          <w:p w14:paraId="3AC1BD82">
            <w:pPr>
              <w:pStyle w:val="11"/>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11"/>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11"/>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11"/>
              <w:spacing w:before="178" w:line="202" w:lineRule="auto"/>
              <w:ind w:left="145"/>
            </w:pPr>
            <w:r>
              <w:rPr>
                <w:spacing w:val="-5"/>
              </w:rPr>
              <w:t>序号</w:t>
            </w:r>
          </w:p>
        </w:tc>
        <w:tc>
          <w:tcPr>
            <w:tcW w:w="2732" w:type="dxa"/>
            <w:gridSpan w:val="2"/>
            <w:vAlign w:val="top"/>
          </w:tcPr>
          <w:p w14:paraId="1F791490">
            <w:pPr>
              <w:pStyle w:val="11"/>
              <w:spacing w:before="177" w:line="202" w:lineRule="auto"/>
              <w:ind w:left="436"/>
            </w:pPr>
            <w:r>
              <w:rPr>
                <w:spacing w:val="-3"/>
              </w:rPr>
              <w:t>关联关系类型</w:t>
            </w:r>
          </w:p>
        </w:tc>
        <w:tc>
          <w:tcPr>
            <w:tcW w:w="1286" w:type="dxa"/>
            <w:gridSpan w:val="2"/>
            <w:vAlign w:val="top"/>
          </w:tcPr>
          <w:p w14:paraId="21836B40">
            <w:pPr>
              <w:pStyle w:val="11"/>
              <w:spacing w:before="177" w:line="203" w:lineRule="auto"/>
              <w:ind w:left="166"/>
            </w:pPr>
            <w:r>
              <w:rPr>
                <w:spacing w:val="-3"/>
              </w:rPr>
              <w:t>关联主体名称</w:t>
            </w:r>
          </w:p>
        </w:tc>
        <w:tc>
          <w:tcPr>
            <w:tcW w:w="4187" w:type="dxa"/>
            <w:gridSpan w:val="3"/>
            <w:vAlign w:val="top"/>
          </w:tcPr>
          <w:p w14:paraId="71687DAA">
            <w:pPr>
              <w:pStyle w:val="11"/>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11"/>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11"/>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11"/>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11"/>
              <w:spacing w:before="251" w:line="168" w:lineRule="auto"/>
              <w:ind w:left="322"/>
            </w:pPr>
            <w:r>
              <w:t>2</w:t>
            </w:r>
          </w:p>
        </w:tc>
        <w:tc>
          <w:tcPr>
            <w:tcW w:w="2732" w:type="dxa"/>
            <w:gridSpan w:val="2"/>
            <w:vAlign w:val="top"/>
          </w:tcPr>
          <w:p w14:paraId="290EC4EA">
            <w:pPr>
              <w:pStyle w:val="11"/>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11"/>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11"/>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6"/>
        <w:tblW w:w="5228" w:type="pct"/>
        <w:tblInd w:w="-394" w:type="dxa"/>
        <w:tblLayout w:type="autofit"/>
        <w:tblCellMar>
          <w:top w:w="0" w:type="dxa"/>
          <w:left w:w="108" w:type="dxa"/>
          <w:bottom w:w="0" w:type="dxa"/>
          <w:right w:w="108" w:type="dxa"/>
        </w:tblCellMar>
      </w:tblPr>
      <w:tblGrid>
        <w:gridCol w:w="888"/>
        <w:gridCol w:w="740"/>
        <w:gridCol w:w="3210"/>
        <w:gridCol w:w="2738"/>
        <w:gridCol w:w="1335"/>
      </w:tblGrid>
      <w:tr w14:paraId="618D1CF9">
        <w:tblPrEx>
          <w:tblCellMar>
            <w:top w:w="0" w:type="dxa"/>
            <w:left w:w="108" w:type="dxa"/>
            <w:bottom w:w="0" w:type="dxa"/>
            <w:right w:w="108" w:type="dxa"/>
          </w:tblCellMar>
        </w:tblPrEx>
        <w:trPr>
          <w:trHeight w:val="453" w:hRule="atLeast"/>
        </w:trPr>
        <w:tc>
          <w:tcPr>
            <w:tcW w:w="49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415"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801"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36"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49"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016FEB1F">
        <w:tblPrEx>
          <w:tblCellMar>
            <w:top w:w="0" w:type="dxa"/>
            <w:left w:w="108" w:type="dxa"/>
            <w:bottom w:w="0" w:type="dxa"/>
            <w:right w:w="108" w:type="dxa"/>
          </w:tblCellMar>
        </w:tblPrEx>
        <w:trPr>
          <w:trHeight w:val="483" w:hRule="atLeast"/>
        </w:trPr>
        <w:tc>
          <w:tcPr>
            <w:tcW w:w="2714" w:type="pct"/>
            <w:gridSpan w:val="3"/>
            <w:tcBorders>
              <w:top w:val="nil"/>
              <w:left w:val="single" w:color="auto" w:sz="8" w:space="0"/>
              <w:bottom w:val="single" w:color="auto" w:sz="4" w:space="0"/>
              <w:right w:val="single" w:color="auto" w:sz="8" w:space="0"/>
            </w:tcBorders>
            <w:noWrap w:val="0"/>
            <w:vAlign w:val="center"/>
          </w:tcPr>
          <w:p w14:paraId="22B581C2">
            <w:pPr>
              <w:widowControl/>
              <w:rPr>
                <w:rFonts w:ascii="宋体" w:hAnsi="宋体" w:cs="宋体"/>
                <w:b/>
                <w:bCs/>
                <w:kern w:val="0"/>
                <w:szCs w:val="21"/>
              </w:rPr>
            </w:pPr>
            <w:r>
              <w:rPr>
                <w:rFonts w:hint="eastAsia" w:ascii="宋体" w:hAnsi="宋体" w:cs="宋体"/>
                <w:b/>
                <w:bCs/>
                <w:kern w:val="0"/>
                <w:szCs w:val="21"/>
                <w:lang w:eastAsia="zh-CN"/>
              </w:rPr>
              <w:t>服务</w:t>
            </w:r>
            <w:r>
              <w:rPr>
                <w:rFonts w:hint="eastAsia" w:ascii="宋体" w:hAnsi="宋体" w:cs="宋体"/>
                <w:b/>
                <w:bCs/>
                <w:kern w:val="0"/>
                <w:szCs w:val="21"/>
              </w:rPr>
              <w:t>需求：</w:t>
            </w:r>
          </w:p>
        </w:tc>
        <w:tc>
          <w:tcPr>
            <w:tcW w:w="1536" w:type="pct"/>
            <w:tcBorders>
              <w:top w:val="nil"/>
              <w:left w:val="single" w:color="auto" w:sz="8" w:space="0"/>
              <w:bottom w:val="single" w:color="auto" w:sz="4" w:space="0"/>
              <w:right w:val="single" w:color="auto" w:sz="8" w:space="0"/>
            </w:tcBorders>
            <w:noWrap w:val="0"/>
            <w:vAlign w:val="center"/>
          </w:tcPr>
          <w:p w14:paraId="31BDEA3C">
            <w:pPr>
              <w:widowControl/>
              <w:rPr>
                <w:rFonts w:hint="eastAsia" w:ascii="宋体" w:hAnsi="宋体" w:cs="宋体"/>
                <w:b/>
                <w:bCs/>
                <w:kern w:val="0"/>
                <w:szCs w:val="21"/>
                <w:lang w:eastAsia="zh-CN"/>
              </w:rPr>
            </w:pPr>
          </w:p>
        </w:tc>
        <w:tc>
          <w:tcPr>
            <w:tcW w:w="749" w:type="pct"/>
            <w:tcBorders>
              <w:top w:val="nil"/>
              <w:left w:val="single" w:color="auto" w:sz="8" w:space="0"/>
              <w:bottom w:val="single" w:color="auto" w:sz="4" w:space="0"/>
              <w:right w:val="single" w:color="auto" w:sz="8" w:space="0"/>
            </w:tcBorders>
            <w:noWrap w:val="0"/>
            <w:vAlign w:val="center"/>
          </w:tcPr>
          <w:p w14:paraId="4B1E2BDF">
            <w:pPr>
              <w:widowControl/>
              <w:rPr>
                <w:rFonts w:hint="eastAsia" w:ascii="宋体" w:hAnsi="宋体" w:cs="宋体"/>
                <w:b/>
                <w:bCs/>
                <w:kern w:val="0"/>
                <w:szCs w:val="21"/>
                <w:lang w:eastAsia="zh-CN"/>
              </w:rPr>
            </w:pPr>
          </w:p>
        </w:tc>
      </w:tr>
      <w:tr w14:paraId="18268D70">
        <w:tblPrEx>
          <w:tblCellMar>
            <w:top w:w="0" w:type="dxa"/>
            <w:left w:w="108" w:type="dxa"/>
            <w:bottom w:w="0" w:type="dxa"/>
            <w:right w:w="108" w:type="dxa"/>
          </w:tblCellMar>
        </w:tblPrEx>
        <w:trPr>
          <w:trHeight w:val="520" w:hRule="atLeast"/>
        </w:trPr>
        <w:tc>
          <w:tcPr>
            <w:tcW w:w="498" w:type="pct"/>
            <w:vMerge w:val="restart"/>
            <w:tcBorders>
              <w:top w:val="single" w:color="auto" w:sz="4" w:space="0"/>
              <w:left w:val="single" w:color="auto" w:sz="4" w:space="0"/>
              <w:right w:val="single" w:color="auto" w:sz="8" w:space="0"/>
            </w:tcBorders>
            <w:noWrap w:val="0"/>
            <w:vAlign w:val="center"/>
          </w:tcPr>
          <w:p w14:paraId="7AE99DD8">
            <w:pPr>
              <w:pStyle w:val="4"/>
              <w:tabs>
                <w:tab w:val="left" w:pos="420"/>
                <w:tab w:val="left" w:pos="540"/>
              </w:tabs>
              <w:snapToGrid w:val="0"/>
              <w:spacing w:beforeLines="0" w:afterLines="0"/>
              <w:rPr>
                <w:rFonts w:hint="eastAsia" w:ascii="宋体" w:hAnsi="宋体" w:eastAsia="宋体" w:cs="宋体"/>
                <w:b w:val="0"/>
                <w:bCs w:val="0"/>
                <w:kern w:val="0"/>
                <w:sz w:val="21"/>
                <w:szCs w:val="21"/>
                <w:lang w:val="en-US" w:eastAsia="zh-CN" w:bidi="ar-SA"/>
              </w:rPr>
            </w:pPr>
            <w:r>
              <w:rPr>
                <w:rFonts w:hint="eastAsia" w:ascii="宋体" w:hAnsi="宋体" w:eastAsia="宋体" w:cs="Times New Roman"/>
                <w:kern w:val="0"/>
                <w:sz w:val="21"/>
                <w:szCs w:val="21"/>
              </w:rPr>
              <w:t>1.</w:t>
            </w:r>
            <w:r>
              <w:rPr>
                <w:rFonts w:hint="eastAsia" w:ascii="宋体" w:hAnsi="宋体" w:eastAsia="宋体" w:cs="Times New Roman"/>
                <w:kern w:val="0"/>
                <w:sz w:val="21"/>
                <w:szCs w:val="21"/>
                <w:lang w:val="en-US" w:eastAsia="zh-CN"/>
              </w:rPr>
              <w:t>通信链路及服务接入</w:t>
            </w:r>
          </w:p>
        </w:tc>
        <w:tc>
          <w:tcPr>
            <w:tcW w:w="415" w:type="pct"/>
            <w:tcBorders>
              <w:top w:val="single" w:color="auto" w:sz="4" w:space="0"/>
              <w:left w:val="nil"/>
              <w:bottom w:val="single" w:color="auto" w:sz="8" w:space="0"/>
              <w:right w:val="single" w:color="auto" w:sz="8" w:space="0"/>
            </w:tcBorders>
            <w:noWrap w:val="0"/>
            <w:vAlign w:val="center"/>
          </w:tcPr>
          <w:p w14:paraId="6CC53977">
            <w:pPr>
              <w:pStyle w:val="4"/>
              <w:tabs>
                <w:tab w:val="left" w:pos="420"/>
                <w:tab w:val="left" w:pos="540"/>
              </w:tabs>
              <w:snapToGrid w:val="0"/>
              <w:spacing w:beforeLines="0" w:afterLines="0"/>
              <w:rPr>
                <w:rFonts w:hint="eastAsia" w:ascii="宋体" w:hAnsi="宋体" w:eastAsia="宋体" w:cs="宋体"/>
                <w:b w:val="0"/>
                <w:bCs w:val="0"/>
                <w:kern w:val="0"/>
                <w:sz w:val="21"/>
                <w:szCs w:val="21"/>
              </w:rPr>
            </w:pPr>
            <w:r>
              <w:rPr>
                <w:rFonts w:hint="eastAsia" w:ascii="宋体" w:hAnsi="宋体" w:eastAsia="宋体" w:cs="Times New Roman"/>
                <w:kern w:val="0"/>
                <w:sz w:val="21"/>
                <w:szCs w:val="21"/>
              </w:rPr>
              <w:t>1.1</w:t>
            </w:r>
          </w:p>
        </w:tc>
        <w:tc>
          <w:tcPr>
            <w:tcW w:w="1801" w:type="pct"/>
            <w:tcBorders>
              <w:top w:val="single" w:color="auto" w:sz="4" w:space="0"/>
              <w:left w:val="nil"/>
              <w:bottom w:val="single" w:color="auto" w:sz="8" w:space="0"/>
              <w:right w:val="single" w:color="auto" w:sz="8" w:space="0"/>
            </w:tcBorders>
            <w:noWrap w:val="0"/>
            <w:vAlign w:val="center"/>
          </w:tcPr>
          <w:p w14:paraId="70C9B489">
            <w:pPr>
              <w:pStyle w:val="4"/>
              <w:tabs>
                <w:tab w:val="left" w:pos="420"/>
                <w:tab w:val="left" w:pos="540"/>
              </w:tabs>
              <w:snapToGrid w:val="0"/>
              <w:spacing w:beforeLines="0" w:afterLines="0"/>
              <w:rPr>
                <w:rFonts w:hint="eastAsia" w:ascii="宋体" w:hAnsi="宋体" w:eastAsia="宋体" w:cs="宋体"/>
                <w:b w:val="0"/>
                <w:bCs w:val="0"/>
                <w:kern w:val="0"/>
                <w:sz w:val="21"/>
                <w:szCs w:val="21"/>
              </w:rPr>
            </w:pPr>
            <w:r>
              <w:rPr>
                <w:rFonts w:hint="eastAsia" w:ascii="宋体" w:hAnsi="宋体" w:eastAsia="宋体" w:cs="Times New Roman"/>
                <w:kern w:val="0"/>
                <w:sz w:val="21"/>
                <w:szCs w:val="21"/>
              </w:rPr>
              <w:t>提供一条20M专有电路用于接入深圳市卫生健康视频会议专网</w:t>
            </w:r>
          </w:p>
        </w:tc>
        <w:tc>
          <w:tcPr>
            <w:tcW w:w="1536" w:type="pct"/>
            <w:tcBorders>
              <w:top w:val="single" w:color="auto" w:sz="4" w:space="0"/>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single" w:color="auto" w:sz="4" w:space="0"/>
              <w:left w:val="nil"/>
              <w:bottom w:val="single" w:color="auto" w:sz="8" w:space="0"/>
              <w:right w:val="single" w:color="auto" w:sz="4"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544" w:hRule="atLeast"/>
        </w:trPr>
        <w:tc>
          <w:tcPr>
            <w:tcW w:w="498" w:type="pct"/>
            <w:vMerge w:val="continue"/>
            <w:tcBorders>
              <w:left w:val="single" w:color="auto" w:sz="4" w:space="0"/>
              <w:bottom w:val="single" w:color="auto" w:sz="4" w:space="0"/>
              <w:right w:val="single" w:color="auto" w:sz="8" w:space="0"/>
            </w:tcBorders>
            <w:noWrap w:val="0"/>
            <w:vAlign w:val="center"/>
          </w:tcPr>
          <w:p w14:paraId="3E44B718">
            <w:pPr>
              <w:pStyle w:val="4"/>
              <w:tabs>
                <w:tab w:val="left" w:pos="420"/>
                <w:tab w:val="left" w:pos="540"/>
              </w:tabs>
              <w:snapToGrid w:val="0"/>
              <w:spacing w:beforeLines="0" w:afterLines="0"/>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4" w:space="0"/>
              <w:right w:val="single" w:color="auto" w:sz="8" w:space="0"/>
            </w:tcBorders>
            <w:noWrap w:val="0"/>
            <w:vAlign w:val="center"/>
          </w:tcPr>
          <w:p w14:paraId="34C673D5">
            <w:pPr>
              <w:pStyle w:val="4"/>
              <w:tabs>
                <w:tab w:val="left" w:pos="420"/>
                <w:tab w:val="left" w:pos="540"/>
              </w:tabs>
              <w:snapToGrid w:val="0"/>
              <w:spacing w:beforeLines="0" w:afterLines="0"/>
              <w:rPr>
                <w:rFonts w:hint="eastAsia" w:ascii="宋体" w:hAnsi="宋体" w:eastAsia="宋体" w:cs="宋体"/>
                <w:b w:val="0"/>
                <w:bCs w:val="0"/>
                <w:kern w:val="0"/>
                <w:sz w:val="21"/>
                <w:szCs w:val="21"/>
                <w:lang w:val="en-US" w:eastAsia="zh-CN"/>
              </w:rPr>
            </w:pPr>
            <w:r>
              <w:rPr>
                <w:rFonts w:hint="eastAsia" w:ascii="宋体" w:hAnsi="宋体" w:eastAsia="宋体" w:cs="Times New Roman"/>
                <w:kern w:val="0"/>
                <w:sz w:val="21"/>
                <w:szCs w:val="21"/>
                <w:lang w:val="en-US" w:eastAsia="zh-CN"/>
              </w:rPr>
              <w:t>1.2</w:t>
            </w:r>
          </w:p>
        </w:tc>
        <w:tc>
          <w:tcPr>
            <w:tcW w:w="1801" w:type="pct"/>
            <w:tcBorders>
              <w:top w:val="nil"/>
              <w:left w:val="nil"/>
              <w:bottom w:val="single" w:color="auto" w:sz="4" w:space="0"/>
              <w:right w:val="single" w:color="auto" w:sz="8" w:space="0"/>
            </w:tcBorders>
            <w:noWrap w:val="0"/>
            <w:vAlign w:val="center"/>
          </w:tcPr>
          <w:p w14:paraId="0A1495A1">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接入地点</w:t>
            </w:r>
            <w:r>
              <w:rPr>
                <w:rFonts w:hint="eastAsia" w:ascii="宋体" w:hAnsi="宋体" w:eastAsia="宋体" w:cs="Times New Roman"/>
                <w:kern w:val="0"/>
                <w:sz w:val="21"/>
                <w:szCs w:val="21"/>
                <w:lang w:val="en-US" w:eastAsia="zh-CN"/>
              </w:rPr>
              <w:br w:type="textWrapping"/>
            </w:r>
            <w:r>
              <w:rPr>
                <w:rFonts w:hint="eastAsia" w:ascii="宋体" w:hAnsi="宋体" w:eastAsia="宋体" w:cs="Times New Roman"/>
                <w:kern w:val="0"/>
                <w:sz w:val="21"/>
                <w:szCs w:val="21"/>
                <w:lang w:val="en-US" w:eastAsia="zh-CN"/>
              </w:rPr>
              <w:t>本端：中山大学附属第七医院</w:t>
            </w:r>
          </w:p>
          <w:p w14:paraId="6149FE81">
            <w:pPr>
              <w:pStyle w:val="4"/>
              <w:tabs>
                <w:tab w:val="left" w:pos="420"/>
                <w:tab w:val="left" w:pos="540"/>
              </w:tabs>
              <w:snapToGrid w:val="0"/>
              <w:spacing w:beforeLines="0" w:afterLines="0"/>
              <w:rPr>
                <w:rFonts w:hint="eastAsia" w:ascii="宋体" w:hAnsi="宋体" w:eastAsia="宋体" w:cs="宋体"/>
                <w:b w:val="0"/>
                <w:bCs w:val="0"/>
                <w:sz w:val="21"/>
                <w:szCs w:val="21"/>
              </w:rPr>
            </w:pPr>
            <w:r>
              <w:rPr>
                <w:rFonts w:hint="eastAsia" w:ascii="宋体" w:hAnsi="宋体" w:eastAsia="宋体" w:cs="Times New Roman"/>
                <w:kern w:val="0"/>
                <w:sz w:val="21"/>
                <w:szCs w:val="21"/>
                <w:lang w:val="en-US" w:eastAsia="zh-CN"/>
              </w:rPr>
              <w:t>对端：新城大厦市卫健委机房（深圳市福田区深南中路1025号新城大厦）</w:t>
            </w:r>
          </w:p>
        </w:tc>
        <w:tc>
          <w:tcPr>
            <w:tcW w:w="1536" w:type="pct"/>
            <w:tcBorders>
              <w:top w:val="nil"/>
              <w:left w:val="nil"/>
              <w:bottom w:val="single" w:color="auto" w:sz="4" w:space="0"/>
              <w:right w:val="single" w:color="auto" w:sz="8" w:space="0"/>
            </w:tcBorders>
            <w:noWrap w:val="0"/>
            <w:vAlign w:val="center"/>
          </w:tcPr>
          <w:p w14:paraId="0687988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4" w:space="0"/>
              <w:right w:val="single" w:color="auto" w:sz="4"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257D0D02">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3"/>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3"/>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66A00F42">
      <w:pPr>
        <w:widowControl w:val="0"/>
        <w:numPr>
          <w:ilvl w:val="0"/>
          <w:numId w:val="0"/>
        </w:numPr>
        <w:jc w:val="both"/>
        <w:rPr>
          <w:rFonts w:hint="eastAsia" w:ascii="宋体" w:hAnsi="宋体" w:cs="宋体"/>
          <w:color w:val="333333"/>
          <w:kern w:val="0"/>
          <w:sz w:val="24"/>
          <w:szCs w:val="24"/>
        </w:rPr>
      </w:pPr>
    </w:p>
    <w:p w14:paraId="4E09B496">
      <w:pPr>
        <w:widowControl w:val="0"/>
        <w:numPr>
          <w:ilvl w:val="0"/>
          <w:numId w:val="0"/>
        </w:numPr>
        <w:jc w:val="both"/>
        <w:rPr>
          <w:rFonts w:hint="eastAsia" w:ascii="宋体" w:hAnsi="宋体" w:cs="宋体"/>
          <w:color w:val="333333"/>
          <w:kern w:val="0"/>
          <w:sz w:val="24"/>
          <w:szCs w:val="24"/>
        </w:rPr>
      </w:pPr>
    </w:p>
    <w:p w14:paraId="5C51EB5B">
      <w:pPr>
        <w:pStyle w:val="9"/>
        <w:rPr>
          <w:rFonts w:hint="eastAsia" w:ascii="宋体" w:hAnsi="宋体" w:cs="宋体"/>
          <w:color w:val="333333"/>
          <w:kern w:val="0"/>
          <w:sz w:val="24"/>
          <w:szCs w:val="24"/>
        </w:rPr>
      </w:pPr>
    </w:p>
    <w:p w14:paraId="43C463FA">
      <w:pPr>
        <w:rPr>
          <w:rFonts w:hint="eastAsia" w:ascii="宋体" w:hAnsi="宋体" w:cs="宋体"/>
          <w:color w:val="333333"/>
          <w:kern w:val="0"/>
          <w:sz w:val="24"/>
          <w:szCs w:val="24"/>
        </w:rPr>
      </w:pPr>
    </w:p>
    <w:p w14:paraId="65FE5369">
      <w:pPr>
        <w:pStyle w:val="9"/>
        <w:rPr>
          <w:rFonts w:hint="eastAsia" w:ascii="宋体" w:hAnsi="宋体" w:cs="宋体"/>
          <w:color w:val="333333"/>
          <w:kern w:val="0"/>
          <w:sz w:val="24"/>
          <w:szCs w:val="24"/>
        </w:rPr>
      </w:pPr>
    </w:p>
    <w:p w14:paraId="06B2C681">
      <w:pPr>
        <w:rPr>
          <w:rFonts w:hint="eastAsia" w:ascii="宋体" w:hAnsi="宋体" w:cs="宋体"/>
          <w:color w:val="333333"/>
          <w:kern w:val="0"/>
          <w:sz w:val="24"/>
          <w:szCs w:val="24"/>
        </w:rPr>
      </w:pPr>
    </w:p>
    <w:p w14:paraId="1E32A7BD">
      <w:pPr>
        <w:pStyle w:val="9"/>
        <w:rPr>
          <w:rFonts w:hint="eastAsia"/>
        </w:rPr>
      </w:pPr>
    </w:p>
    <w:p w14:paraId="39279A32">
      <w:pPr>
        <w:rPr>
          <w:rFonts w:hint="eastAsia"/>
        </w:rPr>
      </w:pPr>
    </w:p>
    <w:p w14:paraId="1487D8F4">
      <w:pPr>
        <w:pStyle w:val="9"/>
        <w:rPr>
          <w:rFonts w:hint="eastAsia"/>
        </w:rPr>
      </w:pPr>
    </w:p>
    <w:p w14:paraId="52177CD1">
      <w:pPr>
        <w:rPr>
          <w:rFonts w:hint="eastAsia"/>
        </w:rPr>
      </w:pPr>
    </w:p>
    <w:p w14:paraId="2922B39D">
      <w:pPr>
        <w:pStyle w:val="9"/>
        <w:rPr>
          <w:rFonts w:hint="eastAsia"/>
        </w:rPr>
      </w:pPr>
    </w:p>
    <w:p w14:paraId="36563461">
      <w:pPr>
        <w:rPr>
          <w:rFonts w:hint="eastAsia"/>
        </w:rPr>
      </w:pPr>
    </w:p>
    <w:p w14:paraId="6AF00198">
      <w:pPr>
        <w:rPr>
          <w:rFonts w:hint="eastAsia"/>
        </w:rPr>
      </w:pPr>
    </w:p>
    <w:p w14:paraId="547BE9E4">
      <w:pPr>
        <w:rPr>
          <w:rFonts w:hint="eastAsia"/>
        </w:rPr>
      </w:pPr>
    </w:p>
    <w:p w14:paraId="3A7481A7">
      <w:pPr>
        <w:widowControl w:val="0"/>
        <w:numPr>
          <w:ilvl w:val="0"/>
          <w:numId w:val="2"/>
        </w:numPr>
        <w:jc w:val="both"/>
        <w:rPr>
          <w:rFonts w:hint="default" w:ascii="宋体" w:hAnsi="宋体" w:cs="宋体"/>
          <w:color w:val="333333"/>
          <w:kern w:val="0"/>
          <w:sz w:val="24"/>
          <w:szCs w:val="24"/>
          <w:lang w:val="en-US" w:eastAsia="zh-CN"/>
        </w:rPr>
      </w:pPr>
      <w:bookmarkStart w:id="3" w:name="_GoBack"/>
      <w:bookmarkEnd w:id="3"/>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7"/>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3925"/>
        <w:gridCol w:w="3375"/>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3925"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3375"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344" w:type="dxa"/>
            <w:vAlign w:val="center"/>
          </w:tcPr>
          <w:p w14:paraId="6A2BBD3B">
            <w:pPr>
              <w:pStyle w:val="4"/>
              <w:tabs>
                <w:tab w:val="left" w:pos="420"/>
                <w:tab w:val="left" w:pos="540"/>
              </w:tabs>
              <w:snapToGrid w:val="0"/>
              <w:spacing w:beforeLines="0" w:afterLines="0"/>
              <w:rPr>
                <w:rFonts w:hint="default" w:ascii="宋体" w:hAnsi="宋体" w:cs="宋体"/>
                <w:kern w:val="0"/>
                <w:sz w:val="20"/>
                <w:szCs w:val="21"/>
                <w:lang w:val="en-US"/>
              </w:rPr>
            </w:pPr>
            <w:r>
              <w:rPr>
                <w:rFonts w:hint="eastAsia" w:hAnsi="宋体" w:eastAsia="宋体" w:cs="Times New Roman"/>
                <w:kern w:val="0"/>
                <w:sz w:val="21"/>
                <w:szCs w:val="21"/>
                <w:lang w:val="en-US" w:eastAsia="zh-CN"/>
              </w:rPr>
              <w:t>1</w:t>
            </w:r>
            <w:r>
              <w:rPr>
                <w:rFonts w:hint="eastAsia" w:ascii="宋体" w:hAnsi="宋体" w:eastAsia="宋体" w:cs="Times New Roman"/>
                <w:kern w:val="0"/>
                <w:sz w:val="21"/>
                <w:szCs w:val="21"/>
                <w:lang w:val="en-US" w:eastAsia="zh-CN"/>
              </w:rPr>
              <w:t>. 服务期限</w:t>
            </w:r>
          </w:p>
        </w:tc>
        <w:tc>
          <w:tcPr>
            <w:tcW w:w="3925" w:type="dxa"/>
            <w:shd w:val="clear" w:color="auto" w:fill="auto"/>
            <w:vAlign w:val="center"/>
          </w:tcPr>
          <w:p w14:paraId="6423E66D">
            <w:pPr>
              <w:pStyle w:val="4"/>
              <w:tabs>
                <w:tab w:val="left" w:pos="420"/>
                <w:tab w:val="left" w:pos="540"/>
              </w:tabs>
              <w:snapToGrid w:val="0"/>
              <w:spacing w:beforeLines="0" w:afterLines="0"/>
              <w:rPr>
                <w:rFonts w:hint="eastAsia" w:ascii="宋体" w:hAnsi="宋体" w:cs="宋体" w:eastAsiaTheme="minorEastAsia"/>
                <w:kern w:val="0"/>
                <w:sz w:val="21"/>
                <w:szCs w:val="21"/>
                <w:lang w:val="en-US" w:eastAsia="zh-CN" w:bidi="ar-SA"/>
              </w:rPr>
            </w:pPr>
            <w:r>
              <w:rPr>
                <w:rFonts w:hint="eastAsia" w:ascii="宋体" w:hAnsi="宋体" w:eastAsia="宋体" w:cs="Times New Roman"/>
                <w:kern w:val="0"/>
                <w:sz w:val="21"/>
                <w:szCs w:val="21"/>
                <w:lang w:val="en-US" w:eastAsia="zh-CN"/>
              </w:rPr>
              <w:t>12个月（2025年9月27日-2026年9月26日）。本项目为长期服务项目，服务期内综合履约情况优秀的，采购人有权与中标人另行签订合同进行续签，续签不得变更服务内容、合同价格与违约责任等实质内容，累计合同期限（含续签）不超过36个月。</w:t>
            </w:r>
          </w:p>
        </w:tc>
        <w:tc>
          <w:tcPr>
            <w:tcW w:w="3375" w:type="dxa"/>
          </w:tcPr>
          <w:p w14:paraId="0741A494">
            <w:pPr>
              <w:rPr>
                <w:kern w:val="0"/>
                <w:sz w:val="20"/>
                <w:szCs w:val="20"/>
              </w:rPr>
            </w:pPr>
          </w:p>
        </w:tc>
        <w:tc>
          <w:tcPr>
            <w:tcW w:w="1279" w:type="dxa"/>
          </w:tcPr>
          <w:p w14:paraId="2A307743">
            <w:pPr>
              <w:rPr>
                <w:kern w:val="0"/>
                <w:sz w:val="20"/>
                <w:szCs w:val="20"/>
              </w:rPr>
            </w:pPr>
          </w:p>
        </w:tc>
      </w:tr>
      <w:tr w14:paraId="1CB5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344" w:type="dxa"/>
            <w:vAlign w:val="center"/>
          </w:tcPr>
          <w:p w14:paraId="659E0E6C">
            <w:pPr>
              <w:pStyle w:val="4"/>
              <w:tabs>
                <w:tab w:val="left" w:pos="420"/>
                <w:tab w:val="left" w:pos="540"/>
              </w:tabs>
              <w:snapToGrid w:val="0"/>
              <w:spacing w:beforeLines="0" w:afterLines="0"/>
            </w:pPr>
            <w:r>
              <w:rPr>
                <w:rFonts w:hint="eastAsia" w:hAnsi="宋体" w:eastAsia="宋体" w:cs="Times New Roman"/>
                <w:kern w:val="0"/>
                <w:sz w:val="21"/>
                <w:szCs w:val="21"/>
                <w:lang w:val="en-US" w:eastAsia="zh-CN"/>
              </w:rPr>
              <w:t>2</w:t>
            </w:r>
            <w:r>
              <w:rPr>
                <w:rFonts w:hint="eastAsia" w:ascii="宋体" w:hAnsi="宋体" w:eastAsia="宋体" w:cs="Times New Roman"/>
                <w:kern w:val="0"/>
                <w:sz w:val="21"/>
                <w:szCs w:val="21"/>
                <w:lang w:val="en-US" w:eastAsia="zh-CN"/>
              </w:rPr>
              <w:t>. 付款方式</w:t>
            </w:r>
          </w:p>
        </w:tc>
        <w:tc>
          <w:tcPr>
            <w:tcW w:w="3925" w:type="dxa"/>
            <w:shd w:val="clear" w:color="auto" w:fill="auto"/>
            <w:vAlign w:val="center"/>
          </w:tcPr>
          <w:p w14:paraId="777DF0AD">
            <w:pPr>
              <w:pStyle w:val="4"/>
              <w:tabs>
                <w:tab w:val="left" w:pos="420"/>
                <w:tab w:val="left" w:pos="540"/>
              </w:tabs>
              <w:snapToGrid w:val="0"/>
              <w:spacing w:beforeLines="0" w:afterLines="0"/>
              <w:rPr>
                <w:rFonts w:hint="eastAsia" w:ascii="宋体" w:hAnsi="宋体" w:cs="宋体" w:eastAsiaTheme="minorEastAsia"/>
                <w:color w:val="000000"/>
                <w:kern w:val="0"/>
                <w:sz w:val="21"/>
                <w:szCs w:val="21"/>
                <w:lang w:val="en-US" w:eastAsia="zh-CN" w:bidi="ar-SA"/>
              </w:rPr>
            </w:pPr>
            <w:r>
              <w:rPr>
                <w:rFonts w:hint="eastAsia" w:ascii="宋体" w:hAnsi="宋体" w:eastAsia="宋体" w:cs="Times New Roman"/>
                <w:kern w:val="0"/>
                <w:sz w:val="21"/>
                <w:szCs w:val="21"/>
                <w:lang w:val="en-US" w:eastAsia="zh-CN"/>
              </w:rPr>
              <w:t>电路专线开通并满足功能需求，且收到中标人开具符合国家财务规定的发票后，后一次性支付全款。</w:t>
            </w:r>
          </w:p>
        </w:tc>
        <w:tc>
          <w:tcPr>
            <w:tcW w:w="3375" w:type="dxa"/>
          </w:tcPr>
          <w:p w14:paraId="576C8FF7">
            <w:pPr>
              <w:widowControl/>
              <w:rPr>
                <w:rFonts w:hint="eastAsia"/>
                <w:lang w:val="en-US" w:eastAsia="zh-CN"/>
              </w:rPr>
            </w:pPr>
          </w:p>
        </w:tc>
        <w:tc>
          <w:tcPr>
            <w:tcW w:w="1279" w:type="dxa"/>
          </w:tcPr>
          <w:p w14:paraId="6ED122DD">
            <w:pPr>
              <w:widowControl/>
              <w:rPr>
                <w:rFonts w:hint="eastAsia"/>
                <w:lang w:val="en-US" w:eastAsia="zh-CN"/>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Merge w:val="restart"/>
            <w:vAlign w:val="center"/>
          </w:tcPr>
          <w:p w14:paraId="47E845B1">
            <w:pPr>
              <w:pStyle w:val="4"/>
              <w:tabs>
                <w:tab w:val="left" w:pos="420"/>
                <w:tab w:val="left" w:pos="540"/>
              </w:tabs>
              <w:snapToGrid w:val="0"/>
              <w:spacing w:beforeLines="0" w:afterLines="0"/>
              <w:rPr>
                <w:rFonts w:hint="eastAsia" w:ascii="宋体" w:hAnsi="宋体"/>
                <w:spacing w:val="-3"/>
                <w:sz w:val="24"/>
                <w:szCs w:val="24"/>
              </w:rPr>
            </w:pPr>
            <w:r>
              <w:rPr>
                <w:rFonts w:hint="eastAsia" w:hAnsi="宋体" w:eastAsia="宋体" w:cs="Times New Roman"/>
                <w:kern w:val="0"/>
                <w:sz w:val="21"/>
                <w:szCs w:val="21"/>
                <w:lang w:val="en-US" w:eastAsia="zh-CN"/>
              </w:rPr>
              <w:t>3</w:t>
            </w:r>
            <w:r>
              <w:rPr>
                <w:rFonts w:hint="eastAsia" w:ascii="宋体" w:hAnsi="宋体" w:eastAsia="宋体" w:cs="Times New Roman"/>
                <w:kern w:val="0"/>
                <w:sz w:val="21"/>
                <w:szCs w:val="21"/>
                <w:lang w:val="en-US" w:eastAsia="zh-CN"/>
              </w:rPr>
              <w:t>.售后服务</w:t>
            </w:r>
          </w:p>
        </w:tc>
        <w:tc>
          <w:tcPr>
            <w:tcW w:w="3925" w:type="dxa"/>
            <w:vAlign w:val="center"/>
          </w:tcPr>
          <w:p w14:paraId="20B3B8EE">
            <w:pPr>
              <w:pStyle w:val="4"/>
              <w:tabs>
                <w:tab w:val="left" w:pos="420"/>
                <w:tab w:val="left" w:pos="540"/>
              </w:tabs>
              <w:snapToGrid w:val="0"/>
              <w:spacing w:beforeLines="0" w:afterLines="0"/>
              <w:rPr>
                <w:rFonts w:hint="eastAsia" w:ascii="宋体" w:hAnsi="宋体" w:cs="宋体"/>
                <w:color w:val="333333"/>
                <w:kern w:val="0"/>
                <w:sz w:val="21"/>
                <w:szCs w:val="21"/>
                <w:lang w:val="en-US" w:eastAsia="zh-CN"/>
              </w:rPr>
            </w:pPr>
            <w:r>
              <w:rPr>
                <w:rFonts w:hint="eastAsia" w:ascii="宋体" w:hAnsi="宋体" w:eastAsia="宋体" w:cs="Times New Roman"/>
                <w:kern w:val="0"/>
                <w:sz w:val="21"/>
                <w:szCs w:val="21"/>
                <w:lang w:val="en-US" w:eastAsia="zh-CN"/>
              </w:rPr>
              <w:t>电路专线开通后，中标方对采购人提出的专线故障申告应立即处理，业务中断修复最长时限为2小时，一般故障修复时限最长为 24小时(不含客户内部局域网)。</w:t>
            </w:r>
          </w:p>
        </w:tc>
        <w:tc>
          <w:tcPr>
            <w:tcW w:w="3375"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Merge w:val="continue"/>
            <w:vAlign w:val="center"/>
          </w:tcPr>
          <w:p w14:paraId="32817AAC">
            <w:pPr>
              <w:pStyle w:val="4"/>
              <w:tabs>
                <w:tab w:val="left" w:pos="420"/>
                <w:tab w:val="left" w:pos="540"/>
              </w:tabs>
              <w:snapToGrid w:val="0"/>
              <w:spacing w:beforeLines="0" w:afterLines="0"/>
              <w:rPr>
                <w:rFonts w:ascii="宋体" w:hAnsi="宋体" w:cs="宋体"/>
                <w:kern w:val="0"/>
                <w:sz w:val="20"/>
                <w:szCs w:val="21"/>
              </w:rPr>
            </w:pPr>
          </w:p>
        </w:tc>
        <w:tc>
          <w:tcPr>
            <w:tcW w:w="3925" w:type="dxa"/>
            <w:vAlign w:val="center"/>
          </w:tcPr>
          <w:p w14:paraId="3DE7ED8E">
            <w:pPr>
              <w:pStyle w:val="4"/>
              <w:tabs>
                <w:tab w:val="left" w:pos="420"/>
                <w:tab w:val="left" w:pos="540"/>
              </w:tabs>
              <w:snapToGrid w:val="0"/>
              <w:spacing w:beforeLines="0" w:afterLines="0"/>
              <w:rPr>
                <w:rFonts w:hint="default" w:ascii="宋体" w:hAnsi="宋体" w:cs="宋体"/>
                <w:color w:val="333333"/>
                <w:kern w:val="0"/>
                <w:sz w:val="21"/>
                <w:szCs w:val="21"/>
                <w:lang w:val="en-US" w:eastAsia="zh-CN"/>
              </w:rPr>
            </w:pPr>
            <w:r>
              <w:rPr>
                <w:rFonts w:hint="eastAsia" w:ascii="宋体" w:hAnsi="宋体" w:eastAsia="宋体" w:cs="Times New Roman"/>
                <w:kern w:val="0"/>
                <w:sz w:val="21"/>
                <w:szCs w:val="21"/>
                <w:lang w:val="en-US" w:eastAsia="zh-CN"/>
              </w:rPr>
              <w:t>提供 7*24 小时故障受理专业电话，向采购人提供稳定的网络运行质量和及时的信息反馈,平均故障处理时间小于等于2小时。</w:t>
            </w:r>
          </w:p>
        </w:tc>
        <w:tc>
          <w:tcPr>
            <w:tcW w:w="3375"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pStyle w:val="4"/>
              <w:tabs>
                <w:tab w:val="left" w:pos="420"/>
                <w:tab w:val="left" w:pos="540"/>
              </w:tabs>
              <w:snapToGrid w:val="0"/>
              <w:spacing w:beforeLines="0" w:afterLines="0"/>
              <w:rPr>
                <w:rFonts w:ascii="宋体" w:hAnsi="宋体" w:cs="宋体"/>
                <w:kern w:val="0"/>
                <w:sz w:val="20"/>
                <w:szCs w:val="21"/>
              </w:rPr>
            </w:pPr>
            <w:r>
              <w:rPr>
                <w:rFonts w:hint="eastAsia" w:hAnsi="宋体" w:eastAsia="宋体" w:cs="Times New Roman"/>
                <w:kern w:val="0"/>
                <w:sz w:val="21"/>
                <w:szCs w:val="21"/>
                <w:lang w:val="en-US" w:eastAsia="zh-CN"/>
              </w:rPr>
              <w:t>4</w:t>
            </w:r>
            <w:r>
              <w:rPr>
                <w:rFonts w:hint="eastAsia" w:ascii="宋体" w:hAnsi="宋体" w:eastAsia="宋体" w:cs="Times New Roman"/>
                <w:kern w:val="0"/>
                <w:sz w:val="21"/>
                <w:szCs w:val="21"/>
                <w:lang w:val="en-US" w:eastAsia="zh-CN"/>
              </w:rPr>
              <w:t>.保密要求</w:t>
            </w:r>
          </w:p>
        </w:tc>
        <w:tc>
          <w:tcPr>
            <w:tcW w:w="3925" w:type="dxa"/>
            <w:vAlign w:val="center"/>
          </w:tcPr>
          <w:p w14:paraId="38B661BB">
            <w:pPr>
              <w:pStyle w:val="4"/>
              <w:tabs>
                <w:tab w:val="left" w:pos="420"/>
                <w:tab w:val="left" w:pos="540"/>
              </w:tabs>
              <w:snapToGrid w:val="0"/>
              <w:spacing w:beforeLines="0" w:afterLines="0"/>
              <w:rPr>
                <w:rFonts w:hint="eastAsia" w:ascii="宋体" w:hAnsi="宋体" w:cs="宋体"/>
                <w:color w:val="333333"/>
                <w:kern w:val="0"/>
                <w:sz w:val="21"/>
                <w:szCs w:val="21"/>
                <w:lang w:val="en-US" w:eastAsia="zh-CN"/>
              </w:rPr>
            </w:pPr>
            <w:r>
              <w:rPr>
                <w:rFonts w:hint="eastAsia" w:ascii="宋体" w:hAnsi="宋体" w:eastAsia="宋体" w:cs="Times New Roman"/>
                <w:kern w:val="0"/>
                <w:sz w:val="21"/>
                <w:szCs w:val="21"/>
                <w:lang w:val="en-US" w:eastAsia="zh-CN"/>
              </w:rPr>
              <w:t>未经采购人书面许可,不得在任何时间向第三方披露或提供本项目执行过程中所获得或接触到的任何内部数据资料。</w:t>
            </w:r>
          </w:p>
        </w:tc>
        <w:tc>
          <w:tcPr>
            <w:tcW w:w="3375" w:type="dxa"/>
          </w:tcPr>
          <w:p w14:paraId="7E6CDD0E">
            <w:pPr>
              <w:rPr>
                <w:kern w:val="0"/>
                <w:sz w:val="20"/>
                <w:szCs w:val="20"/>
              </w:rPr>
            </w:pPr>
          </w:p>
        </w:tc>
        <w:tc>
          <w:tcPr>
            <w:tcW w:w="1279" w:type="dxa"/>
          </w:tcPr>
          <w:p w14:paraId="3FF42EC0">
            <w:pPr>
              <w:rPr>
                <w:kern w:val="0"/>
                <w:sz w:val="20"/>
                <w:szCs w:val="20"/>
              </w:rPr>
            </w:pPr>
          </w:p>
        </w:tc>
      </w:tr>
      <w:tr w14:paraId="02E1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4" w:type="dxa"/>
            <w:vMerge w:val="restart"/>
            <w:vAlign w:val="center"/>
          </w:tcPr>
          <w:p w14:paraId="56F3C87B">
            <w:pPr>
              <w:pStyle w:val="4"/>
              <w:tabs>
                <w:tab w:val="left" w:pos="420"/>
                <w:tab w:val="left" w:pos="540"/>
              </w:tabs>
              <w:snapToGrid w:val="0"/>
              <w:spacing w:beforeLines="0" w:afterLines="0"/>
              <w:rPr>
                <w:rFonts w:hint="eastAsia" w:ascii="宋体" w:hAnsi="宋体" w:cs="宋体"/>
                <w:color w:val="000000"/>
                <w:kern w:val="0"/>
                <w:szCs w:val="21"/>
                <w:lang w:val="en-US" w:eastAsia="zh-CN"/>
              </w:rPr>
            </w:pPr>
            <w:r>
              <w:rPr>
                <w:rFonts w:hint="eastAsia" w:hAnsi="宋体" w:eastAsia="宋体" w:cs="Times New Roman"/>
                <w:kern w:val="0"/>
                <w:sz w:val="21"/>
                <w:szCs w:val="21"/>
                <w:lang w:val="en-US" w:eastAsia="zh-CN"/>
              </w:rPr>
              <w:t>5</w:t>
            </w:r>
            <w:r>
              <w:rPr>
                <w:rFonts w:hint="eastAsia" w:ascii="宋体" w:hAnsi="宋体" w:eastAsia="宋体" w:cs="Times New Roman"/>
                <w:kern w:val="0"/>
                <w:sz w:val="21"/>
                <w:szCs w:val="21"/>
                <w:lang w:val="en-US" w:eastAsia="zh-CN"/>
              </w:rPr>
              <w:t>.违约要求</w:t>
            </w:r>
          </w:p>
        </w:tc>
        <w:tc>
          <w:tcPr>
            <w:tcW w:w="3925" w:type="dxa"/>
            <w:vAlign w:val="center"/>
          </w:tcPr>
          <w:p w14:paraId="10444B90">
            <w:pPr>
              <w:pStyle w:val="4"/>
              <w:tabs>
                <w:tab w:val="left" w:pos="420"/>
                <w:tab w:val="left" w:pos="540"/>
              </w:tabs>
              <w:snapToGrid w:val="0"/>
              <w:spacing w:beforeLines="0" w:afterLines="0"/>
              <w:rPr>
                <w:rFonts w:hint="eastAsia" w:ascii="宋体" w:hAnsi="宋体" w:cs="宋体"/>
                <w:color w:val="000000"/>
                <w:kern w:val="0"/>
                <w:szCs w:val="21"/>
                <w:lang w:val="en-US" w:eastAsia="zh-CN"/>
              </w:rPr>
            </w:pPr>
            <w:r>
              <w:rPr>
                <w:rFonts w:hint="eastAsia" w:ascii="宋体" w:hAnsi="宋体" w:eastAsia="宋体" w:cs="Times New Roman"/>
                <w:kern w:val="0"/>
                <w:sz w:val="21"/>
                <w:szCs w:val="21"/>
                <w:lang w:val="en-US" w:eastAsia="zh-CN"/>
              </w:rPr>
              <w:t>如投标人未按照应答文件中承诺的时间提供服务，投标人应承担延期服务的违约责任，向采购人支付逾期违约金，以本合同总价为基数，每逾期一日，按同期全国银行间同业拆借中心公布的贷款市场报价利率（LPR）四倍计算；逾期超过三十个日历日的，投标人需向采购人另行支付合同总价的20%的违约金，采购人有权单方解除采购合同。另外，投标人赔偿采购人因此造成的实际经济损失。</w:t>
            </w:r>
          </w:p>
        </w:tc>
        <w:tc>
          <w:tcPr>
            <w:tcW w:w="3375" w:type="dxa"/>
            <w:vMerge w:val="restart"/>
          </w:tcPr>
          <w:p w14:paraId="68850C82">
            <w:pPr>
              <w:rPr>
                <w:kern w:val="0"/>
                <w:sz w:val="20"/>
                <w:szCs w:val="20"/>
              </w:rPr>
            </w:pPr>
          </w:p>
        </w:tc>
        <w:tc>
          <w:tcPr>
            <w:tcW w:w="1279" w:type="dxa"/>
            <w:vMerge w:val="restart"/>
          </w:tcPr>
          <w:p w14:paraId="4BB505B2">
            <w:pPr>
              <w:rPr>
                <w:kern w:val="0"/>
                <w:sz w:val="20"/>
                <w:szCs w:val="20"/>
              </w:rPr>
            </w:pPr>
          </w:p>
        </w:tc>
      </w:tr>
      <w:tr w14:paraId="7C8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4" w:type="dxa"/>
            <w:vMerge w:val="continue"/>
            <w:vAlign w:val="center"/>
          </w:tcPr>
          <w:p w14:paraId="208582C3">
            <w:pPr>
              <w:pStyle w:val="4"/>
              <w:tabs>
                <w:tab w:val="left" w:pos="420"/>
                <w:tab w:val="left" w:pos="540"/>
              </w:tabs>
              <w:snapToGrid w:val="0"/>
              <w:spacing w:beforeLines="0" w:afterLines="0"/>
            </w:pPr>
          </w:p>
        </w:tc>
        <w:tc>
          <w:tcPr>
            <w:tcW w:w="3925" w:type="dxa"/>
            <w:vAlign w:val="center"/>
          </w:tcPr>
          <w:p w14:paraId="586C3247">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出现下列情形之一的，甲方有权单方解除/终止合同，乙方应在收到甲方解除/终止合同的通知之日起两个星期内返还甲方已付服务费，同时乙方须按合同总金额的20%向甲方赔偿违约金。违约金不足以赔偿甲方由此而遭受的直接和间接损失的，甲方有权继续追偿。具体情形如下：</w:t>
            </w:r>
          </w:p>
          <w:p w14:paraId="694F77E6">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1、乙方在履行合同过程中明显地体现出无法按双方约定的主要技术要求完成本技术服务的；</w:t>
            </w:r>
          </w:p>
          <w:p w14:paraId="633F4AA9">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2、非经甲方书面同意，乙方擅自变更本合同内容或将本合同项下权利义务全部或部分转让给任何第三方的，或将本合同项下服务转包或分包的；</w:t>
            </w:r>
          </w:p>
          <w:p w14:paraId="214E2DAE">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3、乙方有不履行或不适当履行合同义务的情形，经甲方书面催促仍未有效改正的，或整改后仍达不到甲方要求的；</w:t>
            </w:r>
          </w:p>
          <w:p w14:paraId="2DBC8758">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4、乙方从事商业贿赂行为或其他违法违规行为的；</w:t>
            </w:r>
          </w:p>
          <w:p w14:paraId="5AFB7614">
            <w:pPr>
              <w:pStyle w:val="4"/>
              <w:tabs>
                <w:tab w:val="left" w:pos="420"/>
                <w:tab w:val="left" w:pos="540"/>
              </w:tabs>
              <w:snapToGrid w:val="0"/>
              <w:spacing w:beforeLines="0" w:afterLines="0"/>
              <w:rPr>
                <w:rFonts w:hint="eastAsia" w:ascii="宋体" w:hAnsi="宋体" w:cs="宋体"/>
                <w:color w:val="000000"/>
                <w:kern w:val="0"/>
                <w:szCs w:val="21"/>
                <w:lang w:val="en-US" w:eastAsia="zh-CN"/>
              </w:rPr>
            </w:pPr>
            <w:r>
              <w:rPr>
                <w:rFonts w:hint="eastAsia" w:ascii="宋体" w:hAnsi="宋体" w:eastAsia="宋体" w:cs="Times New Roman"/>
                <w:kern w:val="0"/>
                <w:sz w:val="21"/>
                <w:szCs w:val="21"/>
                <w:lang w:val="en-US" w:eastAsia="zh-CN"/>
              </w:rPr>
              <w:t>5、法律规定的或本合同约定的其他甲方有权单方解除/终止合同的情形。</w:t>
            </w:r>
          </w:p>
        </w:tc>
        <w:tc>
          <w:tcPr>
            <w:tcW w:w="3375" w:type="dxa"/>
            <w:vMerge w:val="continue"/>
          </w:tcPr>
          <w:p w14:paraId="71ED3069">
            <w:pPr>
              <w:widowControl/>
              <w:rPr>
                <w:rFonts w:hint="eastAsia" w:ascii="宋体" w:hAnsi="宋体" w:cs="宋体"/>
                <w:color w:val="000000"/>
                <w:kern w:val="0"/>
                <w:szCs w:val="21"/>
                <w:lang w:val="en-US" w:eastAsia="zh-CN"/>
              </w:rPr>
            </w:pPr>
          </w:p>
        </w:tc>
        <w:tc>
          <w:tcPr>
            <w:tcW w:w="1279" w:type="dxa"/>
            <w:vMerge w:val="continue"/>
          </w:tcPr>
          <w:p w14:paraId="2DCB6833">
            <w:pPr>
              <w:widowControl/>
              <w:rPr>
                <w:rFonts w:hint="eastAsia" w:ascii="宋体" w:hAnsi="宋体" w:cs="宋体"/>
                <w:color w:val="000000"/>
                <w:kern w:val="0"/>
                <w:szCs w:val="21"/>
                <w:lang w:val="en-US" w:eastAsia="zh-CN"/>
              </w:rPr>
            </w:pPr>
          </w:p>
        </w:tc>
      </w:tr>
      <w:tr w14:paraId="3D1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4" w:type="dxa"/>
            <w:vMerge w:val="continue"/>
            <w:vAlign w:val="center"/>
          </w:tcPr>
          <w:p w14:paraId="5C9D14DB">
            <w:pPr>
              <w:pStyle w:val="4"/>
              <w:tabs>
                <w:tab w:val="left" w:pos="420"/>
                <w:tab w:val="left" w:pos="540"/>
              </w:tabs>
              <w:snapToGrid w:val="0"/>
              <w:spacing w:beforeLines="0" w:afterLines="0"/>
            </w:pPr>
          </w:p>
        </w:tc>
        <w:tc>
          <w:tcPr>
            <w:tcW w:w="3925" w:type="dxa"/>
            <w:vAlign w:val="center"/>
          </w:tcPr>
          <w:p w14:paraId="36B22DD4">
            <w:pPr>
              <w:pStyle w:val="4"/>
              <w:tabs>
                <w:tab w:val="left" w:pos="540"/>
                <w:tab w:val="left" w:pos="785"/>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乙方如出现歇业、停业、被吊销营业执照或被人民法院裁定宣告进入破产还债程序等情形，应提前 1 个月以书面形式通知甲方，甲方有权单方解除合同，乙方应在收到甲方发出的解除/终止合同通知后10天内无条件退回甲方已支付的全部款项，按合同总价的20%向甲方支付违约金，并对甲方遭受的损失进行赔偿。</w:t>
            </w:r>
          </w:p>
        </w:tc>
        <w:tc>
          <w:tcPr>
            <w:tcW w:w="3375" w:type="dxa"/>
          </w:tcPr>
          <w:p w14:paraId="2C5D7329">
            <w:pPr>
              <w:widowControl/>
              <w:rPr>
                <w:rFonts w:hint="eastAsia" w:ascii="宋体" w:hAnsi="宋体" w:cs="宋体"/>
                <w:color w:val="000000"/>
                <w:kern w:val="0"/>
                <w:szCs w:val="21"/>
                <w:lang w:val="en-US" w:eastAsia="zh-CN"/>
              </w:rPr>
            </w:pPr>
          </w:p>
        </w:tc>
        <w:tc>
          <w:tcPr>
            <w:tcW w:w="1279" w:type="dxa"/>
          </w:tcPr>
          <w:p w14:paraId="579F50B4">
            <w:pPr>
              <w:widowControl/>
              <w:rPr>
                <w:rFonts w:hint="eastAsia" w:ascii="宋体" w:hAnsi="宋体" w:cs="宋体"/>
                <w:color w:val="000000"/>
                <w:kern w:val="0"/>
                <w:szCs w:val="21"/>
                <w:lang w:val="en-US" w:eastAsia="zh-CN"/>
              </w:rPr>
            </w:pPr>
          </w:p>
        </w:tc>
      </w:tr>
      <w:tr w14:paraId="75D9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4" w:type="dxa"/>
            <w:vMerge w:val="continue"/>
            <w:vAlign w:val="center"/>
          </w:tcPr>
          <w:p w14:paraId="49F4C012">
            <w:pPr>
              <w:pStyle w:val="4"/>
              <w:tabs>
                <w:tab w:val="left" w:pos="420"/>
                <w:tab w:val="left" w:pos="540"/>
              </w:tabs>
              <w:snapToGrid w:val="0"/>
              <w:spacing w:beforeLines="0" w:afterLines="0"/>
            </w:pPr>
          </w:p>
        </w:tc>
        <w:tc>
          <w:tcPr>
            <w:tcW w:w="3925" w:type="dxa"/>
            <w:vAlign w:val="center"/>
          </w:tcPr>
          <w:p w14:paraId="4BAD6583">
            <w:pPr>
              <w:pStyle w:val="4"/>
              <w:tabs>
                <w:tab w:val="left" w:pos="420"/>
                <w:tab w:val="left" w:pos="540"/>
              </w:tabs>
              <w:snapToGrid w:val="0"/>
              <w:spacing w:beforeLines="0" w:afterLines="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在合同履行期间，若发现乙方存有被有关部门予以政府采购方面行政处罚情况的，甲方有权单方解除合同，并且乙方应偿付甲方合同价款【20】%的违约金，违约金不足以弥补甲方损失的，甲方有权追偿</w:t>
            </w:r>
          </w:p>
        </w:tc>
        <w:tc>
          <w:tcPr>
            <w:tcW w:w="3375" w:type="dxa"/>
          </w:tcPr>
          <w:p w14:paraId="6CAAF986">
            <w:pPr>
              <w:widowControl/>
              <w:rPr>
                <w:rFonts w:hint="eastAsia" w:ascii="宋体" w:hAnsi="宋体" w:cs="宋体"/>
                <w:color w:val="000000"/>
                <w:kern w:val="0"/>
                <w:szCs w:val="21"/>
                <w:lang w:val="en-US" w:eastAsia="zh-CN"/>
              </w:rPr>
            </w:pPr>
          </w:p>
        </w:tc>
        <w:tc>
          <w:tcPr>
            <w:tcW w:w="1279" w:type="dxa"/>
          </w:tcPr>
          <w:p w14:paraId="46F2D275">
            <w:pPr>
              <w:widowControl/>
              <w:rPr>
                <w:rFonts w:hint="eastAsia" w:ascii="宋体" w:hAnsi="宋体" w:cs="宋体"/>
                <w:color w:val="000000"/>
                <w:kern w:val="0"/>
                <w:szCs w:val="21"/>
                <w:lang w:val="en-US" w:eastAsia="zh-CN"/>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3"/>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3"/>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3"/>
        <w:numPr>
          <w:ilvl w:val="0"/>
          <w:numId w:val="0"/>
        </w:numPr>
        <w:ind w:leftChars="0"/>
        <w:rPr>
          <w:rFonts w:hint="eastAsia" w:ascii="宋体" w:hAnsi="宋体" w:cs="宋体"/>
          <w:color w:val="333333"/>
          <w:kern w:val="0"/>
          <w:sz w:val="24"/>
          <w:szCs w:val="24"/>
        </w:rPr>
      </w:pPr>
    </w:p>
    <w:p w14:paraId="2E026D4D">
      <w:pPr>
        <w:pStyle w:val="13"/>
        <w:numPr>
          <w:ilvl w:val="0"/>
          <w:numId w:val="0"/>
        </w:numPr>
        <w:ind w:leftChars="0"/>
        <w:rPr>
          <w:rFonts w:hint="eastAsia" w:ascii="宋体" w:hAnsi="宋体" w:cs="宋体"/>
          <w:color w:val="333333"/>
          <w:kern w:val="0"/>
          <w:sz w:val="24"/>
          <w:szCs w:val="24"/>
        </w:rPr>
      </w:pPr>
    </w:p>
    <w:p w14:paraId="5B957C58">
      <w:pPr>
        <w:pStyle w:val="13"/>
        <w:numPr>
          <w:ilvl w:val="0"/>
          <w:numId w:val="0"/>
        </w:numPr>
        <w:ind w:leftChars="0"/>
        <w:rPr>
          <w:rFonts w:hint="eastAsia" w:ascii="宋体" w:hAnsi="宋体" w:cs="宋体"/>
          <w:color w:val="333333"/>
          <w:kern w:val="0"/>
          <w:sz w:val="24"/>
          <w:szCs w:val="24"/>
        </w:rPr>
      </w:pPr>
    </w:p>
    <w:p w14:paraId="57EDA8A5">
      <w:pPr>
        <w:pStyle w:val="13"/>
        <w:numPr>
          <w:ilvl w:val="0"/>
          <w:numId w:val="0"/>
        </w:numPr>
        <w:ind w:leftChars="0"/>
        <w:rPr>
          <w:rFonts w:hint="eastAsia" w:ascii="宋体" w:hAnsi="宋体" w:cs="宋体"/>
          <w:color w:val="333333"/>
          <w:kern w:val="0"/>
          <w:sz w:val="24"/>
          <w:szCs w:val="24"/>
        </w:rPr>
      </w:pPr>
    </w:p>
    <w:p w14:paraId="455D426A">
      <w:pPr>
        <w:pStyle w:val="13"/>
        <w:numPr>
          <w:ilvl w:val="0"/>
          <w:numId w:val="0"/>
        </w:numPr>
        <w:ind w:leftChars="0"/>
        <w:rPr>
          <w:rFonts w:hint="eastAsia" w:ascii="宋体" w:hAnsi="宋体" w:cs="宋体"/>
          <w:color w:val="333333"/>
          <w:kern w:val="0"/>
          <w:sz w:val="24"/>
          <w:szCs w:val="24"/>
        </w:rPr>
      </w:pPr>
    </w:p>
    <w:p w14:paraId="4688EB20">
      <w:pPr>
        <w:pStyle w:val="13"/>
        <w:numPr>
          <w:ilvl w:val="0"/>
          <w:numId w:val="0"/>
        </w:numPr>
        <w:ind w:leftChars="0"/>
        <w:rPr>
          <w:rFonts w:hint="eastAsia" w:ascii="宋体" w:hAnsi="宋体" w:cs="宋体"/>
          <w:color w:val="333333"/>
          <w:kern w:val="0"/>
          <w:sz w:val="24"/>
          <w:szCs w:val="24"/>
        </w:rPr>
      </w:pPr>
    </w:p>
    <w:p w14:paraId="5F95B2DB">
      <w:pPr>
        <w:pStyle w:val="13"/>
        <w:numPr>
          <w:ilvl w:val="0"/>
          <w:numId w:val="0"/>
        </w:numPr>
        <w:ind w:leftChars="0"/>
        <w:rPr>
          <w:rFonts w:hint="eastAsia" w:ascii="宋体" w:hAnsi="宋体" w:cs="宋体"/>
          <w:color w:val="333333"/>
          <w:kern w:val="0"/>
          <w:sz w:val="24"/>
          <w:szCs w:val="24"/>
        </w:rPr>
      </w:pPr>
    </w:p>
    <w:p w14:paraId="2D13866C">
      <w:pPr>
        <w:pStyle w:val="13"/>
        <w:numPr>
          <w:ilvl w:val="0"/>
          <w:numId w:val="0"/>
        </w:numPr>
        <w:ind w:leftChars="0"/>
        <w:rPr>
          <w:rFonts w:hint="eastAsia" w:ascii="宋体" w:hAnsi="宋体" w:cs="宋体"/>
          <w:color w:val="333333"/>
          <w:kern w:val="0"/>
          <w:sz w:val="24"/>
          <w:szCs w:val="24"/>
        </w:rPr>
      </w:pPr>
    </w:p>
    <w:p w14:paraId="1AC52858">
      <w:pPr>
        <w:pStyle w:val="13"/>
        <w:numPr>
          <w:ilvl w:val="0"/>
          <w:numId w:val="0"/>
        </w:numPr>
        <w:ind w:leftChars="0"/>
        <w:rPr>
          <w:rFonts w:hint="eastAsia" w:ascii="宋体" w:hAnsi="宋体" w:cs="宋体"/>
          <w:color w:val="333333"/>
          <w:kern w:val="0"/>
          <w:sz w:val="24"/>
          <w:szCs w:val="24"/>
        </w:rPr>
      </w:pPr>
    </w:p>
    <w:p w14:paraId="67D7EB72">
      <w:pPr>
        <w:pStyle w:val="13"/>
        <w:numPr>
          <w:ilvl w:val="0"/>
          <w:numId w:val="0"/>
        </w:numPr>
        <w:ind w:leftChars="0"/>
        <w:rPr>
          <w:rFonts w:hint="eastAsia" w:ascii="宋体" w:hAnsi="宋体" w:cs="宋体"/>
          <w:color w:val="333333"/>
          <w:kern w:val="0"/>
          <w:sz w:val="24"/>
          <w:szCs w:val="24"/>
        </w:rPr>
      </w:pPr>
    </w:p>
    <w:p w14:paraId="29931436">
      <w:pPr>
        <w:pStyle w:val="13"/>
        <w:numPr>
          <w:ilvl w:val="0"/>
          <w:numId w:val="0"/>
        </w:numPr>
        <w:ind w:leftChars="0"/>
        <w:rPr>
          <w:rFonts w:hint="eastAsia" w:ascii="宋体" w:hAnsi="宋体" w:cs="宋体"/>
          <w:color w:val="333333"/>
          <w:kern w:val="0"/>
          <w:sz w:val="24"/>
          <w:szCs w:val="24"/>
        </w:rPr>
      </w:pPr>
    </w:p>
    <w:p w14:paraId="66EB337C">
      <w:pPr>
        <w:pStyle w:val="13"/>
        <w:numPr>
          <w:ilvl w:val="0"/>
          <w:numId w:val="0"/>
        </w:numPr>
        <w:ind w:leftChars="0"/>
        <w:rPr>
          <w:rFonts w:hint="eastAsia" w:ascii="宋体" w:hAnsi="宋体" w:cs="宋体"/>
          <w:color w:val="333333"/>
          <w:kern w:val="0"/>
          <w:sz w:val="24"/>
          <w:szCs w:val="24"/>
        </w:rPr>
      </w:pPr>
    </w:p>
    <w:p w14:paraId="114B76B1">
      <w:pPr>
        <w:pStyle w:val="13"/>
        <w:numPr>
          <w:ilvl w:val="0"/>
          <w:numId w:val="0"/>
        </w:numPr>
        <w:ind w:leftChars="0"/>
        <w:rPr>
          <w:rFonts w:hint="eastAsia" w:ascii="宋体" w:hAnsi="宋体" w:cs="宋体"/>
          <w:color w:val="333333"/>
          <w:kern w:val="0"/>
          <w:sz w:val="24"/>
          <w:szCs w:val="24"/>
        </w:rPr>
      </w:pPr>
    </w:p>
    <w:p w14:paraId="52CD11C3">
      <w:pPr>
        <w:pStyle w:val="13"/>
        <w:numPr>
          <w:ilvl w:val="0"/>
          <w:numId w:val="0"/>
        </w:numPr>
        <w:ind w:leftChars="0"/>
        <w:rPr>
          <w:rFonts w:hint="eastAsia" w:ascii="宋体" w:hAnsi="宋体" w:cs="宋体"/>
          <w:color w:val="333333"/>
          <w:kern w:val="0"/>
          <w:sz w:val="24"/>
          <w:szCs w:val="24"/>
        </w:rPr>
      </w:pPr>
    </w:p>
    <w:p w14:paraId="17D23786">
      <w:pPr>
        <w:pStyle w:val="13"/>
        <w:numPr>
          <w:ilvl w:val="0"/>
          <w:numId w:val="0"/>
        </w:numPr>
        <w:ind w:leftChars="0"/>
        <w:rPr>
          <w:rFonts w:hint="eastAsia" w:ascii="宋体" w:hAnsi="宋体" w:cs="宋体"/>
          <w:color w:val="333333"/>
          <w:kern w:val="0"/>
          <w:sz w:val="24"/>
          <w:szCs w:val="24"/>
        </w:rPr>
      </w:pPr>
    </w:p>
    <w:p w14:paraId="6FE3C245">
      <w:pPr>
        <w:pStyle w:val="13"/>
        <w:numPr>
          <w:ilvl w:val="0"/>
          <w:numId w:val="0"/>
        </w:numPr>
        <w:ind w:leftChars="0"/>
        <w:rPr>
          <w:rFonts w:hint="eastAsia" w:ascii="宋体" w:hAnsi="宋体" w:cs="宋体"/>
          <w:color w:val="333333"/>
          <w:kern w:val="0"/>
          <w:sz w:val="24"/>
          <w:szCs w:val="24"/>
        </w:rPr>
      </w:pPr>
    </w:p>
    <w:p w14:paraId="3AB6E9FB">
      <w:pPr>
        <w:pStyle w:val="13"/>
        <w:numPr>
          <w:ilvl w:val="0"/>
          <w:numId w:val="0"/>
        </w:numPr>
        <w:ind w:leftChars="0"/>
        <w:rPr>
          <w:rFonts w:hint="eastAsia" w:ascii="宋体" w:hAnsi="宋体" w:cs="宋体"/>
          <w:color w:val="333333"/>
          <w:kern w:val="0"/>
          <w:sz w:val="24"/>
          <w:szCs w:val="24"/>
        </w:rPr>
      </w:pPr>
    </w:p>
    <w:p w14:paraId="63D22175">
      <w:pPr>
        <w:pStyle w:val="13"/>
        <w:numPr>
          <w:ilvl w:val="0"/>
          <w:numId w:val="0"/>
        </w:numPr>
        <w:ind w:leftChars="0"/>
        <w:rPr>
          <w:rFonts w:hint="eastAsia" w:ascii="宋体" w:hAnsi="宋体" w:cs="宋体"/>
          <w:color w:val="333333"/>
          <w:kern w:val="0"/>
          <w:sz w:val="24"/>
          <w:szCs w:val="24"/>
        </w:rPr>
      </w:pPr>
    </w:p>
    <w:p w14:paraId="54AA25F5">
      <w:pPr>
        <w:pStyle w:val="13"/>
        <w:numPr>
          <w:ilvl w:val="0"/>
          <w:numId w:val="0"/>
        </w:numPr>
        <w:ind w:leftChars="0"/>
        <w:rPr>
          <w:rFonts w:hint="eastAsia" w:ascii="宋体" w:hAnsi="宋体" w:cs="宋体"/>
          <w:color w:val="333333"/>
          <w:kern w:val="0"/>
          <w:sz w:val="24"/>
          <w:szCs w:val="24"/>
        </w:rPr>
      </w:pPr>
    </w:p>
    <w:p w14:paraId="67E02B4B">
      <w:pPr>
        <w:pStyle w:val="13"/>
        <w:numPr>
          <w:ilvl w:val="0"/>
          <w:numId w:val="0"/>
        </w:numPr>
        <w:ind w:leftChars="0"/>
        <w:rPr>
          <w:rFonts w:hint="eastAsia" w:ascii="宋体" w:hAnsi="宋体" w:cs="宋体"/>
          <w:color w:val="333333"/>
          <w:kern w:val="0"/>
          <w:sz w:val="24"/>
          <w:szCs w:val="24"/>
        </w:rPr>
      </w:pPr>
    </w:p>
    <w:p w14:paraId="0477A109">
      <w:pPr>
        <w:pStyle w:val="13"/>
        <w:numPr>
          <w:ilvl w:val="0"/>
          <w:numId w:val="0"/>
        </w:numPr>
        <w:ind w:leftChars="0"/>
        <w:rPr>
          <w:rFonts w:hint="eastAsia" w:ascii="宋体" w:hAnsi="宋体" w:cs="宋体"/>
          <w:color w:val="333333"/>
          <w:kern w:val="0"/>
          <w:sz w:val="24"/>
          <w:szCs w:val="24"/>
        </w:rPr>
      </w:pPr>
    </w:p>
    <w:p w14:paraId="45A6D8E3">
      <w:pPr>
        <w:pStyle w:val="13"/>
        <w:numPr>
          <w:ilvl w:val="0"/>
          <w:numId w:val="0"/>
        </w:numPr>
        <w:ind w:leftChars="0"/>
        <w:rPr>
          <w:rFonts w:hint="eastAsia" w:ascii="宋体" w:hAnsi="宋体" w:cs="宋体"/>
          <w:color w:val="333333"/>
          <w:kern w:val="0"/>
          <w:sz w:val="24"/>
          <w:szCs w:val="24"/>
        </w:rPr>
      </w:pPr>
    </w:p>
    <w:p w14:paraId="11CF98A9">
      <w:pPr>
        <w:pStyle w:val="13"/>
        <w:numPr>
          <w:ilvl w:val="0"/>
          <w:numId w:val="0"/>
        </w:numPr>
        <w:ind w:leftChars="0"/>
        <w:rPr>
          <w:rFonts w:hint="eastAsia" w:ascii="宋体" w:hAnsi="宋体" w:cs="宋体"/>
          <w:color w:val="333333"/>
          <w:kern w:val="0"/>
          <w:sz w:val="24"/>
          <w:szCs w:val="24"/>
        </w:rPr>
      </w:pPr>
    </w:p>
    <w:p w14:paraId="3557220C">
      <w:pPr>
        <w:pStyle w:val="13"/>
        <w:numPr>
          <w:ilvl w:val="0"/>
          <w:numId w:val="0"/>
        </w:numPr>
        <w:ind w:leftChars="0"/>
        <w:rPr>
          <w:rFonts w:hint="eastAsia" w:ascii="宋体" w:hAnsi="宋体" w:cs="宋体"/>
          <w:color w:val="333333"/>
          <w:kern w:val="0"/>
          <w:sz w:val="24"/>
          <w:szCs w:val="24"/>
        </w:rPr>
      </w:pPr>
    </w:p>
    <w:p w14:paraId="63B930C1">
      <w:pPr>
        <w:pStyle w:val="13"/>
        <w:numPr>
          <w:ilvl w:val="0"/>
          <w:numId w:val="0"/>
        </w:numPr>
        <w:ind w:leftChars="0"/>
        <w:rPr>
          <w:rFonts w:hint="eastAsia" w:ascii="宋体" w:hAnsi="宋体" w:cs="宋体"/>
          <w:color w:val="333333"/>
          <w:kern w:val="0"/>
          <w:sz w:val="24"/>
          <w:szCs w:val="24"/>
        </w:rPr>
      </w:pPr>
    </w:p>
    <w:p w14:paraId="73D3D3B3">
      <w:pPr>
        <w:pStyle w:val="13"/>
        <w:numPr>
          <w:ilvl w:val="0"/>
          <w:numId w:val="0"/>
        </w:numPr>
        <w:ind w:leftChars="0"/>
        <w:rPr>
          <w:rFonts w:hint="eastAsia" w:ascii="宋体" w:hAnsi="宋体" w:cs="宋体"/>
          <w:color w:val="333333"/>
          <w:kern w:val="0"/>
          <w:sz w:val="24"/>
          <w:szCs w:val="24"/>
        </w:rPr>
      </w:pPr>
    </w:p>
    <w:p w14:paraId="4AA26C1E">
      <w:pPr>
        <w:pStyle w:val="13"/>
        <w:numPr>
          <w:ilvl w:val="0"/>
          <w:numId w:val="0"/>
        </w:numPr>
        <w:ind w:leftChars="0"/>
        <w:rPr>
          <w:rFonts w:hint="eastAsia" w:ascii="宋体" w:hAnsi="宋体" w:cs="宋体"/>
          <w:color w:val="333333"/>
          <w:kern w:val="0"/>
          <w:sz w:val="24"/>
          <w:szCs w:val="24"/>
        </w:rPr>
      </w:pPr>
    </w:p>
    <w:p w14:paraId="75852303">
      <w:pPr>
        <w:pStyle w:val="13"/>
        <w:numPr>
          <w:ilvl w:val="0"/>
          <w:numId w:val="0"/>
        </w:numPr>
        <w:ind w:leftChars="0"/>
        <w:rPr>
          <w:rFonts w:hint="eastAsia" w:ascii="宋体" w:hAnsi="宋体" w:cs="宋体"/>
          <w:color w:val="333333"/>
          <w:kern w:val="0"/>
          <w:sz w:val="24"/>
          <w:szCs w:val="24"/>
        </w:rPr>
      </w:pPr>
    </w:p>
    <w:p w14:paraId="06C60767">
      <w:pPr>
        <w:pStyle w:val="13"/>
        <w:numPr>
          <w:ilvl w:val="0"/>
          <w:numId w:val="0"/>
        </w:numPr>
        <w:ind w:leftChars="0"/>
        <w:rPr>
          <w:rFonts w:hint="eastAsia" w:ascii="宋体" w:hAnsi="宋体" w:cs="宋体"/>
          <w:color w:val="333333"/>
          <w:kern w:val="0"/>
          <w:sz w:val="24"/>
          <w:szCs w:val="24"/>
        </w:rPr>
      </w:pPr>
    </w:p>
    <w:p w14:paraId="5C3277FE">
      <w:pPr>
        <w:pStyle w:val="13"/>
        <w:numPr>
          <w:ilvl w:val="0"/>
          <w:numId w:val="0"/>
        </w:numPr>
        <w:ind w:leftChars="0"/>
        <w:rPr>
          <w:rFonts w:hint="eastAsia" w:ascii="宋体" w:hAnsi="宋体" w:cs="宋体"/>
          <w:color w:val="333333"/>
          <w:kern w:val="0"/>
          <w:sz w:val="24"/>
          <w:szCs w:val="24"/>
        </w:rPr>
      </w:pPr>
    </w:p>
    <w:p w14:paraId="0FED1F4A">
      <w:pPr>
        <w:pStyle w:val="13"/>
        <w:numPr>
          <w:ilvl w:val="0"/>
          <w:numId w:val="0"/>
        </w:numPr>
        <w:ind w:leftChars="0"/>
        <w:rPr>
          <w:rFonts w:hint="eastAsia" w:ascii="宋体" w:hAnsi="宋体" w:cs="宋体"/>
          <w:color w:val="333333"/>
          <w:kern w:val="0"/>
          <w:sz w:val="24"/>
          <w:szCs w:val="24"/>
        </w:rPr>
      </w:pPr>
    </w:p>
    <w:p w14:paraId="69A67561">
      <w:pPr>
        <w:pStyle w:val="13"/>
        <w:numPr>
          <w:ilvl w:val="0"/>
          <w:numId w:val="0"/>
        </w:numPr>
        <w:ind w:leftChars="0"/>
        <w:rPr>
          <w:rFonts w:hint="eastAsia" w:ascii="宋体" w:hAnsi="宋体" w:cs="宋体"/>
          <w:color w:val="333333"/>
          <w:kern w:val="0"/>
          <w:sz w:val="24"/>
          <w:szCs w:val="24"/>
        </w:rPr>
      </w:pPr>
    </w:p>
    <w:p w14:paraId="3921E66C">
      <w:pPr>
        <w:pStyle w:val="13"/>
        <w:numPr>
          <w:ilvl w:val="0"/>
          <w:numId w:val="0"/>
        </w:numPr>
        <w:ind w:leftChars="0"/>
        <w:rPr>
          <w:rFonts w:hint="eastAsia" w:ascii="宋体" w:hAnsi="宋体" w:cs="宋体"/>
          <w:color w:val="333333"/>
          <w:kern w:val="0"/>
          <w:sz w:val="24"/>
          <w:szCs w:val="24"/>
        </w:rPr>
      </w:pPr>
    </w:p>
    <w:p w14:paraId="3E9A48FA">
      <w:pPr>
        <w:pStyle w:val="13"/>
        <w:numPr>
          <w:ilvl w:val="0"/>
          <w:numId w:val="0"/>
        </w:numPr>
        <w:ind w:leftChars="0"/>
        <w:rPr>
          <w:rFonts w:hint="eastAsia" w:ascii="宋体" w:hAnsi="宋体" w:cs="宋体"/>
          <w:color w:val="333333"/>
          <w:kern w:val="0"/>
          <w:sz w:val="24"/>
          <w:szCs w:val="24"/>
        </w:rPr>
      </w:pPr>
    </w:p>
    <w:p w14:paraId="4C45A651">
      <w:pPr>
        <w:pStyle w:val="13"/>
        <w:numPr>
          <w:ilvl w:val="0"/>
          <w:numId w:val="0"/>
        </w:numPr>
        <w:ind w:leftChars="0"/>
        <w:rPr>
          <w:rFonts w:hint="eastAsia" w:ascii="宋体" w:hAnsi="宋体" w:cs="宋体"/>
          <w:color w:val="333333"/>
          <w:kern w:val="0"/>
          <w:sz w:val="24"/>
          <w:szCs w:val="24"/>
        </w:rPr>
      </w:pPr>
    </w:p>
    <w:p w14:paraId="204D4272">
      <w:pPr>
        <w:pStyle w:val="13"/>
        <w:numPr>
          <w:ilvl w:val="0"/>
          <w:numId w:val="0"/>
        </w:numPr>
        <w:ind w:leftChars="0"/>
        <w:rPr>
          <w:rFonts w:hint="eastAsia" w:ascii="宋体" w:hAnsi="宋体" w:cs="宋体"/>
          <w:color w:val="333333"/>
          <w:kern w:val="0"/>
          <w:sz w:val="24"/>
          <w:szCs w:val="24"/>
        </w:rPr>
      </w:pPr>
    </w:p>
    <w:p w14:paraId="1F36A130">
      <w:pPr>
        <w:pStyle w:val="13"/>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3"/>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3"/>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3D31920"/>
    <w:rsid w:val="09075A53"/>
    <w:rsid w:val="0CD80B33"/>
    <w:rsid w:val="0D890E30"/>
    <w:rsid w:val="0DF15039"/>
    <w:rsid w:val="11EE5963"/>
    <w:rsid w:val="11F927A3"/>
    <w:rsid w:val="14E009F6"/>
    <w:rsid w:val="15910B7E"/>
    <w:rsid w:val="16381990"/>
    <w:rsid w:val="19243E19"/>
    <w:rsid w:val="196F3B37"/>
    <w:rsid w:val="19CD6175"/>
    <w:rsid w:val="21374CD0"/>
    <w:rsid w:val="244E0D7D"/>
    <w:rsid w:val="29D05CC2"/>
    <w:rsid w:val="2CE51C06"/>
    <w:rsid w:val="2E995F79"/>
    <w:rsid w:val="328D6125"/>
    <w:rsid w:val="33165856"/>
    <w:rsid w:val="33450CED"/>
    <w:rsid w:val="3402116D"/>
    <w:rsid w:val="3B022B49"/>
    <w:rsid w:val="40BE466E"/>
    <w:rsid w:val="48C16567"/>
    <w:rsid w:val="4D020EC2"/>
    <w:rsid w:val="4E2201FD"/>
    <w:rsid w:val="53640A15"/>
    <w:rsid w:val="53EE23E8"/>
    <w:rsid w:val="5F8E7397"/>
    <w:rsid w:val="5FCB6008"/>
    <w:rsid w:val="6045400C"/>
    <w:rsid w:val="63732C3E"/>
    <w:rsid w:val="63F975E8"/>
    <w:rsid w:val="69821E2D"/>
    <w:rsid w:val="69DC56D3"/>
    <w:rsid w:val="72942A63"/>
    <w:rsid w:val="735A7977"/>
    <w:rsid w:val="73DB0AB8"/>
    <w:rsid w:val="78160310"/>
    <w:rsid w:val="7AEC1B46"/>
    <w:rsid w:val="7CC45D36"/>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3">
    <w:name w:val="annotation text"/>
    <w:basedOn w:val="1"/>
    <w:semiHidden/>
    <w:unhideWhenUsed/>
    <w:qFormat/>
    <w:uiPriority w:val="99"/>
    <w:pPr>
      <w:jc w:val="left"/>
    </w:pPr>
  </w:style>
  <w:style w:type="paragraph" w:styleId="4">
    <w:name w:val="Plain Text"/>
    <w:basedOn w:val="1"/>
    <w:uiPriority w:val="0"/>
    <w:rPr>
      <w:rFonts w:ascii="宋体" w:hAnsi="Courier New"/>
      <w:szCs w:val="20"/>
    </w:rPr>
  </w:style>
  <w:style w:type="paragraph" w:styleId="5">
    <w:name w:val="Normal (Web)"/>
    <w:basedOn w:val="1"/>
    <w:qFormat/>
    <w:uiPriority w:val="0"/>
    <w:pPr>
      <w:spacing w:beforeAutospacing="1" w:afterAutospacing="1"/>
      <w:jc w:val="left"/>
    </w:pPr>
    <w:rPr>
      <w:kern w:val="0"/>
      <w:sz w:val="24"/>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eading2"/>
    <w:basedOn w:val="10"/>
    <w:next w:val="1"/>
    <w:qFormat/>
    <w:uiPriority w:val="0"/>
  </w:style>
  <w:style w:type="paragraph" w:customStyle="1" w:styleId="10">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3562</Words>
  <Characters>3620</Characters>
  <Lines>0</Lines>
  <Paragraphs>0</Paragraphs>
  <TotalTime>4</TotalTime>
  <ScaleCrop>false</ScaleCrop>
  <LinksUpToDate>false</LinksUpToDate>
  <CharactersWithSpaces>4116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采购中心</cp:lastModifiedBy>
  <dcterms:modified xsi:type="dcterms:W3CDTF">2025-08-27T07:21:53Z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eyJoZGlkIjoiMmIwZTBkMDNjZjhiZGI5YzAzZjU2MDAzZTE2ZjFkM2IiLCJ1c2VySWQiOiIzNTA5ODA2NjkifQ==</vt:lpwstr>
  </property>
  <property fmtid="{D5CDD505-2E9C-101B-9397-08002B2CF9AE}" pid="4" name="ICV">
    <vt:lpwstr>84FE47AC6D974A76B22145D7D3D6C6AD_12</vt:lpwstr>
  </property>
</Properties>
</file>