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hint="eastAsia"/>
                <w:lang w:val="en-US" w:eastAsia="zh-CN"/>
              </w:rPr>
              <w:t>78480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6"/>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6"/>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870"/>
        <w:gridCol w:w="870"/>
        <w:gridCol w:w="3161"/>
        <w:gridCol w:w="2694"/>
        <w:gridCol w:w="1316"/>
      </w:tblGrid>
      <w:tr w14:paraId="618D1CF9">
        <w:tblPrEx>
          <w:tblCellMar>
            <w:top w:w="0" w:type="dxa"/>
            <w:left w:w="108" w:type="dxa"/>
            <w:bottom w:w="0" w:type="dxa"/>
            <w:right w:w="108" w:type="dxa"/>
          </w:tblCellMar>
        </w:tblPrEx>
        <w:trPr>
          <w:trHeight w:val="453" w:hRule="atLeast"/>
        </w:trPr>
        <w:tc>
          <w:tcPr>
            <w:tcW w:w="488" w:type="pct"/>
            <w:tcBorders>
              <w:top w:val="single" w:color="auto" w:sz="8" w:space="0"/>
              <w:left w:val="single" w:color="auto" w:sz="8" w:space="0"/>
              <w:bottom w:val="single" w:color="auto" w:sz="8" w:space="0"/>
              <w:right w:val="single" w:color="auto" w:sz="8" w:space="0"/>
            </w:tcBorders>
            <w:noWrap w:val="0"/>
            <w:vAlign w:val="center"/>
          </w:tcPr>
          <w:p w14:paraId="62D50EA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序号</w:t>
            </w:r>
          </w:p>
        </w:tc>
        <w:tc>
          <w:tcPr>
            <w:tcW w:w="48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1773"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11"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38"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88" w:type="pct"/>
            <w:vMerge w:val="restart"/>
            <w:tcBorders>
              <w:top w:val="nil"/>
              <w:left w:val="single" w:color="auto" w:sz="8" w:space="0"/>
              <w:right w:val="single" w:color="auto" w:sz="8" w:space="0"/>
            </w:tcBorders>
            <w:noWrap w:val="0"/>
            <w:vAlign w:val="top"/>
          </w:tcPr>
          <w:p w14:paraId="04A627B3">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cs="仿宋" w:asciiTheme="minorEastAsia" w:hAnsiTheme="minorEastAsia" w:eastAsiaTheme="minorEastAsia"/>
                <w:sz w:val="24"/>
                <w:szCs w:val="24"/>
                <w:u w:val="single"/>
              </w:rPr>
              <w:t>2026中山七院紧急医学救援队团体意外伤害保险项目</w:t>
            </w:r>
          </w:p>
        </w:tc>
        <w:tc>
          <w:tcPr>
            <w:tcW w:w="1773" w:type="pct"/>
            <w:tcBorders>
              <w:top w:val="nil"/>
              <w:left w:val="nil"/>
              <w:bottom w:val="single" w:color="auto" w:sz="8" w:space="0"/>
              <w:right w:val="single" w:color="auto" w:sz="8" w:space="0"/>
            </w:tcBorders>
            <w:shd w:val="clear" w:color="auto" w:fill="auto"/>
            <w:noWrap w:val="0"/>
            <w:vAlign w:val="center"/>
          </w:tcPr>
          <w:p w14:paraId="25EBB86D">
            <w:pPr>
              <w:widowControl/>
              <w:jc w:val="center"/>
              <w:rPr>
                <w:rFonts w:hint="eastAsia" w:ascii="宋体" w:hAnsi="宋体" w:eastAsia="宋体" w:cs="宋体"/>
                <w:color w:val="auto"/>
                <w:kern w:val="0"/>
                <w:sz w:val="21"/>
                <w:szCs w:val="24"/>
                <w:highlight w:val="none"/>
              </w:rPr>
            </w:pPr>
            <w:r>
              <w:rPr>
                <w:rFonts w:hint="eastAsia" w:ascii="宋体" w:hAnsi="宋体" w:eastAsia="宋体" w:cs="宋体"/>
                <w:bCs/>
                <w:color w:val="auto"/>
                <w:kern w:val="0"/>
                <w:sz w:val="21"/>
                <w:szCs w:val="24"/>
                <w:highlight w:val="none"/>
                <w:shd w:val="clear" w:color="auto" w:fill="FFFFFF"/>
              </w:rPr>
              <w:t>意外身故：</w:t>
            </w:r>
          </w:p>
          <w:p w14:paraId="5B75E537">
            <w:pPr>
              <w:widowControl/>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bCs/>
                <w:color w:val="auto"/>
                <w:kern w:val="0"/>
                <w:sz w:val="21"/>
                <w:szCs w:val="24"/>
                <w:highlight w:val="none"/>
                <w:shd w:val="clear" w:color="auto" w:fill="FFFFFF"/>
              </w:rPr>
              <w:t>因意外伤害导致身故按照保险金额给付每人保险金额100万</w:t>
            </w:r>
          </w:p>
        </w:tc>
        <w:tc>
          <w:tcPr>
            <w:tcW w:w="1511" w:type="pct"/>
            <w:tcBorders>
              <w:top w:val="nil"/>
              <w:left w:val="nil"/>
              <w:bottom w:val="single" w:color="auto" w:sz="8" w:space="0"/>
              <w:right w:val="single" w:color="auto" w:sz="8"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488" w:type="pct"/>
            <w:vMerge w:val="continue"/>
            <w:tcBorders>
              <w:left w:val="single" w:color="auto" w:sz="8" w:space="0"/>
              <w:right w:val="single" w:color="auto" w:sz="8" w:space="0"/>
            </w:tcBorders>
            <w:noWrap w:val="0"/>
            <w:vAlign w:val="top"/>
          </w:tcPr>
          <w:p w14:paraId="7EF5D128">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4DAF9279">
            <w:pPr>
              <w:widowControl/>
              <w:jc w:val="center"/>
              <w:rPr>
                <w:rFonts w:hint="eastAsia" w:ascii="宋体" w:hAnsi="宋体" w:eastAsia="宋体" w:cs="宋体"/>
                <w:color w:val="auto"/>
                <w:kern w:val="0"/>
                <w:sz w:val="21"/>
                <w:szCs w:val="24"/>
                <w:highlight w:val="none"/>
              </w:rPr>
            </w:pPr>
            <w:r>
              <w:rPr>
                <w:rFonts w:hint="eastAsia" w:ascii="宋体" w:hAnsi="宋体" w:eastAsia="宋体" w:cs="宋体"/>
                <w:bCs/>
                <w:color w:val="auto"/>
                <w:kern w:val="0"/>
                <w:sz w:val="21"/>
                <w:szCs w:val="24"/>
                <w:highlight w:val="none"/>
                <w:shd w:val="clear" w:color="auto" w:fill="FFFFFF"/>
              </w:rPr>
              <w:t>意外残疾：</w:t>
            </w:r>
          </w:p>
          <w:p w14:paraId="0EE1E25D">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rPr>
              <w:t>因意外伤害导致残疾按保险金额给付每人保险金额100万</w:t>
            </w:r>
          </w:p>
        </w:tc>
        <w:tc>
          <w:tcPr>
            <w:tcW w:w="1511" w:type="pct"/>
            <w:tcBorders>
              <w:top w:val="nil"/>
              <w:left w:val="nil"/>
              <w:bottom w:val="single" w:color="auto" w:sz="8" w:space="0"/>
              <w:right w:val="single" w:color="auto" w:sz="8"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603C80D">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3</w:t>
            </w:r>
          </w:p>
        </w:tc>
        <w:tc>
          <w:tcPr>
            <w:tcW w:w="488" w:type="pct"/>
            <w:vMerge w:val="continue"/>
            <w:tcBorders>
              <w:left w:val="single" w:color="auto" w:sz="8" w:space="0"/>
              <w:right w:val="single" w:color="auto" w:sz="8" w:space="0"/>
            </w:tcBorders>
            <w:noWrap w:val="0"/>
            <w:vAlign w:val="top"/>
          </w:tcPr>
          <w:p w14:paraId="32579C5A">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38CCF462">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rPr>
              <w:t>意外医疗：因意外伤害所支出的门诊、急诊医疗费用，约定每次免赔额为</w:t>
            </w:r>
            <w:r>
              <w:rPr>
                <w:rFonts w:hint="eastAsia" w:ascii="宋体" w:hAnsi="宋体" w:eastAsia="宋体" w:cs="宋体"/>
                <w:bCs/>
                <w:color w:val="auto"/>
                <w:kern w:val="0"/>
                <w:sz w:val="21"/>
                <w:szCs w:val="24"/>
                <w:highlight w:val="none"/>
                <w:shd w:val="clear" w:color="auto" w:fill="FFFFFF"/>
                <w:lang w:val="en-US" w:eastAsia="zh-CN"/>
              </w:rPr>
              <w:t>10</w:t>
            </w:r>
            <w:r>
              <w:rPr>
                <w:rFonts w:hint="eastAsia" w:ascii="宋体" w:hAnsi="宋体" w:eastAsia="宋体" w:cs="宋体"/>
                <w:bCs/>
                <w:color w:val="auto"/>
                <w:kern w:val="0"/>
                <w:sz w:val="21"/>
                <w:szCs w:val="24"/>
                <w:highlight w:val="none"/>
                <w:shd w:val="clear" w:color="auto" w:fill="FFFFFF"/>
              </w:rPr>
              <w:t>0元</w:t>
            </w:r>
            <w:r>
              <w:rPr>
                <w:rFonts w:hint="eastAsia" w:ascii="宋体" w:hAnsi="宋体" w:eastAsia="宋体" w:cs="宋体"/>
                <w:bCs/>
                <w:color w:val="auto"/>
                <w:kern w:val="0"/>
                <w:sz w:val="21"/>
                <w:szCs w:val="24"/>
                <w:highlight w:val="none"/>
                <w:shd w:val="clear" w:color="auto" w:fill="FFFFFF"/>
                <w:lang w:val="en-US" w:eastAsia="zh-CN"/>
              </w:rPr>
              <w:t>及以下</w:t>
            </w:r>
            <w:r>
              <w:rPr>
                <w:rFonts w:hint="eastAsia" w:ascii="宋体" w:hAnsi="宋体" w:eastAsia="宋体" w:cs="宋体"/>
                <w:bCs/>
                <w:color w:val="auto"/>
                <w:kern w:val="0"/>
                <w:sz w:val="21"/>
                <w:szCs w:val="24"/>
                <w:highlight w:val="none"/>
                <w:shd w:val="clear" w:color="auto" w:fill="FFFFFF"/>
              </w:rPr>
              <w:t>，给付比例100%，上限</w:t>
            </w:r>
            <w:r>
              <w:rPr>
                <w:rFonts w:hint="eastAsia" w:ascii="宋体" w:hAnsi="宋体" w:eastAsia="宋体" w:cs="宋体"/>
                <w:bCs/>
                <w:color w:val="auto"/>
                <w:kern w:val="0"/>
                <w:sz w:val="21"/>
                <w:szCs w:val="24"/>
                <w:highlight w:val="none"/>
                <w:shd w:val="clear" w:color="auto" w:fill="FFFFFF"/>
                <w:lang w:val="en-US" w:eastAsia="zh-CN"/>
              </w:rPr>
              <w:t>不低于5</w:t>
            </w:r>
            <w:r>
              <w:rPr>
                <w:rFonts w:hint="eastAsia" w:ascii="宋体" w:hAnsi="宋体" w:eastAsia="宋体" w:cs="宋体"/>
                <w:bCs/>
                <w:color w:val="auto"/>
                <w:kern w:val="0"/>
                <w:sz w:val="21"/>
                <w:szCs w:val="24"/>
                <w:highlight w:val="none"/>
                <w:shd w:val="clear" w:color="auto" w:fill="FFFFFF"/>
              </w:rPr>
              <w:t>万元</w:t>
            </w:r>
          </w:p>
        </w:tc>
        <w:tc>
          <w:tcPr>
            <w:tcW w:w="1511" w:type="pct"/>
            <w:tcBorders>
              <w:top w:val="nil"/>
              <w:left w:val="nil"/>
              <w:bottom w:val="single" w:color="auto" w:sz="8" w:space="0"/>
              <w:right w:val="single" w:color="auto" w:sz="8" w:space="0"/>
            </w:tcBorders>
            <w:noWrap w:val="0"/>
            <w:vAlign w:val="top"/>
          </w:tcPr>
          <w:p w14:paraId="17D7291F">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E23C7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5BC51D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4</w:t>
            </w:r>
          </w:p>
        </w:tc>
        <w:tc>
          <w:tcPr>
            <w:tcW w:w="488" w:type="pct"/>
            <w:vMerge w:val="continue"/>
            <w:tcBorders>
              <w:left w:val="single" w:color="auto" w:sz="8" w:space="0"/>
              <w:right w:val="single" w:color="auto" w:sz="8" w:space="0"/>
            </w:tcBorders>
            <w:noWrap w:val="0"/>
            <w:vAlign w:val="top"/>
          </w:tcPr>
          <w:p w14:paraId="27423DA8">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0CDA216B">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rPr>
              <w:t>住院津贴：因意外伤害住院，每天补贴</w:t>
            </w:r>
            <w:r>
              <w:rPr>
                <w:rFonts w:hint="eastAsia" w:ascii="宋体" w:hAnsi="宋体" w:eastAsia="宋体" w:cs="宋体"/>
                <w:bCs/>
                <w:color w:val="auto"/>
                <w:kern w:val="0"/>
                <w:sz w:val="21"/>
                <w:szCs w:val="24"/>
                <w:highlight w:val="none"/>
                <w:shd w:val="clear" w:color="auto" w:fill="FFFFFF"/>
                <w:lang w:val="en-US" w:eastAsia="zh-CN"/>
              </w:rPr>
              <w:t>不少于100</w:t>
            </w:r>
            <w:r>
              <w:rPr>
                <w:rFonts w:hint="eastAsia" w:ascii="宋体" w:hAnsi="宋体" w:eastAsia="宋体" w:cs="宋体"/>
                <w:bCs/>
                <w:color w:val="auto"/>
                <w:kern w:val="0"/>
                <w:sz w:val="21"/>
                <w:szCs w:val="24"/>
                <w:highlight w:val="none"/>
                <w:shd w:val="clear" w:color="auto" w:fill="FFFFFF"/>
              </w:rPr>
              <w:t>元，每次以90天为限，每年以180天为限</w:t>
            </w:r>
          </w:p>
        </w:tc>
        <w:tc>
          <w:tcPr>
            <w:tcW w:w="1511" w:type="pct"/>
            <w:tcBorders>
              <w:top w:val="nil"/>
              <w:left w:val="nil"/>
              <w:bottom w:val="single" w:color="auto" w:sz="8" w:space="0"/>
              <w:right w:val="single" w:color="auto" w:sz="8" w:space="0"/>
            </w:tcBorders>
            <w:noWrap w:val="0"/>
            <w:vAlign w:val="top"/>
          </w:tcPr>
          <w:p w14:paraId="7441F221">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4C873EA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3E44B718">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5</w:t>
            </w:r>
          </w:p>
        </w:tc>
        <w:tc>
          <w:tcPr>
            <w:tcW w:w="488" w:type="pct"/>
            <w:vMerge w:val="continue"/>
            <w:tcBorders>
              <w:left w:val="single" w:color="auto" w:sz="8" w:space="0"/>
              <w:right w:val="single" w:color="auto" w:sz="8" w:space="0"/>
            </w:tcBorders>
            <w:noWrap w:val="0"/>
            <w:vAlign w:val="top"/>
          </w:tcPr>
          <w:p w14:paraId="2D151F0A">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33A7E626">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lang w:val="en-US" w:eastAsia="zh-CN"/>
              </w:rPr>
              <w:t>猝死：被保险人自突发急性症状出现之日起24小时内（含24小时）因该症状直接导致身故的，约定按50万元猝死保险金额承担给付责任。</w:t>
            </w:r>
          </w:p>
        </w:tc>
        <w:tc>
          <w:tcPr>
            <w:tcW w:w="1511" w:type="pct"/>
            <w:tcBorders>
              <w:top w:val="nil"/>
              <w:left w:val="nil"/>
              <w:bottom w:val="single" w:color="auto" w:sz="8" w:space="0"/>
              <w:right w:val="single" w:color="auto" w:sz="8" w:space="0"/>
            </w:tcBorders>
            <w:noWrap w:val="0"/>
            <w:vAlign w:val="top"/>
          </w:tcPr>
          <w:p w14:paraId="06879885">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A1F7DC2">
        <w:tblPrEx>
          <w:tblCellMar>
            <w:top w:w="0" w:type="dxa"/>
            <w:left w:w="108" w:type="dxa"/>
            <w:bottom w:w="0" w:type="dxa"/>
            <w:right w:w="108" w:type="dxa"/>
          </w:tblCellMar>
        </w:tblPrEx>
        <w:trPr>
          <w:trHeight w:val="1511" w:hRule="atLeast"/>
        </w:trPr>
        <w:tc>
          <w:tcPr>
            <w:tcW w:w="488" w:type="pct"/>
            <w:tcBorders>
              <w:top w:val="nil"/>
              <w:left w:val="single" w:color="auto" w:sz="8" w:space="0"/>
              <w:bottom w:val="nil"/>
              <w:right w:val="single" w:color="auto" w:sz="8" w:space="0"/>
            </w:tcBorders>
            <w:noWrap w:val="0"/>
            <w:vAlign w:val="top"/>
          </w:tcPr>
          <w:p w14:paraId="0E610B0C">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6</w:t>
            </w:r>
          </w:p>
        </w:tc>
        <w:tc>
          <w:tcPr>
            <w:tcW w:w="488" w:type="pct"/>
            <w:vMerge w:val="continue"/>
            <w:tcBorders>
              <w:left w:val="single" w:color="auto" w:sz="8" w:space="0"/>
              <w:right w:val="single" w:color="auto" w:sz="8" w:space="0"/>
            </w:tcBorders>
            <w:noWrap w:val="0"/>
            <w:vAlign w:val="top"/>
          </w:tcPr>
          <w:p w14:paraId="265EFB45">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nil"/>
              <w:right w:val="single" w:color="auto" w:sz="8" w:space="0"/>
            </w:tcBorders>
            <w:noWrap w:val="0"/>
            <w:vAlign w:val="center"/>
          </w:tcPr>
          <w:p w14:paraId="5B8CC338">
            <w:pPr>
              <w:spacing w:line="360" w:lineRule="auto"/>
              <w:ind w:firstLine="420" w:firstLineChars="200"/>
              <w:rPr>
                <w:rFonts w:hint="eastAsia" w:cs="仿宋" w:asciiTheme="minorEastAsia" w:hAnsiTheme="minorEastAsia" w:eastAsiaTheme="minorEastAsia"/>
                <w:bCs/>
                <w:sz w:val="24"/>
                <w:szCs w:val="24"/>
                <w:lang w:val="en-US" w:eastAsia="zh-CN"/>
              </w:rPr>
            </w:pPr>
            <w:r>
              <w:rPr>
                <w:rFonts w:hint="eastAsia" w:ascii="宋体" w:hAnsi="宋体" w:eastAsia="宋体" w:cs="宋体"/>
                <w:bCs/>
                <w:color w:val="auto"/>
                <w:kern w:val="0"/>
                <w:sz w:val="21"/>
                <w:szCs w:val="24"/>
                <w:highlight w:val="none"/>
                <w:shd w:val="clear" w:color="auto" w:fill="FFFFFF"/>
                <w:lang w:val="en-US" w:eastAsia="zh-CN"/>
              </w:rPr>
              <w:t>保障范围：本保险项下保障责任需涵盖被保险人员执行紧急医学救援、应急医疗保障及相关外出任务的全过程（含往返途中及任务期间），不受其日常工作岗位或常规工作地点限制。凡因前述任务直接导致的意外身故、伤残、医疗费用及住院津贴，均属本保险赔付范围</w:t>
            </w:r>
            <w:r>
              <w:rPr>
                <w:rFonts w:hint="eastAsia" w:cs="仿宋" w:asciiTheme="minorEastAsia" w:hAnsiTheme="minorEastAsia" w:eastAsiaTheme="minorEastAsia"/>
                <w:bCs/>
                <w:sz w:val="24"/>
                <w:szCs w:val="24"/>
                <w:lang w:val="en-US" w:eastAsia="zh-CN"/>
              </w:rPr>
              <w:t>。</w:t>
            </w:r>
          </w:p>
          <w:p w14:paraId="3EE000C5">
            <w:pPr>
              <w:jc w:val="center"/>
              <w:rPr>
                <w:rFonts w:hint="eastAsia" w:ascii="宋体" w:hAnsi="宋体" w:eastAsia="宋体" w:cs="宋体"/>
                <w:b w:val="0"/>
                <w:bCs w:val="0"/>
                <w:sz w:val="21"/>
                <w:szCs w:val="21"/>
                <w:lang w:eastAsia="zh-CN"/>
              </w:rPr>
            </w:pPr>
          </w:p>
        </w:tc>
        <w:tc>
          <w:tcPr>
            <w:tcW w:w="1511" w:type="pct"/>
            <w:tcBorders>
              <w:top w:val="nil"/>
              <w:left w:val="nil"/>
              <w:bottom w:val="nil"/>
              <w:right w:val="single" w:color="auto" w:sz="8" w:space="0"/>
            </w:tcBorders>
            <w:noWrap w:val="0"/>
            <w:vAlign w:val="top"/>
          </w:tcPr>
          <w:p w14:paraId="01722BAB">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nil"/>
              <w:right w:val="single" w:color="auto" w:sz="8" w:space="0"/>
            </w:tcBorders>
            <w:noWrap w:val="0"/>
            <w:vAlign w:val="center"/>
          </w:tcPr>
          <w:p w14:paraId="21BF3099">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56952931">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shd w:val="clear" w:color="auto" w:fill="auto"/>
            <w:noWrap w:val="0"/>
            <w:vAlign w:val="top"/>
          </w:tcPr>
          <w:p w14:paraId="0C1BC3F6">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仿宋" w:hAnsi="仿宋" w:eastAsia="仿宋" w:cs="仿宋"/>
                <w:bCs/>
                <w:sz w:val="24"/>
                <w:szCs w:val="24"/>
                <w:lang w:val="en-US" w:eastAsia="zh-CN"/>
              </w:rPr>
              <w:t>7</w:t>
            </w:r>
          </w:p>
        </w:tc>
        <w:tc>
          <w:tcPr>
            <w:tcW w:w="488" w:type="pct"/>
            <w:vMerge w:val="continue"/>
            <w:tcBorders>
              <w:left w:val="single" w:color="auto" w:sz="8" w:space="0"/>
              <w:bottom w:val="single" w:color="000000" w:sz="8" w:space="0"/>
              <w:right w:val="single" w:color="auto" w:sz="8" w:space="0"/>
            </w:tcBorders>
            <w:shd w:val="clear" w:color="auto" w:fill="auto"/>
            <w:noWrap w:val="0"/>
            <w:vAlign w:val="top"/>
          </w:tcPr>
          <w:p w14:paraId="5C420ABC">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p>
        </w:tc>
        <w:tc>
          <w:tcPr>
            <w:tcW w:w="1773" w:type="pct"/>
            <w:tcBorders>
              <w:top w:val="nil"/>
              <w:left w:val="nil"/>
              <w:bottom w:val="single" w:color="auto" w:sz="8" w:space="0"/>
              <w:right w:val="single" w:color="auto" w:sz="8" w:space="0"/>
            </w:tcBorders>
            <w:shd w:val="clear" w:color="auto" w:fill="auto"/>
            <w:noWrap w:val="0"/>
            <w:vAlign w:val="center"/>
          </w:tcPr>
          <w:p w14:paraId="0F38D934">
            <w:pPr>
              <w:spacing w:line="360" w:lineRule="auto"/>
              <w:ind w:firstLine="420" w:firstLineChars="200"/>
              <w:rPr>
                <w:rFonts w:hint="eastAsia" w:ascii="宋体" w:hAnsi="宋体" w:eastAsia="宋体" w:cs="宋体"/>
                <w:bCs/>
                <w:color w:val="auto"/>
                <w:kern w:val="0"/>
                <w:sz w:val="21"/>
                <w:szCs w:val="24"/>
                <w:highlight w:val="none"/>
                <w:shd w:val="clear" w:color="auto" w:fill="FFFFFF"/>
                <w:lang w:val="en-US" w:eastAsia="zh-CN"/>
              </w:rPr>
            </w:pPr>
            <w:r>
              <w:rPr>
                <w:rFonts w:hint="eastAsia" w:ascii="宋体" w:hAnsi="宋体" w:eastAsia="宋体" w:cs="宋体"/>
                <w:bCs/>
                <w:color w:val="auto"/>
                <w:kern w:val="0"/>
                <w:sz w:val="21"/>
                <w:szCs w:val="24"/>
                <w:highlight w:val="none"/>
                <w:shd w:val="clear" w:color="auto" w:fill="FFFFFF"/>
                <w:lang w:val="en-US" w:eastAsia="zh-CN"/>
              </w:rPr>
              <w:t>理赔时效：保险公司在收到完整理赔材料后，对于保险责任明确、材料齐全的理赔案件，应在10个工作日内完成核定并出具结论。对于情形复杂的理赔案件，应在《保险法》规定的30日内完成核定。核定属于保险责任的，在与被保险人达成赔付协议后，应在5个工作日内支付保险金。</w:t>
            </w:r>
          </w:p>
          <w:p w14:paraId="47464FA6">
            <w:pPr>
              <w:jc w:val="center"/>
              <w:rPr>
                <w:rFonts w:hint="eastAsia" w:asciiTheme="minorHAnsi" w:hAnsiTheme="minorHAnsi" w:eastAsiaTheme="minorEastAsia" w:cstheme="minorBidi"/>
                <w:kern w:val="2"/>
                <w:sz w:val="21"/>
                <w:szCs w:val="21"/>
                <w:lang w:val="en-US" w:eastAsia="zh-CN" w:bidi="ar-SA"/>
              </w:rPr>
            </w:pPr>
          </w:p>
        </w:tc>
        <w:tc>
          <w:tcPr>
            <w:tcW w:w="1511" w:type="pct"/>
            <w:tcBorders>
              <w:top w:val="nil"/>
              <w:left w:val="nil"/>
              <w:bottom w:val="single" w:color="auto" w:sz="8" w:space="0"/>
              <w:right w:val="single" w:color="auto" w:sz="8" w:space="0"/>
            </w:tcBorders>
            <w:noWrap w:val="0"/>
            <w:vAlign w:val="top"/>
          </w:tcPr>
          <w:p w14:paraId="495105A9">
            <w:pPr>
              <w:spacing w:line="360" w:lineRule="auto"/>
              <w:jc w:val="center"/>
              <w:rPr>
                <w:rFonts w:hint="eastAsia" w:ascii="仿宋" w:hAnsi="仿宋" w:eastAsia="仿宋" w:cs="仿宋"/>
                <w:bCs/>
                <w:sz w:val="24"/>
                <w:szCs w:val="24"/>
                <w:lang w:val="en-US" w:eastAsia="zh-CN"/>
              </w:rPr>
            </w:pPr>
          </w:p>
        </w:tc>
        <w:tc>
          <w:tcPr>
            <w:tcW w:w="738" w:type="pct"/>
            <w:tcBorders>
              <w:top w:val="nil"/>
              <w:left w:val="nil"/>
              <w:bottom w:val="single" w:color="auto" w:sz="8" w:space="0"/>
              <w:right w:val="single" w:color="auto" w:sz="8" w:space="0"/>
            </w:tcBorders>
            <w:noWrap w:val="0"/>
            <w:vAlign w:val="center"/>
          </w:tcPr>
          <w:p w14:paraId="6EB3D807">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7576AC9F">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r>
              <w:rPr>
                <w:rFonts w:hint="default" w:cs="仿宋" w:asciiTheme="minorEastAsia" w:hAnsiTheme="minorEastAsia" w:eastAsiaTheme="minorEastAsia"/>
                <w:sz w:val="24"/>
                <w:szCs w:val="24"/>
                <w:lang w:val="en-US" w:eastAsia="zh-CN"/>
              </w:rPr>
              <w:t>服务期</w:t>
            </w:r>
          </w:p>
        </w:tc>
        <w:tc>
          <w:tcPr>
            <w:tcW w:w="4509" w:type="dxa"/>
            <w:vAlign w:val="center"/>
          </w:tcPr>
          <w:p w14:paraId="1601D6BB">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合同签订且采购人按年度（12个月）付费后，付费次日前生成保单，保险期间为12个月（自合同签订后转账成功日起）。本项目服务期满后，采购人可根据成交供应商履约情况确定合同期限是否延长，合同期限最长不超过三年，合同一年一签。</w:t>
            </w:r>
          </w:p>
          <w:p w14:paraId="11B5BCCE">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numPr>
                <w:ilvl w:val="0"/>
                <w:numId w:val="0"/>
              </w:numPr>
              <w:spacing w:line="360" w:lineRule="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w:t>
            </w:r>
            <w:r>
              <w:rPr>
                <w:rFonts w:hint="default" w:cs="仿宋" w:asciiTheme="minorEastAsia" w:hAnsiTheme="minorEastAsia" w:eastAsiaTheme="minorEastAsia"/>
                <w:sz w:val="24"/>
                <w:szCs w:val="24"/>
                <w:lang w:val="en-US" w:eastAsia="zh-CN"/>
              </w:rPr>
              <w:t>服务对象</w:t>
            </w:r>
          </w:p>
        </w:tc>
        <w:tc>
          <w:tcPr>
            <w:tcW w:w="4509" w:type="dxa"/>
            <w:vAlign w:val="center"/>
          </w:tcPr>
          <w:p w14:paraId="061D8EED">
            <w:pPr>
              <w:numPr>
                <w:ilvl w:val="0"/>
                <w:numId w:val="0"/>
              </w:numPr>
              <w:spacing w:line="360" w:lineRule="auto"/>
              <w:rPr>
                <w:rFonts w:hint="eastAsia"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中山大学附属第七医院紧急医学救援队成员（117人）</w:t>
            </w:r>
          </w:p>
        </w:tc>
        <w:tc>
          <w:tcPr>
            <w:tcW w:w="2791" w:type="dxa"/>
          </w:tcPr>
          <w:p w14:paraId="0C734FC3">
            <w:pPr>
              <w:rPr>
                <w:kern w:val="0"/>
                <w:sz w:val="20"/>
                <w:szCs w:val="20"/>
              </w:rPr>
            </w:pPr>
          </w:p>
        </w:tc>
        <w:tc>
          <w:tcPr>
            <w:tcW w:w="1279" w:type="dxa"/>
          </w:tcPr>
          <w:p w14:paraId="4C57845E">
            <w:pPr>
              <w:rPr>
                <w:kern w:val="0"/>
                <w:sz w:val="20"/>
                <w:szCs w:val="20"/>
              </w:rPr>
            </w:pPr>
          </w:p>
        </w:tc>
      </w:tr>
      <w:tr w14:paraId="1C7E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shd w:val="clear" w:color="auto" w:fill="auto"/>
            <w:vAlign w:val="center"/>
          </w:tcPr>
          <w:p w14:paraId="5C9FBF1D">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w:t>
            </w:r>
            <w:r>
              <w:rPr>
                <w:rFonts w:hint="default" w:cs="仿宋" w:asciiTheme="minorEastAsia" w:hAnsiTheme="minorEastAsia" w:eastAsiaTheme="minorEastAsia"/>
                <w:sz w:val="24"/>
                <w:szCs w:val="24"/>
                <w:lang w:val="en-US" w:eastAsia="zh-CN"/>
              </w:rPr>
              <w:t>报价要求</w:t>
            </w:r>
          </w:p>
        </w:tc>
        <w:tc>
          <w:tcPr>
            <w:tcW w:w="4509" w:type="dxa"/>
            <w:shd w:val="clear" w:color="auto" w:fill="auto"/>
            <w:vAlign w:val="center"/>
          </w:tcPr>
          <w:p w14:paraId="2672899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1.本项目预算金额：人民币：78480元，响应报价超过预算金额的视为无效响应。</w:t>
            </w:r>
          </w:p>
          <w:p w14:paraId="4CA4AB2B">
            <w:pPr>
              <w:numPr>
                <w:ilvl w:val="0"/>
                <w:numId w:val="0"/>
              </w:numPr>
              <w:spacing w:line="360" w:lineRule="auto"/>
              <w:rPr>
                <w:rFonts w:hint="eastAsia" w:ascii="宋体" w:hAnsi="宋体" w:eastAsia="宋体" w:cs="宋体"/>
                <w:sz w:val="24"/>
                <w:szCs w:val="24"/>
                <w:lang w:eastAsia="zh-CN"/>
              </w:rPr>
            </w:pPr>
            <w:r>
              <w:rPr>
                <w:rFonts w:hint="default" w:cs="仿宋" w:asciiTheme="minorEastAsia" w:hAnsiTheme="minorEastAsia" w:eastAsiaTheme="minorEastAsia"/>
                <w:sz w:val="24"/>
                <w:szCs w:val="24"/>
                <w:lang w:val="en-US" w:eastAsia="zh-CN"/>
              </w:rPr>
              <w:t>2.</w:t>
            </w:r>
            <w:r>
              <w:rPr>
                <w:rFonts w:ascii="宋体" w:hAnsi="宋体" w:eastAsia="宋体" w:cs="宋体"/>
                <w:sz w:val="24"/>
                <w:szCs w:val="24"/>
              </w:rPr>
              <w:t>本项目服务费采用单价合同方式。投标供应商应根据采购文件要求，对各项服务内容报出单价（包括但不限于服务成本、法定税费、企业利润等）。合同结算金额按实际</w:t>
            </w:r>
            <w:r>
              <w:rPr>
                <w:rFonts w:hint="eastAsia" w:ascii="宋体" w:hAnsi="宋体" w:eastAsia="宋体" w:cs="宋体"/>
                <w:sz w:val="24"/>
                <w:szCs w:val="24"/>
                <w:lang w:val="en-US" w:eastAsia="zh-CN"/>
              </w:rPr>
              <w:t>参保人数</w:t>
            </w:r>
            <w:r>
              <w:rPr>
                <w:rFonts w:ascii="宋体" w:hAnsi="宋体" w:eastAsia="宋体" w:cs="宋体"/>
                <w:sz w:val="24"/>
                <w:szCs w:val="24"/>
              </w:rPr>
              <w:t>乘以中标单价计算。最终结算金额不超过本项目预算</w:t>
            </w:r>
            <w:r>
              <w:rPr>
                <w:rFonts w:hint="eastAsia" w:ascii="宋体" w:hAnsi="宋体" w:eastAsia="宋体" w:cs="宋体"/>
                <w:sz w:val="24"/>
                <w:szCs w:val="24"/>
                <w:lang w:val="en-US" w:eastAsia="zh-CN"/>
              </w:rPr>
              <w:t>金额。</w:t>
            </w:r>
          </w:p>
          <w:p w14:paraId="799C1C01">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3.投标供应商应当根据本企业的成本自行决定报价，但不得以低于其企业成本的报价投标。</w:t>
            </w:r>
          </w:p>
          <w:p w14:paraId="0656DB88">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3.投标供应商应当根据本企业的成本自行决定报价，但不得以低于其企业成本的报价投标。</w:t>
            </w:r>
          </w:p>
          <w:p w14:paraId="2C9DCB20">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4.投标供应商的报价不得超过项目预算金额。</w:t>
            </w:r>
          </w:p>
          <w:p w14:paraId="65BC77B0">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5.投标供应商的报价，应当是本项目采购范围和采购文件及合同条款上所列的各项内容中所述的全部，不得以任何理由予以重复。</w:t>
            </w:r>
          </w:p>
          <w:p w14:paraId="7F6B8E3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6.除非采购人通过修改采购文件予以更正，否则，投标供应商应毫无例外地按响应文件所列的清单中项目和数量填报综合单价或合价。投标供应商未填综合单价或合价的项目，在实施后，将不得以支付，并视作该项费用已包括在其它有价款的综合单价或合价内。</w:t>
            </w:r>
          </w:p>
          <w:p w14:paraId="5C033286">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7.投标供应商应充分了解项目情况，任何因忽视或误解项目情况而导致的索赔或服务期限延长申请将不获批准。</w:t>
            </w:r>
          </w:p>
          <w:p w14:paraId="7DB97AB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8.投标供应商不得期望通过索赔等方式获取补偿，否则，除可能遭到拒绝外，还可能将被作为不良行为记录在案，并可能影响其以后参加政府采购的项目投标。各投标供应商在报价时，应充分考虑报价的风险。</w:t>
            </w:r>
          </w:p>
          <w:p w14:paraId="48EFC529">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6F951632">
            <w:pPr>
              <w:rPr>
                <w:kern w:val="0"/>
                <w:sz w:val="20"/>
                <w:szCs w:val="20"/>
              </w:rPr>
            </w:pPr>
          </w:p>
        </w:tc>
        <w:tc>
          <w:tcPr>
            <w:tcW w:w="1279" w:type="dxa"/>
          </w:tcPr>
          <w:p w14:paraId="7C585FC6">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numPr>
                <w:ilvl w:val="0"/>
                <w:numId w:val="0"/>
              </w:numPr>
              <w:spacing w:line="360" w:lineRule="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w:t>
            </w:r>
            <w:r>
              <w:rPr>
                <w:rFonts w:hint="default" w:cs="仿宋" w:asciiTheme="minorEastAsia" w:hAnsiTheme="minorEastAsia" w:eastAsiaTheme="minorEastAsia"/>
                <w:sz w:val="24"/>
                <w:szCs w:val="24"/>
                <w:lang w:val="en-US" w:eastAsia="zh-CN"/>
              </w:rPr>
              <w:t>付款方式</w:t>
            </w:r>
          </w:p>
        </w:tc>
        <w:tc>
          <w:tcPr>
            <w:tcW w:w="4509" w:type="dxa"/>
            <w:vAlign w:val="center"/>
          </w:tcPr>
          <w:p w14:paraId="08EF595D">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br w:type="textWrapping"/>
            </w:r>
            <w:r>
              <w:rPr>
                <w:rFonts w:hint="eastAsia" w:cs="仿宋" w:asciiTheme="minorEastAsia" w:hAnsiTheme="minorEastAsia" w:eastAsiaTheme="minorEastAsia"/>
                <w:sz w:val="24"/>
                <w:szCs w:val="24"/>
                <w:lang w:val="en-US" w:eastAsia="zh-CN"/>
              </w:rPr>
              <w:t>1.该项目支付上限为78480元</w:t>
            </w:r>
            <w:r>
              <w:rPr>
                <w:rFonts w:hint="eastAsia"/>
                <w:lang w:val="en-US" w:eastAsia="zh-CN"/>
              </w:rPr>
              <w:t>，</w:t>
            </w:r>
            <w:r>
              <w:rPr>
                <w:rFonts w:hint="eastAsia" w:cs="仿宋" w:asciiTheme="minorEastAsia" w:hAnsiTheme="minorEastAsia" w:eastAsiaTheme="minorEastAsia"/>
                <w:sz w:val="24"/>
                <w:szCs w:val="24"/>
                <w:lang w:val="en-US" w:eastAsia="zh-CN"/>
              </w:rPr>
              <w:t>合同结算金额按实际</w:t>
            </w:r>
            <w:r>
              <w:rPr>
                <w:rFonts w:hint="eastAsia" w:cs="仿宋" w:asciiTheme="minorEastAsia" w:hAnsiTheme="minorEastAsia"/>
                <w:sz w:val="24"/>
                <w:szCs w:val="24"/>
                <w:lang w:val="en-US" w:eastAsia="zh-CN"/>
              </w:rPr>
              <w:t>参保</w:t>
            </w:r>
            <w:r>
              <w:rPr>
                <w:rFonts w:hint="eastAsia" w:cs="仿宋" w:asciiTheme="minorEastAsia" w:hAnsiTheme="minorEastAsia" w:eastAsiaTheme="minorEastAsia"/>
                <w:sz w:val="24"/>
                <w:szCs w:val="24"/>
                <w:lang w:val="en-US" w:eastAsia="zh-CN"/>
              </w:rPr>
              <w:t>人数乘以中标单价计算。</w:t>
            </w:r>
            <w:r>
              <w:rPr>
                <w:rFonts w:hint="default" w:cs="仿宋" w:asciiTheme="minorEastAsia" w:hAnsiTheme="minorEastAsia" w:eastAsiaTheme="minorEastAsia"/>
                <w:sz w:val="24"/>
                <w:szCs w:val="24"/>
                <w:lang w:val="en-US" w:eastAsia="zh-CN"/>
              </w:rPr>
              <w:br w:type="textWrapping"/>
            </w:r>
            <w:r>
              <w:rPr>
                <w:rFonts w:hint="eastAsia" w:cs="仿宋" w:asciiTheme="minorEastAsia" w:hAnsiTheme="minorEastAsia" w:eastAsiaTheme="minorEastAsia"/>
                <w:sz w:val="24"/>
                <w:szCs w:val="24"/>
                <w:lang w:val="en-US" w:eastAsia="zh-CN"/>
              </w:rPr>
              <w:t>2.采购人收到相关缴费通知书、投保单后10个工作日内向中标人付款，付款</w:t>
            </w:r>
            <w:bookmarkStart w:id="3" w:name="_GoBack"/>
            <w:bookmarkEnd w:id="3"/>
            <w:r>
              <w:rPr>
                <w:rFonts w:hint="eastAsia" w:cs="仿宋" w:asciiTheme="minorEastAsia" w:hAnsiTheme="minorEastAsia" w:eastAsiaTheme="minorEastAsia"/>
                <w:sz w:val="24"/>
                <w:szCs w:val="24"/>
                <w:lang w:val="en-US" w:eastAsia="zh-CN"/>
              </w:rPr>
              <w:t>次日前保险服务生效(生成保单)</w:t>
            </w:r>
          </w:p>
          <w:p w14:paraId="06B87863">
            <w:pPr>
              <w:numPr>
                <w:ilvl w:val="0"/>
                <w:numId w:val="0"/>
              </w:numPr>
              <w:spacing w:line="360" w:lineRule="auto"/>
              <w:rPr>
                <w:rFonts w:hint="eastAsia" w:cs="仿宋" w:asciiTheme="minorEastAsia" w:hAnsiTheme="minorEastAsia" w:eastAsiaTheme="minorEastAsia"/>
                <w:sz w:val="24"/>
                <w:szCs w:val="24"/>
                <w:lang w:val="en-US" w:eastAsia="zh-CN"/>
              </w:rPr>
            </w:pPr>
          </w:p>
          <w:p w14:paraId="212AC339">
            <w:pPr>
              <w:numPr>
                <w:ilvl w:val="0"/>
                <w:numId w:val="0"/>
              </w:numPr>
              <w:spacing w:line="360" w:lineRule="auto"/>
              <w:rPr>
                <w:rFonts w:hint="default" w:cs="仿宋" w:asciiTheme="minorEastAsia" w:hAnsiTheme="minorEastAsia" w:eastAsiaTheme="minorEastAsia"/>
                <w:sz w:val="24"/>
                <w:szCs w:val="24"/>
                <w:lang w:val="en-US" w:eastAsia="zh-CN"/>
              </w:rPr>
            </w:pP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w:t>
            </w:r>
            <w:r>
              <w:rPr>
                <w:rFonts w:hint="default" w:cs="仿宋" w:asciiTheme="minorEastAsia" w:hAnsiTheme="minorEastAsia" w:eastAsiaTheme="minorEastAsia"/>
                <w:sz w:val="24"/>
                <w:szCs w:val="24"/>
                <w:lang w:val="en-US" w:eastAsia="zh-CN"/>
              </w:rPr>
              <w:t>售后服务</w:t>
            </w:r>
          </w:p>
        </w:tc>
        <w:tc>
          <w:tcPr>
            <w:tcW w:w="4509" w:type="dxa"/>
            <w:vAlign w:val="center"/>
          </w:tcPr>
          <w:p w14:paraId="67222194">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1.投保成功后，中标供应商短信通知被保险人紧急医学救援队伍人员（117人）有关保险内容及权利。</w:t>
            </w:r>
          </w:p>
          <w:p w14:paraId="77081ED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2.允许服务期间内，因采购人紧急医学救援队伍人员调整提出被保险人员变更。采购人告知人员调整日起，中标供应商须5个工作日内完成被保险人调整。</w:t>
            </w:r>
          </w:p>
          <w:p w14:paraId="047CD50F">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7E6CDD0E">
            <w:pPr>
              <w:rPr>
                <w:kern w:val="0"/>
                <w:sz w:val="20"/>
                <w:szCs w:val="20"/>
              </w:rPr>
            </w:pPr>
          </w:p>
        </w:tc>
        <w:tc>
          <w:tcPr>
            <w:tcW w:w="1279" w:type="dxa"/>
          </w:tcPr>
          <w:p w14:paraId="3FF42EC0">
            <w:pPr>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247B877B">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7.违约责任</w:t>
            </w:r>
          </w:p>
        </w:tc>
        <w:tc>
          <w:tcPr>
            <w:tcW w:w="4509" w:type="dxa"/>
            <w:vAlign w:val="center"/>
          </w:tcPr>
          <w:p w14:paraId="00089F0F">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因中标供应商原因导致逾期提供服务的，每逾期1天中标供应商向采购人偿付总价款1%的违约金，违约金上限为总款价。中标供应商应保证所供服务达到国家标准或行业标准。</w:t>
            </w:r>
          </w:p>
          <w:p w14:paraId="4559887E">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730BA0EE">
            <w:pPr>
              <w:rPr>
                <w:kern w:val="0"/>
                <w:sz w:val="20"/>
                <w:szCs w:val="20"/>
              </w:rPr>
            </w:pPr>
          </w:p>
        </w:tc>
        <w:tc>
          <w:tcPr>
            <w:tcW w:w="1279" w:type="dxa"/>
          </w:tcPr>
          <w:p w14:paraId="4A75D214">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0"/>
        <w:numPr>
          <w:ilvl w:val="0"/>
          <w:numId w:val="0"/>
        </w:numPr>
        <w:ind w:leftChars="0"/>
        <w:rPr>
          <w:rFonts w:hint="eastAsia" w:ascii="宋体" w:hAnsi="宋体" w:cs="宋体"/>
          <w:color w:val="333333"/>
          <w:kern w:val="0"/>
          <w:sz w:val="24"/>
          <w:szCs w:val="24"/>
        </w:rPr>
      </w:pPr>
    </w:p>
    <w:p w14:paraId="2E026D4D">
      <w:pPr>
        <w:pStyle w:val="10"/>
        <w:numPr>
          <w:ilvl w:val="0"/>
          <w:numId w:val="0"/>
        </w:numPr>
        <w:ind w:leftChars="0"/>
        <w:rPr>
          <w:rFonts w:hint="eastAsia" w:ascii="宋体" w:hAnsi="宋体" w:cs="宋体"/>
          <w:color w:val="333333"/>
          <w:kern w:val="0"/>
          <w:sz w:val="24"/>
          <w:szCs w:val="24"/>
        </w:rPr>
      </w:pPr>
    </w:p>
    <w:p w14:paraId="3AB6E9FB">
      <w:pPr>
        <w:pStyle w:val="10"/>
        <w:numPr>
          <w:ilvl w:val="0"/>
          <w:numId w:val="0"/>
        </w:numPr>
        <w:ind w:leftChars="0"/>
        <w:rPr>
          <w:rFonts w:hint="eastAsia" w:ascii="宋体" w:hAnsi="宋体" w:cs="宋体"/>
          <w:color w:val="333333"/>
          <w:kern w:val="0"/>
          <w:sz w:val="24"/>
          <w:szCs w:val="24"/>
        </w:rPr>
      </w:pPr>
    </w:p>
    <w:p w14:paraId="2305C4C4">
      <w:pPr>
        <w:pStyle w:val="10"/>
        <w:numPr>
          <w:ilvl w:val="0"/>
          <w:numId w:val="0"/>
        </w:numPr>
        <w:ind w:leftChars="0"/>
        <w:rPr>
          <w:rFonts w:hint="eastAsia" w:ascii="宋体" w:hAnsi="宋体" w:cs="宋体"/>
          <w:color w:val="333333"/>
          <w:kern w:val="0"/>
          <w:sz w:val="24"/>
          <w:szCs w:val="24"/>
        </w:rPr>
      </w:pPr>
    </w:p>
    <w:p w14:paraId="67ED9BA1">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22A0D48"/>
    <w:rsid w:val="06FA55FA"/>
    <w:rsid w:val="09075A53"/>
    <w:rsid w:val="097D1872"/>
    <w:rsid w:val="0CD80B33"/>
    <w:rsid w:val="0D890E30"/>
    <w:rsid w:val="11F927A3"/>
    <w:rsid w:val="14E009F6"/>
    <w:rsid w:val="15910B7E"/>
    <w:rsid w:val="16381990"/>
    <w:rsid w:val="19243E19"/>
    <w:rsid w:val="196F3B37"/>
    <w:rsid w:val="19CD6175"/>
    <w:rsid w:val="1B447873"/>
    <w:rsid w:val="203C450A"/>
    <w:rsid w:val="21374CD0"/>
    <w:rsid w:val="233B037C"/>
    <w:rsid w:val="236D2106"/>
    <w:rsid w:val="244E0D7D"/>
    <w:rsid w:val="26F23C9D"/>
    <w:rsid w:val="26FD7693"/>
    <w:rsid w:val="288528F2"/>
    <w:rsid w:val="28C144E0"/>
    <w:rsid w:val="298F5B6B"/>
    <w:rsid w:val="29B661FB"/>
    <w:rsid w:val="29D05CC2"/>
    <w:rsid w:val="2CE51C06"/>
    <w:rsid w:val="2D144117"/>
    <w:rsid w:val="2E995F79"/>
    <w:rsid w:val="328D6125"/>
    <w:rsid w:val="33450CED"/>
    <w:rsid w:val="3402116D"/>
    <w:rsid w:val="39C74D42"/>
    <w:rsid w:val="3B022B49"/>
    <w:rsid w:val="3D3D6D72"/>
    <w:rsid w:val="3D994559"/>
    <w:rsid w:val="40BE466E"/>
    <w:rsid w:val="423A0CFF"/>
    <w:rsid w:val="47320852"/>
    <w:rsid w:val="48C16567"/>
    <w:rsid w:val="4E2201FD"/>
    <w:rsid w:val="5A925980"/>
    <w:rsid w:val="5FCB6008"/>
    <w:rsid w:val="6045400C"/>
    <w:rsid w:val="60D32924"/>
    <w:rsid w:val="63F975E8"/>
    <w:rsid w:val="66EA1469"/>
    <w:rsid w:val="688B0A2A"/>
    <w:rsid w:val="69821E2D"/>
    <w:rsid w:val="6A584A56"/>
    <w:rsid w:val="6F0C5272"/>
    <w:rsid w:val="7023779A"/>
    <w:rsid w:val="72942A63"/>
    <w:rsid w:val="735A7977"/>
    <w:rsid w:val="73DB0AB8"/>
    <w:rsid w:val="77732DB5"/>
    <w:rsid w:val="78160310"/>
    <w:rsid w:val="7AEC1B46"/>
    <w:rsid w:val="7B7C49BC"/>
    <w:rsid w:val="7CC45D36"/>
    <w:rsid w:val="7DBA6FDB"/>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2094</Words>
  <Characters>2109</Characters>
  <Lines>0</Lines>
  <Paragraphs>0</Paragraphs>
  <TotalTime>4</TotalTime>
  <ScaleCrop>false</ScaleCrop>
  <LinksUpToDate>false</LinksUpToDate>
  <CharactersWithSpaces>2533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2026-06-15T09:40:41Z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