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5"/>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1998"/>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2552"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1998" w:type="dxa"/>
            <w:vAlign w:val="center"/>
          </w:tcPr>
          <w:p w14:paraId="1DF4E1B7">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报价内容</w:t>
            </w:r>
          </w:p>
        </w:tc>
        <w:tc>
          <w:tcPr>
            <w:tcW w:w="990" w:type="dxa"/>
            <w:shd w:val="clear"/>
            <w:vAlign w:val="center"/>
          </w:tcPr>
          <w:p w14:paraId="399FF8A4">
            <w:pPr>
              <w:spacing w:line="360" w:lineRule="auto"/>
              <w:jc w:val="center"/>
              <w:rPr>
                <w:rFonts w:ascii="仿宋" w:hAnsi="仿宋" w:eastAsia="仿宋" w:cs="仿宋"/>
                <w:bCs/>
                <w:kern w:val="0"/>
                <w:sz w:val="24"/>
                <w:szCs w:val="24"/>
                <w:lang w:val="en-US" w:eastAsia="zh-CN" w:bidi="ar-SA"/>
              </w:rPr>
            </w:pPr>
            <w:r>
              <w:rPr>
                <w:rFonts w:hint="eastAsia" w:ascii="仿宋" w:hAnsi="仿宋" w:eastAsia="仿宋" w:cs="仿宋"/>
                <w:bCs/>
                <w:kern w:val="0"/>
                <w:sz w:val="24"/>
                <w:szCs w:val="24"/>
              </w:rPr>
              <w:t>数量</w:t>
            </w:r>
          </w:p>
        </w:tc>
        <w:tc>
          <w:tcPr>
            <w:tcW w:w="1500" w:type="dxa"/>
            <w:shd w:val="clear"/>
            <w:vAlign w:val="center"/>
          </w:tcPr>
          <w:p w14:paraId="66F33398">
            <w:pPr>
              <w:spacing w:line="360" w:lineRule="auto"/>
              <w:jc w:val="center"/>
              <w:rPr>
                <w:rFonts w:ascii="仿宋" w:hAnsi="仿宋" w:eastAsia="仿宋" w:cs="仿宋"/>
                <w:bCs/>
                <w:kern w:val="0"/>
                <w:sz w:val="24"/>
                <w:szCs w:val="24"/>
                <w:lang w:val="en-US" w:eastAsia="zh-CN" w:bidi="ar-SA"/>
              </w:rPr>
            </w:pPr>
            <w:r>
              <w:rPr>
                <w:rFonts w:hint="eastAsia" w:ascii="仿宋" w:hAnsi="仿宋" w:eastAsia="仿宋" w:cs="仿宋"/>
                <w:bCs/>
                <w:kern w:val="0"/>
                <w:sz w:val="24"/>
                <w:szCs w:val="24"/>
              </w:rPr>
              <w:t>单位</w:t>
            </w:r>
          </w:p>
        </w:tc>
        <w:tc>
          <w:tcPr>
            <w:tcW w:w="1324" w:type="dxa"/>
            <w:shd w:val="clear"/>
            <w:vAlign w:val="top"/>
          </w:tcPr>
          <w:p w14:paraId="1983F646">
            <w:pPr>
              <w:spacing w:line="360" w:lineRule="auto"/>
              <w:jc w:val="center"/>
              <w:rPr>
                <w:rFonts w:ascii="仿宋" w:hAnsi="仿宋" w:eastAsia="仿宋" w:cs="仿宋"/>
                <w:bCs/>
                <w:kern w:val="0"/>
                <w:sz w:val="24"/>
                <w:szCs w:val="24"/>
                <w:lang w:val="en-US" w:eastAsia="zh-CN" w:bidi="ar-SA"/>
              </w:rPr>
            </w:pPr>
            <w:r>
              <w:rPr>
                <w:rFonts w:hint="eastAsia" w:ascii="仿宋" w:hAnsi="仿宋" w:eastAsia="仿宋" w:cs="仿宋"/>
                <w:bCs/>
                <w:kern w:val="0"/>
                <w:sz w:val="24"/>
                <w:szCs w:val="24"/>
              </w:rPr>
              <w:t>单价（元）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最高</w:t>
            </w:r>
            <w:r>
              <w:rPr>
                <w:rFonts w:hint="eastAsia" w:ascii="仿宋" w:hAnsi="仿宋" w:eastAsia="仿宋" w:cs="仿宋"/>
                <w:bCs/>
                <w:kern w:val="0"/>
                <w:sz w:val="24"/>
                <w:szCs w:val="24"/>
                <w:lang w:val="en-US" w:eastAsia="zh-CN"/>
              </w:rPr>
              <w:t>支付上限</w:t>
            </w:r>
            <w:r>
              <w:rPr>
                <w:rFonts w:hint="eastAsia" w:ascii="仿宋" w:hAnsi="仿宋" w:eastAsia="仿宋" w:cs="仿宋"/>
                <w:bCs/>
                <w:kern w:val="0"/>
                <w:sz w:val="24"/>
                <w:szCs w:val="24"/>
              </w:rPr>
              <w:t>（元）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2552" w:type="dxa"/>
            <w:vAlign w:val="center"/>
          </w:tcPr>
          <w:p w14:paraId="5397B3F2">
            <w:p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lang w:eastAsia="zh-CN"/>
              </w:rPr>
              <w:t>202</w:t>
            </w:r>
            <w:r>
              <w:rPr>
                <w:rFonts w:hint="eastAsia" w:ascii="宋体" w:hAnsi="宋体" w:cs="宋体"/>
                <w:color w:val="333333"/>
                <w:kern w:val="0"/>
                <w:sz w:val="24"/>
                <w:szCs w:val="24"/>
                <w:lang w:val="en-US" w:eastAsia="zh-CN"/>
              </w:rPr>
              <w:t>6</w:t>
            </w:r>
            <w:r>
              <w:rPr>
                <w:rFonts w:hint="eastAsia" w:ascii="宋体" w:hAnsi="宋体" w:cs="宋体"/>
                <w:color w:val="333333"/>
                <w:kern w:val="0"/>
                <w:sz w:val="24"/>
                <w:szCs w:val="24"/>
                <w:lang w:eastAsia="zh-CN"/>
              </w:rPr>
              <w:t>年</w:t>
            </w:r>
            <w:r>
              <w:rPr>
                <w:rFonts w:hint="eastAsia" w:ascii="宋体" w:hAnsi="宋体" w:cs="宋体"/>
                <w:color w:val="333333"/>
                <w:kern w:val="0"/>
                <w:sz w:val="24"/>
                <w:szCs w:val="24"/>
                <w:lang w:val="en-US" w:eastAsia="zh-CN"/>
              </w:rPr>
              <w:t>一期院区</w:t>
            </w:r>
            <w:r>
              <w:rPr>
                <w:rFonts w:hint="eastAsia" w:ascii="宋体" w:hAnsi="宋体" w:cs="宋体"/>
                <w:color w:val="333333"/>
                <w:kern w:val="0"/>
                <w:sz w:val="24"/>
                <w:szCs w:val="24"/>
              </w:rPr>
              <w:t>有线数字电视服务项目</w:t>
            </w:r>
          </w:p>
        </w:tc>
        <w:tc>
          <w:tcPr>
            <w:tcW w:w="1998"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宋体" w:hAnsi="宋体" w:eastAsia="宋体" w:cs="宋体"/>
                <w:color w:val="333333"/>
                <w:kern w:val="0"/>
                <w:sz w:val="24"/>
                <w:szCs w:val="24"/>
                <w:lang w:val="en-US" w:eastAsia="zh-CN" w:bidi="ar-SA"/>
              </w:rPr>
              <w:t>单台电视机月服务费</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1</w:t>
            </w:r>
          </w:p>
        </w:tc>
        <w:tc>
          <w:tcPr>
            <w:tcW w:w="1500" w:type="dxa"/>
            <w:vAlign w:val="center"/>
          </w:tcPr>
          <w:p w14:paraId="6C5DAB02">
            <w:pPr>
              <w:jc w:val="center"/>
              <w:rPr>
                <w:rFonts w:hint="eastAsia" w:eastAsiaTheme="minorEastAsia"/>
                <w:color w:val="000000"/>
                <w:kern w:val="0"/>
                <w:sz w:val="22"/>
                <w:szCs w:val="22"/>
                <w:lang w:val="en-US" w:eastAsia="zh-CN"/>
              </w:rPr>
            </w:pPr>
            <w:r>
              <w:rPr>
                <w:rFonts w:hint="eastAsia"/>
                <w:color w:val="000000"/>
                <w:kern w:val="0"/>
                <w:sz w:val="22"/>
                <w:szCs w:val="22"/>
                <w:lang w:val="en-US" w:eastAsia="zh-CN"/>
              </w:rPr>
              <w:t>台</w:t>
            </w: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hint="eastAsia" w:ascii="宋体" w:hAnsi="宋体" w:cs="宋体"/>
                <w:color w:val="auto"/>
                <w:kern w:val="0"/>
                <w:szCs w:val="21"/>
                <w:lang w:val="en-US" w:eastAsia="zh-CN"/>
              </w:rPr>
              <w:t>90524</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293667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w:t>
      </w:r>
      <w:r>
        <w:rPr>
          <w:rFonts w:hint="eastAsia" w:cs="仿宋" w:asciiTheme="minorEastAsia" w:hAnsiTheme="minorEastAsia" w:eastAsiaTheme="minorEastAsia"/>
          <w:b/>
          <w:bCs w:val="0"/>
          <w:color w:val="FF0000"/>
          <w:sz w:val="24"/>
          <w:szCs w:val="24"/>
        </w:rPr>
        <w:t>少报、多报或未按</w:t>
      </w:r>
      <w:r>
        <w:rPr>
          <w:rFonts w:hint="eastAsia" w:cs="仿宋" w:asciiTheme="minorEastAsia" w:hAnsiTheme="minorEastAsia"/>
          <w:b/>
          <w:bCs w:val="0"/>
          <w:color w:val="FF0000"/>
          <w:sz w:val="24"/>
          <w:szCs w:val="24"/>
          <w:lang w:val="en-US" w:eastAsia="zh-CN"/>
        </w:rPr>
        <w:t>要求</w:t>
      </w:r>
      <w:bookmarkStart w:id="3" w:name="_GoBack"/>
      <w:bookmarkEnd w:id="3"/>
      <w:r>
        <w:rPr>
          <w:rFonts w:hint="eastAsia" w:cs="仿宋" w:asciiTheme="minorEastAsia" w:hAnsiTheme="minorEastAsia" w:eastAsiaTheme="minorEastAsia"/>
          <w:b/>
          <w:bCs w:val="0"/>
          <w:color w:val="FF0000"/>
          <w:sz w:val="24"/>
          <w:szCs w:val="24"/>
        </w:rPr>
        <w:t>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7"/>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1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9"/>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9"/>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9"/>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9"/>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9"/>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9"/>
              <w:spacing w:before="217" w:line="202" w:lineRule="auto"/>
              <w:ind w:left="145"/>
            </w:pPr>
            <w:r>
              <w:rPr>
                <w:spacing w:val="-5"/>
              </w:rPr>
              <w:t>序号</w:t>
            </w:r>
          </w:p>
        </w:tc>
        <w:tc>
          <w:tcPr>
            <w:tcW w:w="2732" w:type="dxa"/>
            <w:gridSpan w:val="2"/>
            <w:vAlign w:val="top"/>
          </w:tcPr>
          <w:p w14:paraId="4F3BD2C3">
            <w:pPr>
              <w:pStyle w:val="9"/>
              <w:spacing w:before="213" w:line="202" w:lineRule="auto"/>
              <w:ind w:left="916"/>
            </w:pPr>
            <w:r>
              <w:rPr>
                <w:spacing w:val="-6"/>
              </w:rPr>
              <w:t>职务</w:t>
            </w:r>
          </w:p>
        </w:tc>
        <w:tc>
          <w:tcPr>
            <w:tcW w:w="960" w:type="dxa"/>
            <w:vAlign w:val="top"/>
          </w:tcPr>
          <w:p w14:paraId="783AF3F3">
            <w:pPr>
              <w:pStyle w:val="9"/>
              <w:spacing w:before="213" w:line="203" w:lineRule="auto"/>
              <w:ind w:left="245"/>
            </w:pPr>
            <w:r>
              <w:rPr>
                <w:spacing w:val="-4"/>
              </w:rPr>
              <w:t>姓名</w:t>
            </w:r>
          </w:p>
        </w:tc>
        <w:tc>
          <w:tcPr>
            <w:tcW w:w="1620" w:type="dxa"/>
            <w:gridSpan w:val="2"/>
            <w:vAlign w:val="top"/>
          </w:tcPr>
          <w:p w14:paraId="3FB9C412">
            <w:pPr>
              <w:pStyle w:val="9"/>
              <w:spacing w:before="214" w:line="203" w:lineRule="auto"/>
              <w:ind w:left="410"/>
            </w:pPr>
            <w:r>
              <w:rPr>
                <w:spacing w:val="-3"/>
              </w:rPr>
              <w:t>身份证号码</w:t>
            </w:r>
          </w:p>
        </w:tc>
        <w:tc>
          <w:tcPr>
            <w:tcW w:w="1404" w:type="dxa"/>
            <w:vAlign w:val="top"/>
          </w:tcPr>
          <w:p w14:paraId="3FB60CB3">
            <w:pPr>
              <w:pStyle w:val="9"/>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9"/>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9"/>
              <w:spacing w:before="103" w:line="169" w:lineRule="auto"/>
              <w:ind w:left="321"/>
            </w:pPr>
            <w:r>
              <w:t>1</w:t>
            </w:r>
          </w:p>
        </w:tc>
        <w:tc>
          <w:tcPr>
            <w:tcW w:w="2732" w:type="dxa"/>
            <w:gridSpan w:val="2"/>
            <w:vAlign w:val="top"/>
          </w:tcPr>
          <w:p w14:paraId="55EC78C5">
            <w:pPr>
              <w:pStyle w:val="9"/>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9"/>
              <w:spacing w:before="211" w:line="168" w:lineRule="auto"/>
              <w:ind w:left="322"/>
            </w:pPr>
            <w:r>
              <w:t>2</w:t>
            </w:r>
          </w:p>
        </w:tc>
        <w:tc>
          <w:tcPr>
            <w:tcW w:w="2732" w:type="dxa"/>
            <w:gridSpan w:val="2"/>
            <w:vAlign w:val="top"/>
          </w:tcPr>
          <w:p w14:paraId="4AC4DCAE">
            <w:pPr>
              <w:pStyle w:val="9"/>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9"/>
              <w:spacing w:before="210" w:line="167" w:lineRule="auto"/>
              <w:ind w:left="321"/>
            </w:pPr>
            <w:r>
              <w:t>3</w:t>
            </w:r>
          </w:p>
        </w:tc>
        <w:tc>
          <w:tcPr>
            <w:tcW w:w="2732" w:type="dxa"/>
            <w:gridSpan w:val="2"/>
            <w:vAlign w:val="top"/>
          </w:tcPr>
          <w:p w14:paraId="28ABBA2C">
            <w:pPr>
              <w:pStyle w:val="9"/>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9"/>
              <w:spacing w:before="210" w:line="168" w:lineRule="auto"/>
              <w:ind w:left="314"/>
            </w:pPr>
            <w:r>
              <w:t>4</w:t>
            </w:r>
          </w:p>
        </w:tc>
        <w:tc>
          <w:tcPr>
            <w:tcW w:w="2732" w:type="dxa"/>
            <w:gridSpan w:val="2"/>
            <w:vAlign w:val="top"/>
          </w:tcPr>
          <w:p w14:paraId="31BB09F1">
            <w:pPr>
              <w:pStyle w:val="9"/>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9"/>
              <w:spacing w:before="215" w:line="165" w:lineRule="auto"/>
              <w:ind w:left="325"/>
            </w:pPr>
            <w:r>
              <w:t>5</w:t>
            </w:r>
          </w:p>
        </w:tc>
        <w:tc>
          <w:tcPr>
            <w:tcW w:w="2732" w:type="dxa"/>
            <w:gridSpan w:val="2"/>
            <w:vAlign w:val="top"/>
          </w:tcPr>
          <w:p w14:paraId="3AC1BD82">
            <w:pPr>
              <w:pStyle w:val="9"/>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9"/>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9"/>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9"/>
              <w:spacing w:before="178" w:line="202" w:lineRule="auto"/>
              <w:ind w:left="145"/>
            </w:pPr>
            <w:r>
              <w:rPr>
                <w:spacing w:val="-5"/>
              </w:rPr>
              <w:t>序号</w:t>
            </w:r>
          </w:p>
        </w:tc>
        <w:tc>
          <w:tcPr>
            <w:tcW w:w="2732" w:type="dxa"/>
            <w:gridSpan w:val="2"/>
            <w:vAlign w:val="top"/>
          </w:tcPr>
          <w:p w14:paraId="1F791490">
            <w:pPr>
              <w:pStyle w:val="9"/>
              <w:spacing w:before="177" w:line="202" w:lineRule="auto"/>
              <w:ind w:left="436"/>
            </w:pPr>
            <w:r>
              <w:rPr>
                <w:spacing w:val="-3"/>
              </w:rPr>
              <w:t>关联关系类型</w:t>
            </w:r>
          </w:p>
        </w:tc>
        <w:tc>
          <w:tcPr>
            <w:tcW w:w="1286" w:type="dxa"/>
            <w:gridSpan w:val="2"/>
            <w:vAlign w:val="top"/>
          </w:tcPr>
          <w:p w14:paraId="21836B40">
            <w:pPr>
              <w:pStyle w:val="9"/>
              <w:spacing w:before="177" w:line="203" w:lineRule="auto"/>
              <w:ind w:left="166"/>
            </w:pPr>
            <w:r>
              <w:rPr>
                <w:spacing w:val="-3"/>
              </w:rPr>
              <w:t>关联主体名称</w:t>
            </w:r>
          </w:p>
        </w:tc>
        <w:tc>
          <w:tcPr>
            <w:tcW w:w="4187" w:type="dxa"/>
            <w:gridSpan w:val="3"/>
            <w:vAlign w:val="top"/>
          </w:tcPr>
          <w:p w14:paraId="71687DAA">
            <w:pPr>
              <w:pStyle w:val="9"/>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9"/>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9"/>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9"/>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9"/>
              <w:spacing w:before="251" w:line="168" w:lineRule="auto"/>
              <w:ind w:left="322"/>
            </w:pPr>
            <w:r>
              <w:t>2</w:t>
            </w:r>
          </w:p>
        </w:tc>
        <w:tc>
          <w:tcPr>
            <w:tcW w:w="2732" w:type="dxa"/>
            <w:gridSpan w:val="2"/>
            <w:vAlign w:val="top"/>
          </w:tcPr>
          <w:p w14:paraId="290EC4EA">
            <w:pPr>
              <w:pStyle w:val="9"/>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9"/>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9"/>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7030BCE3">
      <w:pPr>
        <w:widowControl w:val="0"/>
        <w:numPr>
          <w:ilvl w:val="0"/>
          <w:numId w:val="0"/>
        </w:numPr>
        <w:jc w:val="both"/>
        <w:rPr>
          <w:rFonts w:hint="default" w:ascii="宋体" w:hAnsi="宋体" w:cs="宋体"/>
          <w:color w:val="333333"/>
          <w:kern w:val="0"/>
          <w:sz w:val="24"/>
          <w:szCs w:val="24"/>
          <w:lang w:val="en-US" w:eastAsia="zh-CN"/>
        </w:rPr>
      </w:pPr>
    </w:p>
    <w:p w14:paraId="32D4936A">
      <w:pPr>
        <w:widowControl w:val="0"/>
        <w:numPr>
          <w:ilvl w:val="0"/>
          <w:numId w:val="0"/>
        </w:numPr>
        <w:jc w:val="both"/>
        <w:rPr>
          <w:rFonts w:hint="default" w:ascii="宋体" w:hAnsi="宋体" w:cs="宋体"/>
          <w:color w:val="333333"/>
          <w:kern w:val="0"/>
          <w:sz w:val="24"/>
          <w:szCs w:val="24"/>
          <w:lang w:val="en-US" w:eastAsia="zh-CN"/>
        </w:rPr>
      </w:pPr>
    </w:p>
    <w:p w14:paraId="4F7A936B">
      <w:pPr>
        <w:pStyle w:val="7"/>
        <w:rPr>
          <w:rFonts w:hint="default" w:ascii="宋体" w:hAnsi="宋体" w:cs="宋体"/>
          <w:color w:val="333333"/>
          <w:kern w:val="0"/>
          <w:sz w:val="24"/>
          <w:szCs w:val="24"/>
          <w:lang w:val="en-US" w:eastAsia="zh-CN"/>
        </w:rPr>
      </w:pPr>
    </w:p>
    <w:p w14:paraId="66167407">
      <w:pPr>
        <w:rPr>
          <w:rFonts w:hint="default" w:ascii="宋体" w:hAnsi="宋体" w:cs="宋体"/>
          <w:color w:val="333333"/>
          <w:kern w:val="0"/>
          <w:sz w:val="24"/>
          <w:szCs w:val="24"/>
          <w:lang w:val="en-US" w:eastAsia="zh-CN"/>
        </w:rPr>
      </w:pPr>
    </w:p>
    <w:p w14:paraId="49CE2DA0">
      <w:pPr>
        <w:pStyle w:val="7"/>
        <w:jc w:val="left"/>
        <w:rPr>
          <w:rFonts w:hint="default"/>
          <w:lang w:val="en-US" w:eastAsia="zh-CN"/>
        </w:rPr>
      </w:pPr>
    </w:p>
    <w:p w14:paraId="498417B0">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4"/>
        <w:tblW w:w="5228" w:type="pct"/>
        <w:tblInd w:w="-394" w:type="dxa"/>
        <w:tblLayout w:type="autofit"/>
        <w:tblCellMar>
          <w:top w:w="0" w:type="dxa"/>
          <w:left w:w="108" w:type="dxa"/>
          <w:bottom w:w="0" w:type="dxa"/>
          <w:right w:w="108" w:type="dxa"/>
        </w:tblCellMar>
      </w:tblPr>
      <w:tblGrid>
        <w:gridCol w:w="870"/>
        <w:gridCol w:w="870"/>
        <w:gridCol w:w="3161"/>
        <w:gridCol w:w="2694"/>
        <w:gridCol w:w="1316"/>
      </w:tblGrid>
      <w:tr w14:paraId="618D1CF9">
        <w:tblPrEx>
          <w:tblCellMar>
            <w:top w:w="0" w:type="dxa"/>
            <w:left w:w="108" w:type="dxa"/>
            <w:bottom w:w="0" w:type="dxa"/>
            <w:right w:w="108" w:type="dxa"/>
          </w:tblCellMar>
        </w:tblPrEx>
        <w:trPr>
          <w:trHeight w:val="453" w:hRule="atLeast"/>
        </w:trPr>
        <w:tc>
          <w:tcPr>
            <w:tcW w:w="488" w:type="pct"/>
            <w:tcBorders>
              <w:top w:val="single" w:color="auto" w:sz="8" w:space="0"/>
              <w:left w:val="single" w:color="auto" w:sz="8" w:space="0"/>
              <w:bottom w:val="single" w:color="auto" w:sz="4" w:space="0"/>
              <w:right w:val="single" w:color="auto" w:sz="8" w:space="0"/>
            </w:tcBorders>
            <w:noWrap w:val="0"/>
            <w:vAlign w:val="center"/>
          </w:tcPr>
          <w:p w14:paraId="62D50EA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序号</w:t>
            </w:r>
          </w:p>
        </w:tc>
        <w:tc>
          <w:tcPr>
            <w:tcW w:w="488" w:type="pct"/>
            <w:tcBorders>
              <w:top w:val="single" w:color="auto" w:sz="8" w:space="0"/>
              <w:left w:val="single" w:color="auto" w:sz="8" w:space="0"/>
              <w:bottom w:val="single" w:color="auto" w:sz="4"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1773" w:type="pct"/>
            <w:tcBorders>
              <w:top w:val="single" w:color="auto" w:sz="8" w:space="0"/>
              <w:left w:val="nil"/>
              <w:bottom w:val="single" w:color="auto" w:sz="4"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11" w:type="pct"/>
            <w:tcBorders>
              <w:top w:val="single" w:color="auto" w:sz="8" w:space="0"/>
              <w:left w:val="nil"/>
              <w:bottom w:val="single" w:color="auto" w:sz="4"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38" w:type="pct"/>
            <w:tcBorders>
              <w:top w:val="single" w:color="auto" w:sz="8" w:space="0"/>
              <w:left w:val="nil"/>
              <w:bottom w:val="single" w:color="auto" w:sz="4"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88" w:type="pct"/>
            <w:tcBorders>
              <w:top w:val="single" w:color="auto" w:sz="4" w:space="0"/>
              <w:left w:val="single" w:color="auto" w:sz="4" w:space="0"/>
              <w:bottom w:val="single" w:color="auto" w:sz="4" w:space="0"/>
              <w:right w:val="single" w:color="auto" w:sz="4"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88" w:type="pct"/>
            <w:tcBorders>
              <w:top w:val="single" w:color="auto" w:sz="4" w:space="0"/>
              <w:left w:val="single" w:color="auto" w:sz="4" w:space="0"/>
              <w:bottom w:val="single" w:color="auto" w:sz="4" w:space="0"/>
              <w:right w:val="single" w:color="auto" w:sz="4" w:space="0"/>
            </w:tcBorders>
            <w:noWrap w:val="0"/>
            <w:vAlign w:val="top"/>
          </w:tcPr>
          <w:p w14:paraId="04A627B3">
            <w:pPr>
              <w:spacing w:line="360" w:lineRule="auto"/>
              <w:jc w:val="center"/>
              <w:rPr>
                <w:rFonts w:hint="eastAsia" w:asciiTheme="majorEastAsia" w:hAnsiTheme="majorEastAsia" w:eastAsiaTheme="majorEastAsia" w:cstheme="majorEastAsia"/>
                <w:color w:val="030303"/>
                <w:spacing w:val="-6"/>
                <w:kern w:val="2"/>
                <w:sz w:val="20"/>
                <w:szCs w:val="20"/>
                <w:lang w:val="en-US" w:eastAsia="zh-CN" w:bidi="ar-SA"/>
              </w:rPr>
            </w:pPr>
            <w:r>
              <w:rPr>
                <w:rFonts w:hint="eastAsia" w:ascii="宋体" w:hAnsi="宋体" w:eastAsia="宋体" w:cs="宋体"/>
                <w:kern w:val="0"/>
                <w:szCs w:val="21"/>
              </w:rPr>
              <w:t>高清数字电视信号</w:t>
            </w:r>
            <w:r>
              <w:rPr>
                <w:rFonts w:hint="eastAsia" w:ascii="宋体" w:hAnsi="宋体" w:eastAsia="宋体" w:cs="宋体"/>
                <w:kern w:val="0"/>
                <w:szCs w:val="21"/>
                <w:lang w:eastAsia="zh-CN"/>
              </w:rPr>
              <w:t>：</w:t>
            </w:r>
          </w:p>
        </w:tc>
        <w:tc>
          <w:tcPr>
            <w:tcW w:w="177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75E537">
            <w:pPr>
              <w:numPr>
                <w:ilvl w:val="0"/>
                <w:numId w:val="0"/>
              </w:numPr>
              <w:ind w:left="0" w:leftChars="0" w:firstLine="0" w:firstLineChars="0"/>
              <w:rPr>
                <w:rFonts w:hint="eastAsia" w:eastAsia="宋体" w:asciiTheme="minorHAnsi" w:hAnsiTheme="minorHAnsi" w:cstheme="minorBidi"/>
                <w:kern w:val="2"/>
                <w:sz w:val="21"/>
                <w:szCs w:val="21"/>
                <w:lang w:val="en-US" w:eastAsia="zh-CN" w:bidi="ar-SA"/>
              </w:rPr>
            </w:pPr>
            <w:r>
              <w:rPr>
                <w:rFonts w:hint="eastAsia" w:ascii="宋体" w:hAnsi="宋体" w:eastAsia="宋体" w:cs="Times New Roman"/>
                <w:b w:val="0"/>
                <w:bCs w:val="0"/>
                <w:color w:val="auto"/>
                <w:szCs w:val="21"/>
              </w:rPr>
              <w:t>通过光纤专线为院方传输48套高清电视节目源（详见附件一）。收视服务的内容主要包括医院自办频道、央视频道、省级卫视、深圳本地频道等共48个频道</w:t>
            </w:r>
            <w:r>
              <w:rPr>
                <w:rFonts w:hint="eastAsia" w:ascii="宋体" w:hAnsi="宋体" w:eastAsia="宋体" w:cs="Times New Roman"/>
                <w:b w:val="0"/>
                <w:bCs w:val="0"/>
                <w:color w:val="auto"/>
                <w:szCs w:val="21"/>
                <w:lang w:val="en-US" w:eastAsia="zh-CN"/>
              </w:rPr>
              <w:t>，以及健康科普宣教栏目</w:t>
            </w:r>
            <w:r>
              <w:rPr>
                <w:rFonts w:hint="eastAsia" w:ascii="宋体" w:hAnsi="宋体" w:eastAsia="宋体" w:cs="Times New Roman"/>
                <w:b w:val="0"/>
                <w:bCs w:val="0"/>
                <w:color w:val="auto"/>
                <w:szCs w:val="21"/>
                <w:lang w:eastAsia="zh-CN"/>
              </w:rPr>
              <w:t>。</w:t>
            </w:r>
          </w:p>
        </w:tc>
        <w:tc>
          <w:tcPr>
            <w:tcW w:w="1511" w:type="pct"/>
            <w:tcBorders>
              <w:top w:val="single" w:color="auto" w:sz="4" w:space="0"/>
              <w:left w:val="single" w:color="auto" w:sz="4" w:space="0"/>
              <w:bottom w:val="single" w:color="auto" w:sz="4" w:space="0"/>
              <w:right w:val="single" w:color="auto" w:sz="4"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738" w:type="pct"/>
            <w:tcBorders>
              <w:top w:val="single" w:color="auto" w:sz="4" w:space="0"/>
              <w:left w:val="single" w:color="auto" w:sz="4" w:space="0"/>
              <w:bottom w:val="single" w:color="auto" w:sz="4" w:space="0"/>
              <w:right w:val="single" w:color="auto" w:sz="4"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88" w:type="pct"/>
            <w:tcBorders>
              <w:top w:val="single" w:color="auto" w:sz="4" w:space="0"/>
              <w:left w:val="single" w:color="auto" w:sz="8" w:space="0"/>
              <w:bottom w:val="single" w:color="000000" w:sz="8" w:space="0"/>
              <w:right w:val="single" w:color="auto" w:sz="4"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488" w:type="pct"/>
            <w:tcBorders>
              <w:top w:val="single" w:color="auto" w:sz="4" w:space="0"/>
              <w:left w:val="single" w:color="auto" w:sz="4" w:space="0"/>
              <w:bottom w:val="single" w:color="auto" w:sz="4" w:space="0"/>
              <w:right w:val="single" w:color="auto" w:sz="4" w:space="0"/>
            </w:tcBorders>
            <w:noWrap w:val="0"/>
            <w:vAlign w:val="top"/>
          </w:tcPr>
          <w:p w14:paraId="7EF5D128">
            <w:pPr>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Cs w:val="21"/>
                <w:lang w:val="en-US" w:eastAsia="zh-CN"/>
              </w:rPr>
              <w:t>自办频道：</w:t>
            </w:r>
          </w:p>
        </w:tc>
        <w:tc>
          <w:tcPr>
            <w:tcW w:w="1773" w:type="pct"/>
            <w:tcBorders>
              <w:top w:val="single" w:color="auto" w:sz="4" w:space="0"/>
              <w:left w:val="single" w:color="auto" w:sz="4" w:space="0"/>
              <w:bottom w:val="single" w:color="auto" w:sz="8" w:space="0"/>
              <w:right w:val="single" w:color="auto" w:sz="8" w:space="0"/>
            </w:tcBorders>
            <w:noWrap w:val="0"/>
            <w:vAlign w:val="center"/>
          </w:tcPr>
          <w:p w14:paraId="0EE1E25D">
            <w:pPr>
              <w:numPr>
                <w:ilvl w:val="0"/>
                <w:numId w:val="0"/>
              </w:numPr>
              <w:ind w:left="0" w:leftChars="0" w:firstLine="0" w:firstLineChars="0"/>
              <w:rPr>
                <w:rFonts w:hint="eastAsia" w:ascii="宋体" w:hAnsi="宋体" w:eastAsia="宋体" w:cs="宋体"/>
                <w:b w:val="0"/>
                <w:bCs w:val="0"/>
                <w:sz w:val="21"/>
                <w:szCs w:val="21"/>
              </w:rPr>
            </w:pPr>
            <w:r>
              <w:rPr>
                <w:rFonts w:hint="eastAsia" w:ascii="宋体" w:hAnsi="宋体" w:eastAsia="宋体" w:cs="Times New Roman"/>
                <w:b w:val="0"/>
                <w:bCs w:val="0"/>
                <w:color w:val="auto"/>
                <w:szCs w:val="21"/>
                <w:lang w:val="en-US" w:eastAsia="zh-CN"/>
              </w:rPr>
              <w:t>提供专属服务器，</w:t>
            </w:r>
            <w:r>
              <w:rPr>
                <w:rFonts w:hint="eastAsia" w:ascii="宋体" w:hAnsi="宋体" w:eastAsia="宋体" w:cs="Times New Roman"/>
                <w:b w:val="0"/>
                <w:bCs w:val="0"/>
                <w:color w:val="auto"/>
                <w:szCs w:val="21"/>
              </w:rPr>
              <w:t>制定医院的专属频道，可包含医院概况、医院荣誉、领导风采，名医荟萃</w:t>
            </w:r>
            <w:r>
              <w:rPr>
                <w:rFonts w:hint="eastAsia" w:ascii="宋体" w:hAnsi="宋体" w:eastAsia="宋体" w:cs="Times New Roman"/>
                <w:b w:val="0"/>
                <w:bCs w:val="0"/>
                <w:color w:val="auto"/>
                <w:szCs w:val="21"/>
                <w:lang w:val="en-US" w:eastAsia="zh-CN"/>
              </w:rPr>
              <w:t>或医院自行定制</w:t>
            </w:r>
            <w:r>
              <w:rPr>
                <w:rFonts w:hint="eastAsia" w:ascii="宋体" w:hAnsi="宋体" w:eastAsia="宋体" w:cs="Times New Roman"/>
                <w:b w:val="0"/>
                <w:bCs w:val="0"/>
                <w:color w:val="auto"/>
                <w:szCs w:val="21"/>
              </w:rPr>
              <w:t>等内容。</w:t>
            </w:r>
          </w:p>
        </w:tc>
        <w:tc>
          <w:tcPr>
            <w:tcW w:w="1511" w:type="pct"/>
            <w:tcBorders>
              <w:top w:val="single" w:color="auto" w:sz="4" w:space="0"/>
              <w:left w:val="nil"/>
              <w:bottom w:val="single" w:color="auto" w:sz="8" w:space="0"/>
              <w:right w:val="single" w:color="auto" w:sz="8"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738" w:type="pct"/>
            <w:tcBorders>
              <w:top w:val="single" w:color="auto" w:sz="4" w:space="0"/>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4" w:space="0"/>
            </w:tcBorders>
            <w:noWrap w:val="0"/>
            <w:vAlign w:val="top"/>
          </w:tcPr>
          <w:p w14:paraId="7603C80D">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3</w:t>
            </w:r>
          </w:p>
        </w:tc>
        <w:tc>
          <w:tcPr>
            <w:tcW w:w="488" w:type="pct"/>
            <w:tcBorders>
              <w:top w:val="single" w:color="auto" w:sz="4" w:space="0"/>
              <w:left w:val="single" w:color="auto" w:sz="4" w:space="0"/>
              <w:bottom w:val="single" w:color="auto" w:sz="4" w:space="0"/>
              <w:right w:val="single" w:color="auto" w:sz="4" w:space="0"/>
            </w:tcBorders>
            <w:noWrap w:val="0"/>
            <w:vAlign w:val="top"/>
          </w:tcPr>
          <w:p w14:paraId="32579C5A">
            <w:pPr>
              <w:spacing w:line="360" w:lineRule="auto"/>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Cs w:val="21"/>
                <w:lang w:val="en-US" w:eastAsia="zh-CN"/>
              </w:rPr>
              <w:t>服务范围：</w:t>
            </w:r>
          </w:p>
        </w:tc>
        <w:tc>
          <w:tcPr>
            <w:tcW w:w="1773" w:type="pct"/>
            <w:tcBorders>
              <w:top w:val="nil"/>
              <w:left w:val="single" w:color="auto" w:sz="4" w:space="0"/>
              <w:bottom w:val="single" w:color="auto" w:sz="8" w:space="0"/>
              <w:right w:val="single" w:color="auto" w:sz="8" w:space="0"/>
            </w:tcBorders>
            <w:noWrap w:val="0"/>
            <w:vAlign w:val="center"/>
          </w:tcPr>
          <w:p w14:paraId="38CCF462">
            <w:pPr>
              <w:widowControl/>
              <w:jc w:val="both"/>
              <w:rPr>
                <w:rFonts w:hint="eastAsia" w:ascii="宋体" w:hAnsi="宋体" w:eastAsia="宋体" w:cs="宋体"/>
                <w:b w:val="0"/>
                <w:bCs w:val="0"/>
                <w:sz w:val="21"/>
                <w:szCs w:val="21"/>
              </w:rPr>
            </w:pPr>
            <w:r>
              <w:rPr>
                <w:rFonts w:hint="eastAsia" w:ascii="宋体" w:hAnsi="宋体" w:eastAsia="宋体" w:cs="Times New Roman"/>
                <w:b w:val="0"/>
                <w:bCs w:val="0"/>
                <w:color w:val="auto"/>
                <w:szCs w:val="21"/>
                <w:lang w:eastAsia="zh-CN"/>
              </w:rPr>
              <w:t>服务范围</w:t>
            </w:r>
            <w:r>
              <w:rPr>
                <w:rFonts w:hint="eastAsia" w:ascii="宋体" w:hAnsi="宋体" w:eastAsia="宋体" w:cs="Times New Roman"/>
                <w:b w:val="0"/>
                <w:bCs w:val="0"/>
                <w:color w:val="auto"/>
                <w:szCs w:val="21"/>
              </w:rPr>
              <w:t>涵盖医院</w:t>
            </w:r>
            <w:r>
              <w:rPr>
                <w:rFonts w:hint="eastAsia" w:ascii="宋体" w:hAnsi="宋体" w:eastAsia="宋体" w:cs="Times New Roman"/>
                <w:b w:val="0"/>
                <w:bCs w:val="0"/>
                <w:color w:val="auto"/>
                <w:szCs w:val="21"/>
                <w:lang w:eastAsia="zh-CN"/>
              </w:rPr>
              <w:t>一期院区有线数字电视线路（同轴电缆）</w:t>
            </w:r>
            <w:r>
              <w:rPr>
                <w:rFonts w:hint="eastAsia" w:ascii="宋体" w:hAnsi="宋体" w:eastAsia="宋体" w:cs="Times New Roman"/>
                <w:b w:val="0"/>
                <w:bCs w:val="0"/>
                <w:color w:val="auto"/>
                <w:szCs w:val="21"/>
              </w:rPr>
              <w:t>覆盖的位置</w:t>
            </w:r>
            <w:r>
              <w:rPr>
                <w:rFonts w:hint="eastAsia" w:ascii="宋体" w:hAnsi="宋体" w:eastAsia="宋体" w:cs="Times New Roman"/>
                <w:b w:val="0"/>
                <w:bCs w:val="0"/>
                <w:color w:val="auto"/>
                <w:szCs w:val="21"/>
                <w:lang w:eastAsia="zh-CN"/>
              </w:rPr>
              <w:t>，收视点位</w:t>
            </w:r>
            <w:r>
              <w:rPr>
                <w:rFonts w:hint="eastAsia" w:ascii="宋体" w:hAnsi="宋体" w:eastAsia="宋体" w:cs="Times New Roman"/>
                <w:b w:val="0"/>
                <w:bCs w:val="0"/>
                <w:color w:val="auto"/>
                <w:szCs w:val="21"/>
                <w:lang w:val="en-US" w:eastAsia="zh-CN"/>
              </w:rPr>
              <w:t>总数不超过329个</w:t>
            </w:r>
            <w:r>
              <w:rPr>
                <w:rFonts w:hint="eastAsia" w:ascii="宋体" w:hAnsi="宋体" w:eastAsia="宋体" w:cs="Times New Roman"/>
                <w:b w:val="0"/>
                <w:bCs w:val="0"/>
                <w:color w:val="auto"/>
                <w:szCs w:val="21"/>
                <w:lang w:eastAsia="zh-CN"/>
              </w:rPr>
              <w:t>。</w:t>
            </w:r>
          </w:p>
        </w:tc>
        <w:tc>
          <w:tcPr>
            <w:tcW w:w="1511" w:type="pct"/>
            <w:tcBorders>
              <w:top w:val="nil"/>
              <w:left w:val="nil"/>
              <w:bottom w:val="single" w:color="auto" w:sz="8" w:space="0"/>
              <w:right w:val="single" w:color="auto" w:sz="8" w:space="0"/>
            </w:tcBorders>
            <w:noWrap w:val="0"/>
            <w:vAlign w:val="top"/>
          </w:tcPr>
          <w:p w14:paraId="17D7291F">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2171BCCB">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1"/>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1"/>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5"/>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default" w:cs="仿宋" w:asciiTheme="minorEastAsia" w:hAnsiTheme="minorEastAsia" w:eastAsiaTheme="minorEastAsia"/>
                <w:sz w:val="24"/>
                <w:szCs w:val="24"/>
                <w:lang w:val="en-US" w:eastAsia="zh-CN"/>
              </w:rPr>
            </w:pPr>
            <w:r>
              <w:rPr>
                <w:rFonts w:hint="eastAsia" w:ascii="微软雅黑" w:hAnsi="微软雅黑" w:eastAsia="微软雅黑" w:cs="微软雅黑"/>
                <w:lang w:val="en-US" w:eastAsia="zh-CN"/>
              </w:rPr>
              <w:t>售后服务</w:t>
            </w:r>
          </w:p>
        </w:tc>
        <w:tc>
          <w:tcPr>
            <w:tcW w:w="4509" w:type="dxa"/>
            <w:vAlign w:val="center"/>
          </w:tcPr>
          <w:p w14:paraId="741A9D7B">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1.项目服务期内，由中标人负责维护本方建设的有线电视设备、线路。中标人须提供优质的售后技术支持服务，开通 24小时热线电话接受采购人的电话技术咨询；采购人内部设备和线路出现故障时，中标人应在2小时内响应并提供排障服务；如故障不能排除，中标人应在4小时内提供现场服务，待服务运行正常后撤离现场。</w:t>
            </w:r>
          </w:p>
          <w:p w14:paraId="153CEAE7">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2.项目服务期内，中标人需满足采购人提出的合理的符合安全环境的线路迁改或安装，同时无需另付附加费。</w:t>
            </w:r>
          </w:p>
        </w:tc>
        <w:tc>
          <w:tcPr>
            <w:tcW w:w="2791" w:type="dxa"/>
          </w:tcPr>
          <w:p w14:paraId="0741A494">
            <w:pPr>
              <w:rPr>
                <w:kern w:val="0"/>
                <w:sz w:val="20"/>
                <w:szCs w:val="20"/>
              </w:rPr>
            </w:pPr>
          </w:p>
        </w:tc>
        <w:tc>
          <w:tcPr>
            <w:tcW w:w="1279" w:type="dxa"/>
          </w:tcPr>
          <w:p w14:paraId="2A307743">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eastAsia" w:cs="仿宋" w:asciiTheme="minorEastAsia" w:hAnsiTheme="minorEastAsia" w:eastAsiaTheme="minorEastAsia"/>
                <w:sz w:val="24"/>
                <w:szCs w:val="24"/>
                <w:lang w:val="en-US" w:eastAsia="zh-CN"/>
              </w:rPr>
            </w:pPr>
            <w:r>
              <w:rPr>
                <w:rFonts w:hint="eastAsia" w:ascii="微软雅黑" w:hAnsi="微软雅黑" w:eastAsia="微软雅黑" w:cs="微软雅黑"/>
                <w:lang w:val="en-US" w:eastAsia="zh-CN"/>
              </w:rPr>
              <w:t>付款要求</w:t>
            </w:r>
          </w:p>
        </w:tc>
        <w:tc>
          <w:tcPr>
            <w:tcW w:w="4509" w:type="dxa"/>
            <w:vAlign w:val="center"/>
          </w:tcPr>
          <w:p w14:paraId="1B1A4264">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1.费用计算方式：</w:t>
            </w:r>
          </w:p>
          <w:p w14:paraId="373CD47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每月实际使用的电视数量（台）× 单台电视机月服务费（元/月/台）。因医院一期院区搬迁导致收视点位逐步减少，医院应提前通知中标人，双方根据实际搬迁进度及剩余收视点位数量，按月调整计费点位总数。已搬迁的收视点位服务自动终止，中标人不得就减少的点位收取额外费用。因搬迁导致当月实际使用天数不足一个月的，仍按一个月计费。</w:t>
            </w:r>
          </w:p>
          <w:p w14:paraId="653F501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2.按月支付：</w:t>
            </w:r>
          </w:p>
          <w:p w14:paraId="6955813E">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96"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中标人每月15日前提供上月的费用发票，采购人应在收到发票后5个工作日内完成核对确认，并在确认无误后于10个工作日内将相应数额的费用支付给中标人。如采购人对金额有异议，应在收到发票后5个工作日内书面提出，双方应尽快协商解决；因核对异议导致的付款延迟，采购人不承担逾期付款责任。</w:t>
            </w:r>
          </w:p>
        </w:tc>
        <w:tc>
          <w:tcPr>
            <w:tcW w:w="2791" w:type="dxa"/>
          </w:tcPr>
          <w:p w14:paraId="0C734FC3">
            <w:pPr>
              <w:rPr>
                <w:kern w:val="0"/>
                <w:sz w:val="20"/>
                <w:szCs w:val="20"/>
              </w:rPr>
            </w:pPr>
          </w:p>
        </w:tc>
        <w:tc>
          <w:tcPr>
            <w:tcW w:w="1279" w:type="dxa"/>
          </w:tcPr>
          <w:p w14:paraId="4C57845E">
            <w:pPr>
              <w:rPr>
                <w:kern w:val="0"/>
                <w:sz w:val="20"/>
                <w:szCs w:val="20"/>
              </w:rPr>
            </w:pPr>
          </w:p>
        </w:tc>
      </w:tr>
      <w:tr w14:paraId="1C7E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shd w:val="clear" w:color="auto" w:fill="auto"/>
            <w:vAlign w:val="center"/>
          </w:tcPr>
          <w:p w14:paraId="5C9FBF1D">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default" w:cs="仿宋" w:asciiTheme="minorEastAsia" w:hAnsiTheme="minorEastAsia"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rPr>
              <w:t>服务地点</w:t>
            </w:r>
          </w:p>
        </w:tc>
        <w:tc>
          <w:tcPr>
            <w:tcW w:w="4509" w:type="dxa"/>
            <w:shd w:val="clear" w:color="auto" w:fill="auto"/>
            <w:vAlign w:val="center"/>
          </w:tcPr>
          <w:p w14:paraId="48EFC529">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中山大学附属第七医院（深圳）</w:t>
            </w:r>
          </w:p>
        </w:tc>
        <w:tc>
          <w:tcPr>
            <w:tcW w:w="2791" w:type="dxa"/>
          </w:tcPr>
          <w:p w14:paraId="6F951632">
            <w:pPr>
              <w:rPr>
                <w:kern w:val="0"/>
                <w:sz w:val="20"/>
                <w:szCs w:val="20"/>
              </w:rPr>
            </w:pPr>
          </w:p>
        </w:tc>
        <w:tc>
          <w:tcPr>
            <w:tcW w:w="1279" w:type="dxa"/>
          </w:tcPr>
          <w:p w14:paraId="7C585FC6">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eastAsia" w:cs="仿宋" w:asciiTheme="minorEastAsia" w:hAnsiTheme="minorEastAsia" w:eastAsiaTheme="minorEastAsia"/>
                <w:sz w:val="24"/>
                <w:szCs w:val="24"/>
                <w:lang w:val="en-US" w:eastAsia="zh-CN"/>
              </w:rPr>
            </w:pPr>
            <w:r>
              <w:rPr>
                <w:rFonts w:hint="eastAsia" w:ascii="微软雅黑" w:hAnsi="微软雅黑" w:eastAsia="微软雅黑" w:cs="微软雅黑"/>
                <w:lang w:val="en-US" w:eastAsia="zh-CN"/>
              </w:rPr>
              <w:t>合同期限</w:t>
            </w:r>
          </w:p>
        </w:tc>
        <w:tc>
          <w:tcPr>
            <w:tcW w:w="4509" w:type="dxa"/>
            <w:vAlign w:val="center"/>
          </w:tcPr>
          <w:p w14:paraId="0741323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Times New Roman"/>
                <w:b/>
                <w:bCs/>
                <w:color w:val="auto"/>
                <w:szCs w:val="21"/>
                <w:lang w:val="en-US" w:eastAsia="zh-CN"/>
              </w:rPr>
            </w:pPr>
            <w:r>
              <w:rPr>
                <w:rFonts w:hint="eastAsia" w:ascii="宋体" w:hAnsi="宋体" w:cs="Times New Roman"/>
                <w:b/>
                <w:bCs/>
                <w:color w:val="auto"/>
                <w:szCs w:val="21"/>
                <w:lang w:val="en-US" w:eastAsia="zh-CN"/>
              </w:rPr>
              <w:t>1.</w:t>
            </w:r>
            <w:r>
              <w:rPr>
                <w:rFonts w:hint="eastAsia" w:ascii="宋体" w:hAnsi="宋体" w:eastAsia="宋体" w:cs="Times New Roman"/>
                <w:b/>
                <w:bCs/>
                <w:color w:val="auto"/>
                <w:szCs w:val="21"/>
                <w:lang w:val="en-US" w:eastAsia="zh-CN"/>
              </w:rPr>
              <w:t>合同限额：</w:t>
            </w:r>
          </w:p>
          <w:p w14:paraId="1C7AD0C5">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Times New Roman"/>
                <w:b w:val="0"/>
                <w:bCs w:val="0"/>
                <w:color w:val="auto"/>
                <w:szCs w:val="21"/>
                <w:lang w:val="en-US" w:eastAsia="zh-CN"/>
              </w:rPr>
            </w:pPr>
            <w:r>
              <w:rPr>
                <w:rFonts w:hint="eastAsia" w:ascii="宋体" w:hAnsi="宋体" w:eastAsia="宋体" w:cs="宋体"/>
                <w:color w:val="333333"/>
                <w:kern w:val="0"/>
                <w:sz w:val="24"/>
                <w:szCs w:val="24"/>
                <w:lang w:val="en-US" w:eastAsia="zh-CN" w:bidi="ar-SA"/>
              </w:rPr>
              <w:t>本项目的总预算为90524元，支付总额不超过合同最高支付上限。</w:t>
            </w:r>
          </w:p>
          <w:p w14:paraId="193612C2">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Times New Roman"/>
                <w:b/>
                <w:bCs/>
                <w:color w:val="auto"/>
                <w:szCs w:val="21"/>
                <w:lang w:val="zh-CN" w:eastAsia="zh-CN"/>
              </w:rPr>
            </w:pPr>
            <w:r>
              <w:rPr>
                <w:rFonts w:hint="eastAsia" w:ascii="宋体" w:hAnsi="宋体" w:cs="Times New Roman"/>
                <w:b/>
                <w:bCs/>
                <w:color w:val="auto"/>
                <w:szCs w:val="21"/>
                <w:lang w:val="en-US" w:eastAsia="zh-CN"/>
              </w:rPr>
              <w:t>2.</w:t>
            </w:r>
            <w:r>
              <w:rPr>
                <w:rFonts w:hint="eastAsia" w:ascii="宋体" w:hAnsi="宋体" w:eastAsia="宋体" w:cs="Times New Roman"/>
                <w:b/>
                <w:bCs/>
                <w:color w:val="auto"/>
                <w:szCs w:val="21"/>
                <w:lang w:val="zh-CN" w:eastAsia="zh-CN"/>
              </w:rPr>
              <w:t>项目服务期限：</w:t>
            </w:r>
          </w:p>
          <w:p w14:paraId="46D756F1">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zh-CN" w:eastAsia="zh-CN" w:bidi="ar-SA"/>
              </w:rPr>
            </w:pPr>
            <w:r>
              <w:rPr>
                <w:rFonts w:hint="eastAsia" w:ascii="宋体" w:hAnsi="宋体" w:eastAsia="宋体" w:cs="宋体"/>
                <w:color w:val="333333"/>
                <w:kern w:val="0"/>
                <w:sz w:val="24"/>
                <w:szCs w:val="24"/>
                <w:lang w:val="zh-CN" w:eastAsia="zh-CN" w:bidi="ar-SA"/>
              </w:rPr>
              <w:t>自合同签订之日起12个月。</w:t>
            </w:r>
          </w:p>
          <w:p w14:paraId="6E3D28EF">
            <w:pPr>
              <w:keepNext w:val="0"/>
              <w:keepLines w:val="0"/>
              <w:pageBreakBefore w:val="0"/>
              <w:widowControl/>
              <w:kinsoku/>
              <w:wordWrap/>
              <w:overflowPunct/>
              <w:topLinePunct w:val="0"/>
              <w:autoSpaceDE/>
              <w:autoSpaceDN/>
              <w:bidi w:val="0"/>
              <w:adjustRightInd/>
              <w:snapToGrid/>
              <w:spacing w:before="233" w:beforeLines="50" w:after="233" w:afterLines="50"/>
              <w:jc w:val="left"/>
              <w:textAlignment w:val="auto"/>
              <w:rPr>
                <w:rFonts w:hint="eastAsia" w:ascii="宋体" w:hAnsi="宋体" w:eastAsia="宋体" w:cs="Times New Roman"/>
                <w:b w:val="0"/>
                <w:bCs w:val="0"/>
                <w:color w:val="auto"/>
                <w:szCs w:val="21"/>
                <w:lang w:val="en-US" w:eastAsia="zh-CN"/>
              </w:rPr>
            </w:pPr>
            <w:r>
              <w:rPr>
                <w:rFonts w:hint="eastAsia" w:ascii="宋体" w:hAnsi="宋体" w:cs="Times New Roman"/>
                <w:b/>
                <w:bCs/>
                <w:color w:val="auto"/>
                <w:szCs w:val="21"/>
                <w:lang w:val="en-US" w:eastAsia="zh-CN"/>
              </w:rPr>
              <w:t>3.</w:t>
            </w:r>
            <w:r>
              <w:rPr>
                <w:rFonts w:hint="eastAsia" w:ascii="宋体" w:hAnsi="宋体" w:eastAsia="宋体" w:cs="Times New Roman"/>
                <w:b/>
                <w:bCs/>
                <w:color w:val="auto"/>
                <w:szCs w:val="21"/>
                <w:lang w:val="en-US" w:eastAsia="zh-CN"/>
              </w:rPr>
              <w:t>若出现以下任一情形，本服务期/合同自动终止</w:t>
            </w:r>
            <w:r>
              <w:rPr>
                <w:rFonts w:hint="eastAsia" w:ascii="宋体" w:hAnsi="宋体" w:eastAsia="宋体" w:cs="Times New Roman"/>
                <w:b w:val="0"/>
                <w:bCs w:val="0"/>
                <w:color w:val="auto"/>
                <w:szCs w:val="21"/>
                <w:lang w:val="en-US" w:eastAsia="zh-CN"/>
              </w:rPr>
              <w:t>：</w:t>
            </w:r>
          </w:p>
          <w:p w14:paraId="79472B0B">
            <w:pPr>
              <w:keepNext w:val="0"/>
              <w:keepLines w:val="0"/>
              <w:pageBreakBefore w:val="0"/>
              <w:widowControl/>
              <w:numPr>
                <w:ilvl w:val="0"/>
                <w:numId w:val="4"/>
              </w:numPr>
              <w:kinsoku/>
              <w:wordWrap/>
              <w:overflowPunct/>
              <w:topLinePunct w:val="0"/>
              <w:autoSpaceDE/>
              <w:autoSpaceDN/>
              <w:bidi w:val="0"/>
              <w:adjustRightInd/>
              <w:snapToGrid/>
              <w:spacing w:before="233" w:beforeLines="50" w:after="233" w:afterLines="50"/>
              <w:ind w:left="0" w:leftChars="0" w:firstLine="0" w:firstLineChars="0"/>
              <w:jc w:val="left"/>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若在服务期限内，因医院一期院区全部搬迁完毕导致所有收视点位全部撤销，本合同自采购人向中标人发出书面终止通知之日起终止。双方应在收到通知后10个工作日内，就已产生的服务费用进行结算。</w:t>
            </w:r>
          </w:p>
          <w:p w14:paraId="57D3E6EC">
            <w:pPr>
              <w:keepNext w:val="0"/>
              <w:keepLines w:val="0"/>
              <w:pageBreakBefore w:val="0"/>
              <w:widowControl/>
              <w:numPr>
                <w:ilvl w:val="0"/>
                <w:numId w:val="4"/>
              </w:numPr>
              <w:kinsoku/>
              <w:wordWrap/>
              <w:overflowPunct/>
              <w:topLinePunct w:val="0"/>
              <w:autoSpaceDE/>
              <w:autoSpaceDN/>
              <w:bidi w:val="0"/>
              <w:adjustRightInd/>
              <w:snapToGrid/>
              <w:spacing w:before="233" w:beforeLines="50" w:after="233" w:afterLines="50"/>
              <w:ind w:left="0" w:leftChars="0" w:firstLine="0" w:firstLineChars="0"/>
              <w:jc w:val="left"/>
              <w:textAlignment w:val="auto"/>
              <w:rPr>
                <w:rFonts w:hint="default" w:cs="仿宋" w:asciiTheme="minorEastAsia" w:hAnsiTheme="minorEastAsia" w:eastAsiaTheme="minorEastAsia"/>
                <w:sz w:val="24"/>
                <w:szCs w:val="24"/>
                <w:lang w:val="en-US" w:eastAsia="zh-CN"/>
              </w:rPr>
            </w:pPr>
            <w:r>
              <w:rPr>
                <w:rFonts w:hint="default" w:ascii="宋体" w:hAnsi="宋体" w:eastAsia="宋体" w:cs="宋体"/>
                <w:color w:val="333333"/>
                <w:kern w:val="0"/>
                <w:sz w:val="24"/>
                <w:szCs w:val="24"/>
                <w:lang w:val="en-US" w:eastAsia="zh-CN" w:bidi="ar-SA"/>
              </w:rPr>
              <w:t>在服务期限内，若合同累计支付金额已达到本合同规定的最高支付上限，本合同自动终止。</w:t>
            </w: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center"/>
              <w:rPr>
                <w:rFonts w:hint="default" w:cs="仿宋" w:asciiTheme="minorEastAsia" w:hAnsiTheme="minorEastAsia" w:eastAsiaTheme="minorEastAsia"/>
                <w:sz w:val="24"/>
                <w:szCs w:val="24"/>
                <w:lang w:val="en-US" w:eastAsia="zh-CN"/>
              </w:rPr>
            </w:pPr>
            <w:r>
              <w:rPr>
                <w:rFonts w:hint="eastAsia" w:ascii="微软雅黑" w:hAnsi="微软雅黑" w:eastAsia="微软雅黑" w:cs="微软雅黑"/>
                <w:i w:val="0"/>
                <w:iCs w:val="0"/>
                <w:caps w:val="0"/>
                <w:color w:val="333333"/>
                <w:spacing w:val="0"/>
                <w:sz w:val="24"/>
                <w:szCs w:val="24"/>
              </w:rPr>
              <w:t>违约责任</w:t>
            </w:r>
          </w:p>
        </w:tc>
        <w:tc>
          <w:tcPr>
            <w:tcW w:w="4509" w:type="dxa"/>
            <w:vAlign w:val="center"/>
          </w:tcPr>
          <w:p w14:paraId="0368CAEE">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出现下列情形之一的，甲方有权单方解除/终止合同，乙方应在收到甲方解除/终止合同的通知之日起两个星期内返还甲方已付服务费并依甲方的指示退还所有的基础性文件和原始资料，同时乙方须按合同总金额的30%向甲方赔偿违约金。违约金不足以赔偿甲方由此而遭受的直接和间接损失的，甲方有权继续追偿。具体情形如下：</w:t>
            </w:r>
          </w:p>
          <w:p w14:paraId="5E706D2C">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（1）乙方逾期超过30日，仍未按期完成工作任务或达到交付技术成果要求的；</w:t>
            </w:r>
          </w:p>
          <w:p w14:paraId="3306B76D">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（2）乙方在履行合同过程中明显地体现出无法按双方约定的主要技术要求完成本技术服务的；</w:t>
            </w:r>
          </w:p>
          <w:p w14:paraId="6FE96722">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（3）非经甲方书面同意，乙方擅自变更本合同内容或将本合同项下权利义务全部或部分转让给任何第三方的，或将本合同项下服务转包或分包的；</w:t>
            </w:r>
          </w:p>
          <w:p w14:paraId="7EE6999C">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（4）乙方有不履行或不适当履行合同义务的情形，经甲方书面催促仍未有效改正的，或整改后仍达不到甲方要求的；</w:t>
            </w:r>
          </w:p>
          <w:p w14:paraId="396E5D6B">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（5）乙方从事商业贿赂行为或其他违法违规行为的；</w:t>
            </w:r>
          </w:p>
          <w:p w14:paraId="70CDDDB4">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right="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（6）法律规定的或本合同约定的其他甲方有权单方解除/终止合同的情形。</w:t>
            </w:r>
          </w:p>
          <w:p w14:paraId="4820AF2E">
            <w:pPr>
              <w:pStyle w:val="3"/>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240" w:afterAutospacing="0" w:line="21" w:lineRule="atLeast"/>
              <w:ind w:left="0" w:leftChars="0" w:right="0" w:rightChars="0"/>
              <w:jc w:val="both"/>
              <w:rPr>
                <w:rFonts w:hint="eastAsia" w:cs="仿宋" w:asciiTheme="minorEastAsia" w:hAnsiTheme="minorEastAsia" w:eastAsiaTheme="minorEastAsia"/>
                <w:sz w:val="24"/>
                <w:szCs w:val="24"/>
                <w:lang w:val="en-US" w:eastAsia="zh-CN"/>
              </w:rPr>
            </w:pPr>
            <w:r>
              <w:rPr>
                <w:rFonts w:hint="eastAsia" w:ascii="宋体" w:hAnsi="宋体" w:eastAsia="宋体" w:cs="宋体"/>
                <w:color w:val="333333"/>
                <w:kern w:val="0"/>
                <w:sz w:val="24"/>
                <w:szCs w:val="24"/>
                <w:lang w:val="en-US" w:eastAsia="zh-CN" w:bidi="ar-SA"/>
              </w:rPr>
              <w:t>2. 乙方如出现歇业、停业、被吊销营业执照或被人民法院裁定宣告进入破产还债程序等情形，应提前1 个月以书面形式通知甲方，甲方有权单方解除合同，乙方应在收到甲方发出的解除/终止合同通知后10天内无条件退回甲方已支付的全部款项，按合同总价的30%向甲方支付违约金，并对甲方遭受的损失进行赔偿。</w:t>
            </w:r>
          </w:p>
        </w:tc>
        <w:tc>
          <w:tcPr>
            <w:tcW w:w="2791" w:type="dxa"/>
          </w:tcPr>
          <w:p w14:paraId="7E6CDD0E">
            <w:pPr>
              <w:rPr>
                <w:kern w:val="0"/>
                <w:sz w:val="20"/>
                <w:szCs w:val="20"/>
              </w:rPr>
            </w:pPr>
          </w:p>
        </w:tc>
        <w:tc>
          <w:tcPr>
            <w:tcW w:w="1279" w:type="dxa"/>
          </w:tcPr>
          <w:p w14:paraId="3FF42EC0">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1"/>
        <w:numPr>
          <w:ilvl w:val="0"/>
          <w:numId w:val="5"/>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1"/>
        <w:numPr>
          <w:ilvl w:val="0"/>
          <w:numId w:val="5"/>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1"/>
        <w:numPr>
          <w:ilvl w:val="0"/>
          <w:numId w:val="0"/>
        </w:numPr>
        <w:ind w:leftChars="0"/>
        <w:rPr>
          <w:rFonts w:hint="eastAsia" w:ascii="宋体" w:hAnsi="宋体" w:cs="宋体"/>
          <w:color w:val="333333"/>
          <w:kern w:val="0"/>
          <w:sz w:val="24"/>
          <w:szCs w:val="24"/>
        </w:rPr>
      </w:pPr>
    </w:p>
    <w:p w14:paraId="2E026D4D">
      <w:pPr>
        <w:pStyle w:val="11"/>
        <w:numPr>
          <w:ilvl w:val="0"/>
          <w:numId w:val="0"/>
        </w:numPr>
        <w:ind w:leftChars="0"/>
        <w:rPr>
          <w:rFonts w:hint="eastAsia" w:ascii="宋体" w:hAnsi="宋体" w:cs="宋体"/>
          <w:color w:val="333333"/>
          <w:kern w:val="0"/>
          <w:sz w:val="24"/>
          <w:szCs w:val="24"/>
        </w:rPr>
      </w:pPr>
    </w:p>
    <w:p w14:paraId="3AB6E9FB">
      <w:pPr>
        <w:pStyle w:val="11"/>
        <w:numPr>
          <w:ilvl w:val="0"/>
          <w:numId w:val="0"/>
        </w:numPr>
        <w:ind w:leftChars="0"/>
        <w:rPr>
          <w:rFonts w:hint="eastAsia" w:ascii="宋体" w:hAnsi="宋体" w:cs="宋体"/>
          <w:color w:val="333333"/>
          <w:kern w:val="0"/>
          <w:sz w:val="24"/>
          <w:szCs w:val="24"/>
        </w:rPr>
      </w:pPr>
    </w:p>
    <w:p w14:paraId="2305C4C4">
      <w:pPr>
        <w:pStyle w:val="11"/>
        <w:numPr>
          <w:ilvl w:val="0"/>
          <w:numId w:val="0"/>
        </w:numPr>
        <w:ind w:leftChars="0"/>
        <w:rPr>
          <w:rFonts w:hint="eastAsia" w:ascii="宋体" w:hAnsi="宋体" w:cs="宋体"/>
          <w:color w:val="333333"/>
          <w:kern w:val="0"/>
          <w:sz w:val="24"/>
          <w:szCs w:val="24"/>
        </w:rPr>
      </w:pPr>
    </w:p>
    <w:p w14:paraId="67ED9BA1">
      <w:pPr>
        <w:pStyle w:val="11"/>
        <w:numPr>
          <w:ilvl w:val="0"/>
          <w:numId w:val="0"/>
        </w:numPr>
        <w:ind w:leftChars="0"/>
        <w:rPr>
          <w:rFonts w:hint="eastAsia" w:ascii="宋体" w:hAnsi="宋体" w:cs="宋体"/>
          <w:color w:val="333333"/>
          <w:kern w:val="0"/>
          <w:sz w:val="24"/>
          <w:szCs w:val="24"/>
        </w:rPr>
      </w:pPr>
    </w:p>
    <w:p w14:paraId="63D22175">
      <w:pPr>
        <w:pStyle w:val="11"/>
        <w:numPr>
          <w:ilvl w:val="0"/>
          <w:numId w:val="0"/>
        </w:numPr>
        <w:ind w:leftChars="0"/>
        <w:rPr>
          <w:rFonts w:hint="eastAsia" w:ascii="宋体" w:hAnsi="宋体" w:cs="宋体"/>
          <w:color w:val="333333"/>
          <w:kern w:val="0"/>
          <w:sz w:val="24"/>
          <w:szCs w:val="24"/>
        </w:rPr>
      </w:pPr>
    </w:p>
    <w:p w14:paraId="1F36A130">
      <w:pPr>
        <w:pStyle w:val="11"/>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1"/>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6"/>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6"/>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1"/>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F871D"/>
    <w:multiLevelType w:val="singleLevel"/>
    <w:tmpl w:val="823F871D"/>
    <w:lvl w:ilvl="0" w:tentative="0">
      <w:start w:val="1"/>
      <w:numFmt w:val="decimal"/>
      <w:lvlText w:val="(%1)"/>
      <w:lvlJc w:val="left"/>
      <w:pPr>
        <w:ind w:left="425" w:hanging="425"/>
      </w:pPr>
      <w:rPr>
        <w:rFonts w:hint="default"/>
      </w:rPr>
    </w:lvl>
  </w:abstractNum>
  <w:abstractNum w:abstractNumId="1">
    <w:nsid w:val="848F4F76"/>
    <w:multiLevelType w:val="singleLevel"/>
    <w:tmpl w:val="848F4F76"/>
    <w:lvl w:ilvl="0" w:tentative="0">
      <w:start w:val="1"/>
      <w:numFmt w:val="decimal"/>
      <w:suff w:val="nothing"/>
      <w:lvlText w:val="%1、"/>
      <w:lvlJc w:val="left"/>
    </w:lvl>
  </w:abstractNum>
  <w:abstractNum w:abstractNumId="2">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247048"/>
    <w:multiLevelType w:val="singleLevel"/>
    <w:tmpl w:val="3D247048"/>
    <w:lvl w:ilvl="0" w:tentative="0">
      <w:start w:val="5"/>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22A0D48"/>
    <w:rsid w:val="06A332A8"/>
    <w:rsid w:val="06FA55FA"/>
    <w:rsid w:val="09075A53"/>
    <w:rsid w:val="097D1872"/>
    <w:rsid w:val="0CD80B33"/>
    <w:rsid w:val="0D890E30"/>
    <w:rsid w:val="0FED7EA1"/>
    <w:rsid w:val="11F927A3"/>
    <w:rsid w:val="14E009F6"/>
    <w:rsid w:val="15910B7E"/>
    <w:rsid w:val="16381990"/>
    <w:rsid w:val="19243E19"/>
    <w:rsid w:val="196F3B37"/>
    <w:rsid w:val="19CD6175"/>
    <w:rsid w:val="1B447873"/>
    <w:rsid w:val="203C450A"/>
    <w:rsid w:val="211F1734"/>
    <w:rsid w:val="21374CD0"/>
    <w:rsid w:val="233B037C"/>
    <w:rsid w:val="236D2106"/>
    <w:rsid w:val="244E0D7D"/>
    <w:rsid w:val="26F23C9D"/>
    <w:rsid w:val="26FD7693"/>
    <w:rsid w:val="288528F2"/>
    <w:rsid w:val="28C144E0"/>
    <w:rsid w:val="298F5B6B"/>
    <w:rsid w:val="29B661FB"/>
    <w:rsid w:val="29D05CC2"/>
    <w:rsid w:val="2A6922B9"/>
    <w:rsid w:val="2CE51C06"/>
    <w:rsid w:val="2D144117"/>
    <w:rsid w:val="2E995F79"/>
    <w:rsid w:val="328D6125"/>
    <w:rsid w:val="33450CED"/>
    <w:rsid w:val="3402116D"/>
    <w:rsid w:val="39C74D42"/>
    <w:rsid w:val="3B022B49"/>
    <w:rsid w:val="3D3D6D72"/>
    <w:rsid w:val="3D994559"/>
    <w:rsid w:val="40BE466E"/>
    <w:rsid w:val="423A0CFF"/>
    <w:rsid w:val="44FB613D"/>
    <w:rsid w:val="47320852"/>
    <w:rsid w:val="48C16567"/>
    <w:rsid w:val="4E2201FD"/>
    <w:rsid w:val="5A925980"/>
    <w:rsid w:val="5FCB6008"/>
    <w:rsid w:val="5FD64512"/>
    <w:rsid w:val="6045400C"/>
    <w:rsid w:val="60D32924"/>
    <w:rsid w:val="63F975E8"/>
    <w:rsid w:val="66EA1469"/>
    <w:rsid w:val="688B0A2A"/>
    <w:rsid w:val="69821E2D"/>
    <w:rsid w:val="6A584A56"/>
    <w:rsid w:val="6F0C5272"/>
    <w:rsid w:val="7023779A"/>
    <w:rsid w:val="72942A63"/>
    <w:rsid w:val="735A7977"/>
    <w:rsid w:val="73DB0AB8"/>
    <w:rsid w:val="77732DB5"/>
    <w:rsid w:val="78160310"/>
    <w:rsid w:val="7AEC1B46"/>
    <w:rsid w:val="7B7C49BC"/>
    <w:rsid w:val="7CC45D36"/>
    <w:rsid w:val="7DBA6FDB"/>
    <w:rsid w:val="7E030AED"/>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Heading2"/>
    <w:basedOn w:val="8"/>
    <w:next w:val="1"/>
    <w:qFormat/>
    <w:uiPriority w:val="0"/>
  </w:style>
  <w:style w:type="paragraph" w:customStyle="1" w:styleId="8">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2147</Words>
  <Characters>2162</Characters>
  <Lines>0</Lines>
  <Paragraphs>0</Paragraphs>
  <TotalTime>6</TotalTime>
  <ScaleCrop>false</ScaleCrop>
  <LinksUpToDate>false</LinksUpToDate>
  <CharactersWithSpaces>2586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2026-07-24T09:29:07Z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eyJoZGlkIjoiMDcyZWZmODcyOTI2ZGZmZTc0YzU4M2E0ZjEwZDdiMDYiLCJ1c2VySWQiOiI2NjA4OTgyNTgifQ==</vt:lpwstr>
  </property>
  <property fmtid="{D5CDD505-2E9C-101B-9397-08002B2CF9AE}" pid="4" name="ICV">
    <vt:lpwstr>84FE47AC6D974A76B22145D7D3D6C6AD_12</vt:lpwstr>
  </property>
</Properties>
</file>