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416C1E">
      <w:pPr>
        <w:jc w:val="center"/>
        <w:rPr>
          <w:rFonts w:ascii="宋体" w:hAnsi="宋体" w:cs="宋体"/>
          <w:b/>
          <w:bCs/>
          <w:color w:val="auto"/>
          <w:kern w:val="0"/>
          <w:sz w:val="36"/>
          <w:szCs w:val="36"/>
          <w:highlight w:val="none"/>
        </w:rPr>
      </w:pPr>
      <w:r>
        <w:rPr>
          <w:rFonts w:hint="eastAsia" w:ascii="宋体" w:hAnsi="宋体" w:cs="宋体"/>
          <w:b/>
          <w:bCs/>
          <w:color w:val="auto"/>
          <w:kern w:val="0"/>
          <w:sz w:val="36"/>
          <w:szCs w:val="36"/>
          <w:highlight w:val="none"/>
        </w:rPr>
        <w:t>中山大学附属第七医院二期HIS系统建设方案需求确认书----医务修订版</w:t>
      </w:r>
    </w:p>
    <w:p w14:paraId="4ADDA419">
      <w:pPr>
        <w:jc w:val="center"/>
        <w:rPr>
          <w:rFonts w:ascii="宋体" w:hAnsi="宋体" w:cs="宋体"/>
          <w:b/>
          <w:bCs/>
          <w:color w:val="auto"/>
          <w:kern w:val="0"/>
          <w:sz w:val="36"/>
          <w:szCs w:val="36"/>
          <w:highlight w:val="none"/>
        </w:rPr>
      </w:pPr>
    </w:p>
    <w:p w14:paraId="33ED2DD2">
      <w:pPr>
        <w:pStyle w:val="2"/>
        <w:keepNext/>
        <w:keepLines/>
        <w:numPr>
          <w:ilvl w:val="0"/>
          <w:numId w:val="9"/>
        </w:numPr>
        <w:spacing w:before="480" w:after="80" w:line="240" w:lineRule="auto"/>
        <w:ind w:left="425" w:hanging="425"/>
        <w:jc w:val="both"/>
        <w:rPr>
          <w:rFonts w:ascii="宋体" w:hAnsi="宋体"/>
          <w:b/>
          <w:bCs/>
          <w:color w:val="auto"/>
          <w:sz w:val="30"/>
          <w:szCs w:val="30"/>
          <w:highlight w:val="none"/>
        </w:rPr>
      </w:pPr>
      <w:r>
        <w:rPr>
          <w:rFonts w:hint="eastAsia" w:ascii="宋体" w:hAnsi="宋体" w:eastAsia="宋体"/>
          <w:b/>
          <w:bCs/>
          <w:color w:val="auto"/>
          <w:kern w:val="2"/>
          <w:sz w:val="30"/>
          <w:szCs w:val="30"/>
          <w:highlight w:val="none"/>
        </w:rPr>
        <w:t>项目基本信息表</w:t>
      </w:r>
    </w:p>
    <w:tbl>
      <w:tblPr>
        <w:tblStyle w:val="43"/>
        <w:tblW w:w="0" w:type="auto"/>
        <w:jc w:val="center"/>
        <w:tblLayout w:type="fixed"/>
        <w:tblCellMar>
          <w:top w:w="0" w:type="dxa"/>
          <w:left w:w="108" w:type="dxa"/>
          <w:bottom w:w="0" w:type="dxa"/>
          <w:right w:w="108" w:type="dxa"/>
        </w:tblCellMar>
      </w:tblPr>
      <w:tblGrid>
        <w:gridCol w:w="1140"/>
        <w:gridCol w:w="1287"/>
        <w:gridCol w:w="7983"/>
        <w:gridCol w:w="1061"/>
        <w:gridCol w:w="831"/>
        <w:gridCol w:w="1492"/>
        <w:gridCol w:w="887"/>
      </w:tblGrid>
      <w:tr w14:paraId="1CBE6B51">
        <w:tblPrEx>
          <w:tblCellMar>
            <w:top w:w="0" w:type="dxa"/>
            <w:left w:w="108" w:type="dxa"/>
            <w:bottom w:w="0" w:type="dxa"/>
            <w:right w:w="108" w:type="dxa"/>
          </w:tblCellMar>
        </w:tblPrEx>
        <w:trPr>
          <w:trHeight w:val="735"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14:paraId="2D03A9DB">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序号</w:t>
            </w:r>
          </w:p>
        </w:tc>
        <w:tc>
          <w:tcPr>
            <w:tcW w:w="1287" w:type="dxa"/>
            <w:tcBorders>
              <w:top w:val="single" w:color="auto" w:sz="4" w:space="0"/>
              <w:left w:val="nil"/>
              <w:bottom w:val="single" w:color="auto" w:sz="4" w:space="0"/>
              <w:right w:val="single" w:color="auto" w:sz="4" w:space="0"/>
            </w:tcBorders>
            <w:vAlign w:val="center"/>
          </w:tcPr>
          <w:p w14:paraId="009804DD">
            <w:pPr>
              <w:widowControl/>
              <w:jc w:val="center"/>
              <w:rPr>
                <w:rFonts w:ascii="宋体" w:hAnsi="宋体"/>
                <w:b/>
                <w:bCs/>
                <w:color w:val="auto"/>
                <w:szCs w:val="21"/>
                <w:highlight w:val="none"/>
              </w:rPr>
            </w:pPr>
            <w:r>
              <w:rPr>
                <w:rFonts w:hint="eastAsia" w:ascii="宋体" w:hAnsi="宋体"/>
                <w:b/>
                <w:bCs/>
                <w:color w:val="auto"/>
                <w:szCs w:val="21"/>
                <w:highlight w:val="none"/>
              </w:rPr>
              <w:t>项目名称</w:t>
            </w:r>
          </w:p>
        </w:tc>
        <w:tc>
          <w:tcPr>
            <w:tcW w:w="7983" w:type="dxa"/>
            <w:tcBorders>
              <w:top w:val="single" w:color="auto" w:sz="4" w:space="0"/>
              <w:left w:val="single" w:color="auto" w:sz="4" w:space="0"/>
              <w:bottom w:val="single" w:color="auto" w:sz="4" w:space="0"/>
              <w:right w:val="single" w:color="auto" w:sz="4" w:space="0"/>
            </w:tcBorders>
          </w:tcPr>
          <w:p w14:paraId="62FF3EA4">
            <w:pPr>
              <w:widowControl/>
              <w:jc w:val="center"/>
              <w:rPr>
                <w:rFonts w:ascii="宋体" w:hAnsi="宋体"/>
                <w:b/>
                <w:bCs/>
                <w:color w:val="auto"/>
                <w:szCs w:val="21"/>
                <w:highlight w:val="none"/>
              </w:rPr>
            </w:pPr>
          </w:p>
          <w:p w14:paraId="751307CC">
            <w:pPr>
              <w:widowControl/>
              <w:jc w:val="center"/>
              <w:rPr>
                <w:rFonts w:ascii="宋体" w:hAnsi="宋体"/>
                <w:b/>
                <w:bCs/>
                <w:color w:val="auto"/>
                <w:szCs w:val="21"/>
                <w:highlight w:val="none"/>
              </w:rPr>
            </w:pPr>
            <w:r>
              <w:rPr>
                <w:rFonts w:hint="eastAsia" w:ascii="宋体" w:hAnsi="宋体"/>
                <w:b/>
                <w:bCs/>
                <w:color w:val="auto"/>
                <w:szCs w:val="21"/>
                <w:highlight w:val="none"/>
              </w:rPr>
              <w:t>项目概述</w:t>
            </w:r>
          </w:p>
        </w:tc>
        <w:tc>
          <w:tcPr>
            <w:tcW w:w="1061" w:type="dxa"/>
            <w:tcBorders>
              <w:top w:val="single" w:color="auto" w:sz="4" w:space="0"/>
              <w:left w:val="single" w:color="auto" w:sz="4" w:space="0"/>
              <w:bottom w:val="single" w:color="auto" w:sz="4" w:space="0"/>
              <w:right w:val="single" w:color="auto" w:sz="4" w:space="0"/>
            </w:tcBorders>
            <w:vAlign w:val="center"/>
          </w:tcPr>
          <w:p w14:paraId="761F09D4">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数量</w:t>
            </w:r>
          </w:p>
        </w:tc>
        <w:tc>
          <w:tcPr>
            <w:tcW w:w="831" w:type="dxa"/>
            <w:tcBorders>
              <w:top w:val="single" w:color="auto" w:sz="4" w:space="0"/>
              <w:left w:val="single" w:color="auto" w:sz="4" w:space="0"/>
              <w:bottom w:val="single" w:color="auto" w:sz="4" w:space="0"/>
              <w:right w:val="single" w:color="auto" w:sz="4" w:space="0"/>
            </w:tcBorders>
            <w:vAlign w:val="center"/>
          </w:tcPr>
          <w:p w14:paraId="1FC8F970">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单位</w:t>
            </w:r>
          </w:p>
        </w:tc>
        <w:tc>
          <w:tcPr>
            <w:tcW w:w="1492" w:type="dxa"/>
            <w:tcBorders>
              <w:top w:val="single" w:color="auto" w:sz="4" w:space="0"/>
              <w:left w:val="nil"/>
              <w:bottom w:val="single" w:color="auto" w:sz="4" w:space="0"/>
              <w:right w:val="single" w:color="auto" w:sz="4" w:space="0"/>
            </w:tcBorders>
            <w:vAlign w:val="center"/>
          </w:tcPr>
          <w:p w14:paraId="7C15F50E">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预算金额（元）</w:t>
            </w:r>
            <w:r>
              <w:rPr>
                <w:rFonts w:hint="eastAsia" w:ascii="宋体" w:hAnsi="宋体"/>
                <w:b/>
                <w:bCs/>
                <w:color w:val="auto"/>
                <w:highlight w:val="none"/>
              </w:rPr>
              <w:t>（必填）</w:t>
            </w:r>
          </w:p>
        </w:tc>
        <w:tc>
          <w:tcPr>
            <w:tcW w:w="887" w:type="dxa"/>
            <w:tcBorders>
              <w:top w:val="single" w:color="auto" w:sz="4" w:space="0"/>
              <w:left w:val="nil"/>
              <w:bottom w:val="single" w:color="auto" w:sz="4" w:space="0"/>
              <w:right w:val="single" w:color="auto" w:sz="4" w:space="0"/>
            </w:tcBorders>
            <w:vAlign w:val="center"/>
          </w:tcPr>
          <w:p w14:paraId="71672334">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备注</w:t>
            </w:r>
          </w:p>
        </w:tc>
      </w:tr>
      <w:tr w14:paraId="430A74A3">
        <w:tblPrEx>
          <w:tblCellMar>
            <w:top w:w="0" w:type="dxa"/>
            <w:left w:w="108" w:type="dxa"/>
            <w:bottom w:w="0" w:type="dxa"/>
            <w:right w:w="108" w:type="dxa"/>
          </w:tblCellMar>
        </w:tblPrEx>
        <w:trPr>
          <w:trHeight w:val="558" w:hRule="atLeast"/>
          <w:jc w:val="center"/>
        </w:trPr>
        <w:tc>
          <w:tcPr>
            <w:tcW w:w="1140" w:type="dxa"/>
            <w:tcBorders>
              <w:top w:val="nil"/>
              <w:left w:val="single" w:color="auto" w:sz="4" w:space="0"/>
              <w:bottom w:val="single" w:color="auto" w:sz="4" w:space="0"/>
              <w:right w:val="single" w:color="auto" w:sz="4" w:space="0"/>
            </w:tcBorders>
            <w:vAlign w:val="center"/>
          </w:tcPr>
          <w:p w14:paraId="5027CBC8">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1287" w:type="dxa"/>
            <w:tcBorders>
              <w:top w:val="nil"/>
              <w:left w:val="nil"/>
              <w:bottom w:val="single" w:color="auto" w:sz="4" w:space="0"/>
              <w:right w:val="single" w:color="auto" w:sz="4" w:space="0"/>
            </w:tcBorders>
            <w:vAlign w:val="center"/>
          </w:tcPr>
          <w:p w14:paraId="21C18AD4">
            <w:pPr>
              <w:widowControl/>
              <w:jc w:val="center"/>
              <w:rPr>
                <w:rFonts w:ascii="宋体" w:hAnsi="宋体" w:cs="宋体"/>
                <w:color w:val="auto"/>
                <w:szCs w:val="21"/>
                <w:highlight w:val="none"/>
              </w:rPr>
            </w:pPr>
            <w:r>
              <w:rPr>
                <w:rFonts w:hint="eastAsia" w:ascii="宋体" w:hAnsi="宋体" w:cs="宋体"/>
                <w:color w:val="auto"/>
                <w:szCs w:val="21"/>
                <w:highlight w:val="none"/>
              </w:rPr>
              <w:t>二期HIS系统建设需求</w:t>
            </w:r>
          </w:p>
        </w:tc>
        <w:tc>
          <w:tcPr>
            <w:tcW w:w="7983" w:type="dxa"/>
            <w:tcBorders>
              <w:top w:val="nil"/>
              <w:left w:val="single" w:color="auto" w:sz="4" w:space="0"/>
              <w:bottom w:val="single" w:color="000000" w:sz="4" w:space="0"/>
              <w:right w:val="single" w:color="auto" w:sz="4" w:space="0"/>
            </w:tcBorders>
            <w:vAlign w:val="center"/>
          </w:tcPr>
          <w:p w14:paraId="18F7B252">
            <w:pPr>
              <w:widowControl/>
              <w:rPr>
                <w:rFonts w:ascii="宋体" w:hAnsi="宋体" w:cs="宋体"/>
                <w:color w:val="auto"/>
                <w:szCs w:val="21"/>
                <w:highlight w:val="none"/>
              </w:rPr>
            </w:pPr>
            <w:r>
              <w:rPr>
                <w:rFonts w:hint="eastAsia" w:ascii="宋体" w:hAnsi="宋体" w:cs="宋体"/>
                <w:color w:val="auto"/>
                <w:szCs w:val="21"/>
                <w:highlight w:val="none"/>
              </w:rPr>
              <w:t>背景：</w:t>
            </w:r>
          </w:p>
          <w:p w14:paraId="7180BC51">
            <w:pPr>
              <w:tabs>
                <w:tab w:val="left" w:pos="525"/>
                <w:tab w:val="left" w:pos="630"/>
              </w:tabs>
              <w:spacing w:line="360" w:lineRule="auto"/>
              <w:rPr>
                <w:rFonts w:ascii="宋体" w:hAnsi="宋体" w:cs="宋体"/>
                <w:color w:val="auto"/>
                <w:szCs w:val="21"/>
                <w:highlight w:val="none"/>
              </w:rPr>
            </w:pPr>
            <w:r>
              <w:rPr>
                <w:rFonts w:hint="eastAsia" w:ascii="宋体" w:hAnsi="宋体" w:cs="宋体"/>
                <w:bCs/>
                <w:color w:val="auto"/>
                <w:szCs w:val="21"/>
                <w:highlight w:val="none"/>
              </w:rPr>
              <w:t>我院二期项目建设竣工，医院发展进入新阶段。</w:t>
            </w:r>
            <w:r>
              <w:rPr>
                <w:rFonts w:ascii="宋体" w:hAnsi="宋体" w:cs="宋体"/>
                <w:bCs/>
                <w:color w:val="auto"/>
                <w:szCs w:val="21"/>
                <w:highlight w:val="none"/>
              </w:rPr>
              <w:t>近年来，国家高度重视医疗卫生信息化建设，《“十四五”全民健康信息化发展规划》明确提出要构建智慧医院、智慧服务、智慧管理三位一体的信息化格局；《关于加强公立医院高质量发展的意见》（国办发〔2021〕18号）指出，要加快推进医院信息系统互联互通，推动医疗服务流程重构与效率提升</w:t>
            </w:r>
            <w:r>
              <w:rPr>
                <w:rFonts w:hint="eastAsia" w:ascii="宋体" w:hAnsi="宋体" w:cs="宋体"/>
                <w:bCs/>
                <w:color w:val="auto"/>
                <w:szCs w:val="21"/>
                <w:highlight w:val="none"/>
              </w:rPr>
              <w:t>。同时，智慧医疗评级新标呼之欲出，人工智能应用技术日臻成熟和繁荣发展，对下一阶段智慧医院建设提出了更高的要求。</w:t>
            </w:r>
          </w:p>
          <w:p w14:paraId="72C56908">
            <w:pPr>
              <w:widowControl/>
              <w:rPr>
                <w:rFonts w:ascii="宋体" w:hAnsi="宋体" w:cs="宋体"/>
                <w:color w:val="auto"/>
                <w:szCs w:val="21"/>
                <w:highlight w:val="none"/>
              </w:rPr>
            </w:pPr>
            <w:r>
              <w:rPr>
                <w:rFonts w:hint="eastAsia" w:ascii="宋体" w:hAnsi="宋体" w:cs="宋体"/>
                <w:color w:val="auto"/>
                <w:szCs w:val="21"/>
                <w:highlight w:val="none"/>
              </w:rPr>
              <w:t>立项理由：</w:t>
            </w:r>
          </w:p>
          <w:p w14:paraId="1A5B509E">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1. 落实国家战略要求，支撑智慧医院建设全面提级</w:t>
            </w:r>
          </w:p>
          <w:p w14:paraId="3C3088DA">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近年来，国家卫健委大力推进智慧医院和新一代信息化建设。《“十四五”全民健康信息化规划》《智慧医院建设标准（试行）》等文件明确指出，要以智慧医疗、智慧服务、智慧管理和互联互通为建设核心，推动医院高质量发展。中山大学第七附属医院HIS系统二期建设正是落实这一国家战略的关键抓手，是构建数字化、智能化医院体系的基础工程。</w:t>
            </w:r>
          </w:p>
          <w:p w14:paraId="2CFEE9AA">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2. 聚焦“6533”目标导向，对标智慧医院评级评审标准</w:t>
            </w:r>
          </w:p>
          <w:p w14:paraId="4A56E9C3">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为全面提升医院信息化水平，支撑医院在粤港澳大湾区内发挥示范引领作用，本次HIS系统二期建设明确以实现国家智慧医院和互联互通评级“6533”为核心目标</w:t>
            </w:r>
            <w:r>
              <w:rPr>
                <w:rFonts w:hint="eastAsia" w:ascii="宋体" w:hAnsi="宋体" w:cs="宋体"/>
                <w:bCs/>
                <w:color w:val="auto"/>
                <w:szCs w:val="21"/>
                <w:highlight w:val="none"/>
              </w:rPr>
              <w:t>，</w:t>
            </w:r>
            <w:r>
              <w:rPr>
                <w:rFonts w:ascii="宋体" w:hAnsi="宋体" w:cs="宋体"/>
                <w:bCs/>
                <w:color w:val="auto"/>
                <w:szCs w:val="21"/>
                <w:highlight w:val="none"/>
              </w:rPr>
              <w:t>建设临床决策支持系统（CDSS）、电子病历智能化、临床路径闭环管理、智能药事服务等</w:t>
            </w:r>
            <w:r>
              <w:rPr>
                <w:rFonts w:hint="eastAsia" w:ascii="宋体" w:hAnsi="宋体" w:cs="宋体"/>
                <w:bCs/>
                <w:color w:val="auto"/>
                <w:szCs w:val="21"/>
                <w:highlight w:val="none"/>
              </w:rPr>
              <w:t>。</w:t>
            </w:r>
            <w:r>
              <w:rPr>
                <w:rFonts w:ascii="宋体" w:hAnsi="宋体" w:cs="宋体"/>
                <w:bCs/>
                <w:color w:val="auto"/>
                <w:szCs w:val="21"/>
                <w:highlight w:val="none"/>
              </w:rPr>
              <w:t>实现患者全流程自助服务、移动就医、线上线下一体化服务体验提升；推进人财物一体化管理、智能排班、运营数据驾驶舱等精细化管理工具落地；构建标准化的数据交换平台，打通各类业务系统，实现数据共享、互联互通评级</w:t>
            </w:r>
            <w:r>
              <w:rPr>
                <w:rFonts w:hint="eastAsia" w:ascii="宋体" w:hAnsi="宋体" w:cs="宋体"/>
                <w:bCs/>
                <w:color w:val="auto"/>
                <w:szCs w:val="21"/>
                <w:highlight w:val="none"/>
              </w:rPr>
              <w:t>五乙</w:t>
            </w:r>
            <w:r>
              <w:rPr>
                <w:rFonts w:ascii="宋体" w:hAnsi="宋体" w:cs="宋体"/>
                <w:bCs/>
                <w:color w:val="auto"/>
                <w:szCs w:val="21"/>
                <w:highlight w:val="none"/>
              </w:rPr>
              <w:t>。</w:t>
            </w:r>
          </w:p>
          <w:p w14:paraId="0352B0DD">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3.</w:t>
            </w:r>
            <w:r>
              <w:rPr>
                <w:rFonts w:hint="eastAsia" w:ascii="宋体" w:hAnsi="宋体" w:cs="宋体"/>
                <w:bCs/>
                <w:color w:val="auto"/>
                <w:szCs w:val="21"/>
                <w:highlight w:val="none"/>
              </w:rPr>
              <w:t>全面提升</w:t>
            </w:r>
            <w:r>
              <w:rPr>
                <w:rFonts w:ascii="宋体" w:hAnsi="宋体" w:cs="宋体"/>
                <w:bCs/>
                <w:color w:val="auto"/>
                <w:szCs w:val="21"/>
                <w:highlight w:val="none"/>
              </w:rPr>
              <w:t>系统支撑能力</w:t>
            </w:r>
            <w:r>
              <w:rPr>
                <w:rFonts w:hint="eastAsia" w:ascii="宋体" w:hAnsi="宋体" w:cs="宋体"/>
                <w:bCs/>
                <w:color w:val="auto"/>
                <w:szCs w:val="21"/>
                <w:highlight w:val="none"/>
              </w:rPr>
              <w:t>，解决掣肘制约业务发展因素</w:t>
            </w:r>
          </w:p>
          <w:p w14:paraId="1657CBA8">
            <w:pPr>
              <w:tabs>
                <w:tab w:val="left" w:pos="525"/>
                <w:tab w:val="left" w:pos="630"/>
                <w:tab w:val="left" w:pos="72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解决</w:t>
            </w:r>
            <w:r>
              <w:rPr>
                <w:rFonts w:ascii="宋体" w:hAnsi="宋体" w:cs="宋体"/>
                <w:bCs/>
                <w:color w:val="auto"/>
                <w:szCs w:val="21"/>
                <w:highlight w:val="none"/>
              </w:rPr>
              <w:t>系统架构老化，难以支撑扩展与多业务整合</w:t>
            </w:r>
            <w:r>
              <w:rPr>
                <w:rFonts w:hint="eastAsia" w:ascii="宋体" w:hAnsi="宋体" w:cs="宋体"/>
                <w:bCs/>
                <w:color w:val="auto"/>
                <w:szCs w:val="21"/>
                <w:highlight w:val="none"/>
              </w:rPr>
              <w:t>、</w:t>
            </w:r>
            <w:r>
              <w:rPr>
                <w:rFonts w:ascii="宋体" w:hAnsi="宋体" w:cs="宋体"/>
                <w:bCs/>
                <w:color w:val="auto"/>
                <w:szCs w:val="21"/>
                <w:highlight w:val="none"/>
              </w:rPr>
              <w:t>功能模块割裂，业务流程协同效率低</w:t>
            </w:r>
            <w:r>
              <w:rPr>
                <w:rFonts w:hint="eastAsia" w:ascii="宋体" w:hAnsi="宋体" w:cs="宋体"/>
                <w:bCs/>
                <w:color w:val="auto"/>
                <w:szCs w:val="21"/>
                <w:highlight w:val="none"/>
              </w:rPr>
              <w:t>、</w:t>
            </w:r>
            <w:r>
              <w:rPr>
                <w:rFonts w:ascii="宋体" w:hAnsi="宋体" w:cs="宋体"/>
                <w:bCs/>
                <w:color w:val="auto"/>
                <w:szCs w:val="21"/>
                <w:highlight w:val="none"/>
              </w:rPr>
              <w:t>数据分散孤立，缺乏统一主数据及临床数据中心（CDR）</w:t>
            </w:r>
            <w:r>
              <w:rPr>
                <w:rFonts w:hint="eastAsia" w:ascii="宋体" w:hAnsi="宋体" w:cs="宋体"/>
                <w:bCs/>
                <w:color w:val="auto"/>
                <w:szCs w:val="21"/>
                <w:highlight w:val="none"/>
              </w:rPr>
              <w:t>等问题，符合信创要求，提升人工智能应用水平，</w:t>
            </w:r>
            <w:r>
              <w:rPr>
                <w:rFonts w:ascii="宋体" w:hAnsi="宋体" w:cs="宋体"/>
                <w:bCs/>
                <w:color w:val="auto"/>
                <w:szCs w:val="21"/>
                <w:highlight w:val="none"/>
              </w:rPr>
              <w:t>二期建设将系统性解决以上问题，夯实智慧医院建设“数字底座”。</w:t>
            </w:r>
          </w:p>
          <w:p w14:paraId="412C9671">
            <w:pPr>
              <w:tabs>
                <w:tab w:val="left" w:pos="525"/>
                <w:tab w:val="left" w:pos="630"/>
                <w:tab w:val="left" w:pos="720"/>
              </w:tabs>
              <w:spacing w:line="360" w:lineRule="auto"/>
              <w:rPr>
                <w:rFonts w:ascii="宋体" w:hAnsi="宋体" w:cs="宋体"/>
                <w:bCs/>
                <w:color w:val="auto"/>
                <w:szCs w:val="21"/>
                <w:highlight w:val="none"/>
              </w:rPr>
            </w:pPr>
            <w:r>
              <w:rPr>
                <w:rFonts w:ascii="宋体" w:hAnsi="宋体" w:cs="宋体"/>
                <w:bCs/>
                <w:color w:val="auto"/>
                <w:szCs w:val="21"/>
                <w:highlight w:val="none"/>
              </w:rPr>
              <w:t>本次HIS系统二期建设，不仅是对现有系统功能的优化升级，更是对标国家智慧医院“6533”评级体系的能力跃升工程，项目实施后将全面提升医院信息化水平、临床服务能力、管理决策效率和数据治理能力，为实现中山大学第七附属医院高质量发展战略目标提供坚实的数字支撑。</w:t>
            </w:r>
          </w:p>
          <w:p w14:paraId="6694568C">
            <w:pPr>
              <w:widowControl/>
              <w:rPr>
                <w:rFonts w:ascii="宋体" w:hAnsi="宋体" w:cs="宋体"/>
                <w:color w:val="auto"/>
                <w:szCs w:val="21"/>
                <w:highlight w:val="none"/>
              </w:rPr>
            </w:pPr>
          </w:p>
          <w:p w14:paraId="63C92F78">
            <w:pPr>
              <w:widowControl/>
              <w:rPr>
                <w:rFonts w:ascii="宋体" w:hAnsi="宋体" w:cs="宋体"/>
                <w:color w:val="auto"/>
                <w:szCs w:val="21"/>
                <w:highlight w:val="none"/>
              </w:rPr>
            </w:pPr>
            <w:r>
              <w:rPr>
                <w:rFonts w:hint="eastAsia" w:ascii="宋体" w:hAnsi="宋体" w:cs="宋体"/>
                <w:color w:val="auto"/>
                <w:szCs w:val="21"/>
                <w:highlight w:val="none"/>
              </w:rPr>
              <w:t>建设内容：</w:t>
            </w:r>
          </w:p>
          <w:p w14:paraId="382EFD0A">
            <w:pPr>
              <w:tabs>
                <w:tab w:val="left" w:pos="525"/>
                <w:tab w:val="left" w:pos="630"/>
                <w:tab w:val="left" w:pos="72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按照新能力、新底座、新标准的要求，以二期HIS系统建设为契机，提档升级七附院现有能力平台，主要包括如下：</w:t>
            </w:r>
          </w:p>
          <w:p w14:paraId="7DAE386E">
            <w:pPr>
              <w:numPr>
                <w:ilvl w:val="0"/>
                <w:numId w:val="10"/>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以PB技术建设的系统更换</w:t>
            </w:r>
          </w:p>
          <w:p w14:paraId="1FB7BEF6">
            <w:pPr>
              <w:numPr>
                <w:ilvl w:val="0"/>
                <w:numId w:val="10"/>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技术中台、数据中台、医务管理系统等</w:t>
            </w:r>
          </w:p>
          <w:p w14:paraId="6725A587">
            <w:pPr>
              <w:numPr>
                <w:ilvl w:val="0"/>
                <w:numId w:val="10"/>
              </w:numPr>
              <w:tabs>
                <w:tab w:val="left" w:pos="525"/>
                <w:tab w:val="left" w:pos="630"/>
              </w:tabs>
              <w:spacing w:line="360" w:lineRule="auto"/>
              <w:rPr>
                <w:rFonts w:ascii="宋体" w:hAnsi="宋体" w:cs="宋体"/>
                <w:color w:val="auto"/>
                <w:szCs w:val="21"/>
                <w:highlight w:val="none"/>
              </w:rPr>
            </w:pPr>
            <w:r>
              <w:rPr>
                <w:rFonts w:hint="eastAsia" w:ascii="宋体" w:hAnsi="宋体" w:cs="宋体"/>
                <w:bCs/>
                <w:color w:val="auto"/>
                <w:szCs w:val="21"/>
                <w:highlight w:val="none"/>
              </w:rPr>
              <w:t>现有业务系统对接</w:t>
            </w:r>
          </w:p>
        </w:tc>
        <w:tc>
          <w:tcPr>
            <w:tcW w:w="1061" w:type="dxa"/>
            <w:tcBorders>
              <w:top w:val="nil"/>
              <w:left w:val="single" w:color="auto" w:sz="4" w:space="0"/>
              <w:bottom w:val="single" w:color="000000" w:sz="4" w:space="0"/>
              <w:right w:val="single" w:color="auto" w:sz="4" w:space="0"/>
            </w:tcBorders>
            <w:vAlign w:val="center"/>
          </w:tcPr>
          <w:p w14:paraId="2A4C14CB">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831" w:type="dxa"/>
            <w:tcBorders>
              <w:top w:val="nil"/>
              <w:left w:val="single" w:color="auto" w:sz="4" w:space="0"/>
              <w:bottom w:val="single" w:color="000000" w:sz="4" w:space="0"/>
              <w:right w:val="single" w:color="auto" w:sz="4" w:space="0"/>
            </w:tcBorders>
            <w:vAlign w:val="center"/>
          </w:tcPr>
          <w:p w14:paraId="43C6870A">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套</w:t>
            </w:r>
          </w:p>
        </w:tc>
        <w:tc>
          <w:tcPr>
            <w:tcW w:w="1492" w:type="dxa"/>
            <w:tcBorders>
              <w:top w:val="nil"/>
              <w:left w:val="nil"/>
              <w:bottom w:val="single" w:color="auto" w:sz="4" w:space="0"/>
              <w:right w:val="single" w:color="auto" w:sz="4" w:space="0"/>
            </w:tcBorders>
            <w:vAlign w:val="center"/>
          </w:tcPr>
          <w:p w14:paraId="32375590">
            <w:pPr>
              <w:widowControl/>
              <w:jc w:val="center"/>
              <w:rPr>
                <w:rFonts w:ascii="宋体" w:hAnsi="宋体" w:cs="宋体"/>
                <w:color w:val="auto"/>
                <w:kern w:val="0"/>
                <w:szCs w:val="21"/>
                <w:highlight w:val="none"/>
              </w:rPr>
            </w:pPr>
          </w:p>
        </w:tc>
        <w:tc>
          <w:tcPr>
            <w:tcW w:w="887" w:type="dxa"/>
            <w:tcBorders>
              <w:top w:val="nil"/>
              <w:left w:val="nil"/>
              <w:bottom w:val="single" w:color="auto" w:sz="4" w:space="0"/>
              <w:right w:val="single" w:color="auto" w:sz="4" w:space="0"/>
            </w:tcBorders>
            <w:vAlign w:val="center"/>
          </w:tcPr>
          <w:p w14:paraId="0FDA415E">
            <w:pPr>
              <w:widowControl/>
              <w:rPr>
                <w:rFonts w:ascii="宋体" w:hAnsi="宋体" w:cs="宋体"/>
                <w:color w:val="auto"/>
                <w:kern w:val="0"/>
                <w:szCs w:val="21"/>
                <w:highlight w:val="none"/>
              </w:rPr>
            </w:pPr>
          </w:p>
        </w:tc>
      </w:tr>
    </w:tbl>
    <w:p w14:paraId="0329619E">
      <w:pPr>
        <w:tabs>
          <w:tab w:val="left" w:pos="525"/>
          <w:tab w:val="left" w:pos="630"/>
        </w:tabs>
        <w:spacing w:line="360" w:lineRule="auto"/>
        <w:rPr>
          <w:rFonts w:ascii="宋体" w:hAnsi="宋体" w:cs="宋体"/>
          <w:bCs/>
          <w:color w:val="auto"/>
          <w:szCs w:val="21"/>
          <w:highlight w:val="none"/>
        </w:rPr>
      </w:pPr>
    </w:p>
    <w:p w14:paraId="65929A0D">
      <w:pPr>
        <w:tabs>
          <w:tab w:val="left" w:pos="525"/>
          <w:tab w:val="left" w:pos="630"/>
        </w:tabs>
        <w:spacing w:line="360" w:lineRule="auto"/>
        <w:rPr>
          <w:rFonts w:ascii="宋体" w:hAnsi="宋体" w:cs="宋体"/>
          <w:bCs/>
          <w:color w:val="auto"/>
          <w:szCs w:val="21"/>
          <w:highlight w:val="none"/>
        </w:rPr>
      </w:pPr>
    </w:p>
    <w:p w14:paraId="442CD2A5">
      <w:pPr>
        <w:tabs>
          <w:tab w:val="left" w:pos="525"/>
          <w:tab w:val="left" w:pos="630"/>
        </w:tabs>
        <w:spacing w:line="360" w:lineRule="auto"/>
        <w:rPr>
          <w:rFonts w:ascii="宋体" w:hAnsi="宋体" w:cs="宋体"/>
          <w:bCs/>
          <w:color w:val="auto"/>
          <w:szCs w:val="21"/>
          <w:highlight w:val="none"/>
        </w:rPr>
      </w:pPr>
    </w:p>
    <w:p w14:paraId="1D8B406A">
      <w:pPr>
        <w:rPr>
          <w:color w:val="auto"/>
          <w:highlight w:val="none"/>
        </w:rPr>
        <w:sectPr>
          <w:headerReference r:id="rId3" w:type="first"/>
          <w:footerReference r:id="rId6" w:type="first"/>
          <w:footerReference r:id="rId4" w:type="default"/>
          <w:footerReference r:id="rId5" w:type="even"/>
          <w:pgSz w:w="16840" w:h="11907" w:orient="landscape"/>
          <w:pgMar w:top="1797" w:right="1440" w:bottom="1797" w:left="1440" w:header="851" w:footer="992" w:gutter="0"/>
          <w:cols w:space="708" w:num="1"/>
          <w:titlePg/>
          <w:docGrid w:linePitch="462" w:charSpace="0"/>
        </w:sectPr>
      </w:pPr>
    </w:p>
    <w:p w14:paraId="6D210C54">
      <w:pPr>
        <w:pStyle w:val="2"/>
        <w:keepNext/>
        <w:keepLines/>
        <w:numPr>
          <w:ilvl w:val="0"/>
          <w:numId w:val="9"/>
        </w:numPr>
        <w:spacing w:before="480" w:after="80" w:line="240" w:lineRule="auto"/>
        <w:ind w:left="425" w:hanging="425"/>
        <w:jc w:val="both"/>
        <w:rPr>
          <w:rFonts w:ascii="宋体" w:hAnsi="宋体"/>
          <w:b/>
          <w:bCs/>
          <w:color w:val="auto"/>
          <w:sz w:val="30"/>
          <w:szCs w:val="30"/>
          <w:highlight w:val="none"/>
        </w:rPr>
      </w:pPr>
      <w:r>
        <w:rPr>
          <w:rFonts w:hint="eastAsia" w:ascii="宋体" w:hAnsi="宋体" w:eastAsia="宋体"/>
          <w:b/>
          <w:bCs/>
          <w:color w:val="auto"/>
          <w:kern w:val="2"/>
          <w:sz w:val="30"/>
          <w:szCs w:val="30"/>
          <w:highlight w:val="none"/>
        </w:rPr>
        <w:t>具体需求</w:t>
      </w:r>
    </w:p>
    <w:p w14:paraId="27E2F6FE">
      <w:pPr>
        <w:pStyle w:val="3"/>
        <w:keepNext/>
        <w:keepLines/>
        <w:numPr>
          <w:ilvl w:val="1"/>
          <w:numId w:val="9"/>
        </w:numPr>
        <w:spacing w:before="480" w:after="80"/>
        <w:ind w:left="992" w:hanging="567"/>
        <w:jc w:val="both"/>
        <w:rPr>
          <w:rFonts w:ascii="宋体" w:hAnsi="宋体"/>
          <w:b/>
          <w:bCs/>
          <w:color w:val="auto"/>
          <w:sz w:val="30"/>
          <w:szCs w:val="30"/>
          <w:highlight w:val="none"/>
        </w:rPr>
      </w:pPr>
      <w:r>
        <w:rPr>
          <w:rFonts w:hint="eastAsia" w:ascii="宋体" w:hAnsi="宋体"/>
          <w:b/>
          <w:bCs/>
          <w:color w:val="auto"/>
          <w:kern w:val="2"/>
          <w:sz w:val="30"/>
          <w:szCs w:val="30"/>
          <w:highlight w:val="none"/>
        </w:rPr>
        <w:t>以PB技术建设的系统更换需求</w:t>
      </w:r>
    </w:p>
    <w:p w14:paraId="492A2725">
      <w:pPr>
        <w:pStyle w:val="4"/>
        <w:numPr>
          <w:ilvl w:val="2"/>
          <w:numId w:val="9"/>
        </w:numPr>
        <w:spacing w:before="0" w:after="0" w:line="360" w:lineRule="auto"/>
        <w:ind w:left="567" w:hanging="567"/>
        <w:rPr>
          <w:color w:val="auto"/>
          <w:sz w:val="24"/>
          <w:highlight w:val="none"/>
        </w:rPr>
      </w:pPr>
      <w:r>
        <w:rPr>
          <w:rFonts w:hint="eastAsia" w:eastAsia="宋体"/>
          <w:color w:val="auto"/>
          <w:kern w:val="2"/>
          <w:sz w:val="24"/>
          <w:szCs w:val="24"/>
          <w:highlight w:val="none"/>
        </w:rPr>
        <w:t>门诊医生站建设需求</w:t>
      </w:r>
    </w:p>
    <w:tbl>
      <w:tblPr>
        <w:tblStyle w:val="4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189"/>
        <w:gridCol w:w="1701"/>
        <w:gridCol w:w="11462"/>
      </w:tblGrid>
      <w:tr w14:paraId="448D8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3" w:hRule="atLeast"/>
          <w:jc w:val="center"/>
        </w:trPr>
        <w:tc>
          <w:tcPr>
            <w:tcW w:w="1189" w:type="dxa"/>
            <w:shd w:val="clear" w:color="auto" w:fill="auto"/>
            <w:vAlign w:val="center"/>
          </w:tcPr>
          <w:p w14:paraId="712C8B1C">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需求名称</w:t>
            </w:r>
          </w:p>
        </w:tc>
        <w:tc>
          <w:tcPr>
            <w:tcW w:w="1701" w:type="dxa"/>
            <w:shd w:val="clear" w:color="auto" w:fill="auto"/>
            <w:vAlign w:val="center"/>
          </w:tcPr>
          <w:p w14:paraId="54E194C0">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序号</w:t>
            </w:r>
          </w:p>
        </w:tc>
        <w:tc>
          <w:tcPr>
            <w:tcW w:w="11462" w:type="dxa"/>
            <w:shd w:val="clear" w:color="auto" w:fill="auto"/>
            <w:vAlign w:val="center"/>
          </w:tcPr>
          <w:p w14:paraId="6D147306">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需求描述</w:t>
            </w:r>
          </w:p>
        </w:tc>
      </w:tr>
      <w:tr w14:paraId="1DD8A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 w:hRule="atLeast"/>
          <w:jc w:val="center"/>
        </w:trPr>
        <w:tc>
          <w:tcPr>
            <w:tcW w:w="1189" w:type="dxa"/>
            <w:vMerge w:val="restart"/>
            <w:shd w:val="clear" w:color="auto" w:fill="auto"/>
            <w:vAlign w:val="center"/>
          </w:tcPr>
          <w:p w14:paraId="05AF6EEA">
            <w:pPr>
              <w:numPr>
                <w:ilvl w:val="0"/>
                <w:numId w:val="11"/>
              </w:numPr>
              <w:rPr>
                <w:rFonts w:ascii="宋体" w:hAnsi="宋体" w:cs="宋体"/>
                <w:color w:val="auto"/>
                <w:kern w:val="0"/>
                <w:szCs w:val="21"/>
                <w:highlight w:val="none"/>
              </w:rPr>
            </w:pPr>
            <w:r>
              <w:rPr>
                <w:rFonts w:hint="eastAsia" w:ascii="宋体" w:hAnsi="宋体" w:cs="宋体"/>
                <w:color w:val="auto"/>
                <w:szCs w:val="21"/>
                <w:highlight w:val="none"/>
              </w:rPr>
              <w:t>门诊医生站</w:t>
            </w:r>
          </w:p>
        </w:tc>
        <w:tc>
          <w:tcPr>
            <w:tcW w:w="13163" w:type="dxa"/>
            <w:gridSpan w:val="2"/>
            <w:shd w:val="clear" w:color="auto" w:fill="auto"/>
            <w:vAlign w:val="center"/>
          </w:tcPr>
          <w:p w14:paraId="363EAF52">
            <w:pPr>
              <w:numPr>
                <w:ilvl w:val="1"/>
                <w:numId w:val="11"/>
              </w:numPr>
              <w:ind w:left="0" w:firstLine="0"/>
              <w:rPr>
                <w:rFonts w:ascii="宋体" w:hAnsi="宋体" w:cs="宋体"/>
                <w:color w:val="auto"/>
                <w:kern w:val="0"/>
                <w:szCs w:val="21"/>
                <w:highlight w:val="none"/>
              </w:rPr>
            </w:pPr>
            <w:r>
              <w:rPr>
                <w:rFonts w:ascii="宋体" w:hAnsi="宋体" w:cs="宋体"/>
                <w:color w:val="auto"/>
                <w:kern w:val="0"/>
                <w:szCs w:val="21"/>
                <w:highlight w:val="none"/>
              </w:rPr>
              <w:t>患者接诊管理</w:t>
            </w:r>
          </w:p>
        </w:tc>
      </w:tr>
      <w:tr w14:paraId="28C3B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189" w:type="dxa"/>
            <w:vMerge w:val="continue"/>
            <w:shd w:val="clear" w:color="auto" w:fill="auto"/>
            <w:vAlign w:val="center"/>
          </w:tcPr>
          <w:p w14:paraId="1C7B6419">
            <w:pPr>
              <w:widowControl/>
              <w:jc w:val="left"/>
              <w:rPr>
                <w:rFonts w:ascii="宋体" w:hAnsi="宋体" w:cs="宋体"/>
                <w:color w:val="auto"/>
                <w:kern w:val="0"/>
                <w:szCs w:val="21"/>
                <w:highlight w:val="none"/>
              </w:rPr>
            </w:pPr>
          </w:p>
        </w:tc>
        <w:tc>
          <w:tcPr>
            <w:tcW w:w="1701" w:type="dxa"/>
            <w:shd w:val="clear" w:color="auto" w:fill="auto"/>
            <w:vAlign w:val="center"/>
          </w:tcPr>
          <w:p w14:paraId="44BBDF22">
            <w:pPr>
              <w:numPr>
                <w:ilvl w:val="2"/>
                <w:numId w:val="11"/>
              </w:numPr>
              <w:ind w:left="0" w:firstLine="0"/>
              <w:rPr>
                <w:rFonts w:ascii="宋体" w:hAnsi="宋体" w:cs="宋体"/>
                <w:color w:val="auto"/>
                <w:kern w:val="0"/>
                <w:szCs w:val="21"/>
                <w:highlight w:val="none"/>
              </w:rPr>
            </w:pPr>
            <w:r>
              <w:rPr>
                <w:rFonts w:hint="eastAsia" w:ascii="宋体" w:hAnsi="宋体"/>
                <w:color w:val="auto"/>
                <w:szCs w:val="21"/>
                <w:highlight w:val="none"/>
              </w:rPr>
              <w:t>患者诊前</w:t>
            </w:r>
            <w:r>
              <w:rPr>
                <w:rFonts w:hint="eastAsia" w:ascii="宋体" w:hAnsi="宋体" w:cs="宋体"/>
                <w:color w:val="auto"/>
                <w:kern w:val="0"/>
                <w:szCs w:val="21"/>
                <w:highlight w:val="none"/>
              </w:rPr>
              <w:t>管理</w:t>
            </w:r>
          </w:p>
        </w:tc>
        <w:tc>
          <w:tcPr>
            <w:tcW w:w="11462" w:type="dxa"/>
            <w:shd w:val="clear" w:color="auto" w:fill="auto"/>
            <w:vAlign w:val="center"/>
          </w:tcPr>
          <w:p w14:paraId="585A054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院方协调预问诊系统厂商提供接口，在相关厂商配合下，对接</w:t>
            </w:r>
            <w:r>
              <w:rPr>
                <w:rFonts w:ascii="宋体" w:hAnsi="宋体" w:cs="宋体"/>
                <w:bCs/>
                <w:color w:val="auto"/>
                <w:szCs w:val="21"/>
                <w:highlight w:val="none"/>
              </w:rPr>
              <w:t>预问诊功能</w:t>
            </w:r>
            <w:r>
              <w:rPr>
                <w:rFonts w:hint="eastAsia" w:ascii="宋体" w:hAnsi="宋体" w:cs="宋体"/>
                <w:bCs/>
                <w:color w:val="auto"/>
                <w:szCs w:val="21"/>
                <w:highlight w:val="none"/>
              </w:rPr>
              <w:t>的主诉数据和患者信息</w:t>
            </w:r>
            <w:r>
              <w:rPr>
                <w:rFonts w:ascii="宋体" w:hAnsi="宋体" w:cs="宋体"/>
                <w:bCs/>
                <w:color w:val="auto"/>
                <w:szCs w:val="21"/>
                <w:highlight w:val="none"/>
              </w:rPr>
              <w:t>；</w:t>
            </w:r>
          </w:p>
          <w:p w14:paraId="766C033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院方协调全资源预约系统厂商提供接口，在相关厂商配合下，对接</w:t>
            </w:r>
            <w:r>
              <w:rPr>
                <w:rFonts w:ascii="宋体" w:hAnsi="宋体" w:cs="宋体"/>
                <w:bCs/>
                <w:color w:val="auto"/>
                <w:szCs w:val="21"/>
                <w:highlight w:val="none"/>
              </w:rPr>
              <w:t>在线预约挂号，诊间预约挂号、预约检验检查、预约床位</w:t>
            </w:r>
            <w:r>
              <w:rPr>
                <w:rFonts w:hint="eastAsia" w:ascii="宋体" w:hAnsi="宋体" w:cs="宋体"/>
                <w:bCs/>
                <w:color w:val="auto"/>
                <w:szCs w:val="21"/>
                <w:highlight w:val="none"/>
              </w:rPr>
              <w:t>等数据</w:t>
            </w:r>
          </w:p>
        </w:tc>
      </w:tr>
      <w:tr w14:paraId="3227F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189" w:type="dxa"/>
            <w:vMerge w:val="continue"/>
            <w:shd w:val="clear" w:color="auto" w:fill="auto"/>
            <w:vAlign w:val="center"/>
          </w:tcPr>
          <w:p w14:paraId="7B18C3C4">
            <w:pPr>
              <w:widowControl/>
              <w:jc w:val="left"/>
              <w:rPr>
                <w:rFonts w:ascii="宋体" w:hAnsi="宋体" w:cs="宋体"/>
                <w:color w:val="auto"/>
                <w:kern w:val="0"/>
                <w:szCs w:val="21"/>
                <w:highlight w:val="none"/>
              </w:rPr>
            </w:pPr>
          </w:p>
        </w:tc>
        <w:tc>
          <w:tcPr>
            <w:tcW w:w="1701" w:type="dxa"/>
            <w:shd w:val="clear" w:color="auto" w:fill="auto"/>
            <w:vAlign w:val="center"/>
          </w:tcPr>
          <w:p w14:paraId="001B2507">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接诊操作</w:t>
            </w:r>
          </w:p>
        </w:tc>
        <w:tc>
          <w:tcPr>
            <w:tcW w:w="11462" w:type="dxa"/>
            <w:shd w:val="clear" w:color="auto" w:fill="auto"/>
            <w:vAlign w:val="center"/>
          </w:tcPr>
          <w:p w14:paraId="2C682388">
            <w:pPr>
              <w:numPr>
                <w:ilvl w:val="0"/>
                <w:numId w:val="12"/>
              </w:numPr>
              <w:tabs>
                <w:tab w:val="left" w:pos="525"/>
                <w:tab w:val="left" w:pos="630"/>
              </w:tabs>
              <w:spacing w:line="360" w:lineRule="auto"/>
              <w:rPr>
                <w:rFonts w:ascii="宋体" w:hAnsi="宋体" w:cs="宋体"/>
                <w:color w:val="auto"/>
                <w:kern w:val="0"/>
                <w:szCs w:val="21"/>
                <w:highlight w:val="none"/>
              </w:rPr>
            </w:pPr>
            <w:r>
              <w:rPr>
                <w:rFonts w:hint="eastAsia" w:ascii="宋体" w:hAnsi="宋体" w:cs="宋体"/>
                <w:bCs/>
                <w:color w:val="auto"/>
                <w:szCs w:val="21"/>
                <w:highlight w:val="none"/>
              </w:rPr>
              <w:t>系统提供各种接诊模式，包括刷就诊卡、医保卡、身份证以及其他电子凭证，或输入病历号调入接诊患者，或从待诊、诊中、诊毕、本科室患者病人列表中选择患者调入接诊，并支持对接排队叫号系统功能管理患者接诊顺序。在接诊病人管理中，支持多病人接诊操作，可在同一页面同时调入多个病人</w:t>
            </w:r>
          </w:p>
        </w:tc>
      </w:tr>
      <w:tr w14:paraId="0A7C1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shd w:val="clear" w:color="auto" w:fill="auto"/>
            <w:vAlign w:val="center"/>
          </w:tcPr>
          <w:p w14:paraId="420C54DE">
            <w:pPr>
              <w:widowControl/>
              <w:jc w:val="left"/>
              <w:rPr>
                <w:rFonts w:ascii="宋体" w:hAnsi="宋体" w:cs="宋体"/>
                <w:color w:val="auto"/>
                <w:kern w:val="0"/>
                <w:szCs w:val="21"/>
                <w:highlight w:val="none"/>
              </w:rPr>
            </w:pPr>
          </w:p>
        </w:tc>
        <w:tc>
          <w:tcPr>
            <w:tcW w:w="1701" w:type="dxa"/>
            <w:shd w:val="clear" w:color="auto" w:fill="auto"/>
            <w:vAlign w:val="center"/>
          </w:tcPr>
          <w:p w14:paraId="6E209B5E">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患者诊后管理</w:t>
            </w:r>
          </w:p>
        </w:tc>
        <w:tc>
          <w:tcPr>
            <w:tcW w:w="11462" w:type="dxa"/>
            <w:shd w:val="clear" w:color="auto" w:fill="auto"/>
            <w:vAlign w:val="center"/>
          </w:tcPr>
          <w:p w14:paraId="73F5535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提供患者诊后离院、转科、转留观、转院等多种去向管，接诊时门慢以及门特患者会做预提示。</w:t>
            </w:r>
          </w:p>
          <w:p w14:paraId="0B7A2CBA">
            <w:pPr>
              <w:numPr>
                <w:ilvl w:val="0"/>
                <w:numId w:val="12"/>
              </w:numPr>
              <w:tabs>
                <w:tab w:val="left" w:pos="525"/>
                <w:tab w:val="left" w:pos="630"/>
              </w:tabs>
              <w:spacing w:line="360" w:lineRule="auto"/>
              <w:rPr>
                <w:rFonts w:ascii="宋体" w:hAnsi="宋体" w:cs="宋体"/>
                <w:color w:val="auto"/>
                <w:kern w:val="0"/>
                <w:szCs w:val="21"/>
                <w:highlight w:val="none"/>
              </w:rPr>
            </w:pPr>
            <w:r>
              <w:rPr>
                <w:rFonts w:hint="eastAsia" w:ascii="宋体" w:hAnsi="宋体" w:cs="宋体"/>
                <w:bCs/>
                <w:color w:val="auto"/>
                <w:szCs w:val="21"/>
                <w:highlight w:val="none"/>
              </w:rPr>
              <w:t>支持统一查看患者本次就诊处方、费用信息。</w:t>
            </w:r>
          </w:p>
        </w:tc>
      </w:tr>
      <w:tr w14:paraId="13212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shd w:val="clear" w:color="auto" w:fill="auto"/>
            <w:vAlign w:val="center"/>
          </w:tcPr>
          <w:p w14:paraId="55334F5A">
            <w:pPr>
              <w:widowControl/>
              <w:jc w:val="left"/>
              <w:rPr>
                <w:rFonts w:ascii="宋体" w:hAnsi="宋体" w:cs="宋体"/>
                <w:color w:val="auto"/>
                <w:kern w:val="0"/>
                <w:szCs w:val="21"/>
                <w:highlight w:val="none"/>
              </w:rPr>
            </w:pPr>
          </w:p>
        </w:tc>
        <w:tc>
          <w:tcPr>
            <w:tcW w:w="13163" w:type="dxa"/>
            <w:gridSpan w:val="2"/>
            <w:shd w:val="clear" w:color="auto" w:fill="auto"/>
            <w:vAlign w:val="center"/>
          </w:tcPr>
          <w:p w14:paraId="2C78033E">
            <w:pPr>
              <w:numPr>
                <w:ilvl w:val="1"/>
                <w:numId w:val="11"/>
              </w:numPr>
              <w:ind w:left="0" w:firstLine="0"/>
              <w:rPr>
                <w:rFonts w:ascii="宋体" w:hAnsi="宋体" w:cs="宋体"/>
                <w:color w:val="auto"/>
                <w:kern w:val="0"/>
                <w:szCs w:val="21"/>
                <w:highlight w:val="none"/>
              </w:rPr>
            </w:pPr>
            <w:r>
              <w:rPr>
                <w:rFonts w:ascii="宋体" w:hAnsi="宋体" w:cs="宋体"/>
                <w:color w:val="auto"/>
                <w:kern w:val="0"/>
                <w:szCs w:val="21"/>
                <w:highlight w:val="none"/>
              </w:rPr>
              <w:t>门诊诊断管理</w:t>
            </w:r>
          </w:p>
        </w:tc>
      </w:tr>
      <w:tr w14:paraId="137F2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shd w:val="clear" w:color="auto" w:fill="auto"/>
            <w:vAlign w:val="center"/>
          </w:tcPr>
          <w:p w14:paraId="7A3A6F9F">
            <w:pPr>
              <w:widowControl/>
              <w:jc w:val="left"/>
              <w:rPr>
                <w:rFonts w:ascii="宋体" w:hAnsi="宋体" w:cs="宋体"/>
                <w:color w:val="auto"/>
                <w:kern w:val="0"/>
                <w:szCs w:val="21"/>
                <w:highlight w:val="none"/>
              </w:rPr>
            </w:pPr>
          </w:p>
        </w:tc>
        <w:tc>
          <w:tcPr>
            <w:tcW w:w="1701" w:type="dxa"/>
            <w:shd w:val="clear" w:color="auto" w:fill="auto"/>
            <w:vAlign w:val="center"/>
          </w:tcPr>
          <w:p w14:paraId="2ED9223F">
            <w:pPr>
              <w:numPr>
                <w:ilvl w:val="2"/>
                <w:numId w:val="11"/>
              </w:numPr>
              <w:ind w:left="0" w:firstLine="0"/>
              <w:rPr>
                <w:rFonts w:ascii="宋体" w:hAnsi="宋体" w:cs="宋体"/>
                <w:color w:val="auto"/>
                <w:kern w:val="0"/>
                <w:szCs w:val="21"/>
                <w:highlight w:val="none"/>
              </w:rPr>
            </w:pPr>
            <w:r>
              <w:rPr>
                <w:rFonts w:ascii="宋体" w:hAnsi="宋体" w:cs="宋体"/>
                <w:color w:val="auto"/>
                <w:kern w:val="0"/>
                <w:szCs w:val="21"/>
                <w:highlight w:val="none"/>
              </w:rPr>
              <w:t>门诊诊断管理</w:t>
            </w:r>
          </w:p>
        </w:tc>
        <w:tc>
          <w:tcPr>
            <w:tcW w:w="11462" w:type="dxa"/>
            <w:shd w:val="clear" w:color="auto" w:fill="auto"/>
            <w:vAlign w:val="center"/>
          </w:tcPr>
          <w:p w14:paraId="5B038B8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支持门诊诊断规范化管理，对标ICD-10标准编码及自定义临床诊断名称描述。自定义临床诊断需在ICD关键字段前后增加，不可删除ICD关键字段。</w:t>
            </w:r>
          </w:p>
          <w:p w14:paraId="320D70B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支持门诊诊断栏缩放功能，并在展开式诊断管理中，提供患者诊断助手功能，包括患者历史诊断、常用诊断、高频诊断等内容，方便医生录入。既往住院、门诊诊断导入功能</w:t>
            </w:r>
          </w:p>
          <w:p w14:paraId="48A939A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支持疾病报卡并与诊断关联，实现诊断下达的同时实现疾病登记接口。</w:t>
            </w:r>
          </w:p>
          <w:p w14:paraId="1F157F1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支持诊断与病历信息对接，实现诊断录入完成后病历诊断数据自动导入。</w:t>
            </w:r>
          </w:p>
          <w:p w14:paraId="16B9F49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门诊诊断证明管理，在门诊中提供患者门诊诊断证明开立功能，可定制打印格式（由院方门诊办提供明确具体格式并签字确认后由乙方配置实现）；提供门诊请假证明开立功能，可为患者开立请假证明书并打印。诊断证明开立流程支持审核、无须审核两种模式。（审核流向管理部门，不审核的科室主任审核。</w:t>
            </w:r>
            <w:r>
              <w:rPr>
                <w:rFonts w:ascii="宋体" w:hAnsi="宋体" w:cs="宋体"/>
                <w:bCs/>
                <w:color w:val="auto"/>
                <w:szCs w:val="21"/>
                <w:highlight w:val="none"/>
              </w:rPr>
              <w:t>）</w:t>
            </w:r>
          </w:p>
          <w:p w14:paraId="28C9FD92">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生开具完成的疾病诊断证明以及请假证明流转医务管理系统医疗证明审核模块，经过门诊办审批后加认证电子签章。患者可以前往综合服务台打印证明。已审批证明可以多次打印，补打时候需要填写补打理由以及记录打印时间</w:t>
            </w:r>
            <w:r>
              <w:rPr>
                <w:rFonts w:hint="eastAsia" w:ascii="宋体" w:hAnsi="宋体" w:cs="宋体"/>
                <w:bCs/>
                <w:color w:val="auto"/>
                <w:szCs w:val="21"/>
                <w:highlight w:val="none"/>
              </w:rPr>
              <w:t>(备注，H</w:t>
            </w:r>
            <w:r>
              <w:rPr>
                <w:rFonts w:ascii="宋体" w:hAnsi="宋体" w:cs="宋体"/>
                <w:bCs/>
                <w:color w:val="auto"/>
                <w:szCs w:val="21"/>
                <w:highlight w:val="none"/>
              </w:rPr>
              <w:t>IS</w:t>
            </w:r>
            <w:r>
              <w:rPr>
                <w:rFonts w:hint="eastAsia" w:ascii="宋体" w:hAnsi="宋体" w:cs="宋体"/>
                <w:bCs/>
                <w:color w:val="auto"/>
                <w:szCs w:val="21"/>
                <w:highlight w:val="none"/>
              </w:rPr>
              <w:t>提供诊断证明与请假证明接口给医务系统接口，在医务管理系统审核)</w:t>
            </w:r>
          </w:p>
          <w:p w14:paraId="466B0A83">
            <w:pPr>
              <w:numPr>
                <w:ilvl w:val="0"/>
                <w:numId w:val="12"/>
              </w:numPr>
              <w:tabs>
                <w:tab w:val="left" w:pos="525"/>
                <w:tab w:val="left" w:pos="630"/>
              </w:tabs>
              <w:rPr>
                <w:color w:val="auto"/>
                <w:highlight w:val="none"/>
              </w:rPr>
            </w:pPr>
            <w:r>
              <w:rPr>
                <w:rFonts w:ascii="宋体" w:hAnsi="宋体" w:cs="宋体"/>
                <w:color w:val="auto"/>
                <w:highlight w:val="none"/>
                <w:shd w:val="clear" w:color="auto"/>
              </w:rPr>
              <w:t>门诊医生工作站可以查询到急诊患者病历</w:t>
            </w:r>
            <w:r>
              <w:rPr>
                <w:rFonts w:hint="eastAsia" w:ascii="宋体" w:hAnsi="宋体" w:cs="宋体"/>
                <w:color w:val="auto"/>
                <w:highlight w:val="none"/>
                <w:shd w:val="clear" w:color="auto"/>
              </w:rPr>
              <w:t>（如急诊病历采用H</w:t>
            </w:r>
            <w:r>
              <w:rPr>
                <w:rFonts w:ascii="宋体" w:hAnsi="宋体" w:cs="宋体"/>
                <w:color w:val="auto"/>
                <w:highlight w:val="none"/>
                <w:shd w:val="clear" w:color="auto"/>
              </w:rPr>
              <w:t>IS</w:t>
            </w:r>
            <w:r>
              <w:rPr>
                <w:rFonts w:hint="eastAsia" w:ascii="宋体" w:hAnsi="宋体" w:cs="宋体"/>
                <w:color w:val="auto"/>
                <w:highlight w:val="none"/>
                <w:shd w:val="clear" w:color="auto"/>
              </w:rPr>
              <w:t>系统病历，则可以直接查询，如急诊病历采用三方病历，则需要院方协调三方厂商提供病历查询接口）</w:t>
            </w:r>
          </w:p>
        </w:tc>
      </w:tr>
      <w:tr w14:paraId="7AD5E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shd w:val="clear" w:color="auto" w:fill="auto"/>
            <w:vAlign w:val="center"/>
          </w:tcPr>
          <w:p w14:paraId="0F119134">
            <w:pPr>
              <w:widowControl/>
              <w:jc w:val="left"/>
              <w:rPr>
                <w:rFonts w:ascii="宋体" w:hAnsi="宋体" w:cs="宋体"/>
                <w:color w:val="auto"/>
                <w:kern w:val="0"/>
                <w:szCs w:val="21"/>
                <w:highlight w:val="none"/>
              </w:rPr>
            </w:pPr>
          </w:p>
        </w:tc>
        <w:tc>
          <w:tcPr>
            <w:tcW w:w="13163" w:type="dxa"/>
            <w:gridSpan w:val="2"/>
            <w:shd w:val="clear" w:color="auto" w:fill="auto"/>
            <w:vAlign w:val="center"/>
          </w:tcPr>
          <w:p w14:paraId="2FFC3DA6">
            <w:pPr>
              <w:numPr>
                <w:ilvl w:val="1"/>
                <w:numId w:val="11"/>
              </w:numPr>
              <w:ind w:left="0" w:firstLine="0"/>
              <w:rPr>
                <w:rFonts w:ascii="宋体" w:hAnsi="宋体" w:cs="宋体"/>
                <w:color w:val="auto"/>
                <w:kern w:val="0"/>
                <w:szCs w:val="21"/>
                <w:highlight w:val="none"/>
              </w:rPr>
            </w:pPr>
            <w:r>
              <w:rPr>
                <w:rFonts w:ascii="宋体" w:hAnsi="宋体" w:cs="宋体"/>
                <w:color w:val="auto"/>
                <w:kern w:val="0"/>
                <w:szCs w:val="21"/>
                <w:highlight w:val="none"/>
              </w:rPr>
              <w:t>门诊医嘱管理</w:t>
            </w:r>
          </w:p>
        </w:tc>
      </w:tr>
      <w:tr w14:paraId="1C0C7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shd w:val="clear" w:color="auto" w:fill="auto"/>
            <w:vAlign w:val="center"/>
          </w:tcPr>
          <w:p w14:paraId="7B15ECFF">
            <w:pPr>
              <w:widowControl/>
              <w:jc w:val="left"/>
              <w:rPr>
                <w:rFonts w:ascii="宋体" w:hAnsi="宋体" w:cs="宋体"/>
                <w:color w:val="auto"/>
                <w:kern w:val="0"/>
                <w:szCs w:val="21"/>
                <w:highlight w:val="none"/>
              </w:rPr>
            </w:pPr>
          </w:p>
        </w:tc>
        <w:tc>
          <w:tcPr>
            <w:tcW w:w="1701" w:type="dxa"/>
            <w:shd w:val="clear" w:color="auto" w:fill="auto"/>
            <w:vAlign w:val="center"/>
          </w:tcPr>
          <w:p w14:paraId="1331F5FD">
            <w:pPr>
              <w:numPr>
                <w:ilvl w:val="0"/>
                <w:numId w:val="12"/>
              </w:numPr>
              <w:tabs>
                <w:tab w:val="left" w:pos="525"/>
                <w:tab w:val="left" w:pos="630"/>
              </w:tabs>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门诊医嘱录入模式</w:t>
            </w:r>
          </w:p>
        </w:tc>
        <w:tc>
          <w:tcPr>
            <w:tcW w:w="11462" w:type="dxa"/>
            <w:shd w:val="clear" w:color="auto" w:fill="auto"/>
            <w:vAlign w:val="center"/>
          </w:tcPr>
          <w:p w14:paraId="7EB6AE6B">
            <w:pPr>
              <w:numPr>
                <w:ilvl w:val="0"/>
                <w:numId w:val="12"/>
              </w:numPr>
              <w:tabs>
                <w:tab w:val="left" w:pos="525"/>
                <w:tab w:val="left" w:pos="630"/>
              </w:tabs>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持门诊医嘱录入端口统一模式，对各种类型的门诊医嘱统一录入端口，包括西成药、草药、检查、检验、手术、护理、嘱托等医嘱类型，通过分类前缀实现自动分类快速输入；</w:t>
            </w:r>
          </w:p>
          <w:p w14:paraId="414E31F6">
            <w:pPr>
              <w:numPr>
                <w:ilvl w:val="0"/>
                <w:numId w:val="12"/>
              </w:numPr>
              <w:tabs>
                <w:tab w:val="left" w:pos="525"/>
                <w:tab w:val="left" w:pos="630"/>
              </w:tabs>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能获取病人全生命周期的信息资料，并能够进行集中 展示，包括机构内外的医疗信息、健康记录、体征检测、随访信息、病人自采健康信息（如健康记录、可 穿戴设备数据）等；打破医嘱和申请单分离录入模式，提供以临床为核心的专业医疗单开嘱模式，提供单一西成药医疗单、成组西成药医疗单、草药医疗单、检验医疗单、检查医疗单、治疗医疗单、手术医疗单等各种医疗单模式，并支持其它特定医嘱场景的专科医疗单定制；</w:t>
            </w:r>
          </w:p>
          <w:p w14:paraId="6FDF8434">
            <w:pPr>
              <w:numPr>
                <w:ilvl w:val="0"/>
                <w:numId w:val="12"/>
              </w:numPr>
              <w:tabs>
                <w:tab w:val="left" w:pos="525"/>
                <w:tab w:val="left" w:pos="630"/>
              </w:tabs>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支持检查与医技用药开立在同个医嘱中，下游医技科室同时确认、执行，医技用药支持走科室备药、三级小药房等模式；</w:t>
            </w:r>
          </w:p>
          <w:p w14:paraId="6CDFB6EC">
            <w:pPr>
              <w:numPr>
                <w:ilvl w:val="0"/>
                <w:numId w:val="12"/>
              </w:numPr>
              <w:tabs>
                <w:tab w:val="left" w:pos="525"/>
                <w:tab w:val="left" w:pos="630"/>
              </w:tabs>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支持根据患者过敏信息、皮试记录、药品皮试规则智能开立皮试医嘱；</w:t>
            </w:r>
          </w:p>
          <w:p w14:paraId="5D797BA3">
            <w:pPr>
              <w:numPr>
                <w:ilvl w:val="0"/>
                <w:numId w:val="12"/>
              </w:numPr>
              <w:tabs>
                <w:tab w:val="left" w:pos="525"/>
                <w:tab w:val="left" w:pos="630"/>
              </w:tabs>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针对需院内执行的医嘱，引入业务执行、临床执行的概念，是业务流转更清晰。开嘱时可根据配置自动带入，例如开立输液医嘱自动带入发药药房、输液执行科室；</w:t>
            </w:r>
          </w:p>
          <w:p w14:paraId="1888F874">
            <w:pPr>
              <w:numPr>
                <w:ilvl w:val="0"/>
                <w:numId w:val="12"/>
              </w:numPr>
              <w:tabs>
                <w:tab w:val="left" w:pos="525"/>
                <w:tab w:val="left" w:pos="630"/>
              </w:tabs>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针对药品医嘱提供外送功能。</w:t>
            </w:r>
          </w:p>
          <w:p w14:paraId="18F78189">
            <w:pPr>
              <w:numPr>
                <w:ilvl w:val="0"/>
                <w:numId w:val="12"/>
              </w:numPr>
              <w:tabs>
                <w:tab w:val="left" w:pos="525"/>
                <w:tab w:val="left" w:pos="630"/>
              </w:tabs>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 xml:space="preserve">书写处方时可跟踪既往处方执行情况 </w:t>
            </w:r>
          </w:p>
          <w:p w14:paraId="5A45505E">
            <w:pPr>
              <w:numPr>
                <w:ilvl w:val="0"/>
                <w:numId w:val="12"/>
              </w:numPr>
              <w:tabs>
                <w:tab w:val="left" w:pos="525"/>
                <w:tab w:val="left" w:pos="630"/>
              </w:tabs>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 xml:space="preserve">处方数据能够自动作为门诊病历内容 </w:t>
            </w:r>
          </w:p>
          <w:p w14:paraId="3029005D">
            <w:pPr>
              <w:numPr>
                <w:ilvl w:val="0"/>
                <w:numId w:val="12"/>
              </w:numPr>
              <w:tabs>
                <w:tab w:val="left" w:pos="525"/>
                <w:tab w:val="left" w:pos="630"/>
              </w:tabs>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 xml:space="preserve">能够接收到开方医师自己处方的点评结果 </w:t>
            </w:r>
          </w:p>
          <w:p w14:paraId="2FFFBDF0">
            <w:pPr>
              <w:numPr>
                <w:ilvl w:val="0"/>
                <w:numId w:val="12"/>
              </w:numPr>
              <w:tabs>
                <w:tab w:val="left" w:pos="525"/>
                <w:tab w:val="left" w:pos="630"/>
              </w:tabs>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 xml:space="preserve">能够对比历史检验结果和其他医疗机构的检验结果 </w:t>
            </w:r>
          </w:p>
          <w:p w14:paraId="012664FA">
            <w:pPr>
              <w:numPr>
                <w:ilvl w:val="0"/>
                <w:numId w:val="12"/>
              </w:numPr>
              <w:tabs>
                <w:tab w:val="left" w:pos="525"/>
                <w:tab w:val="left" w:pos="630"/>
              </w:tabs>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 xml:space="preserve">对于危急值通知具有按时效管控、按接收人员分 级通知、处理记录反馈功能； </w:t>
            </w:r>
          </w:p>
          <w:p w14:paraId="38FC748E">
            <w:pPr>
              <w:numPr>
                <w:ilvl w:val="0"/>
                <w:numId w:val="12"/>
              </w:numPr>
              <w:tabs>
                <w:tab w:val="left" w:pos="525"/>
                <w:tab w:val="left" w:pos="630"/>
              </w:tabs>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 xml:space="preserve">委托外部机构完成的检验委托外部机构完成的检验结果，可直接浏览报告 </w:t>
            </w:r>
          </w:p>
          <w:p w14:paraId="48104C18">
            <w:pPr>
              <w:numPr>
                <w:ilvl w:val="0"/>
                <w:numId w:val="12"/>
              </w:numPr>
              <w:tabs>
                <w:tab w:val="left" w:pos="525"/>
                <w:tab w:val="left" w:pos="630"/>
              </w:tabs>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 xml:space="preserve">结果，并与检验申请关联 </w:t>
            </w:r>
          </w:p>
          <w:p w14:paraId="34441839">
            <w:pPr>
              <w:numPr>
                <w:ilvl w:val="0"/>
                <w:numId w:val="12"/>
              </w:numPr>
              <w:tabs>
                <w:tab w:val="left" w:pos="525"/>
                <w:tab w:val="left" w:pos="630"/>
              </w:tabs>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 xml:space="preserve">门诊检查申请后可随时跟踪检查进展情况 </w:t>
            </w:r>
          </w:p>
          <w:p w14:paraId="336224F0">
            <w:pPr>
              <w:numPr>
                <w:ilvl w:val="0"/>
                <w:numId w:val="12"/>
              </w:numPr>
              <w:tabs>
                <w:tab w:val="left" w:pos="525"/>
                <w:tab w:val="left" w:pos="630"/>
              </w:tabs>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 xml:space="preserve">检查申请可利用全院统一的检查安排表自动预约 </w:t>
            </w:r>
          </w:p>
          <w:p w14:paraId="6F9A5FE0">
            <w:pPr>
              <w:numPr>
                <w:ilvl w:val="0"/>
                <w:numId w:val="12"/>
              </w:numPr>
              <w:tabs>
                <w:tab w:val="left" w:pos="525"/>
                <w:tab w:val="left" w:pos="630"/>
              </w:tabs>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下达申请时，能够针对病人性别、诊断、以往检 查结果等对申请合理性进行自动检查并提示</w:t>
            </w:r>
          </w:p>
          <w:p w14:paraId="6AC82A52">
            <w:pPr>
              <w:numPr>
                <w:ilvl w:val="0"/>
                <w:numId w:val="12"/>
              </w:numPr>
              <w:tabs>
                <w:tab w:val="left" w:pos="525"/>
                <w:tab w:val="left" w:pos="630"/>
              </w:tabs>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门诊退药申请线上申请，患者公众号选择以及开具药品目录，提交申请，医生在门诊医生工作进行审批，流程流转至门诊医务管理系统门诊办公室进行审核，然后流转医院药房进行确认。</w:t>
            </w:r>
          </w:p>
        </w:tc>
      </w:tr>
      <w:tr w14:paraId="761A8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shd w:val="clear" w:color="auto" w:fill="auto"/>
            <w:vAlign w:val="center"/>
          </w:tcPr>
          <w:p w14:paraId="2569A35E">
            <w:pPr>
              <w:widowControl/>
              <w:jc w:val="left"/>
              <w:rPr>
                <w:rFonts w:ascii="宋体" w:hAnsi="宋体" w:cs="宋体"/>
                <w:color w:val="auto"/>
                <w:kern w:val="0"/>
                <w:szCs w:val="21"/>
                <w:highlight w:val="none"/>
              </w:rPr>
            </w:pPr>
          </w:p>
        </w:tc>
        <w:tc>
          <w:tcPr>
            <w:tcW w:w="1701" w:type="dxa"/>
            <w:shd w:val="clear" w:color="auto" w:fill="auto"/>
            <w:vAlign w:val="center"/>
          </w:tcPr>
          <w:p w14:paraId="60AD2004">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门诊医嘱规范管理</w:t>
            </w:r>
          </w:p>
        </w:tc>
        <w:tc>
          <w:tcPr>
            <w:tcW w:w="11462" w:type="dxa"/>
            <w:shd w:val="clear" w:color="auto" w:fill="auto"/>
            <w:vAlign w:val="center"/>
          </w:tcPr>
          <w:p w14:paraId="6CB2359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规范化门诊医嘱状态管理，提供已开医嘱的集中展示功能，可按全部、药品、检验、检查、诊疗分类管理；并实现医嘱自动分方与打印功能，按处方拆分规则进行处方拆分，医生开嘱时无需顾虑处方是否符合规范。分方规则以处方管理办法为依据，提供基于用法类型、保险计划、门特门慢病种</w:t>
            </w:r>
          </w:p>
          <w:p w14:paraId="0BBF7AB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特殊药品类型、发药药房等设置分方规则。医生开嘱后，自动根据分方规则生成处方。</w:t>
            </w:r>
          </w:p>
          <w:p w14:paraId="4BD283AF">
            <w:pPr>
              <w:tabs>
                <w:tab w:val="left" w:pos="525"/>
                <w:tab w:val="left" w:pos="630"/>
              </w:tabs>
              <w:spacing w:line="360" w:lineRule="auto"/>
              <w:ind w:left="440"/>
              <w:rPr>
                <w:rFonts w:ascii="宋体" w:hAnsi="宋体" w:cs="宋体"/>
                <w:bCs/>
                <w:color w:val="auto"/>
                <w:szCs w:val="21"/>
                <w:highlight w:val="none"/>
              </w:rPr>
            </w:pPr>
            <w:r>
              <w:rPr>
                <w:rFonts w:hint="eastAsia" w:ascii="宋体" w:hAnsi="宋体" w:cs="宋体"/>
                <w:bCs/>
                <w:color w:val="auto"/>
                <w:szCs w:val="21"/>
                <w:highlight w:val="none"/>
              </w:rPr>
              <w:t>增设门诊电子外带处方，设置处方电子编码，医生直接在线上开电子外带处方，加盖医生认证签章，经临床药师审核后，医生直接打印。后天管理：所有开具的电子处方按管理要求填写相关信息形成监管台账，授权门诊办以及药学部进行质控管理。（外带处方：指本院医生开出来的处方，经药师审方后，患者拿着处方去外面药房购药。这里需要将外带处方对接合理用药系统，实现药师线上审方）</w:t>
            </w:r>
          </w:p>
          <w:p w14:paraId="6612B0E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在用药安全性方面，系统内置临床知识库接口，根据就诊诊断、检查、检验结果智能推荐以及审查治疗方案，并支持与审方系统、处方点评系统对接，在诊中与诊后全流程闭环以确保医嘱安全质量。门诊医嘱中还引入抗菌药物、精神毒麻等特殊药品医嘱的开立权限控制。以满足医疗质量安全监管。开立医嘱时提供医保适应症的提醒与选择。</w:t>
            </w:r>
          </w:p>
          <w:p w14:paraId="3AB64C5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急诊处方药品使用天数不允许输入超过3天（依据：《中山大学附属第七医院处方管理办法实施细则》（中山七院发【2023】）68号第二十三条）</w:t>
            </w:r>
          </w:p>
          <w:p w14:paraId="58AD05F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 门诊处方药品使用天数不允许输入超过12周（依据：《中山大学附属第七医院处方管理办法实施细则》（中山七院发【2023】）68号第二十三条）</w:t>
            </w:r>
          </w:p>
          <w:p w14:paraId="03E79B0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门诊药品医嘱开具界面增加“用药理由”填写功能，当使用天数超过7天，小于28天，用药理由必填，未填写不可提交医嘱（依据：《中山大学附属第七医院处方管理办法实施细则》（中山七院发【2023】）68号第二十三条）</w:t>
            </w:r>
          </w:p>
          <w:p w14:paraId="61765A9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系统根据医师输入的药品用法用量、使用天数后应自动计算药品数量，计算得出的药品数量可以修改，但只能降低，不能增加。用药无法计算处方盒数时，可给医生输入盒数。（需药学部维护好药品字典基础信息）。</w:t>
            </w:r>
          </w:p>
          <w:p w14:paraId="7EA47C4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药品单次用量可输入不同剂量，例如，每天两次，可输入早上1片，晚上2片（规则细化，维护功能）。</w:t>
            </w:r>
          </w:p>
        </w:tc>
      </w:tr>
      <w:tr w14:paraId="45787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shd w:val="clear" w:color="auto" w:fill="auto"/>
            <w:vAlign w:val="center"/>
          </w:tcPr>
          <w:p w14:paraId="73509896">
            <w:pPr>
              <w:widowControl/>
              <w:jc w:val="left"/>
              <w:rPr>
                <w:rFonts w:ascii="宋体" w:hAnsi="宋体" w:cs="宋体"/>
                <w:color w:val="auto"/>
                <w:kern w:val="0"/>
                <w:szCs w:val="21"/>
                <w:highlight w:val="none"/>
              </w:rPr>
            </w:pPr>
          </w:p>
        </w:tc>
        <w:tc>
          <w:tcPr>
            <w:tcW w:w="1701" w:type="dxa"/>
            <w:shd w:val="clear" w:color="auto" w:fill="auto"/>
            <w:vAlign w:val="center"/>
          </w:tcPr>
          <w:p w14:paraId="75FAA14F">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门诊医嘱助手录入</w:t>
            </w:r>
          </w:p>
        </w:tc>
        <w:tc>
          <w:tcPr>
            <w:tcW w:w="11462" w:type="dxa"/>
            <w:shd w:val="clear" w:color="auto" w:fill="auto"/>
            <w:vAlign w:val="center"/>
          </w:tcPr>
          <w:p w14:paraId="2B0B466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提供门诊医嘱界面缩放功能，通过医嘱助手功能，实现临床医嘱的快速开立。在助手功能中，支持对医嘱模版大组套概念的引用；支持根据患者诊断与诊断分类、性别及年龄段，自动推荐医嘱模板；</w:t>
            </w:r>
          </w:p>
          <w:p w14:paraId="6A992DF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支持对患者历史数据的引用；支持对高频检查、高频药品、高频处置、常用个嘱的引用管理。并结合集中式开单模式，对检验、检查、病理类型医嘱集中式操作。提供复制当前患者已开立的医嘱。</w:t>
            </w:r>
          </w:p>
          <w:p w14:paraId="118463CD">
            <w:pPr>
              <w:tabs>
                <w:tab w:val="left" w:pos="525"/>
                <w:tab w:val="left" w:pos="630"/>
              </w:tabs>
              <w:spacing w:line="360" w:lineRule="auto"/>
              <w:ind w:left="440"/>
              <w:rPr>
                <w:rFonts w:ascii="宋体" w:hAnsi="宋体" w:cs="宋体"/>
                <w:bCs/>
                <w:color w:val="auto"/>
                <w:szCs w:val="21"/>
                <w:highlight w:val="none"/>
              </w:rPr>
            </w:pPr>
            <w:r>
              <w:rPr>
                <w:rFonts w:hint="eastAsia" w:ascii="宋体" w:hAnsi="宋体" w:cs="宋体"/>
                <w:bCs/>
                <w:color w:val="auto"/>
                <w:szCs w:val="21"/>
                <w:highlight w:val="none"/>
              </w:rPr>
              <w:t xml:space="preserve">（1）形成完整的检验闭环，检验申请、标本情况能够随时跟踪 </w:t>
            </w:r>
          </w:p>
          <w:p w14:paraId="1EF55C82">
            <w:pPr>
              <w:tabs>
                <w:tab w:val="left" w:pos="525"/>
                <w:tab w:val="left" w:pos="630"/>
              </w:tabs>
              <w:spacing w:line="360" w:lineRule="auto"/>
              <w:ind w:left="440"/>
              <w:rPr>
                <w:rFonts w:ascii="宋体" w:hAnsi="宋体" w:cs="宋体"/>
                <w:bCs/>
                <w:color w:val="auto"/>
                <w:szCs w:val="21"/>
                <w:highlight w:val="none"/>
              </w:rPr>
            </w:pPr>
            <w:r>
              <w:rPr>
                <w:rFonts w:hint="eastAsia" w:ascii="宋体" w:hAnsi="宋体" w:cs="宋体"/>
                <w:bCs/>
                <w:color w:val="auto"/>
                <w:szCs w:val="21"/>
                <w:highlight w:val="none"/>
              </w:rPr>
              <w:t>（2）能够针对病人性别、诊断、以往检验申请与结果等进行申请合理性自动审核并针对问题申请给出提示（院方协调C</w:t>
            </w:r>
            <w:r>
              <w:rPr>
                <w:rFonts w:ascii="宋体" w:hAnsi="宋体" w:cs="宋体"/>
                <w:bCs/>
                <w:color w:val="auto"/>
                <w:szCs w:val="21"/>
                <w:highlight w:val="none"/>
              </w:rPr>
              <w:t>DSS</w:t>
            </w:r>
            <w:r>
              <w:rPr>
                <w:rFonts w:hint="eastAsia" w:ascii="宋体" w:hAnsi="宋体" w:cs="宋体"/>
                <w:bCs/>
                <w:color w:val="auto"/>
                <w:szCs w:val="21"/>
                <w:highlight w:val="none"/>
              </w:rPr>
              <w:t>厂商与H</w:t>
            </w:r>
            <w:r>
              <w:rPr>
                <w:rFonts w:ascii="宋体" w:hAnsi="宋体" w:cs="宋体"/>
                <w:bCs/>
                <w:color w:val="auto"/>
                <w:szCs w:val="21"/>
                <w:highlight w:val="none"/>
              </w:rPr>
              <w:t>IS</w:t>
            </w:r>
            <w:r>
              <w:rPr>
                <w:rFonts w:hint="eastAsia" w:ascii="宋体" w:hAnsi="宋体" w:cs="宋体"/>
                <w:bCs/>
                <w:color w:val="auto"/>
                <w:szCs w:val="21"/>
                <w:highlight w:val="none"/>
              </w:rPr>
              <w:t>进行对接，由C</w:t>
            </w:r>
            <w:r>
              <w:rPr>
                <w:rFonts w:ascii="宋体" w:hAnsi="宋体" w:cs="宋体"/>
                <w:bCs/>
                <w:color w:val="auto"/>
                <w:szCs w:val="21"/>
                <w:highlight w:val="none"/>
              </w:rPr>
              <w:t>DSS</w:t>
            </w:r>
            <w:r>
              <w:rPr>
                <w:rFonts w:hint="eastAsia" w:ascii="宋体" w:hAnsi="宋体" w:cs="宋体"/>
                <w:bCs/>
                <w:color w:val="auto"/>
                <w:szCs w:val="21"/>
                <w:highlight w:val="none"/>
              </w:rPr>
              <w:t>规则库来支持该功能）</w:t>
            </w:r>
          </w:p>
          <w:p w14:paraId="55321212">
            <w:pPr>
              <w:tabs>
                <w:tab w:val="left" w:pos="525"/>
                <w:tab w:val="left" w:pos="630"/>
              </w:tabs>
              <w:spacing w:line="360" w:lineRule="auto"/>
              <w:ind w:left="440"/>
              <w:rPr>
                <w:rFonts w:ascii="宋体" w:hAnsi="宋体" w:cs="宋体"/>
                <w:bCs/>
                <w:color w:val="auto"/>
                <w:szCs w:val="21"/>
                <w:highlight w:val="none"/>
              </w:rPr>
            </w:pPr>
            <w:r>
              <w:rPr>
                <w:rFonts w:hint="eastAsia" w:ascii="宋体" w:hAnsi="宋体" w:cs="宋体"/>
                <w:bCs/>
                <w:color w:val="auto"/>
                <w:szCs w:val="21"/>
                <w:highlight w:val="none"/>
              </w:rPr>
              <w:t xml:space="preserve">（3）申请检验时，能够查询历史检验结果、其他医疗机构（已接入本区域互联互通平台的医疗机构）检验结果和报告 </w:t>
            </w:r>
          </w:p>
          <w:p w14:paraId="7CEC10E8">
            <w:pPr>
              <w:tabs>
                <w:tab w:val="left" w:pos="525"/>
                <w:tab w:val="left" w:pos="630"/>
              </w:tabs>
              <w:spacing w:line="360" w:lineRule="auto"/>
              <w:ind w:left="440"/>
              <w:rPr>
                <w:rFonts w:ascii="宋体" w:hAnsi="宋体" w:cs="宋体"/>
                <w:bCs/>
                <w:color w:val="auto"/>
                <w:szCs w:val="21"/>
                <w:highlight w:val="none"/>
              </w:rPr>
            </w:pPr>
            <w:r>
              <w:rPr>
                <w:rFonts w:hint="eastAsia" w:ascii="宋体" w:hAnsi="宋体" w:cs="宋体"/>
                <w:bCs/>
                <w:color w:val="auto"/>
                <w:szCs w:val="21"/>
                <w:highlight w:val="none"/>
              </w:rPr>
              <w:t>（4）具有适用于门诊的疾病诊断知识库提供诊断辅助 的检验方案区域协同有关检验申请记录与外部检验登记 数据记录相关项目的可对照性 （院方协调C</w:t>
            </w:r>
            <w:r>
              <w:rPr>
                <w:rFonts w:ascii="宋体" w:hAnsi="宋体" w:cs="宋体"/>
                <w:bCs/>
                <w:color w:val="auto"/>
                <w:szCs w:val="21"/>
                <w:highlight w:val="none"/>
              </w:rPr>
              <w:t>DSS</w:t>
            </w:r>
            <w:r>
              <w:rPr>
                <w:rFonts w:hint="eastAsia" w:ascii="宋体" w:hAnsi="宋体" w:cs="宋体"/>
                <w:bCs/>
                <w:color w:val="auto"/>
                <w:szCs w:val="21"/>
                <w:highlight w:val="none"/>
              </w:rPr>
              <w:t>厂商与H</w:t>
            </w:r>
            <w:r>
              <w:rPr>
                <w:rFonts w:ascii="宋体" w:hAnsi="宋体" w:cs="宋体"/>
                <w:bCs/>
                <w:color w:val="auto"/>
                <w:szCs w:val="21"/>
                <w:highlight w:val="none"/>
              </w:rPr>
              <w:t>IS</w:t>
            </w:r>
            <w:r>
              <w:rPr>
                <w:rFonts w:hint="eastAsia" w:ascii="宋体" w:hAnsi="宋体" w:cs="宋体"/>
                <w:bCs/>
                <w:color w:val="auto"/>
                <w:szCs w:val="21"/>
                <w:highlight w:val="none"/>
              </w:rPr>
              <w:t>系统进行对接，由C</w:t>
            </w:r>
            <w:r>
              <w:rPr>
                <w:rFonts w:ascii="宋体" w:hAnsi="宋体" w:cs="宋体"/>
                <w:bCs/>
                <w:color w:val="auto"/>
                <w:szCs w:val="21"/>
                <w:highlight w:val="none"/>
              </w:rPr>
              <w:t>DSS</w:t>
            </w:r>
            <w:r>
              <w:rPr>
                <w:rFonts w:hint="eastAsia" w:ascii="宋体" w:hAnsi="宋体" w:cs="宋体"/>
                <w:bCs/>
                <w:color w:val="auto"/>
                <w:szCs w:val="21"/>
                <w:highlight w:val="none"/>
              </w:rPr>
              <w:t>规则库来支持该功能）</w:t>
            </w:r>
          </w:p>
          <w:p w14:paraId="5D028A17">
            <w:pPr>
              <w:numPr>
                <w:ilvl w:val="0"/>
                <w:numId w:val="12"/>
              </w:numPr>
              <w:tabs>
                <w:tab w:val="left" w:pos="525"/>
                <w:tab w:val="left" w:pos="630"/>
              </w:tabs>
              <w:spacing w:line="360" w:lineRule="auto"/>
              <w:rPr>
                <w:rFonts w:ascii="宋体" w:hAnsi="宋体" w:cs="宋体"/>
                <w:bCs/>
                <w:color w:val="auto"/>
                <w:szCs w:val="21"/>
                <w:highlight w:val="none"/>
              </w:rPr>
            </w:pPr>
          </w:p>
        </w:tc>
      </w:tr>
      <w:tr w14:paraId="3E070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shd w:val="clear" w:color="auto" w:fill="auto"/>
            <w:vAlign w:val="center"/>
          </w:tcPr>
          <w:p w14:paraId="391C9AD8">
            <w:pPr>
              <w:widowControl/>
              <w:jc w:val="left"/>
              <w:rPr>
                <w:rFonts w:ascii="宋体" w:hAnsi="宋体" w:cs="宋体"/>
                <w:color w:val="auto"/>
                <w:kern w:val="0"/>
                <w:szCs w:val="21"/>
                <w:highlight w:val="none"/>
              </w:rPr>
            </w:pPr>
          </w:p>
        </w:tc>
        <w:tc>
          <w:tcPr>
            <w:tcW w:w="1701" w:type="dxa"/>
            <w:shd w:val="clear" w:color="auto" w:fill="auto"/>
            <w:vAlign w:val="center"/>
          </w:tcPr>
          <w:p w14:paraId="196D24D7">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门诊医嘱智能化记费</w:t>
            </w:r>
          </w:p>
        </w:tc>
        <w:tc>
          <w:tcPr>
            <w:tcW w:w="11462" w:type="dxa"/>
            <w:shd w:val="clear" w:color="auto" w:fill="auto"/>
            <w:vAlign w:val="center"/>
          </w:tcPr>
          <w:p w14:paraId="0B2B13D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嘱附加收费项目自动关联，且允许人工补充修改。且支持医嘱费用处理智能化，检查项目按部位自动加收费用，检验项目按指标自动加收费用，会诊费用按会诊个数自动加收，草药处方按制法要求自动加收等等；</w:t>
            </w:r>
          </w:p>
          <w:p w14:paraId="0EA3E5E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检查项目支持按部位加收、按部位定价、按部位分段加收、按部位分段定价模式。</w:t>
            </w:r>
          </w:p>
          <w:p w14:paraId="40B6E85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支持根据相关政策规定，提供记费提醒、记费控制等多种服务。</w:t>
            </w:r>
          </w:p>
          <w:p w14:paraId="43FC384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支持医嘱默认用法、默认频次、默认剂量自带入，减轻医嘱录入工作量。</w:t>
            </w:r>
          </w:p>
        </w:tc>
      </w:tr>
      <w:tr w14:paraId="2A64F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shd w:val="clear" w:color="auto" w:fill="auto"/>
            <w:vAlign w:val="center"/>
          </w:tcPr>
          <w:p w14:paraId="00139E23">
            <w:pPr>
              <w:widowControl/>
              <w:jc w:val="left"/>
              <w:rPr>
                <w:rFonts w:ascii="宋体" w:hAnsi="宋体" w:cs="宋体"/>
                <w:color w:val="auto"/>
                <w:kern w:val="0"/>
                <w:szCs w:val="21"/>
                <w:highlight w:val="none"/>
              </w:rPr>
            </w:pPr>
          </w:p>
        </w:tc>
        <w:tc>
          <w:tcPr>
            <w:tcW w:w="1701" w:type="dxa"/>
            <w:shd w:val="clear" w:color="auto" w:fill="auto"/>
            <w:vAlign w:val="center"/>
          </w:tcPr>
          <w:p w14:paraId="7622915A">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长期处方功能（通过前端插件实现）</w:t>
            </w:r>
          </w:p>
        </w:tc>
        <w:tc>
          <w:tcPr>
            <w:tcW w:w="11462" w:type="dxa"/>
            <w:shd w:val="clear" w:color="auto" w:fill="auto"/>
            <w:vAlign w:val="center"/>
          </w:tcPr>
          <w:p w14:paraId="7773D68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支持自主维护长期处方药品目录与病种</w:t>
            </w:r>
          </w:p>
          <w:p w14:paraId="15D50F4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支持自主维护医师长期处方权限</w:t>
            </w:r>
          </w:p>
          <w:p w14:paraId="3F02453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药品不在我院长期处方药品目录内，药品使用天数不允许输入超过4周</w:t>
            </w:r>
          </w:p>
          <w:p w14:paraId="6F7115A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若药品在我院长期处方目录内，但患者任一诊断不在我院长期处方病种目录内，药品的使用天数不允许输入超过4周</w:t>
            </w:r>
          </w:p>
          <w:p w14:paraId="626C09E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除外上述情况，即诊断、药品均在长期处方目录内，使用天数允许输入超过4周，保存处方时，弹出患者病情评估表、知情同意书，医师填写完毕后方可允许开具长期处方。</w:t>
            </w:r>
          </w:p>
        </w:tc>
      </w:tr>
      <w:tr w14:paraId="01802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shd w:val="clear" w:color="auto" w:fill="auto"/>
            <w:vAlign w:val="center"/>
          </w:tcPr>
          <w:p w14:paraId="010EF1CB">
            <w:pPr>
              <w:widowControl/>
              <w:jc w:val="left"/>
              <w:rPr>
                <w:rFonts w:ascii="宋体" w:hAnsi="宋体" w:cs="宋体"/>
                <w:color w:val="auto"/>
                <w:kern w:val="0"/>
                <w:szCs w:val="21"/>
                <w:highlight w:val="none"/>
              </w:rPr>
            </w:pPr>
          </w:p>
        </w:tc>
        <w:tc>
          <w:tcPr>
            <w:tcW w:w="1701" w:type="dxa"/>
            <w:shd w:val="clear" w:color="auto" w:fill="auto"/>
            <w:vAlign w:val="center"/>
          </w:tcPr>
          <w:p w14:paraId="623A426C">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互联网腹透液处方功能</w:t>
            </w:r>
          </w:p>
        </w:tc>
        <w:tc>
          <w:tcPr>
            <w:tcW w:w="11462" w:type="dxa"/>
            <w:shd w:val="clear" w:color="auto" w:fill="auto"/>
            <w:vAlign w:val="center"/>
          </w:tcPr>
          <w:p w14:paraId="22A8A80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对接云药房腹透液平台</w:t>
            </w:r>
          </w:p>
          <w:p w14:paraId="320C6ED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医师开具医嘱时，若选择腹膜透析液，有“腹透配送处方”选项供医师选择，若选择“平台配送”，处方缴费、药房确认发药后，HIS提供接口，将“平台配送”类型的腹透液处方推送至云药房腹透液平台（需厂家提供接口文档）。</w:t>
            </w:r>
          </w:p>
          <w:p w14:paraId="6CFBDBE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医院公众号增加腹透处方配送入口，用于患者填写快递地址提交订单</w:t>
            </w:r>
          </w:p>
          <w:p w14:paraId="6A33EBC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云药房腹透液提供接口，HIS获取处方配送状态。</w:t>
            </w:r>
          </w:p>
        </w:tc>
      </w:tr>
      <w:tr w14:paraId="5B5E8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189" w:type="dxa"/>
            <w:vMerge w:val="continue"/>
            <w:shd w:val="clear" w:color="auto" w:fill="auto"/>
            <w:vAlign w:val="center"/>
          </w:tcPr>
          <w:p w14:paraId="4E9603F1">
            <w:pPr>
              <w:widowControl/>
              <w:jc w:val="left"/>
              <w:rPr>
                <w:rFonts w:ascii="宋体" w:hAnsi="宋体" w:cs="宋体"/>
                <w:color w:val="auto"/>
                <w:kern w:val="0"/>
                <w:szCs w:val="21"/>
                <w:highlight w:val="none"/>
              </w:rPr>
            </w:pPr>
          </w:p>
        </w:tc>
        <w:tc>
          <w:tcPr>
            <w:tcW w:w="13163" w:type="dxa"/>
            <w:gridSpan w:val="2"/>
            <w:shd w:val="clear" w:color="auto" w:fill="auto"/>
            <w:vAlign w:val="center"/>
          </w:tcPr>
          <w:p w14:paraId="06FAB781">
            <w:pPr>
              <w:numPr>
                <w:ilvl w:val="1"/>
                <w:numId w:val="11"/>
              </w:numPr>
              <w:ind w:left="0" w:firstLine="0"/>
              <w:rPr>
                <w:rFonts w:ascii="宋体" w:hAnsi="宋体" w:cs="宋体"/>
                <w:bCs/>
                <w:color w:val="auto"/>
                <w:szCs w:val="21"/>
                <w:highlight w:val="none"/>
              </w:rPr>
            </w:pPr>
            <w:r>
              <w:rPr>
                <w:rFonts w:ascii="宋体" w:hAnsi="宋体" w:cs="宋体"/>
                <w:color w:val="auto"/>
                <w:kern w:val="0"/>
                <w:szCs w:val="21"/>
                <w:highlight w:val="none"/>
              </w:rPr>
              <w:t>门特门慢医嘱快捷开立</w:t>
            </w:r>
          </w:p>
        </w:tc>
      </w:tr>
      <w:tr w14:paraId="154AC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jc w:val="center"/>
        </w:trPr>
        <w:tc>
          <w:tcPr>
            <w:tcW w:w="1189" w:type="dxa"/>
            <w:vMerge w:val="continue"/>
            <w:shd w:val="clear" w:color="auto" w:fill="auto"/>
            <w:vAlign w:val="center"/>
          </w:tcPr>
          <w:p w14:paraId="5382968B">
            <w:pPr>
              <w:widowControl/>
              <w:jc w:val="left"/>
              <w:rPr>
                <w:rFonts w:ascii="宋体" w:hAnsi="宋体" w:cs="宋体"/>
                <w:color w:val="auto"/>
                <w:kern w:val="0"/>
                <w:szCs w:val="21"/>
                <w:highlight w:val="none"/>
              </w:rPr>
            </w:pPr>
          </w:p>
        </w:tc>
        <w:tc>
          <w:tcPr>
            <w:tcW w:w="1701" w:type="dxa"/>
            <w:shd w:val="clear" w:color="auto" w:fill="auto"/>
            <w:vAlign w:val="center"/>
          </w:tcPr>
          <w:p w14:paraId="53D640CA">
            <w:pPr>
              <w:numPr>
                <w:ilvl w:val="2"/>
                <w:numId w:val="11"/>
              </w:numPr>
              <w:ind w:left="0" w:firstLine="0"/>
              <w:rPr>
                <w:rFonts w:ascii="宋体" w:hAnsi="宋体" w:cs="宋体"/>
                <w:color w:val="auto"/>
                <w:kern w:val="0"/>
                <w:szCs w:val="21"/>
                <w:highlight w:val="none"/>
              </w:rPr>
            </w:pPr>
            <w:r>
              <w:rPr>
                <w:rFonts w:ascii="宋体" w:hAnsi="宋体" w:cs="宋体"/>
                <w:color w:val="auto"/>
                <w:kern w:val="0"/>
                <w:szCs w:val="21"/>
                <w:highlight w:val="none"/>
              </w:rPr>
              <w:t>门特门慢医嘱快捷开立</w:t>
            </w:r>
          </w:p>
        </w:tc>
        <w:tc>
          <w:tcPr>
            <w:tcW w:w="11462" w:type="dxa"/>
            <w:shd w:val="clear" w:color="auto" w:fill="auto"/>
            <w:vAlign w:val="center"/>
          </w:tcPr>
          <w:p w14:paraId="5D806D9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支持适配不同地区医保的门特门慢政策；</w:t>
            </w:r>
          </w:p>
          <w:p w14:paraId="22F9C68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支持快捷开立患者的门诊特慢诊断；</w:t>
            </w:r>
          </w:p>
          <w:p w14:paraId="6342D0A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针对符合政策的患者，可单独或批量开立门特门慢医嘱。</w:t>
            </w:r>
          </w:p>
        </w:tc>
      </w:tr>
      <w:tr w14:paraId="4EE7C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shd w:val="clear" w:color="auto" w:fill="auto"/>
            <w:vAlign w:val="center"/>
          </w:tcPr>
          <w:p w14:paraId="70B38214">
            <w:pPr>
              <w:widowControl/>
              <w:jc w:val="left"/>
              <w:rPr>
                <w:rFonts w:ascii="宋体" w:hAnsi="宋体" w:cs="宋体"/>
                <w:color w:val="auto"/>
                <w:kern w:val="0"/>
                <w:szCs w:val="21"/>
                <w:highlight w:val="none"/>
              </w:rPr>
            </w:pPr>
          </w:p>
        </w:tc>
        <w:tc>
          <w:tcPr>
            <w:tcW w:w="13163" w:type="dxa"/>
            <w:gridSpan w:val="2"/>
            <w:shd w:val="clear" w:color="auto" w:fill="auto"/>
            <w:vAlign w:val="center"/>
          </w:tcPr>
          <w:p w14:paraId="319226D0">
            <w:pPr>
              <w:numPr>
                <w:ilvl w:val="1"/>
                <w:numId w:val="11"/>
              </w:numPr>
              <w:ind w:left="0" w:firstLine="0"/>
              <w:rPr>
                <w:rFonts w:ascii="宋体" w:hAnsi="宋体" w:cs="宋体"/>
                <w:bCs/>
                <w:color w:val="auto"/>
                <w:szCs w:val="21"/>
                <w:highlight w:val="none"/>
              </w:rPr>
            </w:pPr>
            <w:r>
              <w:rPr>
                <w:rFonts w:ascii="宋体" w:hAnsi="宋体" w:cs="宋体"/>
                <w:color w:val="auto"/>
                <w:kern w:val="0"/>
                <w:szCs w:val="21"/>
                <w:highlight w:val="none"/>
              </w:rPr>
              <w:t>门诊报告查询</w:t>
            </w:r>
          </w:p>
        </w:tc>
      </w:tr>
      <w:tr w14:paraId="4D49E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9" w:hRule="atLeast"/>
          <w:jc w:val="center"/>
        </w:trPr>
        <w:tc>
          <w:tcPr>
            <w:tcW w:w="1189" w:type="dxa"/>
            <w:vMerge w:val="continue"/>
            <w:shd w:val="clear" w:color="auto" w:fill="auto"/>
            <w:vAlign w:val="center"/>
          </w:tcPr>
          <w:p w14:paraId="2C22050F">
            <w:pPr>
              <w:widowControl/>
              <w:jc w:val="left"/>
              <w:rPr>
                <w:rFonts w:ascii="宋体" w:hAnsi="宋体" w:cs="宋体"/>
                <w:color w:val="auto"/>
                <w:kern w:val="0"/>
                <w:szCs w:val="21"/>
                <w:highlight w:val="none"/>
              </w:rPr>
            </w:pPr>
          </w:p>
        </w:tc>
        <w:tc>
          <w:tcPr>
            <w:tcW w:w="1701" w:type="dxa"/>
            <w:shd w:val="clear" w:color="auto" w:fill="auto"/>
            <w:vAlign w:val="center"/>
          </w:tcPr>
          <w:p w14:paraId="3028EC3D">
            <w:pPr>
              <w:numPr>
                <w:ilvl w:val="2"/>
                <w:numId w:val="11"/>
              </w:numPr>
              <w:ind w:left="0" w:firstLine="0"/>
              <w:rPr>
                <w:rFonts w:ascii="宋体" w:hAnsi="宋体" w:cs="宋体"/>
                <w:color w:val="auto"/>
                <w:kern w:val="0"/>
                <w:szCs w:val="21"/>
                <w:highlight w:val="none"/>
              </w:rPr>
            </w:pPr>
            <w:r>
              <w:rPr>
                <w:rFonts w:ascii="宋体" w:hAnsi="宋体"/>
                <w:color w:val="auto"/>
                <w:highlight w:val="none"/>
              </w:rPr>
              <w:t>门诊报告查询</w:t>
            </w:r>
          </w:p>
        </w:tc>
        <w:tc>
          <w:tcPr>
            <w:tcW w:w="11462" w:type="dxa"/>
            <w:shd w:val="clear" w:color="auto" w:fill="auto"/>
            <w:vAlign w:val="center"/>
          </w:tcPr>
          <w:p w14:paraId="2CFBA73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基于电子病历评价标准，实现门诊、急诊、住院患者就诊信息互通，在门诊医生站中有且不限于检验、检查、病理、电子病历数据报告查询，也支持历史某段时间内就诊报告的查询。支持图文报告查看以及内嵌式影像浏览器接口查看。支持医联体、医疗集团模式可跨机构、跨院区查看患者所有检验检查结果报告。在检验结果中支持检验定量指标的趋势图分析，分单指标趋势图和多指标趋势图。</w:t>
            </w:r>
          </w:p>
        </w:tc>
      </w:tr>
      <w:tr w14:paraId="61F9F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shd w:val="clear" w:color="auto" w:fill="auto"/>
            <w:vAlign w:val="center"/>
          </w:tcPr>
          <w:p w14:paraId="26C1C452">
            <w:pPr>
              <w:widowControl/>
              <w:jc w:val="left"/>
              <w:rPr>
                <w:rFonts w:ascii="宋体" w:hAnsi="宋体" w:cs="宋体"/>
                <w:color w:val="auto"/>
                <w:kern w:val="0"/>
                <w:szCs w:val="21"/>
                <w:highlight w:val="none"/>
              </w:rPr>
            </w:pPr>
          </w:p>
        </w:tc>
        <w:tc>
          <w:tcPr>
            <w:tcW w:w="13163" w:type="dxa"/>
            <w:gridSpan w:val="2"/>
            <w:shd w:val="clear" w:color="auto" w:fill="auto"/>
            <w:vAlign w:val="center"/>
          </w:tcPr>
          <w:p w14:paraId="72953AB4">
            <w:pPr>
              <w:numPr>
                <w:ilvl w:val="1"/>
                <w:numId w:val="11"/>
              </w:numPr>
              <w:ind w:left="0" w:firstLine="0"/>
              <w:rPr>
                <w:rFonts w:ascii="宋体" w:hAnsi="宋体" w:cs="宋体"/>
                <w:bCs/>
                <w:color w:val="auto"/>
                <w:szCs w:val="21"/>
                <w:highlight w:val="none"/>
              </w:rPr>
            </w:pPr>
            <w:r>
              <w:rPr>
                <w:rFonts w:ascii="宋体" w:hAnsi="宋体"/>
                <w:color w:val="auto"/>
                <w:highlight w:val="none"/>
              </w:rPr>
              <w:t>门诊危急值处理</w:t>
            </w:r>
          </w:p>
        </w:tc>
      </w:tr>
      <w:tr w14:paraId="39CD3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shd w:val="clear" w:color="auto" w:fill="auto"/>
            <w:vAlign w:val="center"/>
          </w:tcPr>
          <w:p w14:paraId="4EBB8D7D">
            <w:pPr>
              <w:widowControl/>
              <w:jc w:val="left"/>
              <w:rPr>
                <w:rFonts w:ascii="宋体" w:hAnsi="宋体" w:cs="宋体"/>
                <w:color w:val="auto"/>
                <w:kern w:val="0"/>
                <w:szCs w:val="21"/>
                <w:highlight w:val="none"/>
              </w:rPr>
            </w:pPr>
          </w:p>
        </w:tc>
        <w:tc>
          <w:tcPr>
            <w:tcW w:w="1701" w:type="dxa"/>
            <w:shd w:val="clear" w:color="auto" w:fill="auto"/>
            <w:vAlign w:val="center"/>
          </w:tcPr>
          <w:p w14:paraId="0C2FCB7B">
            <w:pPr>
              <w:numPr>
                <w:ilvl w:val="2"/>
                <w:numId w:val="11"/>
              </w:numPr>
              <w:ind w:left="0" w:firstLine="0"/>
              <w:rPr>
                <w:rFonts w:ascii="宋体" w:hAnsi="宋体" w:cs="宋体"/>
                <w:color w:val="auto"/>
                <w:kern w:val="0"/>
                <w:szCs w:val="21"/>
                <w:highlight w:val="none"/>
              </w:rPr>
            </w:pPr>
            <w:r>
              <w:rPr>
                <w:rFonts w:ascii="宋体" w:hAnsi="宋体"/>
                <w:color w:val="auto"/>
                <w:highlight w:val="none"/>
              </w:rPr>
              <w:t>门诊危急值处理</w:t>
            </w:r>
          </w:p>
        </w:tc>
        <w:tc>
          <w:tcPr>
            <w:tcW w:w="11462" w:type="dxa"/>
            <w:shd w:val="clear" w:color="auto" w:fill="auto"/>
            <w:vAlign w:val="center"/>
          </w:tcPr>
          <w:p w14:paraId="209DE3B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基于十八项医务核心制度管理，门诊提供检查、检验危急值处理消息提醒</w:t>
            </w:r>
          </w:p>
          <w:p w14:paraId="64356F2B">
            <w:pPr>
              <w:numPr>
                <w:ilvl w:val="0"/>
                <w:numId w:val="12"/>
              </w:numPr>
              <w:rPr>
                <w:color w:val="auto"/>
                <w:highlight w:val="none"/>
              </w:rPr>
            </w:pPr>
            <w:r>
              <w:rPr>
                <w:rFonts w:ascii="宋体" w:hAnsi="宋体" w:cs="宋体"/>
                <w:color w:val="auto"/>
                <w:highlight w:val="none"/>
              </w:rPr>
              <w:t>默认登录医生站时自动弹窗处理。并支持与移动端对接，满足医生通过移动端处理患者危机值需求。</w:t>
            </w:r>
            <w:r>
              <w:rPr>
                <w:rFonts w:hint="eastAsia" w:ascii="宋体" w:hAnsi="宋体" w:cs="宋体"/>
                <w:color w:val="auto"/>
                <w:highlight w:val="none"/>
              </w:rPr>
              <w:t>（检验检查系统将危急值推送给院方统一消息推送系统，由统一消息推送系统推送给H</w:t>
            </w:r>
            <w:r>
              <w:rPr>
                <w:rFonts w:ascii="宋体" w:hAnsi="宋体" w:cs="宋体"/>
                <w:color w:val="auto"/>
                <w:highlight w:val="none"/>
              </w:rPr>
              <w:t>IS</w:t>
            </w:r>
            <w:r>
              <w:rPr>
                <w:rFonts w:hint="eastAsia" w:ascii="宋体" w:hAnsi="宋体" w:cs="宋体"/>
                <w:color w:val="auto"/>
                <w:highlight w:val="none"/>
              </w:rPr>
              <w:t>医生站和企业微信，医生处理后统一消息推送系统将处理结果回写给H</w:t>
            </w:r>
            <w:r>
              <w:rPr>
                <w:rFonts w:ascii="宋体" w:hAnsi="宋体" w:cs="宋体"/>
                <w:color w:val="auto"/>
                <w:highlight w:val="none"/>
              </w:rPr>
              <w:t>IS</w:t>
            </w:r>
            <w:r>
              <w:rPr>
                <w:rFonts w:hint="eastAsia" w:ascii="宋体" w:hAnsi="宋体" w:cs="宋体"/>
                <w:color w:val="auto"/>
                <w:highlight w:val="none"/>
              </w:rPr>
              <w:t>系统）</w:t>
            </w:r>
          </w:p>
          <w:p w14:paraId="70F6AB58">
            <w:pPr>
              <w:numPr>
                <w:ilvl w:val="0"/>
                <w:numId w:val="12"/>
              </w:numPr>
              <w:rPr>
                <w:color w:val="auto"/>
                <w:highlight w:val="none"/>
              </w:rPr>
            </w:pPr>
            <w:r>
              <w:rPr>
                <w:rFonts w:ascii="宋体" w:hAnsi="宋体" w:cs="宋体"/>
                <w:color w:val="auto"/>
                <w:highlight w:val="none"/>
              </w:rPr>
              <w:t>对于危急值通知具有按时效管控、分级通知、反馈功能</w:t>
            </w:r>
            <w:r>
              <w:rPr>
                <w:rFonts w:ascii="'宋体'" w:hAnsi="'宋体'" w:cs="'宋体'"/>
                <w:color w:val="auto"/>
                <w:sz w:val="18"/>
                <w:highlight w:val="none"/>
              </w:rPr>
              <w:t xml:space="preserve"> </w:t>
            </w:r>
            <w:r>
              <w:rPr>
                <w:rFonts w:hint="eastAsia" w:ascii="'宋体'" w:hAnsi="'宋体'" w:cs="'宋体'"/>
                <w:color w:val="auto"/>
                <w:sz w:val="18"/>
                <w:highlight w:val="none"/>
              </w:rPr>
              <w:t>（对接院方统一消息系统，由统一消息系统推送危急值通知）</w:t>
            </w:r>
          </w:p>
        </w:tc>
      </w:tr>
      <w:tr w14:paraId="638CE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shd w:val="clear" w:color="auto" w:fill="auto"/>
            <w:vAlign w:val="center"/>
          </w:tcPr>
          <w:p w14:paraId="11582686">
            <w:pPr>
              <w:widowControl/>
              <w:jc w:val="left"/>
              <w:rPr>
                <w:rFonts w:ascii="宋体" w:hAnsi="宋体" w:cs="宋体"/>
                <w:color w:val="auto"/>
                <w:kern w:val="0"/>
                <w:szCs w:val="21"/>
                <w:highlight w:val="none"/>
              </w:rPr>
            </w:pPr>
          </w:p>
        </w:tc>
        <w:tc>
          <w:tcPr>
            <w:tcW w:w="13163" w:type="dxa"/>
            <w:gridSpan w:val="2"/>
            <w:shd w:val="clear" w:color="auto" w:fill="auto"/>
            <w:vAlign w:val="center"/>
          </w:tcPr>
          <w:p w14:paraId="7DCAAE47">
            <w:pPr>
              <w:numPr>
                <w:ilvl w:val="1"/>
                <w:numId w:val="11"/>
              </w:numPr>
              <w:ind w:left="0" w:firstLine="0"/>
              <w:rPr>
                <w:rFonts w:ascii="宋体" w:hAnsi="宋体" w:cs="宋体"/>
                <w:bCs/>
                <w:color w:val="auto"/>
                <w:szCs w:val="21"/>
                <w:highlight w:val="none"/>
              </w:rPr>
            </w:pPr>
            <w:r>
              <w:rPr>
                <w:rFonts w:ascii="宋体" w:hAnsi="宋体"/>
                <w:color w:val="auto"/>
                <w:highlight w:val="none"/>
              </w:rPr>
              <w:t>门诊打印管理</w:t>
            </w:r>
          </w:p>
        </w:tc>
      </w:tr>
      <w:tr w14:paraId="417DE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shd w:val="clear" w:color="auto" w:fill="auto"/>
            <w:vAlign w:val="center"/>
          </w:tcPr>
          <w:p w14:paraId="2F292B13">
            <w:pPr>
              <w:widowControl/>
              <w:jc w:val="left"/>
              <w:rPr>
                <w:rFonts w:ascii="宋体" w:hAnsi="宋体" w:cs="宋体"/>
                <w:color w:val="auto"/>
                <w:kern w:val="0"/>
                <w:szCs w:val="21"/>
                <w:highlight w:val="none"/>
              </w:rPr>
            </w:pPr>
          </w:p>
        </w:tc>
        <w:tc>
          <w:tcPr>
            <w:tcW w:w="1701" w:type="dxa"/>
            <w:shd w:val="clear" w:color="auto" w:fill="auto"/>
            <w:vAlign w:val="center"/>
          </w:tcPr>
          <w:p w14:paraId="59664BAC">
            <w:pPr>
              <w:numPr>
                <w:ilvl w:val="2"/>
                <w:numId w:val="11"/>
              </w:numPr>
              <w:ind w:left="0" w:firstLine="0"/>
              <w:rPr>
                <w:rFonts w:ascii="宋体" w:hAnsi="宋体" w:cs="宋体"/>
                <w:color w:val="auto"/>
                <w:kern w:val="0"/>
                <w:szCs w:val="21"/>
                <w:highlight w:val="none"/>
              </w:rPr>
            </w:pPr>
            <w:r>
              <w:rPr>
                <w:rFonts w:ascii="宋体" w:hAnsi="宋体"/>
                <w:color w:val="auto"/>
                <w:highlight w:val="none"/>
              </w:rPr>
              <w:t>门诊打印管理</w:t>
            </w:r>
          </w:p>
        </w:tc>
        <w:tc>
          <w:tcPr>
            <w:tcW w:w="11462" w:type="dxa"/>
            <w:shd w:val="clear" w:color="auto" w:fill="auto"/>
            <w:vAlign w:val="center"/>
          </w:tcPr>
          <w:p w14:paraId="4471E22C">
            <w:pPr>
              <w:numPr>
                <w:ilvl w:val="0"/>
                <w:numId w:val="12"/>
              </w:numPr>
              <w:tabs>
                <w:tab w:val="left" w:pos="525"/>
                <w:tab w:val="left" w:pos="630"/>
              </w:tabs>
              <w:spacing w:line="360" w:lineRule="auto"/>
              <w:rPr>
                <w:rFonts w:ascii="宋体" w:hAnsi="宋体"/>
                <w:color w:val="auto"/>
                <w:sz w:val="24"/>
                <w:highlight w:val="none"/>
              </w:rPr>
            </w:pPr>
            <w:r>
              <w:rPr>
                <w:rFonts w:hint="eastAsia" w:ascii="宋体" w:hAnsi="宋体" w:cs="宋体"/>
                <w:bCs/>
                <w:color w:val="auto"/>
                <w:szCs w:val="21"/>
                <w:highlight w:val="none"/>
              </w:rPr>
              <w:t>支持门诊单据集中打印功能，可选择麻醉处方、精一处方、精二处方、西药处方、草药处方、检查指引单、或检验指引单进行打印，也可一键快速打印全部。</w:t>
            </w:r>
          </w:p>
          <w:p w14:paraId="5FFE7FE8">
            <w:pPr>
              <w:numPr>
                <w:ilvl w:val="0"/>
                <w:numId w:val="12"/>
              </w:numPr>
              <w:rPr>
                <w:color w:val="auto"/>
                <w:highlight w:val="none"/>
              </w:rPr>
            </w:pPr>
            <w:r>
              <w:rPr>
                <w:rFonts w:ascii="宋体" w:hAnsi="宋体" w:cs="宋体"/>
                <w:color w:val="auto"/>
                <w:highlight w:val="none"/>
              </w:rPr>
              <w:t>（新增电子版外带处方仅限外地患者使用，须临床药师审核，医务确认后方可在一楼圆台打印同时生成管理台账）。</w:t>
            </w:r>
            <w:r>
              <w:rPr>
                <w:rFonts w:hint="eastAsia" w:ascii="宋体" w:hAnsi="宋体" w:cs="宋体"/>
                <w:color w:val="auto"/>
                <w:highlight w:val="none"/>
              </w:rPr>
              <w:t>（外带处方：指本院医生开出来的处方，经药师审方后，患者拿着处方去外面药房购药。这里需要将外带处方对接合理用药系统，实现药师线上审方）</w:t>
            </w:r>
          </w:p>
        </w:tc>
      </w:tr>
      <w:tr w14:paraId="77609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shd w:val="clear" w:color="auto" w:fill="auto"/>
            <w:vAlign w:val="center"/>
          </w:tcPr>
          <w:p w14:paraId="159C57EE">
            <w:pPr>
              <w:widowControl/>
              <w:jc w:val="left"/>
              <w:rPr>
                <w:rFonts w:ascii="宋体" w:hAnsi="宋体" w:cs="宋体"/>
                <w:color w:val="auto"/>
                <w:kern w:val="0"/>
                <w:szCs w:val="21"/>
                <w:highlight w:val="none"/>
              </w:rPr>
            </w:pPr>
          </w:p>
        </w:tc>
        <w:tc>
          <w:tcPr>
            <w:tcW w:w="13163" w:type="dxa"/>
            <w:gridSpan w:val="2"/>
            <w:shd w:val="clear" w:color="auto" w:fill="auto"/>
            <w:vAlign w:val="center"/>
          </w:tcPr>
          <w:p w14:paraId="29E5FE7C">
            <w:pPr>
              <w:numPr>
                <w:ilvl w:val="1"/>
                <w:numId w:val="11"/>
              </w:numPr>
              <w:ind w:left="0" w:firstLine="0"/>
              <w:rPr>
                <w:rFonts w:ascii="宋体" w:hAnsi="宋体"/>
                <w:color w:val="auto"/>
                <w:szCs w:val="20"/>
                <w:highlight w:val="none"/>
              </w:rPr>
            </w:pPr>
            <w:r>
              <w:rPr>
                <w:rFonts w:ascii="宋体" w:hAnsi="宋体"/>
                <w:color w:val="auto"/>
                <w:highlight w:val="none"/>
              </w:rPr>
              <w:t>门诊诊间业务管理</w:t>
            </w:r>
          </w:p>
        </w:tc>
      </w:tr>
      <w:tr w14:paraId="09096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shd w:val="clear" w:color="auto" w:fill="auto"/>
            <w:vAlign w:val="center"/>
          </w:tcPr>
          <w:p w14:paraId="4F98CD38">
            <w:pPr>
              <w:widowControl/>
              <w:jc w:val="left"/>
              <w:rPr>
                <w:rFonts w:ascii="宋体" w:hAnsi="宋体" w:cs="宋体"/>
                <w:color w:val="auto"/>
                <w:kern w:val="0"/>
                <w:szCs w:val="21"/>
                <w:highlight w:val="none"/>
              </w:rPr>
            </w:pPr>
          </w:p>
        </w:tc>
        <w:tc>
          <w:tcPr>
            <w:tcW w:w="1701" w:type="dxa"/>
            <w:shd w:val="clear" w:color="auto" w:fill="auto"/>
            <w:vAlign w:val="center"/>
          </w:tcPr>
          <w:p w14:paraId="3405C75E">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诊间预约</w:t>
            </w:r>
          </w:p>
        </w:tc>
        <w:tc>
          <w:tcPr>
            <w:tcW w:w="11462" w:type="dxa"/>
            <w:shd w:val="clear" w:color="auto" w:fill="auto"/>
            <w:vAlign w:val="center"/>
          </w:tcPr>
          <w:p w14:paraId="5CBE3BC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通过全院统一资源池管理，在诊间为患者提供复诊预约功能，可为患者预约当前医生、本科室、本机构、所有机构号源；且对标电子病历评级要求提供诊间医技检查预约、诊间住院床位预约、诊间门诊手术预约功能。并提供便捷的医生诊间加号功能，可加普通号源、锁定患者号源。</w:t>
            </w:r>
          </w:p>
        </w:tc>
      </w:tr>
      <w:tr w14:paraId="55A99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shd w:val="clear" w:color="auto" w:fill="auto"/>
            <w:vAlign w:val="center"/>
          </w:tcPr>
          <w:p w14:paraId="49873351">
            <w:pPr>
              <w:widowControl/>
              <w:jc w:val="left"/>
              <w:rPr>
                <w:rFonts w:ascii="宋体" w:hAnsi="宋体" w:cs="宋体"/>
                <w:color w:val="auto"/>
                <w:kern w:val="0"/>
                <w:szCs w:val="21"/>
                <w:highlight w:val="none"/>
              </w:rPr>
            </w:pPr>
          </w:p>
        </w:tc>
        <w:tc>
          <w:tcPr>
            <w:tcW w:w="1701" w:type="dxa"/>
            <w:shd w:val="clear" w:color="auto" w:fill="auto"/>
            <w:vAlign w:val="center"/>
          </w:tcPr>
          <w:p w14:paraId="62C87CC5">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诊间记账、结算、退费管理</w:t>
            </w:r>
          </w:p>
        </w:tc>
        <w:tc>
          <w:tcPr>
            <w:tcW w:w="11462" w:type="dxa"/>
            <w:shd w:val="clear" w:color="auto" w:fill="auto"/>
            <w:vAlign w:val="center"/>
          </w:tcPr>
          <w:p w14:paraId="4067834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提供诊间记账功能，业务场景如日间手术、急诊留观、急诊无身份人员，使用医院账户的储值金余额先进行授信记账；</w:t>
            </w:r>
          </w:p>
          <w:p w14:paraId="5E253D3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提供诊间结算功能，医生医嘱开立后可立即完成结算，结算方式支持医院账户、医保账户、银联卡、支付宝、微信等，也可多种方式混合支付。一次开立多种结算通道医嘱能显示一次缴费功能。</w:t>
            </w:r>
          </w:p>
        </w:tc>
      </w:tr>
      <w:tr w14:paraId="711C6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shd w:val="clear" w:color="auto" w:fill="auto"/>
            <w:vAlign w:val="center"/>
          </w:tcPr>
          <w:p w14:paraId="66EB8550">
            <w:pPr>
              <w:widowControl/>
              <w:jc w:val="left"/>
              <w:rPr>
                <w:rFonts w:ascii="宋体" w:hAnsi="宋体" w:cs="宋体"/>
                <w:color w:val="auto"/>
                <w:kern w:val="0"/>
                <w:szCs w:val="21"/>
                <w:highlight w:val="none"/>
              </w:rPr>
            </w:pPr>
          </w:p>
        </w:tc>
        <w:tc>
          <w:tcPr>
            <w:tcW w:w="1701" w:type="dxa"/>
            <w:shd w:val="clear" w:color="auto" w:fill="auto"/>
            <w:vAlign w:val="center"/>
          </w:tcPr>
          <w:p w14:paraId="74663550">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诊间住院证开立</w:t>
            </w:r>
          </w:p>
        </w:tc>
        <w:tc>
          <w:tcPr>
            <w:tcW w:w="11462" w:type="dxa"/>
            <w:shd w:val="clear" w:color="auto" w:fill="auto"/>
            <w:vAlign w:val="center"/>
          </w:tcPr>
          <w:p w14:paraId="1018237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提供门急诊医生下达住院证功能，并支持检查、检验医嘱预开立功能；</w:t>
            </w:r>
          </w:p>
          <w:p w14:paraId="091476C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支持住院证保存完毕时自动打印住院证。</w:t>
            </w:r>
          </w:p>
        </w:tc>
      </w:tr>
      <w:tr w14:paraId="11C73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shd w:val="clear" w:color="auto" w:fill="auto"/>
            <w:vAlign w:val="center"/>
          </w:tcPr>
          <w:p w14:paraId="6AE5D43A">
            <w:pPr>
              <w:widowControl/>
              <w:jc w:val="left"/>
              <w:rPr>
                <w:rFonts w:ascii="宋体" w:hAnsi="宋体" w:cs="宋体"/>
                <w:color w:val="auto"/>
                <w:kern w:val="0"/>
                <w:szCs w:val="21"/>
                <w:highlight w:val="none"/>
              </w:rPr>
            </w:pPr>
          </w:p>
        </w:tc>
        <w:tc>
          <w:tcPr>
            <w:tcW w:w="1701" w:type="dxa"/>
            <w:shd w:val="clear" w:color="auto" w:fill="auto"/>
            <w:vAlign w:val="center"/>
          </w:tcPr>
          <w:p w14:paraId="0E0BA265">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患者就诊历史查看</w:t>
            </w:r>
          </w:p>
        </w:tc>
        <w:tc>
          <w:tcPr>
            <w:tcW w:w="11462" w:type="dxa"/>
            <w:shd w:val="clear" w:color="auto" w:fill="auto"/>
            <w:vAlign w:val="center"/>
          </w:tcPr>
          <w:p w14:paraId="6F61B0C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支持查看患者历次门诊、住院的诊断、病历、医嘱记录，并且历史医嘱的快捷引用。</w:t>
            </w:r>
          </w:p>
        </w:tc>
      </w:tr>
      <w:tr w14:paraId="1BBED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shd w:val="clear" w:color="auto" w:fill="auto"/>
            <w:vAlign w:val="center"/>
          </w:tcPr>
          <w:p w14:paraId="21DFECEA">
            <w:pPr>
              <w:widowControl/>
              <w:jc w:val="left"/>
              <w:rPr>
                <w:rFonts w:ascii="宋体" w:hAnsi="宋体" w:cs="宋体"/>
                <w:color w:val="auto"/>
                <w:kern w:val="0"/>
                <w:szCs w:val="21"/>
                <w:highlight w:val="none"/>
              </w:rPr>
            </w:pPr>
          </w:p>
        </w:tc>
        <w:tc>
          <w:tcPr>
            <w:tcW w:w="1701" w:type="dxa"/>
            <w:shd w:val="clear" w:color="auto" w:fill="auto"/>
            <w:vAlign w:val="center"/>
          </w:tcPr>
          <w:p w14:paraId="269085CE">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诊间代办人登记</w:t>
            </w:r>
          </w:p>
        </w:tc>
        <w:tc>
          <w:tcPr>
            <w:tcW w:w="11462" w:type="dxa"/>
            <w:shd w:val="clear" w:color="auto" w:fill="auto"/>
            <w:vAlign w:val="center"/>
          </w:tcPr>
          <w:p w14:paraId="1169FD8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支持诊间登记处方代办人信息。支持门慢、门特患者身份提示</w:t>
            </w:r>
          </w:p>
          <w:p w14:paraId="2A305879">
            <w:pPr>
              <w:numPr>
                <w:ilvl w:val="0"/>
                <w:numId w:val="12"/>
              </w:numPr>
              <w:rPr>
                <w:color w:val="auto"/>
                <w:highlight w:val="none"/>
              </w:rPr>
            </w:pPr>
            <w:r>
              <w:rPr>
                <w:rFonts w:hint="eastAsia"/>
                <w:color w:val="auto"/>
                <w:highlight w:val="none"/>
              </w:rPr>
              <w:t>支持诊间登记麻方代办人（需可和高拍仪对接用于上传代办人身份证件图片）、长期处方代办人信息。</w:t>
            </w:r>
          </w:p>
        </w:tc>
      </w:tr>
      <w:tr w14:paraId="0C33E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shd w:val="clear" w:color="auto" w:fill="auto"/>
            <w:vAlign w:val="center"/>
          </w:tcPr>
          <w:p w14:paraId="041AD323">
            <w:pPr>
              <w:widowControl/>
              <w:jc w:val="left"/>
              <w:rPr>
                <w:rFonts w:ascii="宋体" w:hAnsi="宋体" w:cs="宋体"/>
                <w:color w:val="auto"/>
                <w:kern w:val="0"/>
                <w:szCs w:val="21"/>
                <w:highlight w:val="none"/>
              </w:rPr>
            </w:pPr>
          </w:p>
        </w:tc>
        <w:tc>
          <w:tcPr>
            <w:tcW w:w="1701" w:type="dxa"/>
            <w:shd w:val="clear" w:color="auto" w:fill="auto"/>
            <w:vAlign w:val="center"/>
          </w:tcPr>
          <w:p w14:paraId="14228629">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患者档案管理</w:t>
            </w:r>
          </w:p>
        </w:tc>
        <w:tc>
          <w:tcPr>
            <w:tcW w:w="11462" w:type="dxa"/>
            <w:shd w:val="clear" w:color="auto" w:fill="auto"/>
            <w:vAlign w:val="center"/>
          </w:tcPr>
          <w:p w14:paraId="0B819F5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提供患者档案查看，支持医生同步更新患者档案信息。</w:t>
            </w:r>
          </w:p>
          <w:p w14:paraId="06C9F11F">
            <w:pPr>
              <w:numPr>
                <w:ilvl w:val="0"/>
                <w:numId w:val="12"/>
              </w:numPr>
              <w:rPr>
                <w:color w:val="auto"/>
                <w:highlight w:val="none"/>
              </w:rPr>
            </w:pPr>
            <w:r>
              <w:rPr>
                <w:rFonts w:ascii="宋体" w:hAnsi="宋体" w:cs="宋体"/>
                <w:color w:val="auto"/>
                <w:highlight w:val="none"/>
              </w:rPr>
              <w:t>（每个患者根据身份证号码建立独立ID，根据ID可关联该患者自费账户、医保账户，含实体卡和电子码）</w:t>
            </w:r>
          </w:p>
        </w:tc>
      </w:tr>
      <w:tr w14:paraId="4DEB7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Merge w:val="continue"/>
            <w:shd w:val="clear" w:color="auto" w:fill="auto"/>
            <w:vAlign w:val="center"/>
          </w:tcPr>
          <w:p w14:paraId="3F4066FA">
            <w:pPr>
              <w:widowControl/>
              <w:jc w:val="left"/>
              <w:rPr>
                <w:rFonts w:ascii="宋体" w:hAnsi="宋体" w:cs="宋体"/>
                <w:color w:val="auto"/>
                <w:kern w:val="0"/>
                <w:szCs w:val="21"/>
                <w:highlight w:val="none"/>
              </w:rPr>
            </w:pPr>
          </w:p>
        </w:tc>
        <w:tc>
          <w:tcPr>
            <w:tcW w:w="1701" w:type="dxa"/>
            <w:shd w:val="clear" w:color="auto" w:fill="auto"/>
            <w:vAlign w:val="center"/>
          </w:tcPr>
          <w:p w14:paraId="24BB6122">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科室转介</w:t>
            </w:r>
          </w:p>
        </w:tc>
        <w:tc>
          <w:tcPr>
            <w:tcW w:w="11462" w:type="dxa"/>
            <w:shd w:val="clear" w:color="auto" w:fill="auto"/>
            <w:vAlign w:val="center"/>
          </w:tcPr>
          <w:p w14:paraId="25FF4AF6">
            <w:pPr>
              <w:numPr>
                <w:ilvl w:val="0"/>
                <w:numId w:val="12"/>
              </w:numPr>
              <w:rPr>
                <w:color w:val="auto"/>
                <w:highlight w:val="none"/>
              </w:rPr>
            </w:pPr>
            <w:r>
              <w:rPr>
                <w:rFonts w:hint="eastAsia" w:ascii="宋体" w:hAnsi="宋体" w:cs="宋体"/>
                <w:bCs/>
                <w:color w:val="auto"/>
                <w:szCs w:val="21"/>
                <w:highlight w:val="none"/>
              </w:rPr>
              <w:t>基于患者额外的医疗保健服务需求，可主动提供适宜的转介服务，不占用现有号源，不额外收取挂号费，接收医生灵活接诊，普通患者接收时需收取诊查费。</w:t>
            </w:r>
            <w:r>
              <w:rPr>
                <w:rFonts w:hint="eastAsia" w:ascii="宋体" w:hAnsi="宋体" w:cs="宋体"/>
                <w:color w:val="auto"/>
                <w:highlight w:val="none"/>
              </w:rPr>
              <w:t>（A医生开转介， B接收时收诊查费）</w:t>
            </w:r>
          </w:p>
        </w:tc>
      </w:tr>
      <w:tr w14:paraId="237A8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Merge w:val="continue"/>
            <w:shd w:val="clear" w:color="auto" w:fill="auto"/>
            <w:vAlign w:val="center"/>
          </w:tcPr>
          <w:p w14:paraId="5CBE58D9">
            <w:pPr>
              <w:widowControl/>
              <w:jc w:val="left"/>
              <w:rPr>
                <w:rFonts w:ascii="宋体" w:hAnsi="宋体" w:cs="微软雅黑"/>
                <w:bCs/>
                <w:color w:val="auto"/>
                <w:szCs w:val="21"/>
                <w:highlight w:val="none"/>
              </w:rPr>
            </w:pPr>
          </w:p>
        </w:tc>
        <w:tc>
          <w:tcPr>
            <w:tcW w:w="1701" w:type="dxa"/>
            <w:shd w:val="clear" w:color="auto" w:fill="auto"/>
            <w:vAlign w:val="center"/>
          </w:tcPr>
          <w:p w14:paraId="0D635361">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诊间加号</w:t>
            </w:r>
          </w:p>
        </w:tc>
        <w:tc>
          <w:tcPr>
            <w:tcW w:w="11462" w:type="dxa"/>
            <w:shd w:val="clear" w:color="auto" w:fill="auto"/>
            <w:vAlign w:val="center"/>
          </w:tcPr>
          <w:p w14:paraId="30DFE5B1">
            <w:pPr>
              <w:numPr>
                <w:ilvl w:val="0"/>
                <w:numId w:val="12"/>
              </w:numPr>
              <w:tabs>
                <w:tab w:val="left" w:pos="525"/>
                <w:tab w:val="left" w:pos="630"/>
              </w:tabs>
              <w:spacing w:line="360" w:lineRule="auto"/>
              <w:rPr>
                <w:color w:val="auto"/>
                <w:highlight w:val="none"/>
              </w:rPr>
            </w:pPr>
            <w:r>
              <w:rPr>
                <w:rFonts w:hint="eastAsia" w:ascii="宋体" w:hAnsi="宋体" w:cs="宋体"/>
                <w:bCs/>
                <w:color w:val="auto"/>
                <w:szCs w:val="21"/>
                <w:highlight w:val="none"/>
              </w:rPr>
              <w:t>提供诊间实时加号服务，加号数量可控，医生可根据实际情况主动为患者提供加号服务。</w:t>
            </w:r>
          </w:p>
        </w:tc>
      </w:tr>
      <w:tr w14:paraId="1623A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Merge w:val="continue"/>
            <w:shd w:val="clear" w:color="auto" w:fill="auto"/>
            <w:vAlign w:val="center"/>
          </w:tcPr>
          <w:p w14:paraId="2E2840E3">
            <w:pPr>
              <w:widowControl/>
              <w:jc w:val="left"/>
              <w:rPr>
                <w:rFonts w:ascii="宋体" w:hAnsi="宋体" w:cs="微软雅黑"/>
                <w:bCs/>
                <w:color w:val="auto"/>
                <w:szCs w:val="21"/>
                <w:highlight w:val="none"/>
              </w:rPr>
            </w:pPr>
          </w:p>
        </w:tc>
        <w:tc>
          <w:tcPr>
            <w:tcW w:w="1701" w:type="dxa"/>
            <w:shd w:val="clear" w:color="auto" w:fill="auto"/>
            <w:vAlign w:val="center"/>
          </w:tcPr>
          <w:p w14:paraId="594E025B">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绿通申请</w:t>
            </w:r>
          </w:p>
        </w:tc>
        <w:tc>
          <w:tcPr>
            <w:tcW w:w="11462" w:type="dxa"/>
            <w:shd w:val="clear" w:color="auto" w:fill="auto"/>
            <w:vAlign w:val="center"/>
          </w:tcPr>
          <w:p w14:paraId="20BD384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针对特殊患者（例如急诊留观、急诊无身份人员），医生可灵活为患者申请授信额度，在保证风险可控的情况下，结合诊间记账提供先诊疗后付费服务。</w:t>
            </w:r>
          </w:p>
        </w:tc>
      </w:tr>
      <w:tr w14:paraId="6C689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1189" w:type="dxa"/>
            <w:vMerge w:val="continue"/>
            <w:shd w:val="clear" w:color="auto" w:fill="auto"/>
            <w:vAlign w:val="center"/>
          </w:tcPr>
          <w:p w14:paraId="7079E77D">
            <w:pPr>
              <w:widowControl/>
              <w:jc w:val="left"/>
              <w:rPr>
                <w:rFonts w:ascii="宋体" w:hAnsi="宋体" w:cs="微软雅黑"/>
                <w:bCs/>
                <w:color w:val="auto"/>
                <w:szCs w:val="21"/>
                <w:highlight w:val="none"/>
              </w:rPr>
            </w:pPr>
          </w:p>
        </w:tc>
        <w:tc>
          <w:tcPr>
            <w:tcW w:w="1701" w:type="dxa"/>
            <w:shd w:val="clear" w:color="auto" w:fill="auto"/>
            <w:vAlign w:val="center"/>
          </w:tcPr>
          <w:p w14:paraId="0FB2A1BF">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犬伤登记</w:t>
            </w:r>
          </w:p>
        </w:tc>
        <w:tc>
          <w:tcPr>
            <w:tcW w:w="11462" w:type="dxa"/>
            <w:shd w:val="clear" w:color="auto" w:fill="auto"/>
            <w:vAlign w:val="center"/>
          </w:tcPr>
          <w:p w14:paraId="6E6323FD">
            <w:pPr>
              <w:numPr>
                <w:ilvl w:val="0"/>
                <w:numId w:val="12"/>
              </w:numPr>
              <w:rPr>
                <w:color w:val="auto"/>
                <w:highlight w:val="none"/>
              </w:rPr>
            </w:pPr>
            <w:r>
              <w:rPr>
                <w:rFonts w:hint="eastAsia" w:ascii="宋体" w:hAnsi="宋体" w:cs="宋体"/>
                <w:bCs/>
                <w:color w:val="auto"/>
                <w:szCs w:val="21"/>
                <w:highlight w:val="none"/>
              </w:rPr>
              <w:t>提供犬伤患者信息登记，管理患者疫苗接种情况。</w:t>
            </w:r>
          </w:p>
        </w:tc>
      </w:tr>
      <w:tr w14:paraId="4606E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Merge w:val="continue"/>
            <w:shd w:val="clear" w:color="auto" w:fill="auto"/>
            <w:vAlign w:val="center"/>
          </w:tcPr>
          <w:p w14:paraId="04197160">
            <w:pPr>
              <w:widowControl/>
              <w:jc w:val="left"/>
              <w:rPr>
                <w:rFonts w:ascii="宋体" w:hAnsi="宋体" w:cs="微软雅黑"/>
                <w:bCs/>
                <w:color w:val="auto"/>
                <w:szCs w:val="21"/>
                <w:highlight w:val="none"/>
              </w:rPr>
            </w:pPr>
          </w:p>
        </w:tc>
        <w:tc>
          <w:tcPr>
            <w:tcW w:w="13163" w:type="dxa"/>
            <w:gridSpan w:val="2"/>
            <w:shd w:val="clear" w:color="auto" w:fill="auto"/>
            <w:vAlign w:val="center"/>
          </w:tcPr>
          <w:p w14:paraId="5F1F121E">
            <w:pPr>
              <w:numPr>
                <w:ilvl w:val="1"/>
                <w:numId w:val="11"/>
              </w:numPr>
              <w:ind w:left="0" w:firstLine="0"/>
              <w:rPr>
                <w:rFonts w:ascii="宋体" w:hAnsi="宋体"/>
                <w:color w:val="auto"/>
                <w:highlight w:val="none"/>
              </w:rPr>
            </w:pPr>
            <w:r>
              <w:rPr>
                <w:rFonts w:ascii="宋体" w:hAnsi="宋体"/>
                <w:color w:val="auto"/>
                <w:highlight w:val="none"/>
              </w:rPr>
              <w:t>门诊会诊管理</w:t>
            </w:r>
          </w:p>
        </w:tc>
      </w:tr>
      <w:tr w14:paraId="43B3F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Merge w:val="continue"/>
            <w:shd w:val="clear" w:color="auto" w:fill="auto"/>
            <w:vAlign w:val="center"/>
          </w:tcPr>
          <w:p w14:paraId="11439DB0">
            <w:pPr>
              <w:widowControl/>
              <w:jc w:val="left"/>
              <w:rPr>
                <w:rFonts w:ascii="宋体" w:hAnsi="宋体" w:cs="微软雅黑"/>
                <w:bCs/>
                <w:color w:val="auto"/>
                <w:szCs w:val="21"/>
                <w:highlight w:val="none"/>
              </w:rPr>
            </w:pPr>
          </w:p>
        </w:tc>
        <w:tc>
          <w:tcPr>
            <w:tcW w:w="1701" w:type="dxa"/>
            <w:shd w:val="clear" w:color="auto" w:fill="auto"/>
            <w:vAlign w:val="center"/>
          </w:tcPr>
          <w:p w14:paraId="6A052DB8">
            <w:pPr>
              <w:numPr>
                <w:ilvl w:val="2"/>
                <w:numId w:val="11"/>
              </w:numPr>
              <w:ind w:left="0" w:firstLine="0"/>
              <w:rPr>
                <w:rFonts w:ascii="宋体" w:hAnsi="宋体" w:cs="宋体"/>
                <w:color w:val="auto"/>
                <w:kern w:val="0"/>
                <w:szCs w:val="21"/>
                <w:highlight w:val="none"/>
              </w:rPr>
            </w:pPr>
            <w:r>
              <w:rPr>
                <w:rFonts w:ascii="宋体" w:hAnsi="宋体"/>
                <w:color w:val="auto"/>
                <w:highlight w:val="none"/>
              </w:rPr>
              <w:t>门诊会诊管理</w:t>
            </w:r>
          </w:p>
        </w:tc>
        <w:tc>
          <w:tcPr>
            <w:tcW w:w="11462" w:type="dxa"/>
            <w:shd w:val="clear" w:color="auto" w:fill="auto"/>
            <w:vAlign w:val="center"/>
          </w:tcPr>
          <w:p w14:paraId="63B7E24E">
            <w:pPr>
              <w:numPr>
                <w:ilvl w:val="0"/>
                <w:numId w:val="12"/>
              </w:numPr>
              <w:tabs>
                <w:tab w:val="left" w:pos="525"/>
                <w:tab w:val="left" w:pos="630"/>
              </w:tabs>
              <w:spacing w:line="360" w:lineRule="auto"/>
              <w:rPr>
                <w:rFonts w:ascii="宋体" w:hAnsi="宋体" w:cs="宋体"/>
                <w:color w:val="auto"/>
                <w:kern w:val="0"/>
                <w:szCs w:val="21"/>
                <w:highlight w:val="none"/>
              </w:rPr>
            </w:pPr>
            <w:r>
              <w:rPr>
                <w:rFonts w:hint="eastAsia" w:ascii="宋体" w:hAnsi="宋体" w:cs="宋体"/>
                <w:bCs/>
                <w:color w:val="auto"/>
                <w:szCs w:val="21"/>
                <w:highlight w:val="none"/>
              </w:rPr>
              <w:t>支持门诊会诊信息化、系统化管理，提供电子会诊申请、会诊集中管理、会诊费用自动绑定功能。支持门诊会诊单与门诊电子病历关联，在会诊单填写完毕后，系统会自动生成相应会诊病历文书集成支病历夹中。</w:t>
            </w:r>
          </w:p>
          <w:p w14:paraId="2071AAD9">
            <w:pPr>
              <w:numPr>
                <w:ilvl w:val="0"/>
                <w:numId w:val="12"/>
              </w:numPr>
              <w:rPr>
                <w:color w:val="auto"/>
                <w:highlight w:val="none"/>
              </w:rPr>
            </w:pPr>
            <w:r>
              <w:rPr>
                <w:rFonts w:ascii="宋体" w:hAnsi="宋体" w:cs="宋体"/>
                <w:color w:val="auto"/>
                <w:highlight w:val="none"/>
                <w:shd w:val="clear" w:color="auto"/>
              </w:rPr>
              <w:t>门诊MDT对接MDT系统</w:t>
            </w:r>
            <w:r>
              <w:rPr>
                <w:rFonts w:hint="eastAsia" w:ascii="宋体" w:hAnsi="宋体" w:cs="宋体"/>
                <w:color w:val="auto"/>
                <w:highlight w:val="none"/>
                <w:shd w:val="clear" w:color="auto"/>
              </w:rPr>
              <w:t>（由院方协调第三方M</w:t>
            </w:r>
            <w:r>
              <w:rPr>
                <w:rFonts w:ascii="宋体" w:hAnsi="宋体" w:cs="宋体"/>
                <w:color w:val="auto"/>
                <w:highlight w:val="none"/>
                <w:shd w:val="clear" w:color="auto"/>
              </w:rPr>
              <w:t>DT</w:t>
            </w:r>
            <w:r>
              <w:rPr>
                <w:rFonts w:hint="eastAsia" w:ascii="宋体" w:hAnsi="宋体" w:cs="宋体"/>
                <w:color w:val="auto"/>
                <w:highlight w:val="none"/>
                <w:shd w:val="clear" w:color="auto"/>
              </w:rPr>
              <w:t>系统提供接口，实现门诊医生站与M</w:t>
            </w:r>
            <w:r>
              <w:rPr>
                <w:rFonts w:ascii="宋体" w:hAnsi="宋体" w:cs="宋体"/>
                <w:color w:val="auto"/>
                <w:highlight w:val="none"/>
                <w:shd w:val="clear" w:color="auto"/>
              </w:rPr>
              <w:t>DT</w:t>
            </w:r>
            <w:r>
              <w:rPr>
                <w:rFonts w:hint="eastAsia" w:ascii="宋体" w:hAnsi="宋体" w:cs="宋体"/>
                <w:color w:val="auto"/>
                <w:highlight w:val="none"/>
                <w:shd w:val="clear" w:color="auto"/>
              </w:rPr>
              <w:t>对接）</w:t>
            </w:r>
          </w:p>
        </w:tc>
      </w:tr>
      <w:tr w14:paraId="78345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Merge w:val="continue"/>
            <w:shd w:val="clear" w:color="auto" w:fill="auto"/>
            <w:vAlign w:val="center"/>
          </w:tcPr>
          <w:p w14:paraId="6A517D79">
            <w:pPr>
              <w:widowControl/>
              <w:jc w:val="left"/>
              <w:rPr>
                <w:rFonts w:ascii="宋体" w:hAnsi="宋体" w:cs="微软雅黑"/>
                <w:bCs/>
                <w:color w:val="auto"/>
                <w:szCs w:val="21"/>
                <w:highlight w:val="none"/>
              </w:rPr>
            </w:pPr>
          </w:p>
        </w:tc>
        <w:tc>
          <w:tcPr>
            <w:tcW w:w="13163" w:type="dxa"/>
            <w:gridSpan w:val="2"/>
            <w:shd w:val="clear" w:color="auto" w:fill="auto"/>
            <w:vAlign w:val="center"/>
          </w:tcPr>
          <w:p w14:paraId="53477A86">
            <w:pPr>
              <w:numPr>
                <w:ilvl w:val="1"/>
                <w:numId w:val="11"/>
              </w:numPr>
              <w:ind w:left="0" w:firstLine="0"/>
              <w:rPr>
                <w:rFonts w:ascii="宋体" w:hAnsi="宋体" w:cs="宋体"/>
                <w:color w:val="auto"/>
                <w:kern w:val="0"/>
                <w:szCs w:val="21"/>
                <w:highlight w:val="none"/>
              </w:rPr>
            </w:pPr>
            <w:r>
              <w:rPr>
                <w:rFonts w:ascii="宋体" w:hAnsi="宋体"/>
                <w:color w:val="auto"/>
                <w:highlight w:val="none"/>
              </w:rPr>
              <w:t>门诊模版收藏管理</w:t>
            </w:r>
          </w:p>
        </w:tc>
      </w:tr>
      <w:tr w14:paraId="25404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Merge w:val="continue"/>
            <w:shd w:val="clear" w:color="auto" w:fill="auto"/>
            <w:vAlign w:val="center"/>
          </w:tcPr>
          <w:p w14:paraId="0A454157">
            <w:pPr>
              <w:widowControl/>
              <w:jc w:val="left"/>
              <w:rPr>
                <w:rFonts w:ascii="宋体" w:hAnsi="宋体" w:cs="微软雅黑"/>
                <w:bCs/>
                <w:color w:val="auto"/>
                <w:szCs w:val="21"/>
                <w:highlight w:val="none"/>
              </w:rPr>
            </w:pPr>
          </w:p>
        </w:tc>
        <w:tc>
          <w:tcPr>
            <w:tcW w:w="1701" w:type="dxa"/>
            <w:shd w:val="clear" w:color="auto" w:fill="auto"/>
            <w:vAlign w:val="center"/>
          </w:tcPr>
          <w:p w14:paraId="1DE86E77">
            <w:pPr>
              <w:numPr>
                <w:ilvl w:val="2"/>
                <w:numId w:val="11"/>
              </w:numPr>
              <w:ind w:left="0" w:firstLine="0"/>
              <w:rPr>
                <w:rFonts w:ascii="宋体" w:hAnsi="宋体" w:cs="宋体"/>
                <w:color w:val="auto"/>
                <w:kern w:val="0"/>
                <w:szCs w:val="21"/>
                <w:highlight w:val="none"/>
              </w:rPr>
            </w:pPr>
            <w:r>
              <w:rPr>
                <w:rFonts w:ascii="宋体" w:hAnsi="宋体"/>
                <w:color w:val="auto"/>
                <w:highlight w:val="none"/>
              </w:rPr>
              <w:t>门诊模版收藏管理</w:t>
            </w:r>
          </w:p>
        </w:tc>
        <w:tc>
          <w:tcPr>
            <w:tcW w:w="11462" w:type="dxa"/>
            <w:shd w:val="clear" w:color="auto" w:fill="auto"/>
            <w:vAlign w:val="center"/>
          </w:tcPr>
          <w:p w14:paraId="78E2861F">
            <w:pPr>
              <w:numPr>
                <w:ilvl w:val="0"/>
                <w:numId w:val="12"/>
              </w:numPr>
              <w:tabs>
                <w:tab w:val="left" w:pos="525"/>
                <w:tab w:val="left" w:pos="630"/>
              </w:tabs>
              <w:spacing w:line="360" w:lineRule="auto"/>
              <w:rPr>
                <w:rFonts w:ascii="宋体" w:hAnsi="宋体" w:cs="宋体"/>
                <w:color w:val="auto"/>
                <w:kern w:val="0"/>
                <w:szCs w:val="21"/>
                <w:highlight w:val="none"/>
              </w:rPr>
            </w:pPr>
            <w:r>
              <w:rPr>
                <w:rFonts w:hint="eastAsia" w:ascii="宋体" w:hAnsi="宋体" w:cs="宋体"/>
                <w:bCs/>
                <w:color w:val="auto"/>
                <w:szCs w:val="21"/>
                <w:highlight w:val="none"/>
              </w:rPr>
              <w:t>在门诊操作过程中，支持模版收藏功能管理，按照收藏类别可分为医嘱模版收藏、常用诊断收藏、就诊模版收藏、门诊病历常用短语收藏。</w:t>
            </w:r>
            <w:r>
              <w:rPr>
                <w:color w:val="auto"/>
                <w:highlight w:val="none"/>
              </w:rPr>
              <w:t>对于某一诊断，一键导入病历、诊断、检验、检查、药品、手术、治疗模板。注意是一键应用，而不是在多个页面分别点击模板。授权专病模板元素工作台权限给专科信息员做模板编辑，完成后提交医务管理系统经病案、医务以及法务审核。</w:t>
            </w:r>
          </w:p>
        </w:tc>
      </w:tr>
      <w:tr w14:paraId="19D24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Merge w:val="continue"/>
            <w:shd w:val="clear" w:color="auto" w:fill="auto"/>
            <w:vAlign w:val="center"/>
          </w:tcPr>
          <w:p w14:paraId="2E7B9D3D">
            <w:pPr>
              <w:widowControl/>
              <w:jc w:val="left"/>
              <w:rPr>
                <w:rFonts w:ascii="宋体" w:hAnsi="宋体" w:cs="微软雅黑"/>
                <w:bCs/>
                <w:color w:val="auto"/>
                <w:szCs w:val="21"/>
                <w:highlight w:val="none"/>
              </w:rPr>
            </w:pPr>
          </w:p>
        </w:tc>
        <w:tc>
          <w:tcPr>
            <w:tcW w:w="13163" w:type="dxa"/>
            <w:gridSpan w:val="2"/>
            <w:shd w:val="clear" w:color="auto" w:fill="auto"/>
            <w:vAlign w:val="center"/>
          </w:tcPr>
          <w:p w14:paraId="574C0114">
            <w:pPr>
              <w:numPr>
                <w:ilvl w:val="1"/>
                <w:numId w:val="11"/>
              </w:numPr>
              <w:ind w:left="0" w:firstLine="0"/>
              <w:rPr>
                <w:rFonts w:ascii="宋体" w:hAnsi="宋体" w:cs="宋体"/>
                <w:color w:val="auto"/>
                <w:kern w:val="0"/>
                <w:szCs w:val="21"/>
                <w:highlight w:val="none"/>
              </w:rPr>
            </w:pPr>
            <w:r>
              <w:rPr>
                <w:rFonts w:ascii="宋体" w:hAnsi="宋体"/>
                <w:color w:val="auto"/>
                <w:highlight w:val="none"/>
              </w:rPr>
              <w:t>门诊病历关联业务</w:t>
            </w:r>
          </w:p>
        </w:tc>
      </w:tr>
      <w:tr w14:paraId="446EA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Merge w:val="continue"/>
            <w:shd w:val="clear" w:color="auto" w:fill="auto"/>
            <w:vAlign w:val="center"/>
          </w:tcPr>
          <w:p w14:paraId="32F65E83">
            <w:pPr>
              <w:widowControl/>
              <w:jc w:val="left"/>
              <w:rPr>
                <w:rFonts w:ascii="宋体" w:hAnsi="宋体" w:cs="微软雅黑"/>
                <w:bCs/>
                <w:color w:val="auto"/>
                <w:szCs w:val="21"/>
                <w:highlight w:val="none"/>
              </w:rPr>
            </w:pPr>
          </w:p>
        </w:tc>
        <w:tc>
          <w:tcPr>
            <w:tcW w:w="1701" w:type="dxa"/>
            <w:shd w:val="clear" w:color="auto" w:fill="auto"/>
            <w:vAlign w:val="center"/>
          </w:tcPr>
          <w:p w14:paraId="30949E95">
            <w:pPr>
              <w:numPr>
                <w:ilvl w:val="2"/>
                <w:numId w:val="11"/>
              </w:numPr>
              <w:ind w:left="0" w:firstLine="0"/>
              <w:rPr>
                <w:rFonts w:ascii="宋体" w:hAnsi="宋体" w:cs="宋体"/>
                <w:color w:val="auto"/>
                <w:kern w:val="0"/>
                <w:szCs w:val="21"/>
                <w:highlight w:val="none"/>
              </w:rPr>
            </w:pPr>
            <w:r>
              <w:rPr>
                <w:rFonts w:ascii="宋体" w:hAnsi="宋体"/>
                <w:color w:val="auto"/>
                <w:highlight w:val="none"/>
              </w:rPr>
              <w:t>门诊病历关联业务</w:t>
            </w:r>
          </w:p>
        </w:tc>
        <w:tc>
          <w:tcPr>
            <w:tcW w:w="11462" w:type="dxa"/>
            <w:shd w:val="clear" w:color="auto" w:fill="auto"/>
            <w:vAlign w:val="center"/>
          </w:tcPr>
          <w:p w14:paraId="50948F8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基于电子病历书写规范，支持与病历文书的强关联。</w:t>
            </w:r>
          </w:p>
          <w:p w14:paraId="6E53CA6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支持诊毕患者时自动保存病历文书；</w:t>
            </w:r>
          </w:p>
          <w:p w14:paraId="1F886B0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支持诊断、医嘱录入自动同步到病历文书；</w:t>
            </w:r>
          </w:p>
          <w:p w14:paraId="4F7F63A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支持开立医技医嘱时自动引入病历文书章节；</w:t>
            </w:r>
          </w:p>
          <w:p w14:paraId="651E0123">
            <w:pPr>
              <w:numPr>
                <w:ilvl w:val="0"/>
                <w:numId w:val="12"/>
              </w:numPr>
              <w:tabs>
                <w:tab w:val="left" w:pos="525"/>
                <w:tab w:val="left" w:pos="630"/>
              </w:tabs>
              <w:spacing w:line="360" w:lineRule="auto"/>
              <w:rPr>
                <w:rFonts w:ascii="宋体" w:hAnsi="宋体" w:cs="宋体"/>
                <w:color w:val="auto"/>
                <w:kern w:val="0"/>
                <w:szCs w:val="21"/>
                <w:highlight w:val="none"/>
              </w:rPr>
            </w:pPr>
            <w:r>
              <w:rPr>
                <w:rFonts w:hint="eastAsia" w:ascii="宋体" w:hAnsi="宋体" w:cs="宋体"/>
                <w:bCs/>
                <w:color w:val="auto"/>
                <w:szCs w:val="21"/>
                <w:highlight w:val="none"/>
              </w:rPr>
              <w:t>支持开立医嘱后自动创建知情同意书。医生开立相应医嘱后，可自动创建相应知情同意书。同意书会收录患者病历夹，后续就诊流程均可查看。</w:t>
            </w:r>
          </w:p>
          <w:p w14:paraId="4B1E79E6">
            <w:pPr>
              <w:numPr>
                <w:ilvl w:val="0"/>
                <w:numId w:val="12"/>
              </w:numPr>
              <w:rPr>
                <w:color w:val="auto"/>
                <w:highlight w:val="none"/>
              </w:rPr>
            </w:pPr>
            <w:r>
              <w:rPr>
                <w:rFonts w:hint="eastAsia" w:ascii="宋体" w:hAnsi="宋体" w:cs="宋体"/>
                <w:color w:val="auto"/>
                <w:highlight w:val="none"/>
                <w:shd w:val="clear" w:color="auto"/>
              </w:rPr>
              <w:t>门诊医生站调阅内嵌无纸化知情同意书的模板。</w:t>
            </w:r>
          </w:p>
        </w:tc>
      </w:tr>
      <w:tr w14:paraId="10D8A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1189" w:type="dxa"/>
            <w:vMerge w:val="continue"/>
            <w:shd w:val="clear" w:color="auto" w:fill="auto"/>
            <w:vAlign w:val="center"/>
          </w:tcPr>
          <w:p w14:paraId="64F0A335">
            <w:pPr>
              <w:widowControl/>
              <w:jc w:val="left"/>
              <w:rPr>
                <w:rFonts w:ascii="宋体" w:hAnsi="宋体" w:cs="微软雅黑"/>
                <w:bCs/>
                <w:color w:val="auto"/>
                <w:szCs w:val="21"/>
                <w:highlight w:val="none"/>
              </w:rPr>
            </w:pPr>
          </w:p>
        </w:tc>
        <w:tc>
          <w:tcPr>
            <w:tcW w:w="13163" w:type="dxa"/>
            <w:gridSpan w:val="2"/>
            <w:shd w:val="clear" w:color="auto" w:fill="auto"/>
            <w:vAlign w:val="center"/>
          </w:tcPr>
          <w:p w14:paraId="7EB214E5">
            <w:pPr>
              <w:numPr>
                <w:ilvl w:val="1"/>
                <w:numId w:val="11"/>
              </w:numPr>
              <w:ind w:left="0" w:firstLine="0"/>
              <w:rPr>
                <w:rFonts w:ascii="宋体" w:hAnsi="宋体" w:cs="宋体"/>
                <w:color w:val="auto"/>
                <w:kern w:val="0"/>
                <w:szCs w:val="21"/>
                <w:highlight w:val="none"/>
              </w:rPr>
            </w:pPr>
            <w:r>
              <w:rPr>
                <w:rFonts w:ascii="宋体" w:hAnsi="宋体"/>
                <w:color w:val="auto"/>
                <w:highlight w:val="none"/>
              </w:rPr>
              <w:t>门诊一体化集成</w:t>
            </w:r>
          </w:p>
        </w:tc>
      </w:tr>
      <w:tr w14:paraId="65916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Merge w:val="continue"/>
            <w:shd w:val="clear" w:color="auto" w:fill="auto"/>
            <w:vAlign w:val="center"/>
          </w:tcPr>
          <w:p w14:paraId="6215BC59">
            <w:pPr>
              <w:widowControl/>
              <w:jc w:val="left"/>
              <w:rPr>
                <w:rFonts w:ascii="宋体" w:hAnsi="宋体" w:cs="微软雅黑"/>
                <w:bCs/>
                <w:color w:val="auto"/>
                <w:szCs w:val="21"/>
                <w:highlight w:val="none"/>
              </w:rPr>
            </w:pPr>
          </w:p>
        </w:tc>
        <w:tc>
          <w:tcPr>
            <w:tcW w:w="1701" w:type="dxa"/>
            <w:shd w:val="clear" w:color="auto" w:fill="auto"/>
            <w:vAlign w:val="center"/>
          </w:tcPr>
          <w:p w14:paraId="76E788D5">
            <w:pPr>
              <w:numPr>
                <w:ilvl w:val="2"/>
                <w:numId w:val="11"/>
              </w:numPr>
              <w:ind w:left="0" w:firstLine="0"/>
              <w:rPr>
                <w:rFonts w:ascii="宋体" w:hAnsi="宋体" w:cs="宋体"/>
                <w:color w:val="auto"/>
                <w:kern w:val="0"/>
                <w:szCs w:val="21"/>
                <w:highlight w:val="none"/>
              </w:rPr>
            </w:pPr>
            <w:r>
              <w:rPr>
                <w:rFonts w:ascii="宋体" w:hAnsi="宋体"/>
                <w:color w:val="auto"/>
                <w:highlight w:val="none"/>
              </w:rPr>
              <w:t>门诊一体化集成</w:t>
            </w:r>
          </w:p>
        </w:tc>
        <w:tc>
          <w:tcPr>
            <w:tcW w:w="11462" w:type="dxa"/>
            <w:shd w:val="clear" w:color="auto" w:fill="auto"/>
            <w:vAlign w:val="center"/>
          </w:tcPr>
          <w:p w14:paraId="2B793FCD">
            <w:pPr>
              <w:numPr>
                <w:ilvl w:val="0"/>
                <w:numId w:val="12"/>
              </w:numPr>
              <w:tabs>
                <w:tab w:val="left" w:pos="525"/>
                <w:tab w:val="left" w:pos="630"/>
              </w:tabs>
              <w:spacing w:line="360" w:lineRule="auto"/>
              <w:rPr>
                <w:rFonts w:ascii="宋体" w:hAnsi="宋体"/>
                <w:color w:val="auto"/>
                <w:sz w:val="24"/>
                <w:highlight w:val="none"/>
              </w:rPr>
            </w:pPr>
            <w:r>
              <w:rPr>
                <w:rFonts w:hint="eastAsia" w:ascii="宋体" w:hAnsi="宋体" w:cs="宋体"/>
                <w:bCs/>
                <w:color w:val="auto"/>
                <w:szCs w:val="21"/>
                <w:highlight w:val="none"/>
              </w:rPr>
              <w:t>提供一体化工作台：在同一个界面上集成医生写病历、下诊断、开医嘱的诊疗操作；集成所有诊间业务功能。门诊医生工作站要与急诊系统双向对接。</w:t>
            </w:r>
          </w:p>
        </w:tc>
      </w:tr>
    </w:tbl>
    <w:p w14:paraId="175CDA9A">
      <w:pPr>
        <w:rPr>
          <w:rFonts w:ascii="宋体" w:hAnsi="宋体"/>
          <w:color w:val="auto"/>
          <w:highlight w:val="none"/>
        </w:rPr>
      </w:pPr>
    </w:p>
    <w:p w14:paraId="603AF9DE">
      <w:pPr>
        <w:pStyle w:val="4"/>
        <w:numPr>
          <w:ilvl w:val="2"/>
          <w:numId w:val="9"/>
        </w:numPr>
        <w:spacing w:before="0" w:after="0" w:line="360" w:lineRule="auto"/>
        <w:ind w:left="567" w:hanging="567"/>
        <w:rPr>
          <w:color w:val="auto"/>
          <w:sz w:val="24"/>
          <w:highlight w:val="none"/>
        </w:rPr>
      </w:pPr>
      <w:r>
        <w:rPr>
          <w:rFonts w:hint="eastAsia" w:eastAsia="宋体"/>
          <w:color w:val="auto"/>
          <w:kern w:val="2"/>
          <w:sz w:val="24"/>
          <w:szCs w:val="24"/>
          <w:highlight w:val="none"/>
        </w:rPr>
        <w:t>门诊电子病历建设需求</w:t>
      </w:r>
    </w:p>
    <w:tbl>
      <w:tblPr>
        <w:tblStyle w:val="43"/>
        <w:tblW w:w="14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5"/>
        <w:gridCol w:w="1552"/>
        <w:gridCol w:w="7"/>
        <w:gridCol w:w="11482"/>
      </w:tblGrid>
      <w:tr w14:paraId="16197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235" w:type="dxa"/>
            <w:vAlign w:val="center"/>
          </w:tcPr>
          <w:p w14:paraId="5190B521">
            <w:pPr>
              <w:jc w:val="center"/>
              <w:rPr>
                <w:color w:val="auto"/>
                <w:szCs w:val="21"/>
                <w:highlight w:val="none"/>
              </w:rPr>
            </w:pPr>
            <w:r>
              <w:rPr>
                <w:rFonts w:hint="eastAsia" w:ascii="宋体" w:hAnsi="宋体" w:cs="宋体"/>
                <w:color w:val="auto"/>
                <w:kern w:val="0"/>
                <w:szCs w:val="21"/>
                <w:highlight w:val="none"/>
              </w:rPr>
              <w:t>需求名称</w:t>
            </w:r>
          </w:p>
        </w:tc>
        <w:tc>
          <w:tcPr>
            <w:tcW w:w="1552" w:type="dxa"/>
            <w:vAlign w:val="center"/>
          </w:tcPr>
          <w:p w14:paraId="37819A04">
            <w:pPr>
              <w:jc w:val="center"/>
              <w:rPr>
                <w:color w:val="auto"/>
                <w:szCs w:val="21"/>
                <w:highlight w:val="none"/>
              </w:rPr>
            </w:pPr>
            <w:r>
              <w:rPr>
                <w:rFonts w:hint="eastAsia" w:ascii="宋体" w:hAnsi="宋体" w:cs="宋体"/>
                <w:color w:val="auto"/>
                <w:kern w:val="0"/>
                <w:szCs w:val="21"/>
                <w:highlight w:val="none"/>
              </w:rPr>
              <w:t>序号</w:t>
            </w:r>
          </w:p>
        </w:tc>
        <w:tc>
          <w:tcPr>
            <w:tcW w:w="11489" w:type="dxa"/>
            <w:gridSpan w:val="2"/>
            <w:vAlign w:val="center"/>
          </w:tcPr>
          <w:p w14:paraId="01FE5BEE">
            <w:pPr>
              <w:jc w:val="center"/>
              <w:rPr>
                <w:color w:val="auto"/>
                <w:szCs w:val="21"/>
                <w:highlight w:val="none"/>
              </w:rPr>
            </w:pPr>
            <w:r>
              <w:rPr>
                <w:rFonts w:hint="eastAsia" w:ascii="宋体" w:hAnsi="宋体" w:cs="宋体"/>
                <w:color w:val="auto"/>
                <w:kern w:val="0"/>
                <w:szCs w:val="21"/>
                <w:highlight w:val="none"/>
              </w:rPr>
              <w:t>需求描述</w:t>
            </w:r>
          </w:p>
        </w:tc>
      </w:tr>
      <w:tr w14:paraId="50BF2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235" w:type="dxa"/>
            <w:vMerge w:val="restart"/>
            <w:vAlign w:val="center"/>
          </w:tcPr>
          <w:p w14:paraId="68EDBF6E">
            <w:pPr>
              <w:numPr>
                <w:ilvl w:val="0"/>
                <w:numId w:val="11"/>
              </w:numPr>
              <w:rPr>
                <w:rFonts w:ascii="宋体" w:hAnsi="宋体" w:cs="宋体"/>
                <w:color w:val="auto"/>
                <w:szCs w:val="21"/>
                <w:highlight w:val="none"/>
              </w:rPr>
            </w:pPr>
            <w:r>
              <w:rPr>
                <w:rFonts w:hint="eastAsia"/>
                <w:color w:val="auto"/>
                <w:szCs w:val="21"/>
                <w:highlight w:val="none"/>
              </w:rPr>
              <w:t>门诊电子病历</w:t>
            </w:r>
          </w:p>
        </w:tc>
        <w:tc>
          <w:tcPr>
            <w:tcW w:w="13041" w:type="dxa"/>
            <w:gridSpan w:val="3"/>
            <w:vAlign w:val="center"/>
          </w:tcPr>
          <w:p w14:paraId="03D5BBBA">
            <w:pPr>
              <w:rPr>
                <w:color w:val="auto"/>
                <w:highlight w:val="none"/>
              </w:rPr>
            </w:pPr>
            <w:r>
              <w:rPr>
                <w:rFonts w:hint="eastAsia"/>
                <w:color w:val="auto"/>
                <w:szCs w:val="21"/>
                <w:highlight w:val="none"/>
              </w:rPr>
              <w:t>2.1医生站一体化集成</w:t>
            </w:r>
            <w:r>
              <w:rPr>
                <w:rFonts w:ascii="宋体" w:hAnsi="宋体" w:cs="宋体"/>
                <w:color w:val="auto"/>
                <w:highlight w:val="none"/>
                <w:shd w:val="clear" w:color="auto"/>
              </w:rPr>
              <w:t>（病历元素拖拉拽自定义编辑模块）需求要扩写</w:t>
            </w:r>
          </w:p>
          <w:p w14:paraId="398F7D1A">
            <w:pPr>
              <w:rPr>
                <w:rFonts w:ascii="宋体" w:hAnsi="宋体" w:cs="宋体"/>
                <w:color w:val="auto"/>
                <w:kern w:val="0"/>
                <w:szCs w:val="21"/>
                <w:highlight w:val="none"/>
              </w:rPr>
            </w:pPr>
          </w:p>
        </w:tc>
      </w:tr>
      <w:tr w14:paraId="62136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1235" w:type="dxa"/>
            <w:vMerge w:val="continue"/>
            <w:vAlign w:val="center"/>
          </w:tcPr>
          <w:p w14:paraId="4F513783">
            <w:pPr>
              <w:numPr>
                <w:ilvl w:val="0"/>
                <w:numId w:val="11"/>
              </w:numPr>
              <w:rPr>
                <w:rFonts w:ascii="宋体" w:hAnsi="宋体" w:cs="宋体"/>
                <w:color w:val="auto"/>
                <w:szCs w:val="21"/>
                <w:highlight w:val="none"/>
              </w:rPr>
            </w:pPr>
          </w:p>
        </w:tc>
        <w:tc>
          <w:tcPr>
            <w:tcW w:w="1559" w:type="dxa"/>
            <w:gridSpan w:val="2"/>
            <w:vMerge w:val="restart"/>
            <w:vAlign w:val="center"/>
          </w:tcPr>
          <w:p w14:paraId="79CB7873">
            <w:pPr>
              <w:widowControl/>
              <w:jc w:val="center"/>
              <w:rPr>
                <w:rFonts w:ascii="宋体" w:hAnsi="宋体" w:cs="宋体"/>
                <w:color w:val="auto"/>
                <w:kern w:val="0"/>
                <w:szCs w:val="21"/>
                <w:highlight w:val="none"/>
              </w:rPr>
            </w:pPr>
            <w:r>
              <w:rPr>
                <w:rFonts w:hint="eastAsia"/>
                <w:color w:val="auto"/>
                <w:szCs w:val="21"/>
                <w:highlight w:val="none"/>
              </w:rPr>
              <w:t>2.1.1医生站一体化集成</w:t>
            </w:r>
          </w:p>
        </w:tc>
        <w:tc>
          <w:tcPr>
            <w:tcW w:w="11482" w:type="dxa"/>
            <w:vAlign w:val="center"/>
          </w:tcPr>
          <w:p w14:paraId="5082EA5D">
            <w:pPr>
              <w:numPr>
                <w:ilvl w:val="0"/>
                <w:numId w:val="12"/>
              </w:numPr>
              <w:rPr>
                <w:rFonts w:ascii="宋体" w:hAnsi="宋体" w:cs="宋体"/>
                <w:bCs/>
                <w:color w:val="auto"/>
                <w:szCs w:val="21"/>
                <w:highlight w:val="none"/>
              </w:rPr>
            </w:pPr>
            <w:r>
              <w:rPr>
                <w:rFonts w:hint="eastAsia" w:ascii="宋体" w:hAnsi="宋体" w:cs="宋体"/>
                <w:bCs/>
                <w:color w:val="auto"/>
                <w:szCs w:val="21"/>
                <w:highlight w:val="none"/>
              </w:rPr>
              <w:t>支持门诊病历跟医生站一体化集成，满足界面集成、数据集成、应用集成的整合效果，方便医生看诊，提高就诊效率</w:t>
            </w:r>
          </w:p>
          <w:p w14:paraId="74C30981">
            <w:pPr>
              <w:numPr>
                <w:ilvl w:val="0"/>
                <w:numId w:val="12"/>
              </w:numPr>
              <w:rPr>
                <w:rFonts w:ascii="宋体" w:hAnsi="宋体" w:cs="宋体"/>
                <w:bCs/>
                <w:color w:val="auto"/>
                <w:szCs w:val="21"/>
                <w:highlight w:val="none"/>
              </w:rPr>
            </w:pPr>
            <w:r>
              <w:rPr>
                <w:rFonts w:ascii="宋体" w:hAnsi="宋体" w:cs="宋体"/>
                <w:color w:val="auto"/>
                <w:highlight w:val="none"/>
              </w:rPr>
              <w:t>（</w:t>
            </w:r>
            <w:r>
              <w:rPr>
                <w:rFonts w:ascii="宋体" w:hAnsi="宋体" w:cs="宋体"/>
                <w:color w:val="auto"/>
                <w:highlight w:val="none"/>
                <w:shd w:val="clear" w:color="auto"/>
              </w:rPr>
              <w:t>门诊和住院</w:t>
            </w:r>
            <w:r>
              <w:rPr>
                <w:rFonts w:hint="eastAsia" w:ascii="宋体" w:hAnsi="宋体" w:cs="宋体"/>
                <w:color w:val="auto"/>
                <w:highlight w:val="none"/>
                <w:shd w:val="clear" w:color="auto"/>
              </w:rPr>
              <w:t>使用同一套病历文书，与现有新病历文书</w:t>
            </w:r>
            <w:r>
              <w:rPr>
                <w:rFonts w:ascii="宋体" w:hAnsi="宋体" w:cs="宋体"/>
                <w:color w:val="auto"/>
                <w:highlight w:val="none"/>
                <w:shd w:val="clear" w:color="auto"/>
              </w:rPr>
              <w:t>对接</w:t>
            </w:r>
            <w:r>
              <w:rPr>
                <w:rFonts w:hint="eastAsia" w:ascii="宋体" w:hAnsi="宋体" w:cs="宋体"/>
                <w:color w:val="auto"/>
                <w:highlight w:val="none"/>
                <w:shd w:val="clear" w:color="auto"/>
              </w:rPr>
              <w:t>？</w:t>
            </w:r>
            <w:r>
              <w:rPr>
                <w:rFonts w:ascii="宋体" w:hAnsi="宋体" w:cs="宋体"/>
                <w:color w:val="auto"/>
                <w:highlight w:val="none"/>
                <w:shd w:val="clear" w:color="auto"/>
              </w:rPr>
              <w:t>）</w:t>
            </w:r>
          </w:p>
        </w:tc>
      </w:tr>
      <w:tr w14:paraId="3E0C0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1235" w:type="dxa"/>
            <w:vMerge w:val="continue"/>
            <w:vAlign w:val="center"/>
          </w:tcPr>
          <w:p w14:paraId="1C8ABF85">
            <w:pPr>
              <w:numPr>
                <w:ilvl w:val="0"/>
                <w:numId w:val="11"/>
              </w:numPr>
              <w:rPr>
                <w:rFonts w:ascii="宋体" w:hAnsi="宋体" w:cs="宋体"/>
                <w:color w:val="auto"/>
                <w:szCs w:val="21"/>
                <w:highlight w:val="none"/>
              </w:rPr>
            </w:pPr>
          </w:p>
        </w:tc>
        <w:tc>
          <w:tcPr>
            <w:tcW w:w="1559" w:type="dxa"/>
            <w:gridSpan w:val="2"/>
            <w:vMerge w:val="continue"/>
            <w:vAlign w:val="center"/>
          </w:tcPr>
          <w:p w14:paraId="11E21488">
            <w:pPr>
              <w:widowControl/>
              <w:jc w:val="center"/>
              <w:rPr>
                <w:rFonts w:ascii="宋体" w:hAnsi="宋体" w:cs="宋体"/>
                <w:color w:val="auto"/>
                <w:kern w:val="0"/>
                <w:szCs w:val="21"/>
                <w:highlight w:val="none"/>
              </w:rPr>
            </w:pPr>
          </w:p>
        </w:tc>
        <w:tc>
          <w:tcPr>
            <w:tcW w:w="11482" w:type="dxa"/>
            <w:vAlign w:val="center"/>
          </w:tcPr>
          <w:p w14:paraId="293A564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支持门诊病历和门诊医嘱的信息自动更新和签名流程闭环</w:t>
            </w:r>
          </w:p>
        </w:tc>
      </w:tr>
      <w:tr w14:paraId="4749F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235" w:type="dxa"/>
            <w:vMerge w:val="continue"/>
            <w:vAlign w:val="center"/>
          </w:tcPr>
          <w:p w14:paraId="6F40B625">
            <w:pPr>
              <w:numPr>
                <w:ilvl w:val="0"/>
                <w:numId w:val="11"/>
              </w:numPr>
              <w:rPr>
                <w:rFonts w:ascii="宋体" w:hAnsi="宋体" w:cs="宋体"/>
                <w:color w:val="auto"/>
                <w:szCs w:val="21"/>
                <w:highlight w:val="none"/>
              </w:rPr>
            </w:pPr>
          </w:p>
        </w:tc>
        <w:tc>
          <w:tcPr>
            <w:tcW w:w="1559" w:type="dxa"/>
            <w:gridSpan w:val="2"/>
            <w:vMerge w:val="continue"/>
            <w:vAlign w:val="center"/>
          </w:tcPr>
          <w:p w14:paraId="209890EB">
            <w:pPr>
              <w:widowControl/>
              <w:jc w:val="center"/>
              <w:rPr>
                <w:rFonts w:ascii="宋体" w:hAnsi="宋体" w:cs="宋体"/>
                <w:color w:val="auto"/>
                <w:kern w:val="0"/>
                <w:szCs w:val="21"/>
                <w:highlight w:val="none"/>
              </w:rPr>
            </w:pPr>
          </w:p>
        </w:tc>
        <w:tc>
          <w:tcPr>
            <w:tcW w:w="11482" w:type="dxa"/>
            <w:vAlign w:val="center"/>
          </w:tcPr>
          <w:p w14:paraId="17FC5B5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支持医生站录入医嘱和诊断自动更新到本人创建/签署的病历中</w:t>
            </w:r>
          </w:p>
          <w:p w14:paraId="08A5DC0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支持医师引用麻醉药品、第一类精神药品医嘱功能（药学部提供医嘱模板）。</w:t>
            </w:r>
          </w:p>
        </w:tc>
      </w:tr>
      <w:tr w14:paraId="22F6F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235" w:type="dxa"/>
            <w:vMerge w:val="continue"/>
            <w:vAlign w:val="center"/>
          </w:tcPr>
          <w:p w14:paraId="7A977ACC">
            <w:pPr>
              <w:numPr>
                <w:ilvl w:val="0"/>
                <w:numId w:val="11"/>
              </w:numPr>
              <w:rPr>
                <w:rFonts w:ascii="宋体" w:hAnsi="宋体" w:cs="宋体"/>
                <w:color w:val="auto"/>
                <w:szCs w:val="21"/>
                <w:highlight w:val="none"/>
              </w:rPr>
            </w:pPr>
          </w:p>
        </w:tc>
        <w:tc>
          <w:tcPr>
            <w:tcW w:w="1559" w:type="dxa"/>
            <w:gridSpan w:val="2"/>
            <w:vMerge w:val="continue"/>
            <w:vAlign w:val="center"/>
          </w:tcPr>
          <w:p w14:paraId="204EE1D7">
            <w:pPr>
              <w:widowControl/>
              <w:jc w:val="center"/>
              <w:rPr>
                <w:rFonts w:ascii="宋体" w:hAnsi="宋体" w:cs="宋体"/>
                <w:color w:val="auto"/>
                <w:kern w:val="0"/>
                <w:szCs w:val="21"/>
                <w:highlight w:val="none"/>
              </w:rPr>
            </w:pPr>
          </w:p>
        </w:tc>
        <w:tc>
          <w:tcPr>
            <w:tcW w:w="11482" w:type="dxa"/>
            <w:vAlign w:val="center"/>
          </w:tcPr>
          <w:p w14:paraId="0D3AC72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支持医嘱文书联动功能，当医生开特检、特药医嘱时自动生成患者同意书，删除医嘱时自动删除对应的病历文书</w:t>
            </w:r>
          </w:p>
        </w:tc>
      </w:tr>
      <w:tr w14:paraId="6C832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77BCAE40">
            <w:pPr>
              <w:numPr>
                <w:ilvl w:val="0"/>
                <w:numId w:val="11"/>
              </w:numPr>
              <w:rPr>
                <w:rFonts w:ascii="宋体" w:hAnsi="宋体" w:cs="宋体"/>
                <w:color w:val="auto"/>
                <w:szCs w:val="21"/>
                <w:highlight w:val="none"/>
              </w:rPr>
            </w:pPr>
          </w:p>
        </w:tc>
        <w:tc>
          <w:tcPr>
            <w:tcW w:w="13041" w:type="dxa"/>
            <w:gridSpan w:val="3"/>
            <w:vAlign w:val="center"/>
          </w:tcPr>
          <w:p w14:paraId="1C75C13E">
            <w:pPr>
              <w:rPr>
                <w:rFonts w:ascii="宋体" w:hAnsi="宋体" w:cs="宋体"/>
                <w:color w:val="auto"/>
                <w:kern w:val="0"/>
                <w:szCs w:val="21"/>
                <w:highlight w:val="none"/>
              </w:rPr>
            </w:pPr>
            <w:r>
              <w:rPr>
                <w:rFonts w:hint="eastAsia"/>
                <w:color w:val="auto"/>
                <w:szCs w:val="21"/>
                <w:highlight w:val="none"/>
              </w:rPr>
              <w:t>2.2病历权限管理</w:t>
            </w:r>
          </w:p>
        </w:tc>
      </w:tr>
      <w:tr w14:paraId="15977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7DB814C5">
            <w:pPr>
              <w:numPr>
                <w:ilvl w:val="0"/>
                <w:numId w:val="11"/>
              </w:numPr>
              <w:rPr>
                <w:rFonts w:ascii="宋体" w:hAnsi="宋体" w:cs="宋体"/>
                <w:color w:val="auto"/>
                <w:szCs w:val="21"/>
                <w:highlight w:val="none"/>
              </w:rPr>
            </w:pPr>
          </w:p>
        </w:tc>
        <w:tc>
          <w:tcPr>
            <w:tcW w:w="1559" w:type="dxa"/>
            <w:gridSpan w:val="2"/>
            <w:vMerge w:val="restart"/>
            <w:vAlign w:val="center"/>
          </w:tcPr>
          <w:p w14:paraId="1A01CDF8">
            <w:pPr>
              <w:widowControl/>
              <w:jc w:val="center"/>
              <w:rPr>
                <w:rFonts w:ascii="宋体" w:hAnsi="宋体" w:cs="宋体"/>
                <w:color w:val="auto"/>
                <w:kern w:val="0"/>
                <w:szCs w:val="21"/>
                <w:highlight w:val="none"/>
              </w:rPr>
            </w:pPr>
            <w:r>
              <w:rPr>
                <w:rFonts w:hint="eastAsia"/>
                <w:color w:val="auto"/>
                <w:szCs w:val="21"/>
                <w:highlight w:val="none"/>
              </w:rPr>
              <w:t>2.2.1病历权限管理</w:t>
            </w:r>
          </w:p>
        </w:tc>
        <w:tc>
          <w:tcPr>
            <w:tcW w:w="11482" w:type="dxa"/>
            <w:vAlign w:val="center"/>
          </w:tcPr>
          <w:p w14:paraId="5247551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支持病历文书操作权限的定义功能</w:t>
            </w:r>
          </w:p>
        </w:tc>
      </w:tr>
      <w:tr w14:paraId="2E391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6E2F09B1">
            <w:pPr>
              <w:numPr>
                <w:ilvl w:val="0"/>
                <w:numId w:val="11"/>
              </w:numPr>
              <w:rPr>
                <w:rFonts w:ascii="宋体" w:hAnsi="宋体" w:cs="宋体"/>
                <w:color w:val="auto"/>
                <w:szCs w:val="21"/>
                <w:highlight w:val="none"/>
              </w:rPr>
            </w:pPr>
          </w:p>
        </w:tc>
        <w:tc>
          <w:tcPr>
            <w:tcW w:w="1559" w:type="dxa"/>
            <w:gridSpan w:val="2"/>
            <w:vMerge w:val="continue"/>
            <w:vAlign w:val="center"/>
          </w:tcPr>
          <w:p w14:paraId="1D93B866">
            <w:pPr>
              <w:widowControl/>
              <w:jc w:val="center"/>
              <w:rPr>
                <w:rFonts w:ascii="宋体" w:hAnsi="宋体" w:cs="宋体"/>
                <w:color w:val="auto"/>
                <w:kern w:val="0"/>
                <w:szCs w:val="21"/>
                <w:highlight w:val="none"/>
              </w:rPr>
            </w:pPr>
          </w:p>
        </w:tc>
        <w:tc>
          <w:tcPr>
            <w:tcW w:w="11482" w:type="dxa"/>
            <w:vAlign w:val="center"/>
          </w:tcPr>
          <w:p w14:paraId="4715E68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支持按照医疗角色划分为门诊医生、门诊护士、门诊办等</w:t>
            </w:r>
          </w:p>
        </w:tc>
      </w:tr>
      <w:tr w14:paraId="10F45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5F5C196A">
            <w:pPr>
              <w:numPr>
                <w:ilvl w:val="0"/>
                <w:numId w:val="11"/>
              </w:numPr>
              <w:rPr>
                <w:rFonts w:ascii="宋体" w:hAnsi="宋体" w:cs="宋体"/>
                <w:color w:val="auto"/>
                <w:szCs w:val="21"/>
                <w:highlight w:val="none"/>
              </w:rPr>
            </w:pPr>
          </w:p>
        </w:tc>
        <w:tc>
          <w:tcPr>
            <w:tcW w:w="1559" w:type="dxa"/>
            <w:gridSpan w:val="2"/>
            <w:vMerge w:val="continue"/>
            <w:vAlign w:val="center"/>
          </w:tcPr>
          <w:p w14:paraId="6B47D2EB">
            <w:pPr>
              <w:widowControl/>
              <w:jc w:val="center"/>
              <w:rPr>
                <w:rFonts w:ascii="宋体" w:hAnsi="宋体" w:cs="宋体"/>
                <w:color w:val="auto"/>
                <w:kern w:val="0"/>
                <w:szCs w:val="21"/>
                <w:highlight w:val="none"/>
              </w:rPr>
            </w:pPr>
          </w:p>
        </w:tc>
        <w:tc>
          <w:tcPr>
            <w:tcW w:w="11482" w:type="dxa"/>
            <w:vAlign w:val="center"/>
          </w:tcPr>
          <w:p w14:paraId="3D73724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支持授权不同角色门诊病历的书写、查看、打印、导出等权限</w:t>
            </w:r>
          </w:p>
        </w:tc>
      </w:tr>
      <w:tr w14:paraId="43C3E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07C24E79">
            <w:pPr>
              <w:numPr>
                <w:ilvl w:val="0"/>
                <w:numId w:val="11"/>
              </w:numPr>
              <w:rPr>
                <w:rFonts w:ascii="宋体" w:hAnsi="宋体" w:cs="宋体"/>
                <w:color w:val="auto"/>
                <w:szCs w:val="21"/>
                <w:highlight w:val="none"/>
              </w:rPr>
            </w:pPr>
          </w:p>
        </w:tc>
        <w:tc>
          <w:tcPr>
            <w:tcW w:w="13041" w:type="dxa"/>
            <w:gridSpan w:val="3"/>
            <w:vAlign w:val="center"/>
          </w:tcPr>
          <w:p w14:paraId="44491BFF">
            <w:pPr>
              <w:rPr>
                <w:rFonts w:ascii="宋体" w:hAnsi="宋体" w:cs="宋体"/>
                <w:color w:val="auto"/>
                <w:kern w:val="0"/>
                <w:szCs w:val="21"/>
                <w:highlight w:val="none"/>
              </w:rPr>
            </w:pPr>
            <w:r>
              <w:rPr>
                <w:rFonts w:hint="eastAsia"/>
                <w:color w:val="auto"/>
                <w:szCs w:val="21"/>
                <w:highlight w:val="none"/>
              </w:rPr>
              <w:t>2.3门诊病历书写</w:t>
            </w:r>
          </w:p>
        </w:tc>
      </w:tr>
      <w:tr w14:paraId="4326D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4E80648D">
            <w:pPr>
              <w:numPr>
                <w:ilvl w:val="0"/>
                <w:numId w:val="11"/>
              </w:numPr>
              <w:rPr>
                <w:rFonts w:ascii="宋体" w:hAnsi="宋体" w:cs="宋体"/>
                <w:color w:val="auto"/>
                <w:szCs w:val="21"/>
                <w:highlight w:val="none"/>
              </w:rPr>
            </w:pPr>
          </w:p>
        </w:tc>
        <w:tc>
          <w:tcPr>
            <w:tcW w:w="1559" w:type="dxa"/>
            <w:gridSpan w:val="2"/>
            <w:vMerge w:val="restart"/>
            <w:vAlign w:val="center"/>
          </w:tcPr>
          <w:p w14:paraId="2E9E4300">
            <w:pPr>
              <w:widowControl/>
              <w:jc w:val="center"/>
              <w:rPr>
                <w:rFonts w:ascii="宋体" w:hAnsi="宋体" w:cs="宋体"/>
                <w:color w:val="auto"/>
                <w:kern w:val="0"/>
                <w:szCs w:val="21"/>
                <w:highlight w:val="none"/>
              </w:rPr>
            </w:pPr>
            <w:r>
              <w:rPr>
                <w:rFonts w:hint="eastAsia"/>
                <w:color w:val="auto"/>
                <w:szCs w:val="21"/>
                <w:highlight w:val="none"/>
              </w:rPr>
              <w:t>2.3.1门诊病历书写</w:t>
            </w:r>
          </w:p>
        </w:tc>
        <w:tc>
          <w:tcPr>
            <w:tcW w:w="11482" w:type="dxa"/>
            <w:vAlign w:val="center"/>
          </w:tcPr>
          <w:p w14:paraId="087D1F4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支持自动选择科室默认模板，也支持自行选择任一模板进行病历书写。同时支持选择患者历史文书创建新病历；</w:t>
            </w:r>
          </w:p>
        </w:tc>
      </w:tr>
      <w:tr w14:paraId="44C8E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443AD644">
            <w:pPr>
              <w:numPr>
                <w:ilvl w:val="0"/>
                <w:numId w:val="11"/>
              </w:numPr>
              <w:rPr>
                <w:rFonts w:ascii="宋体" w:hAnsi="宋体" w:cs="宋体"/>
                <w:color w:val="auto"/>
                <w:szCs w:val="21"/>
                <w:highlight w:val="none"/>
              </w:rPr>
            </w:pPr>
          </w:p>
        </w:tc>
        <w:tc>
          <w:tcPr>
            <w:tcW w:w="1559" w:type="dxa"/>
            <w:gridSpan w:val="2"/>
            <w:vMerge w:val="continue"/>
            <w:vAlign w:val="center"/>
          </w:tcPr>
          <w:p w14:paraId="203AD85B">
            <w:pPr>
              <w:widowControl/>
              <w:jc w:val="center"/>
              <w:rPr>
                <w:rFonts w:ascii="宋体" w:hAnsi="宋体" w:cs="宋体"/>
                <w:color w:val="auto"/>
                <w:kern w:val="0"/>
                <w:szCs w:val="21"/>
                <w:highlight w:val="none"/>
              </w:rPr>
            </w:pPr>
          </w:p>
        </w:tc>
        <w:tc>
          <w:tcPr>
            <w:tcW w:w="11482" w:type="dxa"/>
            <w:vAlign w:val="center"/>
          </w:tcPr>
          <w:p w14:paraId="0C8AD2E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提供类WORD书写界面风格、结构化书写、所见即所得。支持文本元素、日期元素、单选元素、多选元素等多种结构化书写格式，支持病历书写时元素的快速跳转；</w:t>
            </w:r>
          </w:p>
        </w:tc>
      </w:tr>
      <w:tr w14:paraId="7AD2E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6A76D919">
            <w:pPr>
              <w:numPr>
                <w:ilvl w:val="0"/>
                <w:numId w:val="11"/>
              </w:numPr>
              <w:rPr>
                <w:rFonts w:ascii="宋体" w:hAnsi="宋体" w:cs="宋体"/>
                <w:color w:val="auto"/>
                <w:szCs w:val="21"/>
                <w:highlight w:val="none"/>
              </w:rPr>
            </w:pPr>
          </w:p>
        </w:tc>
        <w:tc>
          <w:tcPr>
            <w:tcW w:w="1559" w:type="dxa"/>
            <w:gridSpan w:val="2"/>
            <w:vMerge w:val="continue"/>
            <w:vAlign w:val="center"/>
          </w:tcPr>
          <w:p w14:paraId="6C737809">
            <w:pPr>
              <w:widowControl/>
              <w:jc w:val="center"/>
              <w:rPr>
                <w:rFonts w:ascii="宋体" w:hAnsi="宋体" w:cs="宋体"/>
                <w:color w:val="auto"/>
                <w:kern w:val="0"/>
                <w:szCs w:val="21"/>
                <w:highlight w:val="none"/>
              </w:rPr>
            </w:pPr>
          </w:p>
        </w:tc>
        <w:tc>
          <w:tcPr>
            <w:tcW w:w="11482" w:type="dxa"/>
            <w:vAlign w:val="center"/>
          </w:tcPr>
          <w:p w14:paraId="24D0D6F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提供患者个人信息、门诊医嘱、检查申请、检验申请的自动引用功能，同时支持手动刷新；</w:t>
            </w:r>
          </w:p>
        </w:tc>
      </w:tr>
      <w:tr w14:paraId="2696B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0913EC75">
            <w:pPr>
              <w:numPr>
                <w:ilvl w:val="0"/>
                <w:numId w:val="11"/>
              </w:numPr>
              <w:rPr>
                <w:rFonts w:ascii="宋体" w:hAnsi="宋体" w:cs="宋体"/>
                <w:color w:val="auto"/>
                <w:szCs w:val="21"/>
                <w:highlight w:val="none"/>
              </w:rPr>
            </w:pPr>
          </w:p>
        </w:tc>
        <w:tc>
          <w:tcPr>
            <w:tcW w:w="1559" w:type="dxa"/>
            <w:gridSpan w:val="2"/>
            <w:vMerge w:val="continue"/>
            <w:vAlign w:val="center"/>
          </w:tcPr>
          <w:p w14:paraId="5C62FD13">
            <w:pPr>
              <w:widowControl/>
              <w:jc w:val="center"/>
              <w:rPr>
                <w:rFonts w:ascii="宋体" w:hAnsi="宋体" w:cs="宋体"/>
                <w:color w:val="auto"/>
                <w:kern w:val="0"/>
                <w:szCs w:val="21"/>
                <w:highlight w:val="none"/>
              </w:rPr>
            </w:pPr>
          </w:p>
        </w:tc>
        <w:tc>
          <w:tcPr>
            <w:tcW w:w="11482" w:type="dxa"/>
            <w:vAlign w:val="center"/>
          </w:tcPr>
          <w:p w14:paraId="5C93A10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支持医生在病历书写时，对个人常用语、常用模板进行收藏和使用的功能，便于同一病种病历的高效书写；</w:t>
            </w:r>
          </w:p>
        </w:tc>
      </w:tr>
      <w:tr w14:paraId="25E61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7DFE794A">
            <w:pPr>
              <w:numPr>
                <w:ilvl w:val="0"/>
                <w:numId w:val="11"/>
              </w:numPr>
              <w:rPr>
                <w:rFonts w:ascii="宋体" w:hAnsi="宋体" w:cs="宋体"/>
                <w:color w:val="auto"/>
                <w:szCs w:val="21"/>
                <w:highlight w:val="none"/>
              </w:rPr>
            </w:pPr>
          </w:p>
        </w:tc>
        <w:tc>
          <w:tcPr>
            <w:tcW w:w="1559" w:type="dxa"/>
            <w:gridSpan w:val="2"/>
            <w:vMerge w:val="continue"/>
            <w:vAlign w:val="center"/>
          </w:tcPr>
          <w:p w14:paraId="267FF4B6">
            <w:pPr>
              <w:widowControl/>
              <w:jc w:val="center"/>
              <w:rPr>
                <w:rFonts w:ascii="宋体" w:hAnsi="宋体" w:cs="宋体"/>
                <w:color w:val="auto"/>
                <w:kern w:val="0"/>
                <w:szCs w:val="21"/>
                <w:highlight w:val="none"/>
              </w:rPr>
            </w:pPr>
          </w:p>
        </w:tc>
        <w:tc>
          <w:tcPr>
            <w:tcW w:w="11482" w:type="dxa"/>
            <w:vAlign w:val="center"/>
          </w:tcPr>
          <w:p w14:paraId="15DBA21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支持病历章节收缩功能。允许医生将不重要的章节内容收起，方便聚焦关键内容；</w:t>
            </w:r>
          </w:p>
        </w:tc>
      </w:tr>
      <w:tr w14:paraId="0EB02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078552A9">
            <w:pPr>
              <w:numPr>
                <w:ilvl w:val="0"/>
                <w:numId w:val="11"/>
              </w:numPr>
              <w:rPr>
                <w:rFonts w:ascii="宋体" w:hAnsi="宋体" w:cs="宋体"/>
                <w:color w:val="auto"/>
                <w:szCs w:val="21"/>
                <w:highlight w:val="none"/>
              </w:rPr>
            </w:pPr>
          </w:p>
        </w:tc>
        <w:tc>
          <w:tcPr>
            <w:tcW w:w="1559" w:type="dxa"/>
            <w:gridSpan w:val="2"/>
            <w:vMerge w:val="continue"/>
            <w:vAlign w:val="center"/>
          </w:tcPr>
          <w:p w14:paraId="20C0DBBD">
            <w:pPr>
              <w:widowControl/>
              <w:jc w:val="center"/>
              <w:rPr>
                <w:rFonts w:ascii="宋体" w:hAnsi="宋体" w:cs="宋体"/>
                <w:color w:val="auto"/>
                <w:kern w:val="0"/>
                <w:szCs w:val="21"/>
                <w:highlight w:val="none"/>
              </w:rPr>
            </w:pPr>
          </w:p>
        </w:tc>
        <w:tc>
          <w:tcPr>
            <w:tcW w:w="11482" w:type="dxa"/>
            <w:vAlign w:val="center"/>
          </w:tcPr>
          <w:p w14:paraId="21BA99E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支持门诊病历续写功能。比如上午A医生接诊病人，下午同科B医生接诊，可以在A医生病历后面续写内容，并与A医生的病历形成一份完整的病历。续写病历与主病历一起显示、一起打印；</w:t>
            </w:r>
          </w:p>
        </w:tc>
      </w:tr>
      <w:tr w14:paraId="76F87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1725F55C">
            <w:pPr>
              <w:numPr>
                <w:ilvl w:val="0"/>
                <w:numId w:val="11"/>
              </w:numPr>
              <w:rPr>
                <w:rFonts w:ascii="宋体" w:hAnsi="宋体" w:cs="宋体"/>
                <w:color w:val="auto"/>
                <w:szCs w:val="21"/>
                <w:highlight w:val="none"/>
              </w:rPr>
            </w:pPr>
          </w:p>
        </w:tc>
        <w:tc>
          <w:tcPr>
            <w:tcW w:w="1559" w:type="dxa"/>
            <w:gridSpan w:val="2"/>
            <w:vMerge w:val="continue"/>
            <w:vAlign w:val="center"/>
          </w:tcPr>
          <w:p w14:paraId="26428A43">
            <w:pPr>
              <w:widowControl/>
              <w:jc w:val="center"/>
              <w:rPr>
                <w:rFonts w:ascii="宋体" w:hAnsi="宋体" w:cs="宋体"/>
                <w:color w:val="auto"/>
                <w:kern w:val="0"/>
                <w:szCs w:val="21"/>
                <w:highlight w:val="none"/>
              </w:rPr>
            </w:pPr>
          </w:p>
        </w:tc>
        <w:tc>
          <w:tcPr>
            <w:tcW w:w="11482" w:type="dxa"/>
            <w:vAlign w:val="center"/>
          </w:tcPr>
          <w:p w14:paraId="61BEFCE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支持跨院区的信息共享和引用。比如患者的历史病历、检查报告、检验报告等。</w:t>
            </w:r>
          </w:p>
        </w:tc>
      </w:tr>
      <w:tr w14:paraId="46E2C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515ED6CE">
            <w:pPr>
              <w:numPr>
                <w:ilvl w:val="0"/>
                <w:numId w:val="11"/>
              </w:numPr>
              <w:rPr>
                <w:rFonts w:ascii="宋体" w:hAnsi="宋体" w:cs="宋体"/>
                <w:color w:val="auto"/>
                <w:szCs w:val="21"/>
                <w:highlight w:val="none"/>
              </w:rPr>
            </w:pPr>
          </w:p>
        </w:tc>
        <w:tc>
          <w:tcPr>
            <w:tcW w:w="1559" w:type="dxa"/>
            <w:gridSpan w:val="2"/>
            <w:vMerge w:val="continue"/>
            <w:vAlign w:val="center"/>
          </w:tcPr>
          <w:p w14:paraId="6E0E701F">
            <w:pPr>
              <w:widowControl/>
              <w:jc w:val="center"/>
              <w:rPr>
                <w:rFonts w:ascii="宋体" w:hAnsi="宋体" w:cs="宋体"/>
                <w:color w:val="auto"/>
                <w:kern w:val="0"/>
                <w:szCs w:val="21"/>
                <w:highlight w:val="none"/>
              </w:rPr>
            </w:pPr>
          </w:p>
        </w:tc>
        <w:tc>
          <w:tcPr>
            <w:tcW w:w="11482" w:type="dxa"/>
            <w:vAlign w:val="center"/>
          </w:tcPr>
          <w:p w14:paraId="19A2FB6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增加药学门诊药历书写界面，支持自行选择通用、妊娠期哺乳期、咳喘模板进行门诊药历书写（具体模板见下图），可对模板中的内容进行编辑、保存和打印，其中患者基本信息、临床诊断、过敏史、药物不良反应史、检验检查结果、药品处方支持从系统引用，无需人工填写。</w:t>
            </w:r>
          </w:p>
          <w:p w14:paraId="736EF3D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支持在门诊药历书写界面同屏查看、引用患者门诊、住院期间的病历、药品处方、检验检查、病理、微生物报告、过敏史、药品不良反应记录等。</w:t>
            </w:r>
          </w:p>
        </w:tc>
      </w:tr>
      <w:tr w14:paraId="3F9F6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5FA628CE">
            <w:pPr>
              <w:numPr>
                <w:ilvl w:val="0"/>
                <w:numId w:val="11"/>
              </w:numPr>
              <w:rPr>
                <w:rFonts w:ascii="宋体" w:hAnsi="宋体" w:cs="宋体"/>
                <w:color w:val="auto"/>
                <w:szCs w:val="21"/>
                <w:highlight w:val="none"/>
              </w:rPr>
            </w:pPr>
          </w:p>
        </w:tc>
        <w:tc>
          <w:tcPr>
            <w:tcW w:w="13041" w:type="dxa"/>
            <w:gridSpan w:val="3"/>
            <w:vAlign w:val="center"/>
          </w:tcPr>
          <w:p w14:paraId="22AF716F">
            <w:pPr>
              <w:rPr>
                <w:rFonts w:ascii="宋体" w:hAnsi="宋体" w:cs="宋体"/>
                <w:color w:val="auto"/>
                <w:kern w:val="0"/>
                <w:szCs w:val="21"/>
                <w:highlight w:val="none"/>
              </w:rPr>
            </w:pPr>
            <w:r>
              <w:rPr>
                <w:rFonts w:hint="eastAsia"/>
                <w:color w:val="auto"/>
                <w:szCs w:val="21"/>
                <w:highlight w:val="none"/>
              </w:rPr>
              <w:t>2.4病历书写助手</w:t>
            </w:r>
          </w:p>
        </w:tc>
      </w:tr>
      <w:tr w14:paraId="47C96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61C07715">
            <w:pPr>
              <w:numPr>
                <w:ilvl w:val="0"/>
                <w:numId w:val="11"/>
              </w:numPr>
              <w:rPr>
                <w:rFonts w:ascii="宋体" w:hAnsi="宋体" w:cs="宋体"/>
                <w:color w:val="auto"/>
                <w:szCs w:val="21"/>
                <w:highlight w:val="none"/>
              </w:rPr>
            </w:pPr>
          </w:p>
        </w:tc>
        <w:tc>
          <w:tcPr>
            <w:tcW w:w="1559" w:type="dxa"/>
            <w:gridSpan w:val="2"/>
            <w:vMerge w:val="restart"/>
            <w:vAlign w:val="center"/>
          </w:tcPr>
          <w:p w14:paraId="2FA53FC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2.4.1病历书写助手</w:t>
            </w:r>
          </w:p>
        </w:tc>
        <w:tc>
          <w:tcPr>
            <w:tcW w:w="11482" w:type="dxa"/>
            <w:vAlign w:val="center"/>
          </w:tcPr>
          <w:p w14:paraId="718CF61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支持同屏查看和引用检查报告、检验报告、病理报告、微生物报告等内容，数据范围包括既往门诊和住院就诊。检验报告的异常值有明显的颜色区分；</w:t>
            </w:r>
          </w:p>
        </w:tc>
      </w:tr>
      <w:tr w14:paraId="0AF1D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15275E58">
            <w:pPr>
              <w:numPr>
                <w:ilvl w:val="0"/>
                <w:numId w:val="11"/>
              </w:numPr>
              <w:rPr>
                <w:rFonts w:ascii="宋体" w:hAnsi="宋体" w:cs="宋体"/>
                <w:color w:val="auto"/>
                <w:szCs w:val="21"/>
                <w:highlight w:val="none"/>
              </w:rPr>
            </w:pPr>
          </w:p>
        </w:tc>
        <w:tc>
          <w:tcPr>
            <w:tcW w:w="1559" w:type="dxa"/>
            <w:gridSpan w:val="2"/>
            <w:vMerge w:val="continue"/>
            <w:vAlign w:val="center"/>
          </w:tcPr>
          <w:p w14:paraId="225B0DDE">
            <w:pPr>
              <w:numPr>
                <w:ilvl w:val="0"/>
                <w:numId w:val="12"/>
              </w:numPr>
              <w:tabs>
                <w:tab w:val="left" w:pos="525"/>
                <w:tab w:val="left" w:pos="630"/>
              </w:tabs>
              <w:spacing w:line="360" w:lineRule="auto"/>
              <w:rPr>
                <w:rFonts w:ascii="宋体" w:hAnsi="宋体" w:cs="宋体"/>
                <w:bCs/>
                <w:color w:val="auto"/>
                <w:szCs w:val="21"/>
                <w:highlight w:val="none"/>
              </w:rPr>
            </w:pPr>
          </w:p>
        </w:tc>
        <w:tc>
          <w:tcPr>
            <w:tcW w:w="11482" w:type="dxa"/>
            <w:vAlign w:val="center"/>
          </w:tcPr>
          <w:p w14:paraId="1A2FC47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病历常用语引用。包括通用引用、按章节引用、按元素引用三种模式。通用引用模式下医生可以选择一个或者多个常用语引入到病历，按章节引用模式下只能选择该章节的常用语进行引用，按元素引用模式下需要精准筛选出当前元素的常用语进行引用；</w:t>
            </w:r>
          </w:p>
          <w:p w14:paraId="359088E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 xml:space="preserve">可根据诊断、性别、年龄等自动定义病历结构和 </w:t>
            </w:r>
          </w:p>
          <w:p w14:paraId="04E1F6C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 xml:space="preserve">格式 </w:t>
            </w:r>
          </w:p>
          <w:p w14:paraId="6BC5858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 xml:space="preserve">能够按照诊疗指南进行病历书写内容提示 </w:t>
            </w:r>
          </w:p>
          <w:p w14:paraId="13A0D70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 xml:space="preserve">病历书写有对书写内容有智能检查与提示功能 </w:t>
            </w:r>
          </w:p>
          <w:p w14:paraId="1C65DD9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可根据病人情况智能推荐模板</w:t>
            </w:r>
          </w:p>
        </w:tc>
      </w:tr>
      <w:tr w14:paraId="34800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7B954514">
            <w:pPr>
              <w:numPr>
                <w:ilvl w:val="0"/>
                <w:numId w:val="11"/>
              </w:numPr>
              <w:rPr>
                <w:rFonts w:ascii="宋体" w:hAnsi="宋体" w:cs="宋体"/>
                <w:color w:val="auto"/>
                <w:szCs w:val="21"/>
                <w:highlight w:val="none"/>
              </w:rPr>
            </w:pPr>
          </w:p>
        </w:tc>
        <w:tc>
          <w:tcPr>
            <w:tcW w:w="1559" w:type="dxa"/>
            <w:gridSpan w:val="2"/>
            <w:vMerge w:val="continue"/>
            <w:vAlign w:val="center"/>
          </w:tcPr>
          <w:p w14:paraId="28881198">
            <w:pPr>
              <w:widowControl/>
              <w:jc w:val="center"/>
              <w:rPr>
                <w:rFonts w:ascii="宋体" w:hAnsi="宋体" w:cs="宋体"/>
                <w:color w:val="auto"/>
                <w:kern w:val="0"/>
                <w:szCs w:val="21"/>
                <w:highlight w:val="none"/>
              </w:rPr>
            </w:pPr>
          </w:p>
        </w:tc>
        <w:tc>
          <w:tcPr>
            <w:tcW w:w="11482" w:type="dxa"/>
            <w:vAlign w:val="center"/>
          </w:tcPr>
          <w:p w14:paraId="0717BB7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支持患者历史病历的查询和引用。医生能查阅患者既往的就诊、治疗、预后情况，一键将历史文书的主诉、现病史等内容引入到当前病历中，同时自动提取本次就诊的诊断和医嘱信息。</w:t>
            </w:r>
          </w:p>
        </w:tc>
      </w:tr>
      <w:tr w14:paraId="23D9E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2EA0D4C5">
            <w:pPr>
              <w:numPr>
                <w:ilvl w:val="0"/>
                <w:numId w:val="11"/>
              </w:numPr>
              <w:rPr>
                <w:rFonts w:ascii="宋体" w:hAnsi="宋体" w:cs="宋体"/>
                <w:color w:val="auto"/>
                <w:szCs w:val="21"/>
                <w:highlight w:val="none"/>
              </w:rPr>
            </w:pPr>
          </w:p>
        </w:tc>
        <w:tc>
          <w:tcPr>
            <w:tcW w:w="1559" w:type="dxa"/>
            <w:gridSpan w:val="2"/>
            <w:vMerge w:val="continue"/>
            <w:vAlign w:val="center"/>
          </w:tcPr>
          <w:p w14:paraId="6B0F479B">
            <w:pPr>
              <w:widowControl/>
              <w:jc w:val="center"/>
              <w:rPr>
                <w:rFonts w:ascii="宋体" w:hAnsi="宋体" w:cs="宋体"/>
                <w:color w:val="auto"/>
                <w:kern w:val="0"/>
                <w:szCs w:val="21"/>
                <w:highlight w:val="none"/>
              </w:rPr>
            </w:pPr>
          </w:p>
        </w:tc>
        <w:tc>
          <w:tcPr>
            <w:tcW w:w="11482" w:type="dxa"/>
            <w:vAlign w:val="center"/>
          </w:tcPr>
          <w:p w14:paraId="443AEE6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支持特殊符号、医学图库、医学术语、医学表达式的快速引用。</w:t>
            </w:r>
          </w:p>
        </w:tc>
      </w:tr>
      <w:tr w14:paraId="5764B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7A461146">
            <w:pPr>
              <w:numPr>
                <w:ilvl w:val="0"/>
                <w:numId w:val="11"/>
              </w:numPr>
              <w:rPr>
                <w:rFonts w:ascii="宋体" w:hAnsi="宋体" w:cs="宋体"/>
                <w:color w:val="auto"/>
                <w:szCs w:val="21"/>
                <w:highlight w:val="none"/>
              </w:rPr>
            </w:pPr>
          </w:p>
        </w:tc>
        <w:tc>
          <w:tcPr>
            <w:tcW w:w="13041" w:type="dxa"/>
            <w:gridSpan w:val="3"/>
            <w:vAlign w:val="center"/>
          </w:tcPr>
          <w:p w14:paraId="6D119A98">
            <w:pPr>
              <w:rPr>
                <w:rFonts w:ascii="宋体" w:hAnsi="宋体" w:cs="宋体"/>
                <w:color w:val="auto"/>
                <w:kern w:val="0"/>
                <w:szCs w:val="21"/>
                <w:highlight w:val="none"/>
              </w:rPr>
            </w:pPr>
            <w:r>
              <w:rPr>
                <w:rFonts w:hint="eastAsia"/>
                <w:color w:val="auto"/>
                <w:szCs w:val="21"/>
                <w:highlight w:val="none"/>
              </w:rPr>
              <w:t>2.5病历打印</w:t>
            </w:r>
          </w:p>
        </w:tc>
      </w:tr>
      <w:tr w14:paraId="70931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4DB17B6A">
            <w:pPr>
              <w:numPr>
                <w:ilvl w:val="0"/>
                <w:numId w:val="11"/>
              </w:numPr>
              <w:rPr>
                <w:rFonts w:ascii="宋体" w:hAnsi="宋体" w:cs="宋体"/>
                <w:color w:val="auto"/>
                <w:szCs w:val="21"/>
                <w:highlight w:val="none"/>
              </w:rPr>
            </w:pPr>
          </w:p>
        </w:tc>
        <w:tc>
          <w:tcPr>
            <w:tcW w:w="1559" w:type="dxa"/>
            <w:gridSpan w:val="2"/>
            <w:vMerge w:val="restart"/>
            <w:vAlign w:val="center"/>
          </w:tcPr>
          <w:p w14:paraId="2CD85F23">
            <w:pPr>
              <w:widowControl/>
              <w:jc w:val="center"/>
              <w:rPr>
                <w:rFonts w:ascii="宋体" w:hAnsi="宋体" w:cs="宋体"/>
                <w:color w:val="auto"/>
                <w:kern w:val="0"/>
                <w:szCs w:val="21"/>
                <w:highlight w:val="none"/>
              </w:rPr>
            </w:pPr>
            <w:r>
              <w:rPr>
                <w:rFonts w:hint="eastAsia"/>
                <w:color w:val="auto"/>
                <w:szCs w:val="21"/>
                <w:highlight w:val="none"/>
              </w:rPr>
              <w:t>2.5.1病历打印</w:t>
            </w:r>
          </w:p>
        </w:tc>
        <w:tc>
          <w:tcPr>
            <w:tcW w:w="11482" w:type="dxa"/>
            <w:vAlign w:val="center"/>
          </w:tcPr>
          <w:p w14:paraId="03C67C1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支持门诊病历的原样打印，书写格式和打印格式要一致；</w:t>
            </w:r>
          </w:p>
        </w:tc>
      </w:tr>
      <w:tr w14:paraId="257AE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5708CB49">
            <w:pPr>
              <w:numPr>
                <w:ilvl w:val="0"/>
                <w:numId w:val="11"/>
              </w:numPr>
              <w:rPr>
                <w:rFonts w:ascii="宋体" w:hAnsi="宋体" w:cs="宋体"/>
                <w:color w:val="auto"/>
                <w:szCs w:val="21"/>
                <w:highlight w:val="none"/>
              </w:rPr>
            </w:pPr>
          </w:p>
        </w:tc>
        <w:tc>
          <w:tcPr>
            <w:tcW w:w="1559" w:type="dxa"/>
            <w:gridSpan w:val="2"/>
            <w:vMerge w:val="continue"/>
            <w:vAlign w:val="center"/>
          </w:tcPr>
          <w:p w14:paraId="076BA04A">
            <w:pPr>
              <w:widowControl/>
              <w:jc w:val="center"/>
              <w:rPr>
                <w:rFonts w:ascii="宋体" w:hAnsi="宋体" w:cs="宋体"/>
                <w:color w:val="auto"/>
                <w:kern w:val="0"/>
                <w:szCs w:val="21"/>
                <w:highlight w:val="none"/>
              </w:rPr>
            </w:pPr>
          </w:p>
        </w:tc>
        <w:tc>
          <w:tcPr>
            <w:tcW w:w="11482" w:type="dxa"/>
            <w:vAlign w:val="center"/>
          </w:tcPr>
          <w:p w14:paraId="46F0F88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支持门诊病历的分离打印，书写格式和打印格式要分离。需要在病历书写格式中保持单选按钮、复选框、表格等多种结构化编辑，在打印时自动输出成自然语言文本，并且只打印必要内容。</w:t>
            </w:r>
          </w:p>
        </w:tc>
      </w:tr>
      <w:tr w14:paraId="778DA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76A2A871">
            <w:pPr>
              <w:numPr>
                <w:ilvl w:val="0"/>
                <w:numId w:val="11"/>
              </w:numPr>
              <w:rPr>
                <w:rFonts w:ascii="宋体" w:hAnsi="宋体" w:cs="宋体"/>
                <w:color w:val="auto"/>
                <w:szCs w:val="21"/>
                <w:highlight w:val="none"/>
              </w:rPr>
            </w:pPr>
          </w:p>
        </w:tc>
        <w:tc>
          <w:tcPr>
            <w:tcW w:w="13041" w:type="dxa"/>
            <w:gridSpan w:val="3"/>
            <w:vAlign w:val="center"/>
          </w:tcPr>
          <w:p w14:paraId="5924E5B8">
            <w:pPr>
              <w:rPr>
                <w:rFonts w:ascii="宋体" w:hAnsi="宋体" w:cs="宋体"/>
                <w:color w:val="auto"/>
                <w:kern w:val="0"/>
                <w:szCs w:val="21"/>
                <w:highlight w:val="none"/>
              </w:rPr>
            </w:pPr>
            <w:r>
              <w:rPr>
                <w:rFonts w:hint="eastAsia"/>
                <w:color w:val="auto"/>
                <w:szCs w:val="21"/>
                <w:highlight w:val="none"/>
              </w:rPr>
              <w:t>2.6门诊病历管理</w:t>
            </w:r>
          </w:p>
        </w:tc>
      </w:tr>
      <w:tr w14:paraId="727E4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108AC15E">
            <w:pPr>
              <w:numPr>
                <w:ilvl w:val="0"/>
                <w:numId w:val="11"/>
              </w:numPr>
              <w:rPr>
                <w:rFonts w:ascii="宋体" w:hAnsi="宋体" w:cs="宋体"/>
                <w:color w:val="auto"/>
                <w:szCs w:val="21"/>
                <w:highlight w:val="none"/>
              </w:rPr>
            </w:pPr>
          </w:p>
        </w:tc>
        <w:tc>
          <w:tcPr>
            <w:tcW w:w="1559" w:type="dxa"/>
            <w:gridSpan w:val="2"/>
            <w:vMerge w:val="restart"/>
            <w:vAlign w:val="center"/>
          </w:tcPr>
          <w:p w14:paraId="3628F250">
            <w:pPr>
              <w:widowControl/>
              <w:jc w:val="center"/>
              <w:rPr>
                <w:rFonts w:ascii="宋体" w:hAnsi="宋体" w:cs="宋体"/>
                <w:color w:val="auto"/>
                <w:kern w:val="0"/>
                <w:szCs w:val="21"/>
                <w:highlight w:val="none"/>
              </w:rPr>
            </w:pPr>
            <w:r>
              <w:rPr>
                <w:rFonts w:hint="eastAsia"/>
                <w:color w:val="auto"/>
                <w:szCs w:val="21"/>
                <w:highlight w:val="none"/>
              </w:rPr>
              <w:t>2.6.1门诊病历管理</w:t>
            </w:r>
          </w:p>
        </w:tc>
        <w:tc>
          <w:tcPr>
            <w:tcW w:w="11482" w:type="dxa"/>
            <w:vAlign w:val="center"/>
          </w:tcPr>
          <w:p w14:paraId="5BE4C59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病历后台存储支持文本、HTML、XML、JSON、PDF等多种格式，符合结构化存储要求。同时这些数据支持以URL地址、HTTP服务、视图三种模式提供给第三方厂商查看和使用；</w:t>
            </w:r>
          </w:p>
        </w:tc>
      </w:tr>
      <w:tr w14:paraId="02FB8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71879C5B">
            <w:pPr>
              <w:numPr>
                <w:ilvl w:val="0"/>
                <w:numId w:val="11"/>
              </w:numPr>
              <w:rPr>
                <w:rFonts w:ascii="宋体" w:hAnsi="宋体" w:cs="宋体"/>
                <w:color w:val="auto"/>
                <w:szCs w:val="21"/>
                <w:highlight w:val="none"/>
              </w:rPr>
            </w:pPr>
          </w:p>
        </w:tc>
        <w:tc>
          <w:tcPr>
            <w:tcW w:w="1559" w:type="dxa"/>
            <w:gridSpan w:val="2"/>
            <w:vMerge w:val="continue"/>
            <w:vAlign w:val="center"/>
          </w:tcPr>
          <w:p w14:paraId="7A8634E2">
            <w:pPr>
              <w:widowControl/>
              <w:jc w:val="center"/>
              <w:rPr>
                <w:rFonts w:ascii="宋体" w:hAnsi="宋体" w:cs="宋体"/>
                <w:color w:val="auto"/>
                <w:kern w:val="0"/>
                <w:szCs w:val="21"/>
                <w:highlight w:val="none"/>
              </w:rPr>
            </w:pPr>
          </w:p>
        </w:tc>
        <w:tc>
          <w:tcPr>
            <w:tcW w:w="11482" w:type="dxa"/>
            <w:vAlign w:val="center"/>
          </w:tcPr>
          <w:p w14:paraId="09A7BC9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病历文书保存和签名时，支持实时生成PDF文件；</w:t>
            </w:r>
          </w:p>
        </w:tc>
      </w:tr>
      <w:tr w14:paraId="6B173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064D224D">
            <w:pPr>
              <w:numPr>
                <w:ilvl w:val="0"/>
                <w:numId w:val="11"/>
              </w:numPr>
              <w:rPr>
                <w:rFonts w:ascii="宋体" w:hAnsi="宋体" w:cs="宋体"/>
                <w:color w:val="auto"/>
                <w:szCs w:val="21"/>
                <w:highlight w:val="none"/>
              </w:rPr>
            </w:pPr>
          </w:p>
        </w:tc>
        <w:tc>
          <w:tcPr>
            <w:tcW w:w="1559" w:type="dxa"/>
            <w:gridSpan w:val="2"/>
            <w:vMerge w:val="continue"/>
            <w:vAlign w:val="center"/>
          </w:tcPr>
          <w:p w14:paraId="5829919B">
            <w:pPr>
              <w:widowControl/>
              <w:jc w:val="center"/>
              <w:rPr>
                <w:rFonts w:ascii="宋体" w:hAnsi="宋体" w:cs="宋体"/>
                <w:color w:val="auto"/>
                <w:kern w:val="0"/>
                <w:szCs w:val="21"/>
                <w:highlight w:val="none"/>
              </w:rPr>
            </w:pPr>
          </w:p>
        </w:tc>
        <w:tc>
          <w:tcPr>
            <w:tcW w:w="11482" w:type="dxa"/>
            <w:vAlign w:val="center"/>
          </w:tcPr>
          <w:p w14:paraId="4DC3C98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提供门诊病历修改痕迹记录和比对功能，方便回溯每个版本的病历修改情况；</w:t>
            </w:r>
          </w:p>
        </w:tc>
      </w:tr>
      <w:tr w14:paraId="5ABF2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747EB446">
            <w:pPr>
              <w:numPr>
                <w:ilvl w:val="0"/>
                <w:numId w:val="11"/>
              </w:numPr>
              <w:rPr>
                <w:rFonts w:ascii="宋体" w:hAnsi="宋体" w:cs="宋体"/>
                <w:color w:val="auto"/>
                <w:szCs w:val="21"/>
                <w:highlight w:val="none"/>
              </w:rPr>
            </w:pPr>
          </w:p>
        </w:tc>
        <w:tc>
          <w:tcPr>
            <w:tcW w:w="1559" w:type="dxa"/>
            <w:gridSpan w:val="2"/>
            <w:vMerge w:val="continue"/>
            <w:vAlign w:val="center"/>
          </w:tcPr>
          <w:p w14:paraId="3BD6D665">
            <w:pPr>
              <w:widowControl/>
              <w:jc w:val="center"/>
              <w:rPr>
                <w:rFonts w:ascii="宋体" w:hAnsi="宋体" w:cs="宋体"/>
                <w:color w:val="auto"/>
                <w:kern w:val="0"/>
                <w:szCs w:val="21"/>
                <w:highlight w:val="none"/>
              </w:rPr>
            </w:pPr>
          </w:p>
        </w:tc>
        <w:tc>
          <w:tcPr>
            <w:tcW w:w="11482" w:type="dxa"/>
            <w:vAlign w:val="center"/>
          </w:tcPr>
          <w:p w14:paraId="3BEBA8F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对门诊病历的任何操作自动生成审计日志和追溯。操作包括创建、修改、删除、查看、打印、签名等，审计日志包括操作时间、操作者、操作内容等。提供按单份文书或某个患者追踪查看其所有操作者及操作内容，支持按操作者追踪查看其所有操作功能，以确保运行病历书写始终被监控直至入库；</w:t>
            </w:r>
          </w:p>
        </w:tc>
      </w:tr>
      <w:tr w14:paraId="16901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71BB9F3D">
            <w:pPr>
              <w:numPr>
                <w:ilvl w:val="0"/>
                <w:numId w:val="11"/>
              </w:numPr>
              <w:rPr>
                <w:rFonts w:ascii="宋体" w:hAnsi="宋体" w:cs="宋体"/>
                <w:color w:val="auto"/>
                <w:szCs w:val="21"/>
                <w:highlight w:val="none"/>
              </w:rPr>
            </w:pPr>
          </w:p>
        </w:tc>
        <w:tc>
          <w:tcPr>
            <w:tcW w:w="1559" w:type="dxa"/>
            <w:gridSpan w:val="2"/>
            <w:vMerge w:val="continue"/>
            <w:vAlign w:val="center"/>
          </w:tcPr>
          <w:p w14:paraId="45D8D0CF">
            <w:pPr>
              <w:widowControl/>
              <w:jc w:val="center"/>
              <w:rPr>
                <w:rFonts w:ascii="宋体" w:hAnsi="宋体" w:cs="宋体"/>
                <w:color w:val="auto"/>
                <w:kern w:val="0"/>
                <w:szCs w:val="21"/>
                <w:highlight w:val="none"/>
              </w:rPr>
            </w:pPr>
          </w:p>
        </w:tc>
        <w:tc>
          <w:tcPr>
            <w:tcW w:w="11482" w:type="dxa"/>
            <w:vAlign w:val="center"/>
          </w:tcPr>
          <w:p w14:paraId="29CF738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提供门诊诊疗活动的统计查询功能。应包含：门诊病历查询、书写情况统计、门诊就诊记录查询等；</w:t>
            </w:r>
          </w:p>
        </w:tc>
      </w:tr>
      <w:tr w14:paraId="62B4C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31A3EF2B">
            <w:pPr>
              <w:numPr>
                <w:ilvl w:val="0"/>
                <w:numId w:val="11"/>
              </w:numPr>
              <w:rPr>
                <w:rFonts w:ascii="宋体" w:hAnsi="宋体" w:cs="宋体"/>
                <w:color w:val="auto"/>
                <w:szCs w:val="21"/>
                <w:highlight w:val="none"/>
              </w:rPr>
            </w:pPr>
          </w:p>
        </w:tc>
        <w:tc>
          <w:tcPr>
            <w:tcW w:w="1559" w:type="dxa"/>
            <w:gridSpan w:val="2"/>
            <w:vMerge w:val="continue"/>
            <w:vAlign w:val="center"/>
          </w:tcPr>
          <w:p w14:paraId="791B02F5">
            <w:pPr>
              <w:widowControl/>
              <w:jc w:val="center"/>
              <w:rPr>
                <w:rFonts w:ascii="宋体" w:hAnsi="宋体" w:cs="宋体"/>
                <w:color w:val="auto"/>
                <w:kern w:val="0"/>
                <w:szCs w:val="21"/>
                <w:highlight w:val="none"/>
              </w:rPr>
            </w:pPr>
          </w:p>
        </w:tc>
        <w:tc>
          <w:tcPr>
            <w:tcW w:w="11482" w:type="dxa"/>
            <w:vAlign w:val="center"/>
          </w:tcPr>
          <w:p w14:paraId="1C4D760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提供门诊病历订阅的功能。当第三方系统需要获取门诊病历结构化内容时，通过结构化订阅的方式实现；</w:t>
            </w:r>
          </w:p>
        </w:tc>
      </w:tr>
      <w:tr w14:paraId="77684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4C5EE95C">
            <w:pPr>
              <w:numPr>
                <w:ilvl w:val="0"/>
                <w:numId w:val="11"/>
              </w:numPr>
              <w:rPr>
                <w:rFonts w:ascii="宋体" w:hAnsi="宋体" w:cs="宋体"/>
                <w:color w:val="auto"/>
                <w:szCs w:val="21"/>
                <w:highlight w:val="none"/>
              </w:rPr>
            </w:pPr>
          </w:p>
        </w:tc>
        <w:tc>
          <w:tcPr>
            <w:tcW w:w="1559" w:type="dxa"/>
            <w:gridSpan w:val="2"/>
            <w:vMerge w:val="continue"/>
            <w:vAlign w:val="center"/>
          </w:tcPr>
          <w:p w14:paraId="702B5080">
            <w:pPr>
              <w:widowControl/>
              <w:jc w:val="center"/>
              <w:rPr>
                <w:rFonts w:ascii="宋体" w:hAnsi="宋体" w:cs="宋体"/>
                <w:color w:val="auto"/>
                <w:kern w:val="0"/>
                <w:szCs w:val="21"/>
                <w:highlight w:val="none"/>
              </w:rPr>
            </w:pPr>
          </w:p>
        </w:tc>
        <w:tc>
          <w:tcPr>
            <w:tcW w:w="11482" w:type="dxa"/>
            <w:vAlign w:val="center"/>
          </w:tcPr>
          <w:p w14:paraId="48BC35C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支持门诊病历的提交和退回审批流程。即已经打印的病历会自动提交并锁定。医生如果要修改需要先退回申请，由主管部门审批通过才允许修改。24小时内未打印的病历无需审批，会自动退回。</w:t>
            </w:r>
          </w:p>
        </w:tc>
      </w:tr>
      <w:tr w14:paraId="0EEC5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178F3F31">
            <w:pPr>
              <w:numPr>
                <w:ilvl w:val="0"/>
                <w:numId w:val="11"/>
              </w:numPr>
              <w:rPr>
                <w:rFonts w:ascii="宋体" w:hAnsi="宋体" w:cs="宋体"/>
                <w:color w:val="auto"/>
                <w:szCs w:val="21"/>
                <w:highlight w:val="none"/>
              </w:rPr>
            </w:pPr>
          </w:p>
        </w:tc>
        <w:tc>
          <w:tcPr>
            <w:tcW w:w="1559" w:type="dxa"/>
            <w:gridSpan w:val="2"/>
            <w:vMerge w:val="continue"/>
            <w:vAlign w:val="center"/>
          </w:tcPr>
          <w:p w14:paraId="148C64AB">
            <w:pPr>
              <w:widowControl/>
              <w:jc w:val="center"/>
              <w:rPr>
                <w:rFonts w:ascii="宋体" w:hAnsi="宋体" w:cs="宋体"/>
                <w:color w:val="auto"/>
                <w:kern w:val="0"/>
                <w:szCs w:val="21"/>
                <w:highlight w:val="none"/>
              </w:rPr>
            </w:pPr>
          </w:p>
        </w:tc>
        <w:tc>
          <w:tcPr>
            <w:tcW w:w="11482" w:type="dxa"/>
            <w:vAlign w:val="center"/>
          </w:tcPr>
          <w:p w14:paraId="4621C50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支持根据药师姓名、日期、患者姓名查询统计门诊药历书写情况</w:t>
            </w:r>
          </w:p>
        </w:tc>
      </w:tr>
      <w:tr w14:paraId="3AFF8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17CDBAE2">
            <w:pPr>
              <w:numPr>
                <w:ilvl w:val="0"/>
                <w:numId w:val="11"/>
              </w:numPr>
              <w:rPr>
                <w:rFonts w:ascii="宋体" w:hAnsi="宋体" w:cs="宋体"/>
                <w:color w:val="auto"/>
                <w:szCs w:val="21"/>
                <w:highlight w:val="none"/>
              </w:rPr>
            </w:pPr>
          </w:p>
        </w:tc>
        <w:tc>
          <w:tcPr>
            <w:tcW w:w="13041" w:type="dxa"/>
            <w:gridSpan w:val="3"/>
            <w:vAlign w:val="center"/>
          </w:tcPr>
          <w:p w14:paraId="68B9CD22">
            <w:pPr>
              <w:rPr>
                <w:rFonts w:ascii="宋体" w:hAnsi="宋体" w:cs="宋体"/>
                <w:color w:val="auto"/>
                <w:kern w:val="0"/>
                <w:szCs w:val="21"/>
                <w:highlight w:val="none"/>
              </w:rPr>
            </w:pPr>
            <w:r>
              <w:rPr>
                <w:rFonts w:hint="eastAsia"/>
                <w:color w:val="auto"/>
                <w:szCs w:val="21"/>
                <w:highlight w:val="none"/>
              </w:rPr>
              <w:t>2.7门诊病历与质控联动</w:t>
            </w:r>
          </w:p>
        </w:tc>
      </w:tr>
      <w:tr w14:paraId="5E2B7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790CCB6D">
            <w:pPr>
              <w:numPr>
                <w:ilvl w:val="0"/>
                <w:numId w:val="11"/>
              </w:numPr>
              <w:rPr>
                <w:rFonts w:ascii="宋体" w:hAnsi="宋体" w:cs="宋体"/>
                <w:color w:val="auto"/>
                <w:szCs w:val="21"/>
                <w:highlight w:val="none"/>
              </w:rPr>
            </w:pPr>
          </w:p>
        </w:tc>
        <w:tc>
          <w:tcPr>
            <w:tcW w:w="1559" w:type="dxa"/>
            <w:gridSpan w:val="2"/>
            <w:vMerge w:val="restart"/>
            <w:vAlign w:val="center"/>
          </w:tcPr>
          <w:p w14:paraId="7AE51FBC">
            <w:pPr>
              <w:widowControl/>
              <w:jc w:val="center"/>
              <w:rPr>
                <w:rFonts w:ascii="宋体" w:hAnsi="宋体" w:cs="宋体"/>
                <w:color w:val="auto"/>
                <w:kern w:val="0"/>
                <w:szCs w:val="21"/>
                <w:highlight w:val="none"/>
              </w:rPr>
            </w:pPr>
            <w:r>
              <w:rPr>
                <w:rFonts w:hint="eastAsia"/>
                <w:color w:val="auto"/>
                <w:szCs w:val="21"/>
                <w:highlight w:val="none"/>
              </w:rPr>
              <w:t>2.7.1门诊病历与质控联动</w:t>
            </w:r>
          </w:p>
        </w:tc>
        <w:tc>
          <w:tcPr>
            <w:tcW w:w="11482" w:type="dxa"/>
            <w:vAlign w:val="center"/>
          </w:tcPr>
          <w:p w14:paraId="42FF7B5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门诊病历的边写边质控功能，门诊病历和质控需一体化集成和实时提醒。医生病历签名时，根据配置的内涵质控规则对病历内容进行质控，对问题病历进行实时提醒。比如主诉不超过20个字、男性病历中出现女性描述、老人病历中出现儿童描述等；</w:t>
            </w:r>
          </w:p>
        </w:tc>
      </w:tr>
      <w:tr w14:paraId="78765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45ACD2F8">
            <w:pPr>
              <w:numPr>
                <w:ilvl w:val="0"/>
                <w:numId w:val="11"/>
              </w:numPr>
              <w:rPr>
                <w:rFonts w:ascii="宋体" w:hAnsi="宋体" w:cs="宋体"/>
                <w:color w:val="auto"/>
                <w:szCs w:val="21"/>
                <w:highlight w:val="none"/>
              </w:rPr>
            </w:pPr>
          </w:p>
        </w:tc>
        <w:tc>
          <w:tcPr>
            <w:tcW w:w="1559" w:type="dxa"/>
            <w:gridSpan w:val="2"/>
            <w:vMerge w:val="continue"/>
            <w:vAlign w:val="center"/>
          </w:tcPr>
          <w:p w14:paraId="12265308">
            <w:pPr>
              <w:widowControl/>
              <w:jc w:val="center"/>
              <w:rPr>
                <w:rFonts w:ascii="宋体" w:hAnsi="宋体" w:cs="宋体"/>
                <w:color w:val="auto"/>
                <w:kern w:val="0"/>
                <w:szCs w:val="21"/>
                <w:highlight w:val="none"/>
              </w:rPr>
            </w:pPr>
          </w:p>
        </w:tc>
        <w:tc>
          <w:tcPr>
            <w:tcW w:w="11482" w:type="dxa"/>
            <w:vAlign w:val="center"/>
          </w:tcPr>
          <w:p w14:paraId="634C12B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门诊病历质控提醒包括提醒、拦截、禁止三种类型。提醒类不卡控医生签名，且质控消息仅小弹窗提醒。拦截类和禁止类需卡控医生签名，且质控消息直接从侧边弹出，需对提醒内容整改后重新签名。</w:t>
            </w:r>
          </w:p>
        </w:tc>
      </w:tr>
      <w:tr w14:paraId="2EA96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6E11C70E">
            <w:pPr>
              <w:numPr>
                <w:ilvl w:val="0"/>
                <w:numId w:val="11"/>
              </w:numPr>
              <w:rPr>
                <w:rFonts w:ascii="宋体" w:hAnsi="宋体" w:cs="宋体"/>
                <w:color w:val="auto"/>
                <w:szCs w:val="21"/>
                <w:highlight w:val="none"/>
              </w:rPr>
            </w:pPr>
          </w:p>
        </w:tc>
        <w:tc>
          <w:tcPr>
            <w:tcW w:w="13041" w:type="dxa"/>
            <w:gridSpan w:val="3"/>
            <w:vAlign w:val="center"/>
          </w:tcPr>
          <w:p w14:paraId="3B0E4CE9">
            <w:pPr>
              <w:rPr>
                <w:rFonts w:ascii="宋体" w:hAnsi="宋体" w:cs="宋体"/>
                <w:color w:val="auto"/>
                <w:kern w:val="0"/>
                <w:szCs w:val="21"/>
                <w:highlight w:val="none"/>
              </w:rPr>
            </w:pPr>
            <w:r>
              <w:rPr>
                <w:rFonts w:hint="eastAsia"/>
                <w:color w:val="auto"/>
                <w:szCs w:val="21"/>
                <w:highlight w:val="none"/>
              </w:rPr>
              <w:t>2.8门诊病历模板管理</w:t>
            </w:r>
          </w:p>
        </w:tc>
      </w:tr>
      <w:tr w14:paraId="59A07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3393BEF6">
            <w:pPr>
              <w:numPr>
                <w:ilvl w:val="0"/>
                <w:numId w:val="11"/>
              </w:numPr>
              <w:rPr>
                <w:rFonts w:ascii="宋体" w:hAnsi="宋体" w:cs="宋体"/>
                <w:color w:val="auto"/>
                <w:szCs w:val="21"/>
                <w:highlight w:val="none"/>
              </w:rPr>
            </w:pPr>
          </w:p>
        </w:tc>
        <w:tc>
          <w:tcPr>
            <w:tcW w:w="1559" w:type="dxa"/>
            <w:gridSpan w:val="2"/>
            <w:vMerge w:val="restart"/>
            <w:vAlign w:val="center"/>
          </w:tcPr>
          <w:p w14:paraId="4611ABAC">
            <w:pPr>
              <w:widowControl/>
              <w:jc w:val="center"/>
              <w:rPr>
                <w:rFonts w:ascii="宋体" w:hAnsi="宋体" w:cs="宋体"/>
                <w:color w:val="auto"/>
                <w:kern w:val="0"/>
                <w:szCs w:val="21"/>
                <w:highlight w:val="none"/>
              </w:rPr>
            </w:pPr>
            <w:r>
              <w:rPr>
                <w:rFonts w:hint="eastAsia"/>
                <w:color w:val="auto"/>
                <w:szCs w:val="21"/>
                <w:highlight w:val="none"/>
              </w:rPr>
              <w:t>2.8.1门诊病历模板管理</w:t>
            </w:r>
          </w:p>
        </w:tc>
        <w:tc>
          <w:tcPr>
            <w:tcW w:w="11482" w:type="dxa"/>
            <w:vAlign w:val="center"/>
          </w:tcPr>
          <w:p w14:paraId="2EF3CA3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提供科室模板管理员创建和授权功能。管理员可以被授权不同的诊疗科目，授权后管理员只管理有权限科室的病历模板；</w:t>
            </w:r>
          </w:p>
        </w:tc>
      </w:tr>
      <w:tr w14:paraId="74DDC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7B45062F">
            <w:pPr>
              <w:numPr>
                <w:ilvl w:val="0"/>
                <w:numId w:val="11"/>
              </w:numPr>
              <w:rPr>
                <w:rFonts w:ascii="宋体" w:hAnsi="宋体" w:cs="宋体"/>
                <w:color w:val="auto"/>
                <w:szCs w:val="21"/>
                <w:highlight w:val="none"/>
              </w:rPr>
            </w:pPr>
          </w:p>
        </w:tc>
        <w:tc>
          <w:tcPr>
            <w:tcW w:w="1559" w:type="dxa"/>
            <w:gridSpan w:val="2"/>
            <w:vMerge w:val="continue"/>
            <w:vAlign w:val="center"/>
          </w:tcPr>
          <w:p w14:paraId="220B3DA0">
            <w:pPr>
              <w:widowControl/>
              <w:jc w:val="center"/>
              <w:rPr>
                <w:rFonts w:ascii="宋体" w:hAnsi="宋体" w:cs="宋体"/>
                <w:color w:val="auto"/>
                <w:kern w:val="0"/>
                <w:szCs w:val="21"/>
                <w:highlight w:val="none"/>
              </w:rPr>
            </w:pPr>
          </w:p>
        </w:tc>
        <w:tc>
          <w:tcPr>
            <w:tcW w:w="11482" w:type="dxa"/>
            <w:vAlign w:val="center"/>
          </w:tcPr>
          <w:p w14:paraId="2447E30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提供三级模板管理和审批功能。三级模板有全院格式模板、科室章节模板和个人数据模板；</w:t>
            </w:r>
          </w:p>
        </w:tc>
      </w:tr>
      <w:tr w14:paraId="0CBB6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7C3A67A2">
            <w:pPr>
              <w:numPr>
                <w:ilvl w:val="0"/>
                <w:numId w:val="11"/>
              </w:numPr>
              <w:rPr>
                <w:rFonts w:ascii="宋体" w:hAnsi="宋体" w:cs="宋体"/>
                <w:color w:val="auto"/>
                <w:szCs w:val="21"/>
                <w:highlight w:val="none"/>
              </w:rPr>
            </w:pPr>
          </w:p>
        </w:tc>
        <w:tc>
          <w:tcPr>
            <w:tcW w:w="1559" w:type="dxa"/>
            <w:gridSpan w:val="2"/>
            <w:vMerge w:val="continue"/>
            <w:vAlign w:val="center"/>
          </w:tcPr>
          <w:p w14:paraId="67A6BE57">
            <w:pPr>
              <w:widowControl/>
              <w:jc w:val="center"/>
              <w:rPr>
                <w:rFonts w:ascii="宋体" w:hAnsi="宋体" w:cs="宋体"/>
                <w:color w:val="auto"/>
                <w:kern w:val="0"/>
                <w:szCs w:val="21"/>
                <w:highlight w:val="none"/>
              </w:rPr>
            </w:pPr>
          </w:p>
        </w:tc>
        <w:tc>
          <w:tcPr>
            <w:tcW w:w="11482" w:type="dxa"/>
            <w:vAlign w:val="center"/>
          </w:tcPr>
          <w:p w14:paraId="02E0FFA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实现全院格式模板的统一管理。个人数据模板继承自全院格式模板并受母板管控，修改母板后所有相关模板能自动更新，包括增删改文本、元素、表格等操作；</w:t>
            </w:r>
          </w:p>
        </w:tc>
      </w:tr>
      <w:tr w14:paraId="37655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0C3D7106">
            <w:pPr>
              <w:numPr>
                <w:ilvl w:val="0"/>
                <w:numId w:val="11"/>
              </w:numPr>
              <w:rPr>
                <w:rFonts w:ascii="宋体" w:hAnsi="宋体" w:cs="宋体"/>
                <w:color w:val="auto"/>
                <w:szCs w:val="21"/>
                <w:highlight w:val="none"/>
              </w:rPr>
            </w:pPr>
          </w:p>
        </w:tc>
        <w:tc>
          <w:tcPr>
            <w:tcW w:w="1559" w:type="dxa"/>
            <w:gridSpan w:val="2"/>
            <w:vMerge w:val="continue"/>
            <w:vAlign w:val="center"/>
          </w:tcPr>
          <w:p w14:paraId="2C25ADD7">
            <w:pPr>
              <w:widowControl/>
              <w:jc w:val="center"/>
              <w:rPr>
                <w:rFonts w:ascii="宋体" w:hAnsi="宋体" w:cs="宋体"/>
                <w:color w:val="auto"/>
                <w:kern w:val="0"/>
                <w:szCs w:val="21"/>
                <w:highlight w:val="none"/>
              </w:rPr>
            </w:pPr>
          </w:p>
        </w:tc>
        <w:tc>
          <w:tcPr>
            <w:tcW w:w="11482" w:type="dxa"/>
            <w:vAlign w:val="center"/>
          </w:tcPr>
          <w:p w14:paraId="3C8AE44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提供数值、日期、单选、文本、选择、复选等元素的插入，支持图片、按钮、页眉、片段、二维码、条形码等内容的编辑；</w:t>
            </w:r>
          </w:p>
        </w:tc>
      </w:tr>
      <w:tr w14:paraId="416A6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45C9A24E">
            <w:pPr>
              <w:numPr>
                <w:ilvl w:val="0"/>
                <w:numId w:val="11"/>
              </w:numPr>
              <w:rPr>
                <w:rFonts w:ascii="宋体" w:hAnsi="宋体" w:cs="宋体"/>
                <w:color w:val="auto"/>
                <w:szCs w:val="21"/>
                <w:highlight w:val="none"/>
              </w:rPr>
            </w:pPr>
          </w:p>
        </w:tc>
        <w:tc>
          <w:tcPr>
            <w:tcW w:w="1559" w:type="dxa"/>
            <w:gridSpan w:val="2"/>
            <w:vMerge w:val="continue"/>
            <w:vAlign w:val="center"/>
          </w:tcPr>
          <w:p w14:paraId="63646B97">
            <w:pPr>
              <w:widowControl/>
              <w:jc w:val="center"/>
              <w:rPr>
                <w:rFonts w:ascii="宋体" w:hAnsi="宋体" w:cs="宋体"/>
                <w:color w:val="auto"/>
                <w:kern w:val="0"/>
                <w:szCs w:val="21"/>
                <w:highlight w:val="none"/>
              </w:rPr>
            </w:pPr>
          </w:p>
        </w:tc>
        <w:tc>
          <w:tcPr>
            <w:tcW w:w="11482" w:type="dxa"/>
            <w:vAlign w:val="center"/>
          </w:tcPr>
          <w:p w14:paraId="1E80773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支持病历内容之间的联动，包括元素与元素、元素与片段、元素与表格之间的逻辑关系联动；</w:t>
            </w:r>
          </w:p>
        </w:tc>
      </w:tr>
      <w:tr w14:paraId="726CA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29005C8E">
            <w:pPr>
              <w:numPr>
                <w:ilvl w:val="0"/>
                <w:numId w:val="11"/>
              </w:numPr>
              <w:rPr>
                <w:rFonts w:ascii="宋体" w:hAnsi="宋体" w:cs="宋体"/>
                <w:color w:val="auto"/>
                <w:szCs w:val="21"/>
                <w:highlight w:val="none"/>
              </w:rPr>
            </w:pPr>
          </w:p>
        </w:tc>
        <w:tc>
          <w:tcPr>
            <w:tcW w:w="1559" w:type="dxa"/>
            <w:gridSpan w:val="2"/>
            <w:vMerge w:val="continue"/>
            <w:vAlign w:val="center"/>
          </w:tcPr>
          <w:p w14:paraId="0DEB7BF8">
            <w:pPr>
              <w:widowControl/>
              <w:jc w:val="center"/>
              <w:rPr>
                <w:rFonts w:ascii="宋体" w:hAnsi="宋体" w:cs="宋体"/>
                <w:color w:val="auto"/>
                <w:kern w:val="0"/>
                <w:szCs w:val="21"/>
                <w:highlight w:val="none"/>
              </w:rPr>
            </w:pPr>
          </w:p>
        </w:tc>
        <w:tc>
          <w:tcPr>
            <w:tcW w:w="11482" w:type="dxa"/>
            <w:vAlign w:val="center"/>
          </w:tcPr>
          <w:p w14:paraId="1DFF9E6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支持打印隐藏元素设置，用于实现病历编辑提示信息，病历预览和打印后不显示；</w:t>
            </w:r>
          </w:p>
        </w:tc>
      </w:tr>
      <w:tr w14:paraId="28C0E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4EA6277C">
            <w:pPr>
              <w:numPr>
                <w:ilvl w:val="0"/>
                <w:numId w:val="11"/>
              </w:numPr>
              <w:rPr>
                <w:rFonts w:ascii="宋体" w:hAnsi="宋体" w:cs="宋体"/>
                <w:color w:val="auto"/>
                <w:szCs w:val="21"/>
                <w:highlight w:val="none"/>
              </w:rPr>
            </w:pPr>
          </w:p>
        </w:tc>
        <w:tc>
          <w:tcPr>
            <w:tcW w:w="1559" w:type="dxa"/>
            <w:gridSpan w:val="2"/>
            <w:vMerge w:val="continue"/>
            <w:vAlign w:val="center"/>
          </w:tcPr>
          <w:p w14:paraId="57459AC9">
            <w:pPr>
              <w:widowControl/>
              <w:jc w:val="center"/>
              <w:rPr>
                <w:rFonts w:ascii="宋体" w:hAnsi="宋体" w:cs="宋体"/>
                <w:color w:val="auto"/>
                <w:kern w:val="0"/>
                <w:szCs w:val="21"/>
                <w:highlight w:val="none"/>
              </w:rPr>
            </w:pPr>
          </w:p>
        </w:tc>
        <w:tc>
          <w:tcPr>
            <w:tcW w:w="11482" w:type="dxa"/>
            <w:vAlign w:val="center"/>
          </w:tcPr>
          <w:p w14:paraId="244FE99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病历模板打印格式的自定义功能。做模板时定义病历打印格式脚本，在模板制作页面即可预览打印格式，实现病历书写和打印的分离。打印脚本支持整个章节的显示或隐藏、元素的显示或隐藏、打印内容的重组等；</w:t>
            </w:r>
          </w:p>
        </w:tc>
      </w:tr>
      <w:tr w14:paraId="5A8F8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0C6F5778">
            <w:pPr>
              <w:numPr>
                <w:ilvl w:val="0"/>
                <w:numId w:val="11"/>
              </w:numPr>
              <w:rPr>
                <w:rFonts w:ascii="宋体" w:hAnsi="宋体" w:cs="宋体"/>
                <w:color w:val="auto"/>
                <w:szCs w:val="21"/>
                <w:highlight w:val="none"/>
              </w:rPr>
            </w:pPr>
          </w:p>
        </w:tc>
        <w:tc>
          <w:tcPr>
            <w:tcW w:w="1559" w:type="dxa"/>
            <w:gridSpan w:val="2"/>
            <w:vMerge w:val="continue"/>
            <w:vAlign w:val="center"/>
          </w:tcPr>
          <w:p w14:paraId="267B5E74">
            <w:pPr>
              <w:widowControl/>
              <w:jc w:val="center"/>
              <w:rPr>
                <w:rFonts w:ascii="宋体" w:hAnsi="宋体" w:cs="宋体"/>
                <w:color w:val="auto"/>
                <w:kern w:val="0"/>
                <w:szCs w:val="21"/>
                <w:highlight w:val="none"/>
              </w:rPr>
            </w:pPr>
          </w:p>
        </w:tc>
        <w:tc>
          <w:tcPr>
            <w:tcW w:w="11482" w:type="dxa"/>
            <w:vAlign w:val="center"/>
          </w:tcPr>
          <w:p w14:paraId="65E3430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提供模板批量管理。包括批量改元素属性、批量替换章节内容、批量替换页眉等。对于同一类模板的共性修改，制作人员不需要逐一操作，批量替换以提高工作效率；</w:t>
            </w:r>
          </w:p>
        </w:tc>
      </w:tr>
      <w:tr w14:paraId="33720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4E5EF51B">
            <w:pPr>
              <w:numPr>
                <w:ilvl w:val="0"/>
                <w:numId w:val="11"/>
              </w:numPr>
              <w:rPr>
                <w:rFonts w:ascii="宋体" w:hAnsi="宋体" w:cs="宋体"/>
                <w:color w:val="auto"/>
                <w:szCs w:val="21"/>
                <w:highlight w:val="none"/>
              </w:rPr>
            </w:pPr>
          </w:p>
        </w:tc>
        <w:tc>
          <w:tcPr>
            <w:tcW w:w="1559" w:type="dxa"/>
            <w:gridSpan w:val="2"/>
            <w:vMerge w:val="continue"/>
            <w:vAlign w:val="center"/>
          </w:tcPr>
          <w:p w14:paraId="2BEDD9C3">
            <w:pPr>
              <w:widowControl/>
              <w:jc w:val="center"/>
              <w:rPr>
                <w:rFonts w:ascii="宋体" w:hAnsi="宋体" w:cs="宋体"/>
                <w:color w:val="auto"/>
                <w:kern w:val="0"/>
                <w:szCs w:val="21"/>
                <w:highlight w:val="none"/>
              </w:rPr>
            </w:pPr>
          </w:p>
        </w:tc>
        <w:tc>
          <w:tcPr>
            <w:tcW w:w="11482" w:type="dxa"/>
            <w:vAlign w:val="center"/>
          </w:tcPr>
          <w:p w14:paraId="5EC7D63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支持病历模板的一处制作多处订阅功能。当医院有多个院区时，各院区可以从中心订阅模板，避免模板的重复制作。</w:t>
            </w:r>
          </w:p>
        </w:tc>
      </w:tr>
    </w:tbl>
    <w:p w14:paraId="399089F8">
      <w:pPr>
        <w:rPr>
          <w:color w:val="auto"/>
          <w:highlight w:val="none"/>
        </w:rPr>
      </w:pPr>
    </w:p>
    <w:p w14:paraId="7909B2C0">
      <w:pPr>
        <w:rPr>
          <w:color w:val="auto"/>
          <w:highlight w:val="none"/>
        </w:rPr>
      </w:pPr>
    </w:p>
    <w:p w14:paraId="041B70C8">
      <w:pPr>
        <w:rPr>
          <w:color w:val="auto"/>
          <w:highlight w:val="none"/>
        </w:rPr>
      </w:pPr>
    </w:p>
    <w:p w14:paraId="2BC2540B">
      <w:pPr>
        <w:rPr>
          <w:color w:val="auto"/>
          <w:highlight w:val="none"/>
        </w:rPr>
      </w:pPr>
    </w:p>
    <w:p w14:paraId="591EE3FD">
      <w:pPr>
        <w:rPr>
          <w:color w:val="auto"/>
          <w:highlight w:val="none"/>
        </w:rPr>
      </w:pPr>
    </w:p>
    <w:p w14:paraId="111D5161">
      <w:pPr>
        <w:pStyle w:val="4"/>
        <w:numPr>
          <w:ilvl w:val="2"/>
          <w:numId w:val="9"/>
        </w:numPr>
        <w:spacing w:before="0" w:after="0" w:line="360" w:lineRule="auto"/>
        <w:ind w:left="567" w:hanging="567"/>
        <w:rPr>
          <w:color w:val="auto"/>
          <w:sz w:val="24"/>
          <w:highlight w:val="none"/>
        </w:rPr>
      </w:pPr>
      <w:r>
        <w:rPr>
          <w:rFonts w:hint="eastAsia" w:eastAsia="宋体"/>
          <w:color w:val="auto"/>
          <w:kern w:val="2"/>
          <w:sz w:val="24"/>
          <w:szCs w:val="24"/>
          <w:highlight w:val="none"/>
        </w:rPr>
        <w:t>住院医生站建设需求</w:t>
      </w:r>
    </w:p>
    <w:tbl>
      <w:tblPr>
        <w:tblStyle w:val="43"/>
        <w:tblW w:w="143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9"/>
        <w:gridCol w:w="1701"/>
        <w:gridCol w:w="11462"/>
      </w:tblGrid>
      <w:tr w14:paraId="65929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189" w:type="dxa"/>
            <w:vAlign w:val="center"/>
          </w:tcPr>
          <w:p w14:paraId="2CC7C25E">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需求名称</w:t>
            </w:r>
          </w:p>
        </w:tc>
        <w:tc>
          <w:tcPr>
            <w:tcW w:w="1701" w:type="dxa"/>
            <w:vAlign w:val="center"/>
          </w:tcPr>
          <w:p w14:paraId="0678589C">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序号</w:t>
            </w:r>
          </w:p>
        </w:tc>
        <w:tc>
          <w:tcPr>
            <w:tcW w:w="11462" w:type="dxa"/>
            <w:vAlign w:val="center"/>
          </w:tcPr>
          <w:p w14:paraId="51EBFE96">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需求描述</w:t>
            </w:r>
          </w:p>
        </w:tc>
      </w:tr>
      <w:tr w14:paraId="72F53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1189" w:type="dxa"/>
            <w:vMerge w:val="restart"/>
            <w:vAlign w:val="center"/>
          </w:tcPr>
          <w:p w14:paraId="43B34680">
            <w:pPr>
              <w:numPr>
                <w:ilvl w:val="0"/>
                <w:numId w:val="11"/>
              </w:numPr>
              <w:rPr>
                <w:rFonts w:ascii="宋体" w:hAnsi="宋体" w:cs="宋体"/>
                <w:color w:val="auto"/>
                <w:kern w:val="0"/>
                <w:szCs w:val="21"/>
                <w:highlight w:val="none"/>
              </w:rPr>
            </w:pPr>
            <w:r>
              <w:rPr>
                <w:rFonts w:hint="eastAsia" w:ascii="宋体" w:hAnsi="宋体" w:cs="宋体"/>
                <w:color w:val="auto"/>
                <w:kern w:val="0"/>
                <w:szCs w:val="21"/>
                <w:highlight w:val="none"/>
              </w:rPr>
              <w:t>住院医生站</w:t>
            </w:r>
          </w:p>
        </w:tc>
        <w:tc>
          <w:tcPr>
            <w:tcW w:w="13163" w:type="dxa"/>
            <w:gridSpan w:val="2"/>
            <w:vAlign w:val="center"/>
          </w:tcPr>
          <w:p w14:paraId="4FA473A4">
            <w:pPr>
              <w:numPr>
                <w:ilvl w:val="1"/>
                <w:numId w:val="11"/>
              </w:numPr>
              <w:ind w:left="0" w:firstLine="0"/>
              <w:rPr>
                <w:rFonts w:ascii="宋体" w:hAnsi="宋体" w:cs="宋体"/>
                <w:color w:val="auto"/>
                <w:kern w:val="0"/>
                <w:szCs w:val="21"/>
                <w:highlight w:val="none"/>
              </w:rPr>
            </w:pPr>
            <w:r>
              <w:rPr>
                <w:rFonts w:ascii="宋体" w:hAnsi="宋体" w:cs="宋体"/>
                <w:color w:val="auto"/>
                <w:kern w:val="0"/>
                <w:szCs w:val="21"/>
                <w:highlight w:val="none"/>
              </w:rPr>
              <w:t>主页管</w:t>
            </w:r>
            <w:r>
              <w:rPr>
                <w:rFonts w:hint="eastAsia" w:ascii="宋体" w:hAnsi="宋体" w:cs="宋体"/>
                <w:color w:val="auto"/>
                <w:kern w:val="0"/>
                <w:szCs w:val="21"/>
                <w:highlight w:val="none"/>
              </w:rPr>
              <w:t>理</w:t>
            </w:r>
          </w:p>
        </w:tc>
      </w:tr>
      <w:tr w14:paraId="52A0C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1189" w:type="dxa"/>
            <w:vMerge w:val="continue"/>
            <w:vAlign w:val="center"/>
          </w:tcPr>
          <w:p w14:paraId="4555CE1E">
            <w:pPr>
              <w:widowControl/>
              <w:jc w:val="left"/>
              <w:rPr>
                <w:rFonts w:ascii="宋体" w:hAnsi="宋体" w:cs="宋体"/>
                <w:color w:val="auto"/>
                <w:kern w:val="0"/>
                <w:szCs w:val="21"/>
                <w:highlight w:val="none"/>
              </w:rPr>
            </w:pPr>
          </w:p>
        </w:tc>
        <w:tc>
          <w:tcPr>
            <w:tcW w:w="1701" w:type="dxa"/>
            <w:vAlign w:val="center"/>
          </w:tcPr>
          <w:p w14:paraId="07D13C14">
            <w:pPr>
              <w:numPr>
                <w:ilvl w:val="2"/>
                <w:numId w:val="11"/>
              </w:numPr>
              <w:ind w:left="0" w:firstLine="0"/>
              <w:rPr>
                <w:rFonts w:ascii="宋体" w:hAnsi="宋体"/>
                <w:color w:val="auto"/>
                <w:highlight w:val="none"/>
              </w:rPr>
            </w:pPr>
            <w:r>
              <w:rPr>
                <w:rFonts w:hint="eastAsia" w:ascii="宋体" w:hAnsi="宋体"/>
                <w:color w:val="auto"/>
                <w:highlight w:val="none"/>
              </w:rPr>
              <w:t>今日病人</w:t>
            </w:r>
          </w:p>
        </w:tc>
        <w:tc>
          <w:tcPr>
            <w:tcW w:w="11462" w:type="dxa"/>
            <w:vAlign w:val="center"/>
          </w:tcPr>
          <w:p w14:paraId="00FA8351">
            <w:pPr>
              <w:numPr>
                <w:ilvl w:val="0"/>
                <w:numId w:val="12"/>
              </w:numPr>
              <w:tabs>
                <w:tab w:val="left" w:pos="525"/>
                <w:tab w:val="left" w:pos="630"/>
              </w:tabs>
              <w:spacing w:line="360" w:lineRule="auto"/>
              <w:rPr>
                <w:rFonts w:ascii="宋体" w:hAnsi="宋体" w:cs="宋体"/>
                <w:bCs/>
                <w:color w:val="auto"/>
                <w:szCs w:val="21"/>
                <w:highlight w:val="none"/>
                <w:shd w:val="clear" w:color="auto" w:fill="FFFF00"/>
              </w:rPr>
            </w:pPr>
            <w:r>
              <w:rPr>
                <w:rFonts w:hint="eastAsia" w:ascii="宋体" w:hAnsi="宋体" w:cs="宋体"/>
                <w:bCs/>
                <w:color w:val="auto"/>
                <w:szCs w:val="21"/>
                <w:highlight w:val="none"/>
              </w:rPr>
              <w:t>根据医生今日病人管理，为医生提供病人主页内容。通过后台配置化操作提供医生今日病人列表，包括“科室今日入院病人、今日出院病人、今日手术病人、转入转出、借床”等信息。</w:t>
            </w:r>
          </w:p>
          <w:p w14:paraId="258C68CF">
            <w:pPr>
              <w:numPr>
                <w:ilvl w:val="0"/>
                <w:numId w:val="12"/>
              </w:numPr>
              <w:tabs>
                <w:tab w:val="left" w:pos="525"/>
                <w:tab w:val="left" w:pos="630"/>
              </w:tabs>
              <w:spacing w:line="360" w:lineRule="auto"/>
              <w:rPr>
                <w:rFonts w:ascii="宋体" w:hAnsi="宋体" w:cs="宋体"/>
                <w:bCs/>
                <w:color w:val="auto"/>
                <w:szCs w:val="21"/>
                <w:highlight w:val="none"/>
                <w:shd w:val="clear" w:color="auto" w:fill="FFFF00"/>
              </w:rPr>
            </w:pPr>
            <w:r>
              <w:rPr>
                <w:rFonts w:hint="eastAsia" w:ascii="宋体" w:hAnsi="宋体" w:cs="宋体"/>
                <w:bCs/>
                <w:color w:val="auto"/>
                <w:szCs w:val="21"/>
                <w:highlight w:val="none"/>
              </w:rPr>
              <w:t>支持分类显示：支持按大科</w:t>
            </w:r>
            <w:r>
              <w:rPr>
                <w:rFonts w:ascii="宋体" w:hAnsi="宋体" w:cs="宋体"/>
                <w:bCs/>
                <w:color w:val="auto"/>
                <w:szCs w:val="21"/>
                <w:highlight w:val="none"/>
              </w:rPr>
              <w:t>/中心、专科、亚专科、治疗组、主管医生、病房分类显示。支持同时显示本科室病区及在其他病区借床病人。</w:t>
            </w:r>
            <w:r>
              <w:rPr>
                <w:rFonts w:hint="eastAsia" w:ascii="宋体" w:hAnsi="宋体" w:cs="宋体"/>
                <w:bCs/>
                <w:color w:val="auto"/>
                <w:szCs w:val="21"/>
                <w:highlight w:val="none"/>
              </w:rPr>
              <w:t>病人图标要同时显示病区和床号。</w:t>
            </w:r>
          </w:p>
          <w:p w14:paraId="169D9163">
            <w:pPr>
              <w:numPr>
                <w:ilvl w:val="0"/>
                <w:numId w:val="12"/>
              </w:numPr>
              <w:rPr>
                <w:color w:val="auto"/>
                <w:highlight w:val="none"/>
              </w:rPr>
            </w:pPr>
            <w:r>
              <w:rPr>
                <w:rFonts w:hint="eastAsia" w:ascii="宋体" w:hAnsi="宋体" w:cs="宋体"/>
                <w:bCs/>
                <w:color w:val="auto"/>
                <w:szCs w:val="21"/>
                <w:highlight w:val="none"/>
              </w:rPr>
              <w:t>支持不同的展示方式，包括列表、图标。</w:t>
            </w:r>
            <w:r>
              <w:rPr>
                <w:rFonts w:hint="eastAsia" w:ascii="宋体" w:hAnsi="宋体" w:cs="宋体"/>
                <w:color w:val="auto"/>
                <w:highlight w:val="none"/>
              </w:rPr>
              <w:t>（申请病历电子章）</w:t>
            </w:r>
            <w:r>
              <w:rPr>
                <w:rFonts w:ascii="宋体" w:hAnsi="宋体" w:cs="宋体"/>
                <w:color w:val="auto"/>
                <w:highlight w:val="none"/>
              </w:rPr>
              <w:t xml:space="preserve"> </w:t>
            </w:r>
          </w:p>
          <w:p w14:paraId="35DF4D2F">
            <w:pPr>
              <w:numPr>
                <w:ilvl w:val="0"/>
                <w:numId w:val="12"/>
              </w:numPr>
              <w:rPr>
                <w:color w:val="auto"/>
                <w:highlight w:val="none"/>
              </w:rPr>
            </w:pPr>
            <w:r>
              <w:rPr>
                <w:rFonts w:hint="eastAsia" w:ascii="宋体" w:hAnsi="宋体" w:cs="宋体"/>
                <w:bCs/>
                <w:color w:val="auto"/>
                <w:szCs w:val="21"/>
                <w:highlight w:val="none"/>
              </w:rPr>
              <w:t>支持生成今日患者统计表：统计在院、出院、转科、手术、四级手术、病重患者数量，自动生成交接班信息，传到交接班系统。</w:t>
            </w:r>
          </w:p>
        </w:tc>
      </w:tr>
      <w:tr w14:paraId="14BB3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189" w:type="dxa"/>
            <w:vMerge w:val="continue"/>
            <w:vAlign w:val="center"/>
          </w:tcPr>
          <w:p w14:paraId="7D11425F">
            <w:pPr>
              <w:widowControl/>
              <w:jc w:val="left"/>
              <w:rPr>
                <w:rFonts w:ascii="宋体" w:hAnsi="宋体" w:cs="宋体"/>
                <w:color w:val="auto"/>
                <w:kern w:val="0"/>
                <w:szCs w:val="21"/>
                <w:highlight w:val="none"/>
              </w:rPr>
            </w:pPr>
          </w:p>
        </w:tc>
        <w:tc>
          <w:tcPr>
            <w:tcW w:w="1701" w:type="dxa"/>
            <w:vAlign w:val="center"/>
          </w:tcPr>
          <w:p w14:paraId="1A2C396A">
            <w:pPr>
              <w:numPr>
                <w:ilvl w:val="2"/>
                <w:numId w:val="11"/>
              </w:numPr>
              <w:ind w:left="0" w:firstLine="0"/>
              <w:rPr>
                <w:rFonts w:ascii="宋体" w:hAnsi="宋体"/>
                <w:color w:val="auto"/>
                <w:highlight w:val="none"/>
              </w:rPr>
            </w:pPr>
            <w:r>
              <w:rPr>
                <w:rFonts w:hint="eastAsia" w:ascii="宋体" w:hAnsi="宋体"/>
                <w:color w:val="auto"/>
                <w:highlight w:val="none"/>
              </w:rPr>
              <w:t>流转处理</w:t>
            </w:r>
          </w:p>
        </w:tc>
        <w:tc>
          <w:tcPr>
            <w:tcW w:w="11462" w:type="dxa"/>
            <w:vAlign w:val="center"/>
          </w:tcPr>
          <w:p w14:paraId="2DA3579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系统病人流转业务处理，将业务流转病人处理事项进行集成，内容包括：会诊管理、手术管理、他科治疗管理等。例如在会诊管理中，能第一时间接收到会诊消息，且能及时查看到病人详情和病历等资料，系统应能提供快速显示界面，提供医生查询，并且具有独立会诊患者列表，能显示会诊的紧急情况，能查看会诊的状态（如收到申请单、接受会诊、会诊完成等）；医生可快速查看资料，在会诊消息界面书写会诊意见，会诊单书写完毕后会自动生成在电子病历会诊记录中。</w:t>
            </w:r>
          </w:p>
          <w:p w14:paraId="6E63617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电脑端会诊提醒方式采用冒泡提醒，不使用弹窗。</w:t>
            </w:r>
          </w:p>
          <w:p w14:paraId="759FF65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支持会诊消息短信、OA推送。</w:t>
            </w:r>
          </w:p>
        </w:tc>
      </w:tr>
      <w:tr w14:paraId="4A9E5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vAlign w:val="center"/>
          </w:tcPr>
          <w:p w14:paraId="6CE0205E">
            <w:pPr>
              <w:widowControl/>
              <w:jc w:val="left"/>
              <w:rPr>
                <w:rFonts w:ascii="宋体" w:hAnsi="宋体" w:cs="宋体"/>
                <w:color w:val="auto"/>
                <w:kern w:val="0"/>
                <w:szCs w:val="21"/>
                <w:highlight w:val="none"/>
              </w:rPr>
            </w:pPr>
          </w:p>
        </w:tc>
        <w:tc>
          <w:tcPr>
            <w:tcW w:w="1701" w:type="dxa"/>
            <w:vAlign w:val="center"/>
          </w:tcPr>
          <w:p w14:paraId="6D46A258">
            <w:pPr>
              <w:numPr>
                <w:ilvl w:val="2"/>
                <w:numId w:val="11"/>
              </w:numPr>
              <w:ind w:left="0" w:firstLine="0"/>
              <w:rPr>
                <w:rFonts w:ascii="宋体" w:hAnsi="宋体"/>
                <w:color w:val="auto"/>
                <w:highlight w:val="none"/>
              </w:rPr>
            </w:pPr>
            <w:r>
              <w:rPr>
                <w:rFonts w:hint="eastAsia" w:ascii="宋体" w:hAnsi="宋体"/>
                <w:color w:val="auto"/>
                <w:highlight w:val="none"/>
              </w:rPr>
              <w:t>日常业务处理</w:t>
            </w:r>
          </w:p>
        </w:tc>
        <w:tc>
          <w:tcPr>
            <w:tcW w:w="11462" w:type="dxa"/>
            <w:vAlign w:val="center"/>
          </w:tcPr>
          <w:p w14:paraId="49CEEEE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基于后台配置化主页内容，将医生日常业务交互工作集成至主页，方便集中查看处理及统计。集成内容可由后台进行界面配置管理，内容包含且不限于：与护士站信息流转的问题医嘱处理、今日转入转出病人提示、基于业务权限所管辖的待审批申请、与事后处方管理对接的医嘱点评、抗菌药物超限期提醒等内容。</w:t>
            </w:r>
          </w:p>
          <w:p w14:paraId="22AFBAC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住院医生工作站要支持移动端使用，包括查看医嘱，查看检查检验预约时间、影像（静态和动态图像）及结果，查看病历、护理记录，查看会诊信息、查看会诊病人信息，支持上传患者外院病历及报告，支持文字识别上传内容。移动端支持显示当日科室患者基础数据，包括在院、出院、转科、手术、四级手术、病重患者数量。</w:t>
            </w:r>
          </w:p>
        </w:tc>
      </w:tr>
      <w:tr w14:paraId="68A26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vAlign w:val="center"/>
          </w:tcPr>
          <w:p w14:paraId="37332E8B">
            <w:pPr>
              <w:widowControl/>
              <w:jc w:val="left"/>
              <w:rPr>
                <w:rFonts w:ascii="宋体" w:hAnsi="宋体" w:cs="宋体"/>
                <w:color w:val="auto"/>
                <w:kern w:val="0"/>
                <w:szCs w:val="21"/>
                <w:highlight w:val="none"/>
              </w:rPr>
            </w:pPr>
          </w:p>
        </w:tc>
        <w:tc>
          <w:tcPr>
            <w:tcW w:w="13163" w:type="dxa"/>
            <w:gridSpan w:val="2"/>
            <w:vAlign w:val="center"/>
          </w:tcPr>
          <w:p w14:paraId="418D6682">
            <w:pPr>
              <w:numPr>
                <w:ilvl w:val="1"/>
                <w:numId w:val="11"/>
              </w:numPr>
              <w:ind w:left="0" w:firstLine="0"/>
              <w:rPr>
                <w:rFonts w:ascii="宋体" w:hAnsi="宋体" w:cs="宋体"/>
                <w:color w:val="auto"/>
                <w:kern w:val="0"/>
                <w:szCs w:val="21"/>
                <w:highlight w:val="none"/>
              </w:rPr>
            </w:pPr>
            <w:r>
              <w:rPr>
                <w:color w:val="auto"/>
                <w:highlight w:val="none"/>
              </w:rPr>
              <w:t>患者管理</w:t>
            </w:r>
          </w:p>
        </w:tc>
      </w:tr>
      <w:tr w14:paraId="69D38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vAlign w:val="center"/>
          </w:tcPr>
          <w:p w14:paraId="390FD13A">
            <w:pPr>
              <w:widowControl/>
              <w:jc w:val="left"/>
              <w:rPr>
                <w:rFonts w:ascii="宋体" w:hAnsi="宋体" w:cs="宋体"/>
                <w:color w:val="auto"/>
                <w:kern w:val="0"/>
                <w:szCs w:val="21"/>
                <w:highlight w:val="none"/>
              </w:rPr>
            </w:pPr>
          </w:p>
        </w:tc>
        <w:tc>
          <w:tcPr>
            <w:tcW w:w="1701" w:type="dxa"/>
            <w:vAlign w:val="center"/>
          </w:tcPr>
          <w:p w14:paraId="2EDA7729">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患者管理</w:t>
            </w:r>
          </w:p>
        </w:tc>
        <w:tc>
          <w:tcPr>
            <w:tcW w:w="11462" w:type="dxa"/>
            <w:vAlign w:val="center"/>
          </w:tcPr>
          <w:p w14:paraId="0E1A389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病人检索管理，系统支持通过各种形式对病人进行筛选处理，如根据患者床号、病案号、姓名等条件快速定位患者；根据科室（大科/中心、专科、亚专科）、诊疗组、我手术患者等条件快速筛选患者；根据已转科、已出院、已归档等类别，对患者快速分类、过滤显示；根据病人护理等级及危重情况的标注与快速筛选；根据诊断、手术名称检索筛选病例。</w:t>
            </w:r>
          </w:p>
          <w:p w14:paraId="1EFA94E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快捷病人详卡展示操作，点击病人姓名，即可展示病人详细信息，病人信息包括：姓名、性别、年龄、住院号、床号、病区、主管医师、医保情况、欠费情况、护理级别、手术状态等；并在界面中对标电子病历评审要求，集成</w:t>
            </w:r>
            <w:r>
              <w:rPr>
                <w:rFonts w:ascii="宋体" w:hAnsi="宋体" w:cs="宋体"/>
                <w:bCs/>
                <w:color w:val="auto"/>
                <w:szCs w:val="21"/>
                <w:highlight w:val="none"/>
              </w:rPr>
              <w:t>360集成视图，展现病人全过程诊疗记录；</w:t>
            </w:r>
          </w:p>
          <w:p w14:paraId="0E2F792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支持对院前准备患者、日间手术患者等待入院患者的审核，可自定义配置审核流程</w:t>
            </w:r>
            <w:r>
              <w:rPr>
                <w:rFonts w:hint="eastAsia" w:ascii="宋体" w:hAnsi="宋体" w:cs="宋体"/>
                <w:bCs/>
                <w:color w:val="auto"/>
                <w:szCs w:val="21"/>
                <w:highlight w:val="none"/>
              </w:rPr>
              <w:t>；</w:t>
            </w:r>
          </w:p>
          <w:p w14:paraId="4E46893B">
            <w:pPr>
              <w:numPr>
                <w:ilvl w:val="0"/>
                <w:numId w:val="12"/>
              </w:numPr>
              <w:tabs>
                <w:tab w:val="left" w:pos="525"/>
                <w:tab w:val="left" w:pos="630"/>
              </w:tabs>
              <w:rPr>
                <w:rFonts w:ascii="宋体" w:hAnsi="宋体" w:cs="宋体"/>
                <w:bCs/>
                <w:color w:val="auto"/>
                <w:szCs w:val="21"/>
                <w:highlight w:val="none"/>
              </w:rPr>
            </w:pPr>
            <w:r>
              <w:rPr>
                <w:rFonts w:hint="eastAsia" w:ascii="宋体" w:hAnsi="宋体" w:cs="宋体"/>
                <w:bCs/>
                <w:color w:val="auto"/>
                <w:szCs w:val="21"/>
                <w:highlight w:val="none"/>
              </w:rPr>
              <w:t>支持查看分娩室病区的患者，并支持分娩室医生、患者住院科室医生同时管理患者。</w:t>
            </w:r>
          </w:p>
          <w:p w14:paraId="030B76A7">
            <w:pPr>
              <w:numPr>
                <w:ilvl w:val="0"/>
                <w:numId w:val="12"/>
              </w:numPr>
              <w:tabs>
                <w:tab w:val="left" w:pos="525"/>
                <w:tab w:val="left" w:pos="630"/>
              </w:tabs>
              <w:rPr>
                <w:rFonts w:ascii="宋体" w:hAnsi="宋体" w:cs="宋体"/>
                <w:bCs/>
                <w:color w:val="auto"/>
                <w:szCs w:val="21"/>
                <w:highlight w:val="none"/>
              </w:rPr>
            </w:pPr>
            <w:r>
              <w:rPr>
                <w:rFonts w:hint="eastAsia" w:ascii="宋体" w:hAnsi="宋体" w:cs="宋体"/>
                <w:bCs/>
                <w:color w:val="auto"/>
                <w:szCs w:val="21"/>
                <w:highlight w:val="none"/>
              </w:rPr>
              <w:t>支持借床科室医生、患者住院科室医生同时管理患者。（A病区的患者借床在B，A、B的医生都能看患者病历）</w:t>
            </w:r>
          </w:p>
        </w:tc>
      </w:tr>
      <w:tr w14:paraId="599CB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vAlign w:val="center"/>
          </w:tcPr>
          <w:p w14:paraId="73C0294A">
            <w:pPr>
              <w:widowControl/>
              <w:jc w:val="left"/>
              <w:rPr>
                <w:rFonts w:ascii="宋体" w:hAnsi="宋体" w:cs="宋体"/>
                <w:color w:val="auto"/>
                <w:kern w:val="0"/>
                <w:szCs w:val="21"/>
                <w:highlight w:val="none"/>
              </w:rPr>
            </w:pPr>
          </w:p>
        </w:tc>
        <w:tc>
          <w:tcPr>
            <w:tcW w:w="13163" w:type="dxa"/>
            <w:gridSpan w:val="2"/>
            <w:vAlign w:val="center"/>
          </w:tcPr>
          <w:p w14:paraId="2DFCE2FC">
            <w:pPr>
              <w:numPr>
                <w:ilvl w:val="1"/>
                <w:numId w:val="11"/>
              </w:numPr>
              <w:ind w:left="0" w:firstLine="0"/>
              <w:rPr>
                <w:rFonts w:ascii="宋体" w:hAnsi="宋体" w:cs="宋体"/>
                <w:color w:val="auto"/>
                <w:kern w:val="0"/>
                <w:szCs w:val="21"/>
                <w:highlight w:val="none"/>
              </w:rPr>
            </w:pPr>
            <w:r>
              <w:rPr>
                <w:color w:val="auto"/>
                <w:highlight w:val="none"/>
              </w:rPr>
              <w:t>住院诊断管理</w:t>
            </w:r>
          </w:p>
        </w:tc>
      </w:tr>
      <w:tr w14:paraId="7F8A2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vAlign w:val="center"/>
          </w:tcPr>
          <w:p w14:paraId="6BD826C6">
            <w:pPr>
              <w:widowControl/>
              <w:jc w:val="left"/>
              <w:rPr>
                <w:rFonts w:ascii="宋体" w:hAnsi="宋体" w:cs="宋体"/>
                <w:color w:val="auto"/>
                <w:kern w:val="0"/>
                <w:szCs w:val="21"/>
                <w:highlight w:val="none"/>
              </w:rPr>
            </w:pPr>
          </w:p>
        </w:tc>
        <w:tc>
          <w:tcPr>
            <w:tcW w:w="1701" w:type="dxa"/>
            <w:vAlign w:val="center"/>
          </w:tcPr>
          <w:p w14:paraId="5E54641A">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住院诊断管理</w:t>
            </w:r>
          </w:p>
        </w:tc>
        <w:tc>
          <w:tcPr>
            <w:tcW w:w="11462" w:type="dxa"/>
            <w:vAlign w:val="center"/>
          </w:tcPr>
          <w:p w14:paraId="6691221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对病人诊断进行集中管理的模式。在同一界面中提供初步诊断、入院诊断、修正诊断、补充诊断、出院诊断等多种诊断过程管理功能。并支持住院诊断规范化管理，对标ICD-10标准编码（对标版本根据医院使用版本决定）及自定义临床诊断名称描述。</w:t>
            </w:r>
          </w:p>
          <w:p w14:paraId="68D6CF9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通过诊断中对主诊断、副诊断的关联，将疫病报卡、临床路径与诊断关联，实现诊断下达的同时实现疫病登记及临床路径导入功能（自动带入传染病保卡信息）。并支持诊断与病历信息对接，实现诊断录入完成后病历诊断数据自动导入。支持导入患者既往门诊、住院诊断。</w:t>
            </w:r>
          </w:p>
          <w:p w14:paraId="13E67C8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支持AI辅助诊断。</w:t>
            </w:r>
          </w:p>
          <w:p w14:paraId="0C44AC2D">
            <w:pPr>
              <w:numPr>
                <w:ilvl w:val="0"/>
                <w:numId w:val="12"/>
              </w:numPr>
              <w:tabs>
                <w:tab w:val="left" w:pos="525"/>
                <w:tab w:val="left" w:pos="630"/>
              </w:tabs>
              <w:spacing w:line="360" w:lineRule="auto"/>
              <w:rPr>
                <w:rFonts w:ascii="宋体" w:hAnsi="宋体" w:cs="宋体"/>
                <w:bCs/>
                <w:color w:val="auto"/>
                <w:szCs w:val="21"/>
                <w:highlight w:val="none"/>
              </w:rPr>
            </w:pPr>
            <w:r>
              <w:rPr>
                <w:color w:val="auto"/>
                <w:highlight w:val="none"/>
              </w:rPr>
              <w:t>查阅报告时，对于有多正常参考值的测量项目能够 根据测量结果和病人年龄、性别、诊断、生理指标等， 自动给出正常结果的判断与提示。</w:t>
            </w:r>
          </w:p>
          <w:p w14:paraId="418DFF5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支持录入诊断时，可查看该诊断对应的DRG分值。</w:t>
            </w:r>
          </w:p>
        </w:tc>
      </w:tr>
      <w:tr w14:paraId="3ACB1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189" w:type="dxa"/>
            <w:vMerge w:val="continue"/>
            <w:vAlign w:val="center"/>
          </w:tcPr>
          <w:p w14:paraId="72A2D8F4">
            <w:pPr>
              <w:widowControl/>
              <w:jc w:val="left"/>
              <w:rPr>
                <w:rFonts w:ascii="宋体" w:hAnsi="宋体" w:cs="宋体"/>
                <w:color w:val="auto"/>
                <w:kern w:val="0"/>
                <w:szCs w:val="21"/>
                <w:highlight w:val="none"/>
              </w:rPr>
            </w:pPr>
          </w:p>
        </w:tc>
        <w:tc>
          <w:tcPr>
            <w:tcW w:w="13163" w:type="dxa"/>
            <w:gridSpan w:val="2"/>
            <w:vAlign w:val="center"/>
          </w:tcPr>
          <w:p w14:paraId="6C6A083E">
            <w:pPr>
              <w:numPr>
                <w:ilvl w:val="1"/>
                <w:numId w:val="11"/>
              </w:numPr>
              <w:ind w:left="0" w:firstLine="0"/>
              <w:rPr>
                <w:rFonts w:ascii="宋体" w:hAnsi="宋体" w:cs="宋体"/>
                <w:bCs/>
                <w:color w:val="auto"/>
                <w:szCs w:val="21"/>
                <w:highlight w:val="none"/>
              </w:rPr>
            </w:pPr>
            <w:r>
              <w:rPr>
                <w:color w:val="auto"/>
                <w:highlight w:val="none"/>
              </w:rPr>
              <w:t>住院医嘱管理</w:t>
            </w:r>
          </w:p>
        </w:tc>
      </w:tr>
      <w:tr w14:paraId="0F77E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vAlign w:val="center"/>
          </w:tcPr>
          <w:p w14:paraId="1C94874A">
            <w:pPr>
              <w:widowControl/>
              <w:jc w:val="left"/>
              <w:rPr>
                <w:rFonts w:ascii="宋体" w:hAnsi="宋体" w:cs="宋体"/>
                <w:color w:val="auto"/>
                <w:kern w:val="0"/>
                <w:szCs w:val="21"/>
                <w:highlight w:val="none"/>
              </w:rPr>
            </w:pPr>
          </w:p>
        </w:tc>
        <w:tc>
          <w:tcPr>
            <w:tcW w:w="1701" w:type="dxa"/>
            <w:vAlign w:val="center"/>
          </w:tcPr>
          <w:p w14:paraId="0916EFF6">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住院医嘱录入模式</w:t>
            </w:r>
          </w:p>
        </w:tc>
        <w:tc>
          <w:tcPr>
            <w:tcW w:w="11462" w:type="dxa"/>
            <w:vAlign w:val="center"/>
          </w:tcPr>
          <w:p w14:paraId="50006E2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西成药、草药、检查、检验、手术、护理、文字等医嘱集中录入功能，通过分类前缀实现自动分类输入，打破医嘱和申请单分离录入模式；支持医嘱键盘快捷键录入、支持多种类型医嘱合并至组套；支持已开医嘱检索；支持长嘱和临嘱的转换；</w:t>
            </w:r>
            <w:r>
              <w:rPr>
                <w:rFonts w:hint="eastAsia" w:ascii="宋体" w:hAnsi="宋体" w:cs="宋体"/>
                <w:bCs/>
                <w:color w:val="auto"/>
                <w:szCs w:val="21"/>
                <w:highlight w:val="none"/>
                <w:shd w:val="clear" w:color="auto"/>
              </w:rPr>
              <w:t>一个</w:t>
            </w:r>
            <w:r>
              <w:rPr>
                <w:rFonts w:ascii="宋体" w:hAnsi="宋体" w:cs="宋体"/>
                <w:bCs/>
                <w:color w:val="auto"/>
                <w:szCs w:val="21"/>
                <w:highlight w:val="none"/>
                <w:shd w:val="clear" w:color="auto"/>
              </w:rPr>
              <w:t>CT检查项目只需开一次单。</w:t>
            </w:r>
            <w:r>
              <w:rPr>
                <w:rFonts w:hint="eastAsia" w:ascii="宋体" w:hAnsi="宋体" w:cs="宋体"/>
                <w:bCs/>
                <w:color w:val="auto"/>
                <w:szCs w:val="21"/>
                <w:highlight w:val="none"/>
                <w:shd w:val="clear" w:color="auto"/>
              </w:rPr>
              <w:t>（一个CT检查单可开具多个检查部位）</w:t>
            </w:r>
          </w:p>
          <w:p w14:paraId="3B8FD54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支持复制医嘱，包括当前住院医嘱、既往住院医嘱、已废医嘱的复制功能；复制医嘱时支持按时间、科室、名称排序与筛选，长嘱重整。支持查询医嘱闭环。</w:t>
            </w:r>
          </w:p>
          <w:p w14:paraId="17F67E6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以临床为核心的专业医疗单开单模式，提供单一的西成药医疗单、成组的西成药医疗单、草药医疗单、检验医疗单、检查医疗单、护理医疗单、手术医疗单等十余种医疗单模式，并支持专科医疗单定制。并在医疗单中支持开立长期、临时、急诊、出院带药等药品医嘱功能；支持给药频次、给药时间的设置及显示执行时间。</w:t>
            </w:r>
          </w:p>
          <w:p w14:paraId="665B2AC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提供在单医嘱录入形式外，支持检查、检验、病理项目的集中开单，根据检验类别、检验类型、标本类型、检查类别、检查部位等进行项目选择；</w:t>
            </w:r>
            <w:r>
              <w:rPr>
                <w:rFonts w:hint="eastAsia"/>
                <w:color w:val="auto"/>
                <w:highlight w:val="none"/>
              </w:rPr>
              <w:t>根据输血申请单生成备血医嘱，按照实际发血品种和量生成备血医嘱。</w:t>
            </w:r>
            <w:r>
              <w:rPr>
                <w:color w:val="auto"/>
                <w:highlight w:val="none"/>
              </w:rPr>
              <w:t>形成完整的检验/输血闭环， 可随时查看标本状态、检验 进程状态</w:t>
            </w:r>
          </w:p>
          <w:p w14:paraId="5285D2F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支持配置手术申请单中内容；急诊手术单支持删除、撤回、修改功能。支持</w:t>
            </w:r>
            <w:r>
              <w:rPr>
                <w:rFonts w:hint="eastAsia"/>
                <w:color w:val="auto"/>
                <w:highlight w:val="none"/>
              </w:rPr>
              <w:t>同一个患者同时提交两个手术申请，同时弹窗提醒由医生确认是否同时开立两个手术医嘱。检验医嘱开立支持批量设置时备注何时间。检查检验病理医嘱支持预约。</w:t>
            </w:r>
          </w:p>
          <w:p w14:paraId="72FB150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支持根据不同的出院场景（如今日出院、宣告死亡等）配置不同的出院医嘱名称；</w:t>
            </w:r>
          </w:p>
          <w:p w14:paraId="2563DDA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支持限制长期医嘱的停嘱时间必须在出院时间后的</w:t>
            </w:r>
            <w:r>
              <w:rPr>
                <w:rFonts w:ascii="宋体" w:hAnsi="宋体" w:cs="宋体"/>
                <w:bCs/>
                <w:color w:val="auto"/>
                <w:szCs w:val="21"/>
                <w:highlight w:val="none"/>
              </w:rPr>
              <w:t>N分钟内（N分钟可配置）</w:t>
            </w:r>
            <w:r>
              <w:rPr>
                <w:rFonts w:hint="eastAsia" w:ascii="宋体" w:hAnsi="宋体" w:cs="宋体"/>
                <w:bCs/>
                <w:color w:val="auto"/>
                <w:szCs w:val="21"/>
                <w:highlight w:val="none"/>
              </w:rPr>
              <w:t>；</w:t>
            </w:r>
          </w:p>
          <w:p w14:paraId="033B3D9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支持配置开立出院带药时用药限制天数；</w:t>
            </w:r>
          </w:p>
          <w:p w14:paraId="12B68F3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支持配置开立出院带药时药品总量取门诊包装单位或取住院包装单位；</w:t>
            </w:r>
          </w:p>
          <w:p w14:paraId="00A1F8A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根据患者过敏史，结合过敏药物管理系统，支持在医生站开立药品时自动提醒患者过敏情况，对需皮试药品自动默认皮试处置。</w:t>
            </w:r>
          </w:p>
          <w:p w14:paraId="60CCA87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支持跨院区会诊，如科内会诊、他科会诊、多学科会诊，受邀机构可选择租户下的所有机构，会诊医生接收会诊。</w:t>
            </w:r>
          </w:p>
          <w:p w14:paraId="26686F0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支持跨院区转科，设置机构间转科治疗业务线。住院医生站开立转科时，转后机构取机构间转科业务线，转后科室医生可接收或退回转科申请，转科医嘱由转后科室医生、病区护士接收后，完成转科。</w:t>
            </w:r>
          </w:p>
          <w:p w14:paraId="567A825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配置开立出院带药时用药限制天数，开立出院带药界面增加“用药理由”填写功能，用药天数超过7天必须填写用药理由，否则不可提交医嘱（依据：《中山大学附属第七医院处方管理办法实施细则》（中山七院发【2023】）68号第二十四条）</w:t>
            </w:r>
          </w:p>
        </w:tc>
      </w:tr>
      <w:tr w14:paraId="3E294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vAlign w:val="center"/>
          </w:tcPr>
          <w:p w14:paraId="06D2D9CD">
            <w:pPr>
              <w:widowControl/>
              <w:jc w:val="left"/>
              <w:rPr>
                <w:rFonts w:ascii="宋体" w:hAnsi="宋体" w:cs="宋体"/>
                <w:color w:val="auto"/>
                <w:kern w:val="0"/>
                <w:szCs w:val="21"/>
                <w:highlight w:val="none"/>
              </w:rPr>
            </w:pPr>
          </w:p>
        </w:tc>
        <w:tc>
          <w:tcPr>
            <w:tcW w:w="1701" w:type="dxa"/>
            <w:vAlign w:val="center"/>
          </w:tcPr>
          <w:p w14:paraId="61FA4A03">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住院医嘱规范管理</w:t>
            </w:r>
          </w:p>
        </w:tc>
        <w:tc>
          <w:tcPr>
            <w:tcW w:w="11462" w:type="dxa"/>
            <w:vAlign w:val="center"/>
          </w:tcPr>
          <w:p w14:paraId="59F64C4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提供医嘱录入和管理功能，实现医嘱的开立、删除、签署、停嘱、作废、打印等功能。并在业务逻辑上支持医药分离模式，医生按通用名(服务项目)开立医嘱，在商品绑定时机再指定到具体药品。</w:t>
            </w:r>
          </w:p>
          <w:p w14:paraId="58D9FF7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已开医嘱的集中预览和补充修改功能，支持图表化展现，利用图标完美呈现医嘱执行、皮试、审核、报告等状态，可按医嘱类型（如全部、药品、检验、检查、手术、护理等）、医嘱状态（如开立、签署、有效医嘱、结束等）和开单科室进行医嘱类别的筛选查看与管理。并在医嘱用药安全性上支持临床知识库、临床决策、合理用药、处方点评等系统接口，根据就诊诊断、检查、检验结果审查医嘱安全性，并支持智能推荐治疗方案。系统还基于电子病历评审规范，在医嘱中内嵌式的增加了医嘱闭环管理。在医嘱权限方面，系统基于国家相关规定提供抗菌药物、抗肿瘤药物、精神毒麻等特殊药品，手术，检验检查，输血等医嘱的开立权限控制。支持账号权限管理，支持不同人员设置不同使用权限（正式员工、实习生、进修生、研究生、规培生）。</w:t>
            </w:r>
          </w:p>
        </w:tc>
      </w:tr>
      <w:tr w14:paraId="647BA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vAlign w:val="center"/>
          </w:tcPr>
          <w:p w14:paraId="4FAAE5BB">
            <w:pPr>
              <w:widowControl/>
              <w:jc w:val="left"/>
              <w:rPr>
                <w:rFonts w:ascii="宋体" w:hAnsi="宋体" w:cs="宋体"/>
                <w:color w:val="auto"/>
                <w:kern w:val="0"/>
                <w:szCs w:val="21"/>
                <w:highlight w:val="none"/>
              </w:rPr>
            </w:pPr>
          </w:p>
        </w:tc>
        <w:tc>
          <w:tcPr>
            <w:tcW w:w="1701" w:type="dxa"/>
            <w:vAlign w:val="center"/>
          </w:tcPr>
          <w:p w14:paraId="6A3C29A6">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住院医嘱助手录入</w:t>
            </w:r>
          </w:p>
        </w:tc>
        <w:tc>
          <w:tcPr>
            <w:tcW w:w="11462" w:type="dxa"/>
            <w:vAlign w:val="center"/>
          </w:tcPr>
          <w:p w14:paraId="2116A2A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住院医生站提供医嘱助手功能，快速实现临床医嘱的快速开立。</w:t>
            </w:r>
          </w:p>
          <w:p w14:paraId="7C6B3A0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在医嘱助手中，支持医嘱模板、患者历史医嘱、高频检查、高频药品、高频处置、常用个嘱引用，为医生医嘱录入提供便利。</w:t>
            </w:r>
          </w:p>
          <w:p w14:paraId="389E42C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支持AI医嘱推荐功能。</w:t>
            </w:r>
            <w:r>
              <w:rPr>
                <w:color w:val="auto"/>
                <w:highlight w:val="none"/>
              </w:rPr>
              <w:t>下达申请医嘱时，能查询临床医疗记录，能够针对 病人性别、诊断、以往检验申请与结果等进行申请合理性 自动审核并针对问题申请给出提示。</w:t>
            </w:r>
          </w:p>
          <w:p w14:paraId="2A74F8DB">
            <w:pPr>
              <w:numPr>
                <w:ilvl w:val="0"/>
                <w:numId w:val="12"/>
              </w:numPr>
              <w:tabs>
                <w:tab w:val="left" w:pos="525"/>
                <w:tab w:val="left" w:pos="630"/>
              </w:tabs>
              <w:spacing w:line="360" w:lineRule="auto"/>
              <w:rPr>
                <w:rFonts w:ascii="宋体" w:hAnsi="宋体" w:cs="宋体"/>
                <w:bCs/>
                <w:color w:val="auto"/>
                <w:szCs w:val="21"/>
                <w:highlight w:val="none"/>
              </w:rPr>
            </w:pPr>
            <w:r>
              <w:rPr>
                <w:color w:val="auto"/>
                <w:highlight w:val="none"/>
              </w:rPr>
              <w:t>下达医嘱时，可根据临床路径或指南列出所需检验目，能够根据临床路径（指南）要求和病 人的具体数据，自动对比执行与变异情况，提示输入变异原因并进行记录。</w:t>
            </w:r>
          </w:p>
        </w:tc>
      </w:tr>
      <w:tr w14:paraId="1B774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vAlign w:val="center"/>
          </w:tcPr>
          <w:p w14:paraId="7718BEDC">
            <w:pPr>
              <w:widowControl/>
              <w:jc w:val="left"/>
              <w:rPr>
                <w:rFonts w:ascii="宋体" w:hAnsi="宋体" w:cs="宋体"/>
                <w:color w:val="auto"/>
                <w:kern w:val="0"/>
                <w:szCs w:val="21"/>
                <w:highlight w:val="none"/>
              </w:rPr>
            </w:pPr>
          </w:p>
        </w:tc>
        <w:tc>
          <w:tcPr>
            <w:tcW w:w="1701" w:type="dxa"/>
            <w:vAlign w:val="center"/>
          </w:tcPr>
          <w:p w14:paraId="0B5EEA1F">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住院医嘱智能记费</w:t>
            </w:r>
          </w:p>
        </w:tc>
        <w:tc>
          <w:tcPr>
            <w:tcW w:w="11462" w:type="dxa"/>
            <w:vAlign w:val="center"/>
          </w:tcPr>
          <w:p w14:paraId="534865D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支持医嘱费用处理智能化，检查项目按部位自动加收费用，检验项目按指标自动加收费用，会诊费用按会诊个数自动加收等等，且支持医嘱附加项目自动关联，允许人工补充修改。支持根据医保政策更新。</w:t>
            </w:r>
          </w:p>
        </w:tc>
      </w:tr>
      <w:tr w14:paraId="0B75A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vAlign w:val="center"/>
          </w:tcPr>
          <w:p w14:paraId="49598C16">
            <w:pPr>
              <w:widowControl/>
              <w:jc w:val="left"/>
              <w:rPr>
                <w:rFonts w:ascii="宋体" w:hAnsi="宋体" w:cs="宋体"/>
                <w:color w:val="auto"/>
                <w:kern w:val="0"/>
                <w:szCs w:val="21"/>
                <w:highlight w:val="none"/>
              </w:rPr>
            </w:pPr>
          </w:p>
        </w:tc>
        <w:tc>
          <w:tcPr>
            <w:tcW w:w="1701" w:type="dxa"/>
            <w:vAlign w:val="center"/>
          </w:tcPr>
          <w:p w14:paraId="0B60074E">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住院医嘱精细化管理</w:t>
            </w:r>
          </w:p>
        </w:tc>
        <w:tc>
          <w:tcPr>
            <w:tcW w:w="11462" w:type="dxa"/>
            <w:vAlign w:val="center"/>
          </w:tcPr>
          <w:p w14:paraId="7E04F09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支持医嘱精细化管理。通过一张长期药品医嘱医疗单，根据当前时间、给药频次、停止时间，实现首（末）日时点自动勾选，并支持时点和不同时点用药剂量的调整。</w:t>
            </w:r>
          </w:p>
          <w:p w14:paraId="1E8F702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支持开立输液医嘱时，自动计算患者当天已开立医嘱的液体总量，并可以查询患者历史用量；</w:t>
            </w:r>
          </w:p>
          <w:p w14:paraId="7FCD8BB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支持在手术申请医嘱开立时，自动导入关联的手术医嘱模板。</w:t>
            </w:r>
          </w:p>
        </w:tc>
      </w:tr>
      <w:tr w14:paraId="0EE75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vAlign w:val="center"/>
          </w:tcPr>
          <w:p w14:paraId="3C11FB4C">
            <w:pPr>
              <w:widowControl/>
              <w:jc w:val="left"/>
              <w:rPr>
                <w:rFonts w:ascii="宋体" w:hAnsi="宋体" w:cs="宋体"/>
                <w:color w:val="auto"/>
                <w:kern w:val="0"/>
                <w:szCs w:val="21"/>
                <w:highlight w:val="none"/>
              </w:rPr>
            </w:pPr>
          </w:p>
        </w:tc>
        <w:tc>
          <w:tcPr>
            <w:tcW w:w="1701" w:type="dxa"/>
            <w:vAlign w:val="center"/>
          </w:tcPr>
          <w:p w14:paraId="18E27179">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住院医嘱数据集成</w:t>
            </w:r>
          </w:p>
        </w:tc>
        <w:tc>
          <w:tcPr>
            <w:tcW w:w="11462" w:type="dxa"/>
            <w:vAlign w:val="center"/>
          </w:tcPr>
          <w:p w14:paraId="4227E0C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支持检查、检验等医疗单自动获取患者病情摘要信息和患者诊断。支持检查单优先醒目显示“备注栏”。</w:t>
            </w:r>
          </w:p>
        </w:tc>
      </w:tr>
      <w:tr w14:paraId="443A5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vAlign w:val="center"/>
          </w:tcPr>
          <w:p w14:paraId="5B152F6E">
            <w:pPr>
              <w:widowControl/>
              <w:jc w:val="left"/>
              <w:rPr>
                <w:rFonts w:ascii="宋体" w:hAnsi="宋体" w:cs="宋体"/>
                <w:color w:val="auto"/>
                <w:kern w:val="0"/>
                <w:szCs w:val="21"/>
                <w:highlight w:val="none"/>
              </w:rPr>
            </w:pPr>
          </w:p>
        </w:tc>
        <w:tc>
          <w:tcPr>
            <w:tcW w:w="1701" w:type="dxa"/>
            <w:vAlign w:val="center"/>
          </w:tcPr>
          <w:p w14:paraId="56C97B4E">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住院医嘱打印管理</w:t>
            </w:r>
          </w:p>
        </w:tc>
        <w:tc>
          <w:tcPr>
            <w:tcW w:w="11462" w:type="dxa"/>
            <w:vAlign w:val="center"/>
          </w:tcPr>
          <w:p w14:paraId="0A8C523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医嘱的打印功能，能够根据医院现有的医嘱单样式，定制打印模版，直接进行医嘱的打印、医生签名即可。提供长期、临时医嘱打印，可以实现开嘱打印和停嘱打印，打印方式支持续打、按页打、制定行打印、重整打印、重整清空等方式。</w:t>
            </w:r>
          </w:p>
        </w:tc>
      </w:tr>
      <w:tr w14:paraId="41C91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vAlign w:val="center"/>
          </w:tcPr>
          <w:p w14:paraId="0D94D1B1">
            <w:pPr>
              <w:widowControl/>
              <w:jc w:val="left"/>
              <w:rPr>
                <w:rFonts w:ascii="宋体" w:hAnsi="宋体" w:cs="宋体"/>
                <w:color w:val="auto"/>
                <w:kern w:val="0"/>
                <w:szCs w:val="21"/>
                <w:highlight w:val="none"/>
              </w:rPr>
            </w:pPr>
          </w:p>
        </w:tc>
        <w:tc>
          <w:tcPr>
            <w:tcW w:w="13163" w:type="dxa"/>
            <w:gridSpan w:val="2"/>
            <w:vAlign w:val="center"/>
          </w:tcPr>
          <w:p w14:paraId="213D2535">
            <w:pPr>
              <w:numPr>
                <w:ilvl w:val="1"/>
                <w:numId w:val="11"/>
              </w:numPr>
              <w:ind w:left="0" w:firstLine="0"/>
              <w:rPr>
                <w:rFonts w:ascii="宋体" w:hAnsi="宋体" w:cs="宋体"/>
                <w:bCs/>
                <w:color w:val="auto"/>
                <w:szCs w:val="21"/>
                <w:highlight w:val="none"/>
              </w:rPr>
            </w:pPr>
            <w:r>
              <w:rPr>
                <w:rFonts w:hint="eastAsia" w:ascii="宋体" w:hAnsi="宋体" w:cs="宋体"/>
                <w:bCs/>
                <w:color w:val="auto"/>
                <w:szCs w:val="21"/>
                <w:highlight w:val="none"/>
              </w:rPr>
              <w:t>住院报告查询</w:t>
            </w:r>
          </w:p>
        </w:tc>
      </w:tr>
      <w:tr w14:paraId="55C5A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vAlign w:val="center"/>
          </w:tcPr>
          <w:p w14:paraId="5A2B3A6A">
            <w:pPr>
              <w:widowControl/>
              <w:jc w:val="left"/>
              <w:rPr>
                <w:rFonts w:ascii="宋体" w:hAnsi="宋体" w:cs="宋体"/>
                <w:color w:val="auto"/>
                <w:kern w:val="0"/>
                <w:szCs w:val="21"/>
                <w:highlight w:val="none"/>
              </w:rPr>
            </w:pPr>
          </w:p>
        </w:tc>
        <w:tc>
          <w:tcPr>
            <w:tcW w:w="1701" w:type="dxa"/>
            <w:vAlign w:val="center"/>
          </w:tcPr>
          <w:p w14:paraId="476CE13B">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住院报告查询</w:t>
            </w:r>
          </w:p>
        </w:tc>
        <w:tc>
          <w:tcPr>
            <w:tcW w:w="11462" w:type="dxa"/>
            <w:vAlign w:val="center"/>
          </w:tcPr>
          <w:p w14:paraId="37095D6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支持在住院医生站有且不限于检验、检查、病理、电子病历数据报告查询</w:t>
            </w:r>
          </w:p>
          <w:p w14:paraId="7D51823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支持历史某段时间内就诊报告的查询</w:t>
            </w:r>
          </w:p>
          <w:p w14:paraId="3AFCBE7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支持图文报告查看以及内嵌式影像浏览器接口查看</w:t>
            </w:r>
          </w:p>
          <w:p w14:paraId="0D22955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支持医联体、医疗集团模式可跨机构、跨院区查看患者所有检验检查结果报告</w:t>
            </w:r>
          </w:p>
          <w:p w14:paraId="02C835D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在检验结果中支持检验定量指标的趋势图分析，分单指标趋势图和多指标趋势图。</w:t>
            </w:r>
          </w:p>
        </w:tc>
      </w:tr>
      <w:tr w14:paraId="6A26A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vAlign w:val="center"/>
          </w:tcPr>
          <w:p w14:paraId="1A78CA55">
            <w:pPr>
              <w:widowControl/>
              <w:jc w:val="left"/>
              <w:rPr>
                <w:rFonts w:ascii="宋体" w:hAnsi="宋体" w:cs="宋体"/>
                <w:color w:val="auto"/>
                <w:kern w:val="0"/>
                <w:szCs w:val="21"/>
                <w:highlight w:val="none"/>
              </w:rPr>
            </w:pPr>
          </w:p>
        </w:tc>
        <w:tc>
          <w:tcPr>
            <w:tcW w:w="13163" w:type="dxa"/>
            <w:gridSpan w:val="2"/>
            <w:vAlign w:val="center"/>
          </w:tcPr>
          <w:p w14:paraId="26F6EE74">
            <w:pPr>
              <w:numPr>
                <w:ilvl w:val="1"/>
                <w:numId w:val="11"/>
              </w:numPr>
              <w:ind w:left="0" w:firstLine="0"/>
              <w:rPr>
                <w:rFonts w:ascii="宋体" w:hAnsi="宋体" w:cs="宋体"/>
                <w:bCs/>
                <w:color w:val="auto"/>
                <w:szCs w:val="21"/>
                <w:highlight w:val="none"/>
              </w:rPr>
            </w:pPr>
            <w:r>
              <w:rPr>
                <w:rFonts w:ascii="宋体" w:hAnsi="宋体" w:cs="宋体"/>
                <w:bCs/>
                <w:color w:val="auto"/>
                <w:szCs w:val="21"/>
                <w:highlight w:val="none"/>
              </w:rPr>
              <w:t>业务提醒功能</w:t>
            </w:r>
          </w:p>
        </w:tc>
      </w:tr>
      <w:tr w14:paraId="75BFD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vAlign w:val="center"/>
          </w:tcPr>
          <w:p w14:paraId="68F70252">
            <w:pPr>
              <w:widowControl/>
              <w:jc w:val="left"/>
              <w:rPr>
                <w:rFonts w:ascii="宋体" w:hAnsi="宋体" w:cs="宋体"/>
                <w:color w:val="auto"/>
                <w:kern w:val="0"/>
                <w:szCs w:val="21"/>
                <w:highlight w:val="none"/>
              </w:rPr>
            </w:pPr>
          </w:p>
        </w:tc>
        <w:tc>
          <w:tcPr>
            <w:tcW w:w="1701" w:type="dxa"/>
            <w:vAlign w:val="center"/>
          </w:tcPr>
          <w:p w14:paraId="6720EB6A">
            <w:pPr>
              <w:numPr>
                <w:ilvl w:val="2"/>
                <w:numId w:val="11"/>
              </w:numPr>
              <w:ind w:left="0" w:firstLine="0"/>
              <w:rPr>
                <w:rFonts w:ascii="宋体" w:hAnsi="宋体" w:cs="宋体"/>
                <w:color w:val="auto"/>
                <w:kern w:val="0"/>
                <w:szCs w:val="21"/>
                <w:highlight w:val="none"/>
              </w:rPr>
            </w:pPr>
            <w:r>
              <w:rPr>
                <w:color w:val="auto"/>
                <w:highlight w:val="none"/>
              </w:rPr>
              <w:t>业务提醒功能</w:t>
            </w:r>
          </w:p>
        </w:tc>
        <w:tc>
          <w:tcPr>
            <w:tcW w:w="11462" w:type="dxa"/>
            <w:vAlign w:val="center"/>
          </w:tcPr>
          <w:p w14:paraId="74F4235C">
            <w:pPr>
              <w:numPr>
                <w:ilvl w:val="1"/>
                <w:numId w:val="11"/>
              </w:numPr>
              <w:ind w:left="0" w:firstLine="0"/>
              <w:rPr>
                <w:rFonts w:ascii="宋体" w:hAnsi="宋体" w:cs="宋体"/>
                <w:bCs/>
                <w:color w:val="auto"/>
                <w:szCs w:val="21"/>
                <w:highlight w:val="none"/>
              </w:rPr>
            </w:pPr>
            <w:r>
              <w:rPr>
                <w:rFonts w:hint="eastAsia" w:ascii="宋体" w:hAnsi="宋体" w:cs="宋体"/>
                <w:bCs/>
                <w:color w:val="auto"/>
                <w:szCs w:val="21"/>
                <w:highlight w:val="none"/>
              </w:rPr>
              <w:t>提供医生多种业务提醒功能，例如危急值提醒、会诊提醒等业务消息提醒</w:t>
            </w:r>
          </w:p>
          <w:p w14:paraId="54FD892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帮助医生能够及时填写病历资料，避免医疗差错与纠纷</w:t>
            </w:r>
          </w:p>
          <w:p w14:paraId="1D83FD2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提供多种业务提醒方式，包括系统消息、手机短信、企业微信等。</w:t>
            </w:r>
          </w:p>
          <w:p w14:paraId="6B92B1E7">
            <w:pPr>
              <w:numPr>
                <w:ilvl w:val="0"/>
                <w:numId w:val="12"/>
              </w:numPr>
              <w:tabs>
                <w:tab w:val="left" w:pos="525"/>
                <w:tab w:val="left" w:pos="630"/>
              </w:tabs>
              <w:spacing w:line="360" w:lineRule="auto"/>
              <w:rPr>
                <w:rFonts w:ascii="宋体" w:hAnsi="宋体" w:cs="宋体"/>
                <w:bCs/>
                <w:color w:val="auto"/>
                <w:szCs w:val="21"/>
                <w:highlight w:val="none"/>
              </w:rPr>
            </w:pPr>
            <w:r>
              <w:rPr>
                <w:rFonts w:hint="eastAsia"/>
                <w:color w:val="auto"/>
                <w:highlight w:val="none"/>
              </w:rPr>
              <w:t>输血科发血后先发送取血通知给医生端，医生确认执行用血医嘱后，再发送领血通知至护士端。</w:t>
            </w:r>
          </w:p>
        </w:tc>
      </w:tr>
      <w:tr w14:paraId="4A23B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189" w:type="dxa"/>
            <w:vMerge w:val="continue"/>
            <w:vAlign w:val="center"/>
          </w:tcPr>
          <w:p w14:paraId="5CF6E9AA">
            <w:pPr>
              <w:widowControl/>
              <w:jc w:val="left"/>
              <w:rPr>
                <w:rFonts w:ascii="宋体" w:hAnsi="宋体" w:cs="宋体"/>
                <w:color w:val="auto"/>
                <w:kern w:val="0"/>
                <w:szCs w:val="21"/>
                <w:highlight w:val="none"/>
              </w:rPr>
            </w:pPr>
          </w:p>
        </w:tc>
        <w:tc>
          <w:tcPr>
            <w:tcW w:w="13163" w:type="dxa"/>
            <w:gridSpan w:val="2"/>
            <w:vAlign w:val="center"/>
          </w:tcPr>
          <w:p w14:paraId="076F0BC8">
            <w:pPr>
              <w:numPr>
                <w:ilvl w:val="1"/>
                <w:numId w:val="11"/>
              </w:numPr>
              <w:ind w:left="0" w:firstLine="0"/>
              <w:rPr>
                <w:rFonts w:ascii="宋体" w:hAnsi="宋体" w:cs="宋体"/>
                <w:bCs/>
                <w:color w:val="auto"/>
                <w:szCs w:val="21"/>
                <w:highlight w:val="none"/>
              </w:rPr>
            </w:pPr>
            <w:r>
              <w:rPr>
                <w:rFonts w:hint="eastAsia" w:ascii="宋体" w:hAnsi="宋体" w:cs="宋体"/>
                <w:bCs/>
                <w:color w:val="auto"/>
                <w:szCs w:val="21"/>
                <w:highlight w:val="none"/>
              </w:rPr>
              <w:t>住院综合查询</w:t>
            </w:r>
          </w:p>
        </w:tc>
      </w:tr>
      <w:tr w14:paraId="74E95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189" w:type="dxa"/>
            <w:vMerge w:val="continue"/>
            <w:vAlign w:val="center"/>
          </w:tcPr>
          <w:p w14:paraId="570F9603">
            <w:pPr>
              <w:widowControl/>
              <w:jc w:val="left"/>
              <w:rPr>
                <w:rFonts w:ascii="宋体" w:hAnsi="宋体" w:cs="宋体"/>
                <w:color w:val="auto"/>
                <w:kern w:val="0"/>
                <w:szCs w:val="21"/>
                <w:highlight w:val="none"/>
              </w:rPr>
            </w:pPr>
          </w:p>
        </w:tc>
        <w:tc>
          <w:tcPr>
            <w:tcW w:w="1701" w:type="dxa"/>
            <w:vAlign w:val="center"/>
          </w:tcPr>
          <w:p w14:paraId="0BFAD280">
            <w:pPr>
              <w:numPr>
                <w:ilvl w:val="2"/>
                <w:numId w:val="11"/>
              </w:numPr>
              <w:ind w:left="0" w:firstLine="0"/>
              <w:rPr>
                <w:rFonts w:ascii="宋体" w:hAnsi="宋体" w:cs="宋体"/>
                <w:color w:val="auto"/>
                <w:kern w:val="0"/>
                <w:szCs w:val="21"/>
                <w:highlight w:val="none"/>
              </w:rPr>
            </w:pPr>
            <w:r>
              <w:rPr>
                <w:color w:val="auto"/>
                <w:highlight w:val="none"/>
              </w:rPr>
              <w:t>住院综合查询</w:t>
            </w:r>
          </w:p>
        </w:tc>
        <w:tc>
          <w:tcPr>
            <w:tcW w:w="11462" w:type="dxa"/>
            <w:vAlign w:val="center"/>
          </w:tcPr>
          <w:p w14:paraId="306A311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提供临床诊疗业务数据的查询功能，包含处方点评结果、临床危急值报告、住院病历查询、手术及麻醉信息、重症护理信息（接口）、支持患者信息全景等。</w:t>
            </w:r>
          </w:p>
        </w:tc>
      </w:tr>
      <w:tr w14:paraId="0DAFE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189" w:type="dxa"/>
            <w:vMerge w:val="continue"/>
            <w:vAlign w:val="center"/>
          </w:tcPr>
          <w:p w14:paraId="37E2C6BB">
            <w:pPr>
              <w:widowControl/>
              <w:jc w:val="left"/>
              <w:rPr>
                <w:rFonts w:ascii="宋体" w:hAnsi="宋体" w:cs="宋体"/>
                <w:color w:val="auto"/>
                <w:kern w:val="0"/>
                <w:szCs w:val="21"/>
                <w:highlight w:val="none"/>
              </w:rPr>
            </w:pPr>
          </w:p>
        </w:tc>
        <w:tc>
          <w:tcPr>
            <w:tcW w:w="13163" w:type="dxa"/>
            <w:gridSpan w:val="2"/>
            <w:vAlign w:val="center"/>
          </w:tcPr>
          <w:p w14:paraId="11EEB559">
            <w:pPr>
              <w:numPr>
                <w:ilvl w:val="1"/>
                <w:numId w:val="11"/>
              </w:numPr>
              <w:ind w:left="0" w:firstLine="0"/>
              <w:rPr>
                <w:rFonts w:ascii="宋体" w:hAnsi="宋体" w:cs="宋体"/>
                <w:bCs/>
                <w:color w:val="auto"/>
                <w:szCs w:val="21"/>
                <w:highlight w:val="none"/>
              </w:rPr>
            </w:pPr>
            <w:r>
              <w:rPr>
                <w:rFonts w:hint="eastAsia" w:ascii="宋体" w:hAnsi="宋体" w:cs="宋体"/>
                <w:bCs/>
                <w:color w:val="auto"/>
                <w:szCs w:val="21"/>
                <w:highlight w:val="none"/>
              </w:rPr>
              <w:t>他科治疗管理</w:t>
            </w:r>
          </w:p>
        </w:tc>
      </w:tr>
      <w:tr w14:paraId="75575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Merge w:val="continue"/>
            <w:vAlign w:val="center"/>
          </w:tcPr>
          <w:p w14:paraId="2F4E72FB">
            <w:pPr>
              <w:widowControl/>
              <w:jc w:val="left"/>
              <w:rPr>
                <w:rFonts w:ascii="宋体" w:hAnsi="宋体" w:cs="宋体"/>
                <w:color w:val="auto"/>
                <w:kern w:val="0"/>
                <w:szCs w:val="21"/>
                <w:highlight w:val="none"/>
              </w:rPr>
            </w:pPr>
          </w:p>
        </w:tc>
        <w:tc>
          <w:tcPr>
            <w:tcW w:w="1701" w:type="dxa"/>
            <w:vAlign w:val="center"/>
          </w:tcPr>
          <w:p w14:paraId="6F9DCE5D">
            <w:pPr>
              <w:numPr>
                <w:ilvl w:val="2"/>
                <w:numId w:val="11"/>
              </w:numPr>
              <w:ind w:left="0" w:firstLine="0"/>
              <w:rPr>
                <w:rFonts w:ascii="宋体" w:hAnsi="宋体" w:cs="宋体"/>
                <w:color w:val="auto"/>
                <w:kern w:val="0"/>
                <w:szCs w:val="21"/>
                <w:highlight w:val="none"/>
              </w:rPr>
            </w:pPr>
            <w:r>
              <w:rPr>
                <w:color w:val="auto"/>
                <w:highlight w:val="none"/>
              </w:rPr>
              <w:t>他科治疗管理</w:t>
            </w:r>
          </w:p>
        </w:tc>
        <w:tc>
          <w:tcPr>
            <w:tcW w:w="11462" w:type="dxa"/>
            <w:vAlign w:val="center"/>
          </w:tcPr>
          <w:p w14:paraId="1402B50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提供本科室诊疗之外其他科室的诊疗服务并行的功能，即“他科治疗”，包含“血透（透析）、PICC、理疗、DSA”等科室，支持上述治疗室医师进行申请单管理、病历书写、医嘱开立、医嘱计费、查阅病历等。</w:t>
            </w:r>
          </w:p>
          <w:p w14:paraId="46E8A9E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支持患者同病区他科治疗，医嘱由患者所在病区护士复核、执行；</w:t>
            </w:r>
          </w:p>
          <w:p w14:paraId="66CA2E1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跨院区他科治疗：设置机构间转科治疗业务线。住院医生站开立转科时，转后机构取机构间转科业务线，转后科室医生可接收或退回转科申请，转科医嘱由转后科室医生、病区护士接收后，完成转科，治疗科室医生可在“他科患者”中下医嘱、写病历，他科治疗结束后，有治疗科室护士结束他科治疗。</w:t>
            </w:r>
          </w:p>
        </w:tc>
      </w:tr>
      <w:tr w14:paraId="32844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Align w:val="center"/>
          </w:tcPr>
          <w:p w14:paraId="33AEEC0F">
            <w:pPr>
              <w:widowControl/>
              <w:jc w:val="left"/>
              <w:rPr>
                <w:rFonts w:ascii="宋体" w:hAnsi="宋体" w:cs="宋体"/>
                <w:color w:val="auto"/>
                <w:kern w:val="0"/>
                <w:szCs w:val="21"/>
                <w:highlight w:val="none"/>
              </w:rPr>
            </w:pPr>
          </w:p>
        </w:tc>
        <w:tc>
          <w:tcPr>
            <w:tcW w:w="13163" w:type="dxa"/>
            <w:gridSpan w:val="2"/>
            <w:vAlign w:val="center"/>
          </w:tcPr>
          <w:p w14:paraId="29B26B89">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3.10 耐药细菌预警功能</w:t>
            </w:r>
          </w:p>
        </w:tc>
      </w:tr>
      <w:tr w14:paraId="5F18D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Align w:val="center"/>
          </w:tcPr>
          <w:p w14:paraId="160DA369">
            <w:pPr>
              <w:widowControl/>
              <w:jc w:val="left"/>
              <w:rPr>
                <w:rFonts w:ascii="宋体" w:hAnsi="宋体" w:cs="宋体"/>
                <w:color w:val="auto"/>
                <w:kern w:val="0"/>
                <w:szCs w:val="21"/>
                <w:highlight w:val="none"/>
              </w:rPr>
            </w:pPr>
          </w:p>
        </w:tc>
        <w:tc>
          <w:tcPr>
            <w:tcW w:w="1701" w:type="dxa"/>
            <w:vAlign w:val="center"/>
          </w:tcPr>
          <w:p w14:paraId="28F75289">
            <w:pPr>
              <w:rPr>
                <w:rFonts w:ascii="宋体" w:hAnsi="宋体" w:cs="宋体"/>
                <w:color w:val="auto"/>
                <w:kern w:val="0"/>
                <w:szCs w:val="21"/>
                <w:highlight w:val="none"/>
              </w:rPr>
            </w:pPr>
            <w:r>
              <w:rPr>
                <w:rFonts w:hint="eastAsia" w:ascii="宋体" w:hAnsi="宋体" w:cs="宋体"/>
                <w:color w:val="auto"/>
                <w:highlight w:val="none"/>
              </w:rPr>
              <w:t>3.10.1耐药细菌预警</w:t>
            </w:r>
          </w:p>
        </w:tc>
        <w:tc>
          <w:tcPr>
            <w:tcW w:w="11462" w:type="dxa"/>
            <w:vAlign w:val="center"/>
          </w:tcPr>
          <w:p w14:paraId="7211D08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自主维护药品ID、药品名称（维护ID后自动显示药品名称）、检出细菌、干预科室、干预级别（同时满足药品ID、检出细菌、科室时，可提醒：开具药品时柔性提醒；或者拦截：开具药品时刚性拦截）、状态标志（暂停：规则不启用；启用：规则正常启用）</w:t>
            </w:r>
          </w:p>
          <w:p w14:paraId="254F2DA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支持Excel导入维护功能，导入包含药品ID、实际检出菌、科室、干预级别、状态标志的Excel后，实现批量维护。</w:t>
            </w:r>
          </w:p>
        </w:tc>
      </w:tr>
      <w:tr w14:paraId="7B175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Align w:val="center"/>
          </w:tcPr>
          <w:p w14:paraId="21B1A316">
            <w:pPr>
              <w:widowControl/>
              <w:jc w:val="left"/>
              <w:rPr>
                <w:rFonts w:ascii="宋体" w:hAnsi="宋体" w:cs="宋体"/>
                <w:color w:val="auto"/>
                <w:kern w:val="0"/>
                <w:szCs w:val="21"/>
                <w:highlight w:val="none"/>
              </w:rPr>
            </w:pPr>
          </w:p>
        </w:tc>
        <w:tc>
          <w:tcPr>
            <w:tcW w:w="13163" w:type="dxa"/>
            <w:gridSpan w:val="2"/>
            <w:vAlign w:val="center"/>
          </w:tcPr>
          <w:p w14:paraId="383EF6FC">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3.11 云药房医嘱知情同意</w:t>
            </w:r>
          </w:p>
        </w:tc>
      </w:tr>
      <w:tr w14:paraId="19CBB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Align w:val="center"/>
          </w:tcPr>
          <w:p w14:paraId="33DA0A7C">
            <w:pPr>
              <w:widowControl/>
              <w:jc w:val="left"/>
              <w:rPr>
                <w:rFonts w:ascii="宋体" w:hAnsi="宋体" w:cs="宋体"/>
                <w:color w:val="auto"/>
                <w:kern w:val="0"/>
                <w:szCs w:val="21"/>
                <w:highlight w:val="none"/>
              </w:rPr>
            </w:pPr>
          </w:p>
        </w:tc>
        <w:tc>
          <w:tcPr>
            <w:tcW w:w="1701" w:type="dxa"/>
            <w:vAlign w:val="center"/>
          </w:tcPr>
          <w:p w14:paraId="7DBC7E53">
            <w:pPr>
              <w:rPr>
                <w:rFonts w:ascii="宋体" w:hAnsi="宋体" w:cs="宋体"/>
                <w:color w:val="auto"/>
                <w:highlight w:val="none"/>
              </w:rPr>
            </w:pPr>
            <w:r>
              <w:rPr>
                <w:rFonts w:hint="eastAsia" w:ascii="宋体" w:hAnsi="宋体" w:cs="宋体"/>
                <w:color w:val="auto"/>
                <w:highlight w:val="none"/>
              </w:rPr>
              <w:t>3.11.1 云药房医嘱知情同意</w:t>
            </w:r>
          </w:p>
        </w:tc>
        <w:tc>
          <w:tcPr>
            <w:tcW w:w="11462" w:type="dxa"/>
            <w:vAlign w:val="center"/>
          </w:tcPr>
          <w:p w14:paraId="2CF7995E">
            <w:pPr>
              <w:numPr>
                <w:ilvl w:val="0"/>
                <w:numId w:val="13"/>
              </w:numPr>
              <w:tabs>
                <w:tab w:val="left" w:pos="525"/>
                <w:tab w:val="left" w:pos="630"/>
              </w:tabs>
              <w:spacing w:line="360" w:lineRule="auto"/>
              <w:rPr>
                <w:rFonts w:ascii="宋体" w:hAnsi="宋体" w:cs="宋体"/>
                <w:bCs/>
                <w:color w:val="auto"/>
                <w:szCs w:val="21"/>
                <w:highlight w:val="none"/>
              </w:rPr>
            </w:pPr>
            <w:r>
              <w:rPr>
                <w:rFonts w:hint="eastAsia" w:ascii="宋体" w:hAnsi="宋体" w:cs="宋体"/>
                <w:color w:val="auto"/>
                <w:szCs w:val="21"/>
                <w:highlight w:val="none"/>
                <w:shd w:val="clear" w:color="auto" w:fill="FFFFFF"/>
              </w:rPr>
              <w:t>医生开具云药房医嘱时，系统检索“病历文书-其他同意书/告知书”是否有《中山大学附属第七医院患方使用“处方流转平台"药物知情同意书》，如无则不能提交医嘱，并提示：请在“病历文书-其他同意书/告知书”填写《中山大学附属第七医院患方使用“处方流转平台"药物知情同意书》后再次提交云药房医嘱</w:t>
            </w:r>
            <w:r>
              <w:rPr>
                <w:rFonts w:hint="eastAsia"/>
                <w:color w:val="auto"/>
                <w:highlight w:val="none"/>
              </w:rPr>
              <w:t>（住院医嘱系统对接云药房目录，开具云药房目录的药品时，要弹同意书，按上述流程）</w:t>
            </w:r>
          </w:p>
        </w:tc>
      </w:tr>
      <w:tr w14:paraId="708E6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Align w:val="center"/>
          </w:tcPr>
          <w:p w14:paraId="4A242E87">
            <w:pPr>
              <w:widowControl/>
              <w:jc w:val="left"/>
              <w:rPr>
                <w:rFonts w:ascii="宋体" w:hAnsi="宋体" w:cs="宋体"/>
                <w:color w:val="auto"/>
                <w:kern w:val="0"/>
                <w:szCs w:val="21"/>
                <w:highlight w:val="none"/>
              </w:rPr>
            </w:pPr>
          </w:p>
        </w:tc>
        <w:tc>
          <w:tcPr>
            <w:tcW w:w="1701" w:type="dxa"/>
            <w:vAlign w:val="center"/>
          </w:tcPr>
          <w:p w14:paraId="58A2D2E4">
            <w:pPr>
              <w:rPr>
                <w:rFonts w:ascii="宋体" w:hAnsi="宋体" w:cs="宋体"/>
                <w:color w:val="auto"/>
                <w:kern w:val="0"/>
                <w:szCs w:val="21"/>
                <w:highlight w:val="none"/>
              </w:rPr>
            </w:pPr>
            <w:r>
              <w:rPr>
                <w:rFonts w:ascii="宋体" w:hAnsi="宋体" w:cs="宋体"/>
                <w:color w:val="auto"/>
                <w:kern w:val="0"/>
                <w:szCs w:val="21"/>
                <w:highlight w:val="none"/>
              </w:rPr>
              <w:t>48.9.2</w:t>
            </w:r>
          </w:p>
        </w:tc>
        <w:tc>
          <w:tcPr>
            <w:tcW w:w="11462" w:type="dxa"/>
            <w:vAlign w:val="center"/>
          </w:tcPr>
          <w:p w14:paraId="79814DB1">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住院医生工作站要与急诊系统双向对接。</w:t>
            </w:r>
          </w:p>
        </w:tc>
      </w:tr>
    </w:tbl>
    <w:p w14:paraId="76FC03F9">
      <w:pPr>
        <w:rPr>
          <w:color w:val="auto"/>
          <w:highlight w:val="none"/>
        </w:rPr>
      </w:pPr>
    </w:p>
    <w:p w14:paraId="6B3D2A3F">
      <w:pPr>
        <w:pStyle w:val="4"/>
        <w:numPr>
          <w:ilvl w:val="2"/>
          <w:numId w:val="9"/>
        </w:numPr>
        <w:spacing w:before="0" w:after="0" w:line="360" w:lineRule="auto"/>
        <w:ind w:left="567" w:hanging="567"/>
        <w:rPr>
          <w:rFonts w:hint="eastAsia" w:eastAsia="宋体"/>
          <w:color w:val="auto"/>
          <w:kern w:val="2"/>
          <w:sz w:val="24"/>
          <w:szCs w:val="24"/>
          <w:highlight w:val="none"/>
        </w:rPr>
      </w:pPr>
      <w:r>
        <w:rPr>
          <w:rFonts w:hint="eastAsia" w:eastAsia="宋体"/>
          <w:color w:val="auto"/>
          <w:kern w:val="2"/>
          <w:sz w:val="24"/>
          <w:szCs w:val="24"/>
          <w:highlight w:val="none"/>
        </w:rPr>
        <w:t>护士工作站建设需求</w:t>
      </w:r>
    </w:p>
    <w:tbl>
      <w:tblPr>
        <w:tblStyle w:val="4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1666"/>
        <w:gridCol w:w="20"/>
        <w:gridCol w:w="10961"/>
      </w:tblGrid>
      <w:tr w14:paraId="708DB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Align w:val="center"/>
          </w:tcPr>
          <w:p w14:paraId="248AAF45">
            <w:pPr>
              <w:jc w:val="center"/>
              <w:rPr>
                <w:rFonts w:ascii="宋体" w:hAnsi="宋体" w:cs="宋体"/>
                <w:color w:val="auto"/>
                <w:szCs w:val="21"/>
                <w:highlight w:val="none"/>
              </w:rPr>
            </w:pPr>
            <w:r>
              <w:rPr>
                <w:rFonts w:hint="eastAsia" w:ascii="宋体" w:hAnsi="宋体" w:cs="宋体"/>
                <w:color w:val="auto"/>
                <w:kern w:val="0"/>
                <w:szCs w:val="21"/>
                <w:highlight w:val="none"/>
              </w:rPr>
              <w:t>需求名称</w:t>
            </w:r>
          </w:p>
        </w:tc>
        <w:tc>
          <w:tcPr>
            <w:tcW w:w="1666" w:type="dxa"/>
            <w:vAlign w:val="center"/>
          </w:tcPr>
          <w:p w14:paraId="7772B19F">
            <w:pPr>
              <w:jc w:val="center"/>
              <w:rPr>
                <w:rFonts w:ascii="宋体" w:hAnsi="宋体" w:cs="宋体"/>
                <w:color w:val="auto"/>
                <w:kern w:val="0"/>
                <w:szCs w:val="21"/>
                <w:highlight w:val="none"/>
              </w:rPr>
            </w:pPr>
            <w:r>
              <w:rPr>
                <w:rFonts w:hint="eastAsia" w:ascii="宋体" w:hAnsi="宋体" w:cs="宋体"/>
                <w:color w:val="auto"/>
                <w:kern w:val="0"/>
                <w:szCs w:val="21"/>
                <w:highlight w:val="none"/>
              </w:rPr>
              <w:t>序号</w:t>
            </w:r>
          </w:p>
        </w:tc>
        <w:tc>
          <w:tcPr>
            <w:tcW w:w="10981" w:type="dxa"/>
            <w:gridSpan w:val="2"/>
            <w:vAlign w:val="center"/>
          </w:tcPr>
          <w:p w14:paraId="06150C83">
            <w:pPr>
              <w:jc w:val="center"/>
              <w:rPr>
                <w:rFonts w:ascii="宋体" w:hAnsi="宋体" w:cs="宋体"/>
                <w:color w:val="auto"/>
                <w:kern w:val="0"/>
                <w:szCs w:val="21"/>
                <w:highlight w:val="none"/>
              </w:rPr>
            </w:pPr>
            <w:r>
              <w:rPr>
                <w:rFonts w:hint="eastAsia" w:ascii="宋体" w:hAnsi="宋体" w:cs="宋体"/>
                <w:color w:val="auto"/>
                <w:kern w:val="0"/>
                <w:szCs w:val="21"/>
                <w:highlight w:val="none"/>
              </w:rPr>
              <w:t>需求描述</w:t>
            </w:r>
          </w:p>
        </w:tc>
      </w:tr>
      <w:tr w14:paraId="4F504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restart"/>
            <w:vAlign w:val="center"/>
          </w:tcPr>
          <w:p w14:paraId="07F99D67">
            <w:pPr>
              <w:numPr>
                <w:ilvl w:val="0"/>
                <w:numId w:val="11"/>
              </w:numPr>
              <w:rPr>
                <w:rFonts w:ascii="宋体" w:hAnsi="宋体" w:cs="宋体"/>
                <w:color w:val="auto"/>
                <w:szCs w:val="21"/>
                <w:highlight w:val="none"/>
              </w:rPr>
            </w:pPr>
            <w:r>
              <w:rPr>
                <w:rFonts w:hint="eastAsia" w:ascii="宋体" w:hAnsi="宋体" w:cs="宋体"/>
                <w:color w:val="auto"/>
                <w:szCs w:val="21"/>
                <w:highlight w:val="none"/>
              </w:rPr>
              <w:t>护士工作站</w:t>
            </w:r>
          </w:p>
        </w:tc>
        <w:tc>
          <w:tcPr>
            <w:tcW w:w="12647" w:type="dxa"/>
            <w:gridSpan w:val="3"/>
            <w:vAlign w:val="center"/>
          </w:tcPr>
          <w:p w14:paraId="0E182501">
            <w:pPr>
              <w:numPr>
                <w:ilvl w:val="1"/>
                <w:numId w:val="11"/>
              </w:numPr>
              <w:ind w:left="0" w:firstLine="0"/>
              <w:rPr>
                <w:color w:val="auto"/>
                <w:szCs w:val="21"/>
                <w:highlight w:val="none"/>
                <w:shd w:val="clear" w:color="auto" w:fill="92D050"/>
              </w:rPr>
            </w:pPr>
            <w:r>
              <w:rPr>
                <w:rFonts w:hint="eastAsia" w:ascii="宋体" w:hAnsi="宋体" w:cs="宋体"/>
                <w:color w:val="auto"/>
                <w:kern w:val="0"/>
                <w:szCs w:val="21"/>
                <w:highlight w:val="none"/>
                <w:shd w:val="clear" w:color="auto"/>
              </w:rPr>
              <w:t>病区系统框架</w:t>
            </w:r>
          </w:p>
        </w:tc>
      </w:tr>
      <w:tr w14:paraId="1FDEB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56C406BC">
            <w:pPr>
              <w:numPr>
                <w:ilvl w:val="0"/>
                <w:numId w:val="11"/>
              </w:numPr>
              <w:rPr>
                <w:rFonts w:ascii="宋体" w:hAnsi="宋体" w:cs="宋体"/>
                <w:color w:val="auto"/>
                <w:szCs w:val="21"/>
                <w:highlight w:val="none"/>
              </w:rPr>
            </w:pPr>
          </w:p>
        </w:tc>
        <w:tc>
          <w:tcPr>
            <w:tcW w:w="1686" w:type="dxa"/>
            <w:gridSpan w:val="2"/>
            <w:vMerge w:val="restart"/>
            <w:vAlign w:val="center"/>
          </w:tcPr>
          <w:p w14:paraId="39432C6B">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病区系统框架</w:t>
            </w:r>
          </w:p>
        </w:tc>
        <w:tc>
          <w:tcPr>
            <w:tcW w:w="10961" w:type="dxa"/>
            <w:vAlign w:val="center"/>
          </w:tcPr>
          <w:p w14:paraId="610BE1B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提供“一体化”病区护士站，包括业务一体、界面一体、数据一体、资源一体；</w:t>
            </w:r>
          </w:p>
        </w:tc>
      </w:tr>
      <w:tr w14:paraId="52953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3E5D5366">
            <w:pPr>
              <w:numPr>
                <w:ilvl w:val="0"/>
                <w:numId w:val="11"/>
              </w:numPr>
              <w:rPr>
                <w:rFonts w:ascii="宋体" w:hAnsi="宋体" w:cs="宋体"/>
                <w:color w:val="auto"/>
                <w:szCs w:val="21"/>
                <w:highlight w:val="none"/>
              </w:rPr>
            </w:pPr>
          </w:p>
        </w:tc>
        <w:tc>
          <w:tcPr>
            <w:tcW w:w="1686" w:type="dxa"/>
            <w:gridSpan w:val="2"/>
            <w:vMerge w:val="continue"/>
            <w:vAlign w:val="center"/>
          </w:tcPr>
          <w:p w14:paraId="1D554D45">
            <w:pPr>
              <w:widowControl/>
              <w:jc w:val="center"/>
              <w:rPr>
                <w:rFonts w:ascii="宋体" w:hAnsi="宋体" w:cs="宋体"/>
                <w:color w:val="auto"/>
                <w:kern w:val="0"/>
                <w:szCs w:val="21"/>
                <w:highlight w:val="none"/>
              </w:rPr>
            </w:pPr>
          </w:p>
        </w:tc>
        <w:tc>
          <w:tcPr>
            <w:tcW w:w="10961" w:type="dxa"/>
            <w:vAlign w:val="center"/>
          </w:tcPr>
          <w:p w14:paraId="6C82020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支持业务一体：集成医嘱管理、护理管理、移动护理等所有护理功能，护士在一个病区系统中便可完所有护理业务，改变以往多系统操作的离散情况，充分体现了“业务一体”的设计原则；</w:t>
            </w:r>
          </w:p>
        </w:tc>
      </w:tr>
      <w:tr w14:paraId="723FF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42BBAE59">
            <w:pPr>
              <w:numPr>
                <w:ilvl w:val="0"/>
                <w:numId w:val="11"/>
              </w:numPr>
              <w:rPr>
                <w:rFonts w:ascii="宋体" w:hAnsi="宋体" w:cs="宋体"/>
                <w:color w:val="auto"/>
                <w:szCs w:val="21"/>
                <w:highlight w:val="none"/>
              </w:rPr>
            </w:pPr>
          </w:p>
        </w:tc>
        <w:tc>
          <w:tcPr>
            <w:tcW w:w="1686" w:type="dxa"/>
            <w:gridSpan w:val="2"/>
            <w:vMerge w:val="continue"/>
            <w:vAlign w:val="center"/>
          </w:tcPr>
          <w:p w14:paraId="351C6101">
            <w:pPr>
              <w:widowControl/>
              <w:jc w:val="center"/>
              <w:rPr>
                <w:rFonts w:ascii="宋体" w:hAnsi="宋体" w:cs="宋体"/>
                <w:color w:val="auto"/>
                <w:kern w:val="0"/>
                <w:szCs w:val="21"/>
                <w:highlight w:val="none"/>
              </w:rPr>
            </w:pPr>
          </w:p>
        </w:tc>
        <w:tc>
          <w:tcPr>
            <w:tcW w:w="10961" w:type="dxa"/>
            <w:vAlign w:val="center"/>
          </w:tcPr>
          <w:p w14:paraId="1CC2209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界面一体：提供业务消息“一体化”处理界面、医嘱执行“一体化”操作界面、单病人业务“一体化”操作界面、多病人业务“一体化”操作界面、病区撤回“一体化”操作界面、未完成工作“一体化”处理界面、护理管理“一体化”操作界面、检验管理“一体化”操作界面、用血管理“一体化”操作界面，在一体化界面通过Tab页面切换方式达到业务模块快速切换的目的，改变以往多界面操作的离散情况，充分体现了“界面一体”的设计原则；</w:t>
            </w:r>
          </w:p>
        </w:tc>
      </w:tr>
      <w:tr w14:paraId="3C1F5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1BC56029">
            <w:pPr>
              <w:numPr>
                <w:ilvl w:val="0"/>
                <w:numId w:val="11"/>
              </w:numPr>
              <w:rPr>
                <w:rFonts w:ascii="宋体" w:hAnsi="宋体" w:cs="宋体"/>
                <w:color w:val="auto"/>
                <w:szCs w:val="21"/>
                <w:highlight w:val="none"/>
              </w:rPr>
            </w:pPr>
          </w:p>
        </w:tc>
        <w:tc>
          <w:tcPr>
            <w:tcW w:w="1686" w:type="dxa"/>
            <w:gridSpan w:val="2"/>
            <w:vMerge w:val="continue"/>
            <w:vAlign w:val="center"/>
          </w:tcPr>
          <w:p w14:paraId="7E06D357">
            <w:pPr>
              <w:widowControl/>
              <w:jc w:val="center"/>
              <w:rPr>
                <w:rFonts w:ascii="宋体" w:hAnsi="宋体" w:cs="宋体"/>
                <w:color w:val="auto"/>
                <w:kern w:val="0"/>
                <w:szCs w:val="21"/>
                <w:highlight w:val="none"/>
              </w:rPr>
            </w:pPr>
          </w:p>
        </w:tc>
        <w:tc>
          <w:tcPr>
            <w:tcW w:w="10961" w:type="dxa"/>
            <w:vAlign w:val="center"/>
          </w:tcPr>
          <w:p w14:paraId="66E6B7A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数据一体：提供住院医生站、手麻管理系统、检验管理系统、医技预约系统、医技收费系统、移动护理系统等等接口，消除信息孤岛，支撑护理业务的互联互通，以横向一体化的模式逐步提高护理服务连续性和协同覆盖能力；</w:t>
            </w:r>
          </w:p>
        </w:tc>
      </w:tr>
      <w:tr w14:paraId="10131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19FC9632">
            <w:pPr>
              <w:numPr>
                <w:ilvl w:val="0"/>
                <w:numId w:val="11"/>
              </w:numPr>
              <w:rPr>
                <w:rFonts w:ascii="宋体" w:hAnsi="宋体" w:cs="宋体"/>
                <w:color w:val="auto"/>
                <w:szCs w:val="21"/>
                <w:highlight w:val="none"/>
              </w:rPr>
            </w:pPr>
          </w:p>
        </w:tc>
        <w:tc>
          <w:tcPr>
            <w:tcW w:w="1686" w:type="dxa"/>
            <w:gridSpan w:val="2"/>
            <w:vMerge w:val="continue"/>
            <w:vAlign w:val="center"/>
          </w:tcPr>
          <w:p w14:paraId="0A1ABDE1">
            <w:pPr>
              <w:widowControl/>
              <w:jc w:val="center"/>
              <w:rPr>
                <w:rFonts w:ascii="宋体" w:hAnsi="宋体" w:cs="宋体"/>
                <w:color w:val="auto"/>
                <w:kern w:val="0"/>
                <w:szCs w:val="21"/>
                <w:highlight w:val="none"/>
              </w:rPr>
            </w:pPr>
          </w:p>
        </w:tc>
        <w:tc>
          <w:tcPr>
            <w:tcW w:w="10961" w:type="dxa"/>
            <w:vAlign w:val="center"/>
          </w:tcPr>
          <w:p w14:paraId="3EF31FA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支持资源一体：类似于办公OA,将系统通知消息、系统业务消息、业务协作消息集成在一个界面，便于护士查询。</w:t>
            </w:r>
          </w:p>
        </w:tc>
      </w:tr>
      <w:tr w14:paraId="20BE0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48BA5054">
            <w:pPr>
              <w:numPr>
                <w:ilvl w:val="0"/>
                <w:numId w:val="11"/>
              </w:numPr>
              <w:rPr>
                <w:rFonts w:ascii="宋体" w:hAnsi="宋体" w:cs="宋体"/>
                <w:color w:val="auto"/>
                <w:szCs w:val="21"/>
                <w:highlight w:val="none"/>
              </w:rPr>
            </w:pPr>
          </w:p>
        </w:tc>
        <w:tc>
          <w:tcPr>
            <w:tcW w:w="1686" w:type="dxa"/>
            <w:gridSpan w:val="2"/>
            <w:vMerge w:val="continue"/>
            <w:vAlign w:val="center"/>
          </w:tcPr>
          <w:p w14:paraId="2EA887B3">
            <w:pPr>
              <w:widowControl/>
              <w:jc w:val="center"/>
              <w:rPr>
                <w:rFonts w:ascii="宋体" w:hAnsi="宋体" w:cs="宋体"/>
                <w:color w:val="auto"/>
                <w:kern w:val="0"/>
                <w:szCs w:val="21"/>
                <w:highlight w:val="none"/>
              </w:rPr>
            </w:pPr>
          </w:p>
        </w:tc>
        <w:tc>
          <w:tcPr>
            <w:tcW w:w="10961" w:type="dxa"/>
            <w:vAlign w:val="center"/>
          </w:tcPr>
          <w:p w14:paraId="126AA80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支持病人视图集成在单病人业务“一体化”操作界面上，可快速选择在区病人、待结病人、出区病人、他科病人和出院病人进行操作，根据每个视图病人的权限操作对应单病人业务。</w:t>
            </w:r>
          </w:p>
        </w:tc>
      </w:tr>
      <w:tr w14:paraId="5D9D3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35F68940">
            <w:pPr>
              <w:numPr>
                <w:ilvl w:val="0"/>
                <w:numId w:val="11"/>
              </w:numPr>
              <w:rPr>
                <w:rFonts w:ascii="宋体" w:hAnsi="宋体" w:cs="宋体"/>
                <w:color w:val="auto"/>
                <w:szCs w:val="21"/>
                <w:highlight w:val="none"/>
              </w:rPr>
            </w:pPr>
          </w:p>
        </w:tc>
        <w:tc>
          <w:tcPr>
            <w:tcW w:w="12647" w:type="dxa"/>
            <w:gridSpan w:val="3"/>
            <w:vAlign w:val="center"/>
          </w:tcPr>
          <w:p w14:paraId="4DFC2827">
            <w:pPr>
              <w:numPr>
                <w:ilvl w:val="1"/>
                <w:numId w:val="11"/>
              </w:numPr>
              <w:ind w:left="0" w:firstLine="0"/>
              <w:rPr>
                <w:color w:val="auto"/>
                <w:highlight w:val="none"/>
                <w:shd w:val="clear" w:color="auto" w:fill="92D050"/>
              </w:rPr>
            </w:pPr>
            <w:r>
              <w:rPr>
                <w:rFonts w:hint="eastAsia" w:ascii="宋体" w:hAnsi="宋体" w:cs="宋体"/>
                <w:color w:val="auto"/>
                <w:kern w:val="0"/>
                <w:szCs w:val="21"/>
                <w:highlight w:val="none"/>
                <w:shd w:val="clear" w:color="auto"/>
              </w:rPr>
              <w:t>消息提醒与处理</w:t>
            </w:r>
          </w:p>
        </w:tc>
      </w:tr>
      <w:tr w14:paraId="47EE0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73CA1044">
            <w:pPr>
              <w:numPr>
                <w:ilvl w:val="0"/>
                <w:numId w:val="11"/>
              </w:numPr>
              <w:rPr>
                <w:rFonts w:ascii="宋体" w:hAnsi="宋体" w:cs="宋体"/>
                <w:color w:val="auto"/>
                <w:szCs w:val="21"/>
                <w:highlight w:val="none"/>
              </w:rPr>
            </w:pPr>
          </w:p>
        </w:tc>
        <w:tc>
          <w:tcPr>
            <w:tcW w:w="1686" w:type="dxa"/>
            <w:gridSpan w:val="2"/>
            <w:vMerge w:val="restart"/>
            <w:vAlign w:val="center"/>
          </w:tcPr>
          <w:p w14:paraId="29DEFC56">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消息提醒与</w:t>
            </w:r>
            <w:r>
              <w:rPr>
                <w:rFonts w:hint="eastAsia" w:ascii="宋体" w:hAnsi="宋体"/>
                <w:color w:val="auto"/>
                <w:highlight w:val="none"/>
              </w:rPr>
              <w:t>处理</w:t>
            </w:r>
          </w:p>
        </w:tc>
        <w:tc>
          <w:tcPr>
            <w:tcW w:w="10961" w:type="dxa"/>
            <w:vAlign w:val="center"/>
          </w:tcPr>
          <w:p w14:paraId="6A833DF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提供业务消息“一体化”处理界面，在一体化界面通过Tab页面切换到业务流转、业务待办、业务异常的消息提醒页面，护士可快速处理所有提醒业务；</w:t>
            </w:r>
          </w:p>
        </w:tc>
      </w:tr>
      <w:tr w14:paraId="08B95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12D3378C">
            <w:pPr>
              <w:numPr>
                <w:ilvl w:val="0"/>
                <w:numId w:val="11"/>
              </w:numPr>
              <w:rPr>
                <w:rFonts w:ascii="宋体" w:hAnsi="宋体" w:cs="宋体"/>
                <w:color w:val="auto"/>
                <w:szCs w:val="21"/>
                <w:highlight w:val="none"/>
              </w:rPr>
            </w:pPr>
          </w:p>
        </w:tc>
        <w:tc>
          <w:tcPr>
            <w:tcW w:w="1686" w:type="dxa"/>
            <w:gridSpan w:val="2"/>
            <w:vMerge w:val="continue"/>
            <w:vAlign w:val="center"/>
          </w:tcPr>
          <w:p w14:paraId="4C06B300">
            <w:pPr>
              <w:widowControl/>
              <w:jc w:val="center"/>
              <w:rPr>
                <w:rFonts w:ascii="宋体" w:hAnsi="宋体" w:cs="宋体"/>
                <w:color w:val="auto"/>
                <w:kern w:val="0"/>
                <w:szCs w:val="21"/>
                <w:highlight w:val="none"/>
              </w:rPr>
            </w:pPr>
          </w:p>
        </w:tc>
        <w:tc>
          <w:tcPr>
            <w:tcW w:w="10961" w:type="dxa"/>
            <w:vAlign w:val="center"/>
          </w:tcPr>
          <w:p w14:paraId="380DE93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病人在不同科室之间流转业务的申请提醒，包括病人入院确认、病人科室转出确认、病人科室转入接收、换病区申请、换病区接收、他科治疗申请、他科治疗接收、待通知出院、病区会诊申请、病区会诊接收，支持对提醒业务的直接处理功能；</w:t>
            </w:r>
          </w:p>
        </w:tc>
      </w:tr>
      <w:tr w14:paraId="09324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49F02470">
            <w:pPr>
              <w:numPr>
                <w:ilvl w:val="0"/>
                <w:numId w:val="11"/>
              </w:numPr>
              <w:rPr>
                <w:rFonts w:ascii="宋体" w:hAnsi="宋体" w:cs="宋体"/>
                <w:color w:val="auto"/>
                <w:szCs w:val="21"/>
                <w:highlight w:val="none"/>
              </w:rPr>
            </w:pPr>
          </w:p>
        </w:tc>
        <w:tc>
          <w:tcPr>
            <w:tcW w:w="1686" w:type="dxa"/>
            <w:gridSpan w:val="2"/>
            <w:vMerge w:val="continue"/>
            <w:vAlign w:val="center"/>
          </w:tcPr>
          <w:p w14:paraId="1CB2AE83">
            <w:pPr>
              <w:widowControl/>
              <w:jc w:val="center"/>
              <w:rPr>
                <w:rFonts w:ascii="宋体" w:hAnsi="宋体" w:cs="宋体"/>
                <w:color w:val="auto"/>
                <w:kern w:val="0"/>
                <w:szCs w:val="21"/>
                <w:highlight w:val="none"/>
              </w:rPr>
            </w:pPr>
          </w:p>
        </w:tc>
        <w:tc>
          <w:tcPr>
            <w:tcW w:w="10961" w:type="dxa"/>
            <w:vAlign w:val="center"/>
          </w:tcPr>
          <w:p w14:paraId="0DDD988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提供病区护士的待办事务提醒，包括待复核医嘱、待检查指引单打印、待退药处理、待退费处理、待催款、待皮试、已转科病人待完成、已换病区病人待完成，支持对提醒业务的直接处理功能；</w:t>
            </w:r>
          </w:p>
        </w:tc>
      </w:tr>
      <w:tr w14:paraId="240B3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68A3BE8A">
            <w:pPr>
              <w:numPr>
                <w:ilvl w:val="0"/>
                <w:numId w:val="11"/>
              </w:numPr>
              <w:rPr>
                <w:rFonts w:ascii="宋体" w:hAnsi="宋体" w:cs="宋体"/>
                <w:color w:val="auto"/>
                <w:szCs w:val="21"/>
                <w:highlight w:val="none"/>
              </w:rPr>
            </w:pPr>
          </w:p>
        </w:tc>
        <w:tc>
          <w:tcPr>
            <w:tcW w:w="1686" w:type="dxa"/>
            <w:gridSpan w:val="2"/>
            <w:vMerge w:val="continue"/>
            <w:vAlign w:val="center"/>
          </w:tcPr>
          <w:p w14:paraId="6CD19F6D">
            <w:pPr>
              <w:widowControl/>
              <w:jc w:val="center"/>
              <w:rPr>
                <w:rFonts w:ascii="宋体" w:hAnsi="宋体" w:cs="宋体"/>
                <w:color w:val="auto"/>
                <w:kern w:val="0"/>
                <w:szCs w:val="21"/>
                <w:highlight w:val="none"/>
              </w:rPr>
            </w:pPr>
          </w:p>
        </w:tc>
        <w:tc>
          <w:tcPr>
            <w:tcW w:w="10961" w:type="dxa"/>
            <w:vAlign w:val="center"/>
          </w:tcPr>
          <w:p w14:paraId="40DE1CF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提供病区护士的异常事务提醒，指各类超过设定指标范围产生的异常值，需要人员马上处理的事件；</w:t>
            </w:r>
          </w:p>
        </w:tc>
      </w:tr>
      <w:tr w14:paraId="4A84F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5DE26894">
            <w:pPr>
              <w:numPr>
                <w:ilvl w:val="0"/>
                <w:numId w:val="11"/>
              </w:numPr>
              <w:rPr>
                <w:rFonts w:ascii="宋体" w:hAnsi="宋体" w:cs="宋体"/>
                <w:color w:val="auto"/>
                <w:szCs w:val="21"/>
                <w:highlight w:val="none"/>
              </w:rPr>
            </w:pPr>
          </w:p>
        </w:tc>
        <w:tc>
          <w:tcPr>
            <w:tcW w:w="1686" w:type="dxa"/>
            <w:gridSpan w:val="2"/>
            <w:vMerge w:val="continue"/>
            <w:vAlign w:val="center"/>
          </w:tcPr>
          <w:p w14:paraId="51D2D4D9">
            <w:pPr>
              <w:widowControl/>
              <w:jc w:val="center"/>
              <w:rPr>
                <w:rFonts w:ascii="宋体" w:hAnsi="宋体" w:cs="宋体"/>
                <w:color w:val="auto"/>
                <w:kern w:val="0"/>
                <w:szCs w:val="21"/>
                <w:highlight w:val="none"/>
              </w:rPr>
            </w:pPr>
          </w:p>
        </w:tc>
        <w:tc>
          <w:tcPr>
            <w:tcW w:w="10961" w:type="dxa"/>
            <w:vAlign w:val="center"/>
          </w:tcPr>
          <w:p w14:paraId="203C75E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支持异常流程提醒，包括医嘱复核异常（护理系统对接医保控费、物价管理，）、转科异常、换病区异常、他科治疗异常、待退药异常、待退费异常、待皮试异常、已转科异常；</w:t>
            </w:r>
          </w:p>
        </w:tc>
      </w:tr>
      <w:tr w14:paraId="794AC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691B4FD2">
            <w:pPr>
              <w:numPr>
                <w:ilvl w:val="0"/>
                <w:numId w:val="11"/>
              </w:numPr>
              <w:rPr>
                <w:rFonts w:ascii="宋体" w:hAnsi="宋体" w:cs="宋体"/>
                <w:color w:val="auto"/>
                <w:szCs w:val="21"/>
                <w:highlight w:val="none"/>
              </w:rPr>
            </w:pPr>
          </w:p>
        </w:tc>
        <w:tc>
          <w:tcPr>
            <w:tcW w:w="1686" w:type="dxa"/>
            <w:gridSpan w:val="2"/>
            <w:vMerge w:val="continue"/>
            <w:vAlign w:val="center"/>
          </w:tcPr>
          <w:p w14:paraId="57D20D12">
            <w:pPr>
              <w:widowControl/>
              <w:jc w:val="center"/>
              <w:rPr>
                <w:rFonts w:ascii="宋体" w:hAnsi="宋体" w:cs="宋体"/>
                <w:color w:val="auto"/>
                <w:kern w:val="0"/>
                <w:szCs w:val="21"/>
                <w:highlight w:val="none"/>
              </w:rPr>
            </w:pPr>
          </w:p>
        </w:tc>
        <w:tc>
          <w:tcPr>
            <w:tcW w:w="10961" w:type="dxa"/>
            <w:vAlign w:val="center"/>
          </w:tcPr>
          <w:p w14:paraId="304C46F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支持异常事件提醒，包括检验危急值提醒、检查危急值提醒、药品提交被退回、医技提交被退回、体征记录异常。</w:t>
            </w:r>
          </w:p>
        </w:tc>
      </w:tr>
      <w:tr w14:paraId="3E5A6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451552BD">
            <w:pPr>
              <w:numPr>
                <w:ilvl w:val="0"/>
                <w:numId w:val="11"/>
              </w:numPr>
              <w:rPr>
                <w:rFonts w:ascii="宋体" w:hAnsi="宋体" w:cs="宋体"/>
                <w:color w:val="auto"/>
                <w:szCs w:val="21"/>
                <w:highlight w:val="none"/>
              </w:rPr>
            </w:pPr>
          </w:p>
        </w:tc>
        <w:tc>
          <w:tcPr>
            <w:tcW w:w="12647" w:type="dxa"/>
            <w:gridSpan w:val="3"/>
            <w:vAlign w:val="center"/>
          </w:tcPr>
          <w:p w14:paraId="5E13F2E7">
            <w:pPr>
              <w:numPr>
                <w:ilvl w:val="1"/>
                <w:numId w:val="11"/>
              </w:numPr>
              <w:ind w:left="0" w:firstLine="0"/>
              <w:rPr>
                <w:color w:val="auto"/>
                <w:highlight w:val="none"/>
                <w:shd w:val="clear" w:color="auto" w:fill="92D050"/>
              </w:rPr>
            </w:pPr>
            <w:r>
              <w:rPr>
                <w:rFonts w:hint="eastAsia" w:ascii="宋体" w:hAnsi="宋体" w:cs="宋体"/>
                <w:color w:val="auto"/>
                <w:kern w:val="0"/>
                <w:szCs w:val="21"/>
                <w:highlight w:val="none"/>
                <w:shd w:val="clear" w:color="auto"/>
              </w:rPr>
              <w:t>床位管理</w:t>
            </w:r>
          </w:p>
        </w:tc>
      </w:tr>
      <w:tr w14:paraId="16B09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2CC9BCA0">
            <w:pPr>
              <w:numPr>
                <w:ilvl w:val="0"/>
                <w:numId w:val="11"/>
              </w:numPr>
              <w:rPr>
                <w:rFonts w:ascii="宋体" w:hAnsi="宋体" w:cs="宋体"/>
                <w:color w:val="auto"/>
                <w:szCs w:val="21"/>
                <w:highlight w:val="none"/>
              </w:rPr>
            </w:pPr>
          </w:p>
        </w:tc>
        <w:tc>
          <w:tcPr>
            <w:tcW w:w="1686" w:type="dxa"/>
            <w:gridSpan w:val="2"/>
            <w:vMerge w:val="restart"/>
            <w:vAlign w:val="center"/>
          </w:tcPr>
          <w:p w14:paraId="5256025E">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床位管理</w:t>
            </w:r>
          </w:p>
        </w:tc>
        <w:tc>
          <w:tcPr>
            <w:tcW w:w="10961" w:type="dxa"/>
            <w:vAlign w:val="center"/>
          </w:tcPr>
          <w:p w14:paraId="48A5AB7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支持床位费自动累加，可按半天累加，12点前入院，按1天床位费计算，12点后入院按半天床位费计算；</w:t>
            </w:r>
          </w:p>
        </w:tc>
      </w:tr>
      <w:tr w14:paraId="36835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10AA1356">
            <w:pPr>
              <w:numPr>
                <w:ilvl w:val="0"/>
                <w:numId w:val="11"/>
              </w:numPr>
              <w:rPr>
                <w:rFonts w:ascii="宋体" w:hAnsi="宋体" w:cs="宋体"/>
                <w:color w:val="auto"/>
                <w:szCs w:val="21"/>
                <w:highlight w:val="none"/>
              </w:rPr>
            </w:pPr>
          </w:p>
        </w:tc>
        <w:tc>
          <w:tcPr>
            <w:tcW w:w="1686" w:type="dxa"/>
            <w:gridSpan w:val="2"/>
            <w:vMerge w:val="continue"/>
            <w:vAlign w:val="center"/>
          </w:tcPr>
          <w:p w14:paraId="67B47998">
            <w:pPr>
              <w:widowControl/>
              <w:jc w:val="center"/>
              <w:rPr>
                <w:rFonts w:ascii="宋体" w:hAnsi="宋体" w:cs="宋体"/>
                <w:color w:val="auto"/>
                <w:kern w:val="0"/>
                <w:szCs w:val="21"/>
                <w:highlight w:val="none"/>
              </w:rPr>
            </w:pPr>
          </w:p>
        </w:tc>
        <w:tc>
          <w:tcPr>
            <w:tcW w:w="10961" w:type="dxa"/>
            <w:vAlign w:val="center"/>
          </w:tcPr>
          <w:p w14:paraId="11A9B4A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支持床位病人的搜索功用，可按全部、空床、病人，出院，过敏，护理级别，科室，病情过滤功能，提供不同的床位（或病人）展视视图；</w:t>
            </w:r>
          </w:p>
        </w:tc>
      </w:tr>
      <w:tr w14:paraId="71BB8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682E350A">
            <w:pPr>
              <w:numPr>
                <w:ilvl w:val="0"/>
                <w:numId w:val="11"/>
              </w:numPr>
              <w:rPr>
                <w:rFonts w:ascii="宋体" w:hAnsi="宋体" w:cs="宋体"/>
                <w:color w:val="auto"/>
                <w:szCs w:val="21"/>
                <w:highlight w:val="none"/>
              </w:rPr>
            </w:pPr>
          </w:p>
        </w:tc>
        <w:tc>
          <w:tcPr>
            <w:tcW w:w="1686" w:type="dxa"/>
            <w:gridSpan w:val="2"/>
            <w:vMerge w:val="continue"/>
            <w:vAlign w:val="center"/>
          </w:tcPr>
          <w:p w14:paraId="4FB5B49F">
            <w:pPr>
              <w:widowControl/>
              <w:jc w:val="center"/>
              <w:rPr>
                <w:rFonts w:ascii="宋体" w:hAnsi="宋体" w:cs="宋体"/>
                <w:color w:val="auto"/>
                <w:kern w:val="0"/>
                <w:szCs w:val="21"/>
                <w:highlight w:val="none"/>
              </w:rPr>
            </w:pPr>
          </w:p>
        </w:tc>
        <w:tc>
          <w:tcPr>
            <w:tcW w:w="10961" w:type="dxa"/>
            <w:vAlign w:val="center"/>
          </w:tcPr>
          <w:p w14:paraId="08DF187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支持根据病案号、床号、病人姓名等条件精确定位病人；</w:t>
            </w:r>
          </w:p>
        </w:tc>
      </w:tr>
      <w:tr w14:paraId="687EC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422C1EBB">
            <w:pPr>
              <w:numPr>
                <w:ilvl w:val="0"/>
                <w:numId w:val="11"/>
              </w:numPr>
              <w:rPr>
                <w:rFonts w:ascii="宋体" w:hAnsi="宋体" w:cs="宋体"/>
                <w:color w:val="auto"/>
                <w:szCs w:val="21"/>
                <w:highlight w:val="none"/>
              </w:rPr>
            </w:pPr>
          </w:p>
        </w:tc>
        <w:tc>
          <w:tcPr>
            <w:tcW w:w="1686" w:type="dxa"/>
            <w:gridSpan w:val="2"/>
            <w:vMerge w:val="continue"/>
            <w:vAlign w:val="center"/>
          </w:tcPr>
          <w:p w14:paraId="31A3B657">
            <w:pPr>
              <w:widowControl/>
              <w:jc w:val="center"/>
              <w:rPr>
                <w:rFonts w:ascii="宋体" w:hAnsi="宋体" w:cs="宋体"/>
                <w:color w:val="auto"/>
                <w:kern w:val="0"/>
                <w:szCs w:val="21"/>
                <w:highlight w:val="none"/>
              </w:rPr>
            </w:pPr>
          </w:p>
        </w:tc>
        <w:tc>
          <w:tcPr>
            <w:tcW w:w="10961" w:type="dxa"/>
            <w:vAlign w:val="center"/>
          </w:tcPr>
          <w:p w14:paraId="7096E93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支持床位细卡、床位简卡及病人列表展示，三种展示形式患者信息，方便护士通过不同维护查看与使用主界面；</w:t>
            </w:r>
          </w:p>
        </w:tc>
      </w:tr>
      <w:tr w14:paraId="15F9E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63AC3EC5">
            <w:pPr>
              <w:numPr>
                <w:ilvl w:val="0"/>
                <w:numId w:val="11"/>
              </w:numPr>
              <w:rPr>
                <w:rFonts w:ascii="宋体" w:hAnsi="宋体" w:cs="宋体"/>
                <w:color w:val="auto"/>
                <w:szCs w:val="21"/>
                <w:highlight w:val="none"/>
              </w:rPr>
            </w:pPr>
          </w:p>
        </w:tc>
        <w:tc>
          <w:tcPr>
            <w:tcW w:w="1686" w:type="dxa"/>
            <w:gridSpan w:val="2"/>
            <w:vMerge w:val="continue"/>
            <w:vAlign w:val="center"/>
          </w:tcPr>
          <w:p w14:paraId="61F10134">
            <w:pPr>
              <w:widowControl/>
              <w:jc w:val="center"/>
              <w:rPr>
                <w:rFonts w:ascii="宋体" w:hAnsi="宋体" w:cs="宋体"/>
                <w:color w:val="auto"/>
                <w:kern w:val="0"/>
                <w:szCs w:val="21"/>
                <w:highlight w:val="none"/>
              </w:rPr>
            </w:pPr>
          </w:p>
        </w:tc>
        <w:tc>
          <w:tcPr>
            <w:tcW w:w="10961" w:type="dxa"/>
            <w:vAlign w:val="center"/>
          </w:tcPr>
          <w:p w14:paraId="75C8087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床位根据显示分辨率自动调整部局，按床位显示床号进行排序；</w:t>
            </w:r>
          </w:p>
        </w:tc>
      </w:tr>
      <w:tr w14:paraId="64D86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2F6B31DC">
            <w:pPr>
              <w:numPr>
                <w:ilvl w:val="0"/>
                <w:numId w:val="11"/>
              </w:numPr>
              <w:rPr>
                <w:rFonts w:ascii="宋体" w:hAnsi="宋体" w:cs="宋体"/>
                <w:color w:val="auto"/>
                <w:szCs w:val="21"/>
                <w:highlight w:val="none"/>
              </w:rPr>
            </w:pPr>
          </w:p>
        </w:tc>
        <w:tc>
          <w:tcPr>
            <w:tcW w:w="1686" w:type="dxa"/>
            <w:gridSpan w:val="2"/>
            <w:vMerge w:val="continue"/>
            <w:vAlign w:val="center"/>
          </w:tcPr>
          <w:p w14:paraId="3E648E80">
            <w:pPr>
              <w:widowControl/>
              <w:jc w:val="center"/>
              <w:rPr>
                <w:rFonts w:ascii="宋体" w:hAnsi="宋体" w:cs="宋体"/>
                <w:color w:val="auto"/>
                <w:kern w:val="0"/>
                <w:szCs w:val="21"/>
                <w:highlight w:val="none"/>
              </w:rPr>
            </w:pPr>
          </w:p>
        </w:tc>
        <w:tc>
          <w:tcPr>
            <w:tcW w:w="10961" w:type="dxa"/>
            <w:vAlign w:val="center"/>
          </w:tcPr>
          <w:p w14:paraId="32BBAC9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支持普通床位、加床、虚床、婴儿床（空床不显示）管理；</w:t>
            </w:r>
          </w:p>
        </w:tc>
      </w:tr>
      <w:tr w14:paraId="0F5D1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5D35B168">
            <w:pPr>
              <w:numPr>
                <w:ilvl w:val="0"/>
                <w:numId w:val="11"/>
              </w:numPr>
              <w:rPr>
                <w:rFonts w:ascii="宋体" w:hAnsi="宋体" w:cs="宋体"/>
                <w:color w:val="auto"/>
                <w:szCs w:val="21"/>
                <w:highlight w:val="none"/>
              </w:rPr>
            </w:pPr>
          </w:p>
        </w:tc>
        <w:tc>
          <w:tcPr>
            <w:tcW w:w="1686" w:type="dxa"/>
            <w:gridSpan w:val="2"/>
            <w:vMerge w:val="continue"/>
            <w:vAlign w:val="center"/>
          </w:tcPr>
          <w:p w14:paraId="6FE3D1D3">
            <w:pPr>
              <w:widowControl/>
              <w:jc w:val="center"/>
              <w:rPr>
                <w:rFonts w:ascii="宋体" w:hAnsi="宋体" w:cs="宋体"/>
                <w:color w:val="auto"/>
                <w:kern w:val="0"/>
                <w:szCs w:val="21"/>
                <w:highlight w:val="none"/>
              </w:rPr>
            </w:pPr>
          </w:p>
        </w:tc>
        <w:tc>
          <w:tcPr>
            <w:tcW w:w="10961" w:type="dxa"/>
            <w:vAlign w:val="center"/>
          </w:tcPr>
          <w:p w14:paraId="11F56CD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支持对床位的状态管理、备注信息管理、管床医生设置、管床护士设置；</w:t>
            </w:r>
          </w:p>
        </w:tc>
      </w:tr>
      <w:tr w14:paraId="6B7DF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0168ABF7">
            <w:pPr>
              <w:numPr>
                <w:ilvl w:val="0"/>
                <w:numId w:val="11"/>
              </w:numPr>
              <w:rPr>
                <w:rFonts w:ascii="宋体" w:hAnsi="宋体" w:cs="宋体"/>
                <w:color w:val="auto"/>
                <w:szCs w:val="21"/>
                <w:highlight w:val="none"/>
              </w:rPr>
            </w:pPr>
          </w:p>
        </w:tc>
        <w:tc>
          <w:tcPr>
            <w:tcW w:w="1686" w:type="dxa"/>
            <w:gridSpan w:val="2"/>
            <w:vMerge w:val="continue"/>
            <w:vAlign w:val="center"/>
          </w:tcPr>
          <w:p w14:paraId="2799C4D3">
            <w:pPr>
              <w:widowControl/>
              <w:jc w:val="center"/>
              <w:rPr>
                <w:rFonts w:ascii="宋体" w:hAnsi="宋体" w:cs="宋体"/>
                <w:color w:val="auto"/>
                <w:kern w:val="0"/>
                <w:szCs w:val="21"/>
                <w:highlight w:val="none"/>
              </w:rPr>
            </w:pPr>
          </w:p>
        </w:tc>
        <w:tc>
          <w:tcPr>
            <w:tcW w:w="10961" w:type="dxa"/>
            <w:vAlign w:val="center"/>
          </w:tcPr>
          <w:p w14:paraId="51209EE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支持展示患者诊断、费用、手术情况，母婴联系电话与状态，入区、入科时间，过敏信息等，方便护士进行了解。</w:t>
            </w:r>
          </w:p>
        </w:tc>
      </w:tr>
      <w:tr w14:paraId="3DB62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59C75FC7">
            <w:pPr>
              <w:numPr>
                <w:ilvl w:val="0"/>
                <w:numId w:val="11"/>
              </w:numPr>
              <w:rPr>
                <w:rFonts w:ascii="宋体" w:hAnsi="宋体" w:cs="宋体"/>
                <w:color w:val="auto"/>
                <w:szCs w:val="21"/>
                <w:highlight w:val="none"/>
              </w:rPr>
            </w:pPr>
          </w:p>
        </w:tc>
        <w:tc>
          <w:tcPr>
            <w:tcW w:w="1686" w:type="dxa"/>
            <w:gridSpan w:val="2"/>
            <w:vMerge w:val="continue"/>
            <w:vAlign w:val="center"/>
          </w:tcPr>
          <w:p w14:paraId="50B24383">
            <w:pPr>
              <w:widowControl/>
              <w:jc w:val="center"/>
              <w:rPr>
                <w:rFonts w:ascii="宋体" w:hAnsi="宋体" w:cs="宋体"/>
                <w:color w:val="auto"/>
                <w:kern w:val="0"/>
                <w:szCs w:val="21"/>
                <w:highlight w:val="none"/>
              </w:rPr>
            </w:pPr>
          </w:p>
        </w:tc>
        <w:tc>
          <w:tcPr>
            <w:tcW w:w="10961" w:type="dxa"/>
            <w:vAlign w:val="center"/>
          </w:tcPr>
          <w:p w14:paraId="61D4D9D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支持床位色条自定义维护，并可指定优先级顺序，如空床白色，出院灰色，包床深灰色，危重病人浅红；</w:t>
            </w:r>
          </w:p>
        </w:tc>
      </w:tr>
      <w:tr w14:paraId="2E3B6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1095EE6B">
            <w:pPr>
              <w:numPr>
                <w:ilvl w:val="0"/>
                <w:numId w:val="11"/>
              </w:numPr>
              <w:rPr>
                <w:rFonts w:ascii="宋体" w:hAnsi="宋体" w:cs="宋体"/>
                <w:color w:val="auto"/>
                <w:szCs w:val="21"/>
                <w:highlight w:val="none"/>
              </w:rPr>
            </w:pPr>
          </w:p>
        </w:tc>
        <w:tc>
          <w:tcPr>
            <w:tcW w:w="1686" w:type="dxa"/>
            <w:gridSpan w:val="2"/>
            <w:vMerge w:val="continue"/>
            <w:vAlign w:val="center"/>
          </w:tcPr>
          <w:p w14:paraId="62E84BD2">
            <w:pPr>
              <w:widowControl/>
              <w:jc w:val="center"/>
              <w:rPr>
                <w:rFonts w:ascii="宋体" w:hAnsi="宋体" w:cs="宋体"/>
                <w:color w:val="auto"/>
                <w:kern w:val="0"/>
                <w:szCs w:val="21"/>
                <w:highlight w:val="none"/>
              </w:rPr>
            </w:pPr>
          </w:p>
        </w:tc>
        <w:tc>
          <w:tcPr>
            <w:tcW w:w="10961" w:type="dxa"/>
            <w:vAlign w:val="center"/>
          </w:tcPr>
          <w:p w14:paraId="04B1A60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护士站支持床卡图标灵活配置，支持床位卡上护理标志（一级护理、二级护理、三级护理、特级护理），过敏药物标志，转科标志，入院诊断标志，出院结算标志、新生儿标志等图标自定义维护，支持与三方对接显示定制图标。</w:t>
            </w:r>
          </w:p>
        </w:tc>
      </w:tr>
      <w:tr w14:paraId="09347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38C14448">
            <w:pPr>
              <w:numPr>
                <w:ilvl w:val="0"/>
                <w:numId w:val="11"/>
              </w:numPr>
              <w:rPr>
                <w:rFonts w:ascii="宋体" w:hAnsi="宋体" w:cs="宋体"/>
                <w:color w:val="auto"/>
                <w:szCs w:val="21"/>
                <w:highlight w:val="none"/>
              </w:rPr>
            </w:pPr>
          </w:p>
        </w:tc>
        <w:tc>
          <w:tcPr>
            <w:tcW w:w="1686" w:type="dxa"/>
            <w:gridSpan w:val="2"/>
            <w:vMerge w:val="continue"/>
            <w:vAlign w:val="center"/>
          </w:tcPr>
          <w:p w14:paraId="696541D0">
            <w:pPr>
              <w:widowControl/>
              <w:jc w:val="center"/>
              <w:rPr>
                <w:rFonts w:ascii="宋体" w:hAnsi="宋体" w:cs="宋体"/>
                <w:color w:val="auto"/>
                <w:kern w:val="0"/>
                <w:szCs w:val="21"/>
                <w:highlight w:val="none"/>
              </w:rPr>
            </w:pPr>
          </w:p>
        </w:tc>
        <w:tc>
          <w:tcPr>
            <w:tcW w:w="10961" w:type="dxa"/>
            <w:vAlign w:val="center"/>
          </w:tcPr>
          <w:p w14:paraId="6C9AC99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支持直接拖拽床位进行转床，包床、退床、换床等操作，方便快捷；</w:t>
            </w:r>
          </w:p>
        </w:tc>
      </w:tr>
      <w:tr w14:paraId="6D00F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3CD76FA3">
            <w:pPr>
              <w:numPr>
                <w:ilvl w:val="0"/>
                <w:numId w:val="11"/>
              </w:numPr>
              <w:rPr>
                <w:rFonts w:ascii="宋体" w:hAnsi="宋体" w:cs="宋体"/>
                <w:color w:val="auto"/>
                <w:szCs w:val="21"/>
                <w:highlight w:val="none"/>
              </w:rPr>
            </w:pPr>
          </w:p>
        </w:tc>
        <w:tc>
          <w:tcPr>
            <w:tcW w:w="1686" w:type="dxa"/>
            <w:gridSpan w:val="2"/>
            <w:vMerge w:val="continue"/>
            <w:vAlign w:val="center"/>
          </w:tcPr>
          <w:p w14:paraId="2FE29988">
            <w:pPr>
              <w:widowControl/>
              <w:jc w:val="center"/>
              <w:rPr>
                <w:rFonts w:ascii="宋体" w:hAnsi="宋体" w:cs="宋体"/>
                <w:color w:val="auto"/>
                <w:kern w:val="0"/>
                <w:szCs w:val="21"/>
                <w:highlight w:val="none"/>
              </w:rPr>
            </w:pPr>
          </w:p>
        </w:tc>
        <w:tc>
          <w:tcPr>
            <w:tcW w:w="10961" w:type="dxa"/>
            <w:vAlign w:val="center"/>
          </w:tcPr>
          <w:p w14:paraId="2328BDA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支持通过床卡直接打印患者腕带；</w:t>
            </w:r>
          </w:p>
        </w:tc>
      </w:tr>
      <w:tr w14:paraId="381A9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5868FC74">
            <w:pPr>
              <w:numPr>
                <w:ilvl w:val="0"/>
                <w:numId w:val="11"/>
              </w:numPr>
              <w:rPr>
                <w:rFonts w:ascii="宋体" w:hAnsi="宋体" w:cs="宋体"/>
                <w:color w:val="auto"/>
                <w:szCs w:val="21"/>
                <w:highlight w:val="none"/>
              </w:rPr>
            </w:pPr>
          </w:p>
        </w:tc>
        <w:tc>
          <w:tcPr>
            <w:tcW w:w="1686" w:type="dxa"/>
            <w:gridSpan w:val="2"/>
            <w:vMerge w:val="continue"/>
            <w:vAlign w:val="center"/>
          </w:tcPr>
          <w:p w14:paraId="4EA9D29E">
            <w:pPr>
              <w:widowControl/>
              <w:jc w:val="center"/>
              <w:rPr>
                <w:rFonts w:ascii="宋体" w:hAnsi="宋体" w:cs="宋体"/>
                <w:color w:val="auto"/>
                <w:kern w:val="0"/>
                <w:szCs w:val="21"/>
                <w:highlight w:val="none"/>
              </w:rPr>
            </w:pPr>
          </w:p>
        </w:tc>
        <w:tc>
          <w:tcPr>
            <w:tcW w:w="10961" w:type="dxa"/>
            <w:vAlign w:val="center"/>
          </w:tcPr>
          <w:p w14:paraId="6401E77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护士站支持母亲进行转床时，婴儿床位联动更新。</w:t>
            </w:r>
          </w:p>
        </w:tc>
      </w:tr>
      <w:tr w14:paraId="2FB98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6FEFB84B">
            <w:pPr>
              <w:numPr>
                <w:ilvl w:val="0"/>
                <w:numId w:val="11"/>
              </w:numPr>
              <w:rPr>
                <w:rFonts w:ascii="宋体" w:hAnsi="宋体" w:cs="宋体"/>
                <w:color w:val="auto"/>
                <w:szCs w:val="21"/>
                <w:highlight w:val="none"/>
              </w:rPr>
            </w:pPr>
          </w:p>
        </w:tc>
        <w:tc>
          <w:tcPr>
            <w:tcW w:w="12647" w:type="dxa"/>
            <w:gridSpan w:val="3"/>
            <w:vAlign w:val="center"/>
          </w:tcPr>
          <w:p w14:paraId="5A7E0603">
            <w:pPr>
              <w:numPr>
                <w:ilvl w:val="1"/>
                <w:numId w:val="11"/>
              </w:numPr>
              <w:ind w:left="0" w:firstLine="0"/>
              <w:rPr>
                <w:color w:val="auto"/>
                <w:highlight w:val="none"/>
              </w:rPr>
            </w:pPr>
            <w:r>
              <w:rPr>
                <w:rFonts w:hint="eastAsia" w:ascii="宋体" w:hAnsi="宋体" w:cs="宋体"/>
                <w:color w:val="auto"/>
                <w:kern w:val="0"/>
                <w:szCs w:val="21"/>
                <w:highlight w:val="none"/>
              </w:rPr>
              <w:t>医嘱复核</w:t>
            </w:r>
          </w:p>
        </w:tc>
      </w:tr>
      <w:tr w14:paraId="475A2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7BCFF58F">
            <w:pPr>
              <w:numPr>
                <w:ilvl w:val="0"/>
                <w:numId w:val="11"/>
              </w:numPr>
              <w:rPr>
                <w:rFonts w:ascii="宋体" w:hAnsi="宋体" w:cs="宋体"/>
                <w:color w:val="auto"/>
                <w:szCs w:val="21"/>
                <w:highlight w:val="none"/>
              </w:rPr>
            </w:pPr>
          </w:p>
        </w:tc>
        <w:tc>
          <w:tcPr>
            <w:tcW w:w="1686" w:type="dxa"/>
            <w:gridSpan w:val="2"/>
            <w:vMerge w:val="restart"/>
            <w:vAlign w:val="center"/>
          </w:tcPr>
          <w:p w14:paraId="740C5EF7">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医嘱</w:t>
            </w:r>
            <w:r>
              <w:rPr>
                <w:rFonts w:hint="eastAsia" w:ascii="宋体" w:hAnsi="宋体"/>
                <w:color w:val="auto"/>
                <w:highlight w:val="none"/>
              </w:rPr>
              <w:t>复核</w:t>
            </w:r>
          </w:p>
        </w:tc>
        <w:tc>
          <w:tcPr>
            <w:tcW w:w="10961" w:type="dxa"/>
            <w:vAlign w:val="center"/>
          </w:tcPr>
          <w:p w14:paraId="19A418D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支持单病人复核和多病人集中复核功能；</w:t>
            </w:r>
          </w:p>
        </w:tc>
      </w:tr>
      <w:tr w14:paraId="64218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684C7D53">
            <w:pPr>
              <w:numPr>
                <w:ilvl w:val="0"/>
                <w:numId w:val="11"/>
              </w:numPr>
              <w:rPr>
                <w:rFonts w:ascii="宋体" w:hAnsi="宋体" w:cs="宋体"/>
                <w:color w:val="auto"/>
                <w:szCs w:val="21"/>
                <w:highlight w:val="none"/>
              </w:rPr>
            </w:pPr>
          </w:p>
        </w:tc>
        <w:tc>
          <w:tcPr>
            <w:tcW w:w="1686" w:type="dxa"/>
            <w:gridSpan w:val="2"/>
            <w:vMerge w:val="continue"/>
            <w:vAlign w:val="center"/>
          </w:tcPr>
          <w:p w14:paraId="5970C0ED">
            <w:pPr>
              <w:widowControl/>
              <w:jc w:val="center"/>
              <w:rPr>
                <w:rFonts w:ascii="宋体" w:hAnsi="宋体" w:cs="宋体"/>
                <w:color w:val="auto"/>
                <w:kern w:val="0"/>
                <w:szCs w:val="21"/>
                <w:highlight w:val="none"/>
              </w:rPr>
            </w:pPr>
          </w:p>
        </w:tc>
        <w:tc>
          <w:tcPr>
            <w:tcW w:w="10961" w:type="dxa"/>
            <w:vAlign w:val="center"/>
          </w:tcPr>
          <w:p w14:paraId="55A633E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支持对医生医嘱复核和护嘱复核功能；</w:t>
            </w:r>
          </w:p>
        </w:tc>
      </w:tr>
      <w:tr w14:paraId="4C4F5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76037046">
            <w:pPr>
              <w:numPr>
                <w:ilvl w:val="0"/>
                <w:numId w:val="11"/>
              </w:numPr>
              <w:rPr>
                <w:rFonts w:ascii="宋体" w:hAnsi="宋体" w:cs="宋体"/>
                <w:color w:val="auto"/>
                <w:szCs w:val="21"/>
                <w:highlight w:val="none"/>
              </w:rPr>
            </w:pPr>
          </w:p>
        </w:tc>
        <w:tc>
          <w:tcPr>
            <w:tcW w:w="1686" w:type="dxa"/>
            <w:gridSpan w:val="2"/>
            <w:vMerge w:val="continue"/>
            <w:vAlign w:val="center"/>
          </w:tcPr>
          <w:p w14:paraId="7CF71CB2">
            <w:pPr>
              <w:widowControl/>
              <w:jc w:val="center"/>
              <w:rPr>
                <w:rFonts w:ascii="宋体" w:hAnsi="宋体" w:cs="宋体"/>
                <w:color w:val="auto"/>
                <w:kern w:val="0"/>
                <w:szCs w:val="21"/>
                <w:highlight w:val="none"/>
              </w:rPr>
            </w:pPr>
          </w:p>
        </w:tc>
        <w:tc>
          <w:tcPr>
            <w:tcW w:w="10961" w:type="dxa"/>
            <w:vAlign w:val="center"/>
          </w:tcPr>
          <w:p w14:paraId="2F14CED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支持向护士展示所关心的各类不同角度的医嘱列表：未复核医嘱、已复核医嘱、有效医嘱、变动医嘱、问题医嘱等</w:t>
            </w:r>
          </w:p>
        </w:tc>
      </w:tr>
      <w:tr w14:paraId="28E99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1C182BB4">
            <w:pPr>
              <w:numPr>
                <w:ilvl w:val="0"/>
                <w:numId w:val="11"/>
              </w:numPr>
              <w:rPr>
                <w:rFonts w:ascii="宋体" w:hAnsi="宋体" w:cs="宋体"/>
                <w:color w:val="auto"/>
                <w:szCs w:val="21"/>
                <w:highlight w:val="none"/>
              </w:rPr>
            </w:pPr>
          </w:p>
        </w:tc>
        <w:tc>
          <w:tcPr>
            <w:tcW w:w="1686" w:type="dxa"/>
            <w:gridSpan w:val="2"/>
            <w:vMerge w:val="continue"/>
            <w:vAlign w:val="center"/>
          </w:tcPr>
          <w:p w14:paraId="665156A7">
            <w:pPr>
              <w:widowControl/>
              <w:jc w:val="center"/>
              <w:rPr>
                <w:rFonts w:ascii="宋体" w:hAnsi="宋体" w:cs="宋体"/>
                <w:color w:val="auto"/>
                <w:kern w:val="0"/>
                <w:szCs w:val="21"/>
                <w:highlight w:val="none"/>
              </w:rPr>
            </w:pPr>
          </w:p>
        </w:tc>
        <w:tc>
          <w:tcPr>
            <w:tcW w:w="10961" w:type="dxa"/>
            <w:vAlign w:val="center"/>
          </w:tcPr>
          <w:p w14:paraId="597642B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 xml:space="preserve">支持预停医嘱同时进行签署复核、停嘱复核或到停止日期再停嘱复核； </w:t>
            </w:r>
          </w:p>
        </w:tc>
      </w:tr>
      <w:tr w14:paraId="4569E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23F04423">
            <w:pPr>
              <w:numPr>
                <w:ilvl w:val="0"/>
                <w:numId w:val="11"/>
              </w:numPr>
              <w:rPr>
                <w:rFonts w:ascii="宋体" w:hAnsi="宋体" w:cs="宋体"/>
                <w:color w:val="auto"/>
                <w:szCs w:val="21"/>
                <w:highlight w:val="none"/>
              </w:rPr>
            </w:pPr>
          </w:p>
        </w:tc>
        <w:tc>
          <w:tcPr>
            <w:tcW w:w="1686" w:type="dxa"/>
            <w:gridSpan w:val="2"/>
            <w:vMerge w:val="continue"/>
            <w:vAlign w:val="center"/>
          </w:tcPr>
          <w:p w14:paraId="5372B613">
            <w:pPr>
              <w:widowControl/>
              <w:jc w:val="center"/>
              <w:rPr>
                <w:rFonts w:ascii="宋体" w:hAnsi="宋体" w:cs="宋体"/>
                <w:color w:val="auto"/>
                <w:kern w:val="0"/>
                <w:szCs w:val="21"/>
                <w:highlight w:val="none"/>
              </w:rPr>
            </w:pPr>
          </w:p>
        </w:tc>
        <w:tc>
          <w:tcPr>
            <w:tcW w:w="10961" w:type="dxa"/>
            <w:vAlign w:val="center"/>
          </w:tcPr>
          <w:p w14:paraId="72BFDC0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支持新嘱复核、停嘱复核、作废复核，作废医嘱复核需判断医嘱执行状态，可根据状态进行不同的处理；</w:t>
            </w:r>
          </w:p>
        </w:tc>
      </w:tr>
      <w:tr w14:paraId="4CFD8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0AD62D9F">
            <w:pPr>
              <w:numPr>
                <w:ilvl w:val="0"/>
                <w:numId w:val="11"/>
              </w:numPr>
              <w:rPr>
                <w:rFonts w:ascii="宋体" w:hAnsi="宋体" w:cs="宋体"/>
                <w:color w:val="auto"/>
                <w:szCs w:val="21"/>
                <w:highlight w:val="none"/>
              </w:rPr>
            </w:pPr>
          </w:p>
        </w:tc>
        <w:tc>
          <w:tcPr>
            <w:tcW w:w="1686" w:type="dxa"/>
            <w:gridSpan w:val="2"/>
            <w:vMerge w:val="continue"/>
            <w:vAlign w:val="center"/>
          </w:tcPr>
          <w:p w14:paraId="55A0EDCC">
            <w:pPr>
              <w:widowControl/>
              <w:jc w:val="center"/>
              <w:rPr>
                <w:rFonts w:ascii="宋体" w:hAnsi="宋体" w:cs="宋体"/>
                <w:color w:val="auto"/>
                <w:kern w:val="0"/>
                <w:szCs w:val="21"/>
                <w:highlight w:val="none"/>
              </w:rPr>
            </w:pPr>
          </w:p>
        </w:tc>
        <w:tc>
          <w:tcPr>
            <w:tcW w:w="10961" w:type="dxa"/>
            <w:vAlign w:val="center"/>
          </w:tcPr>
          <w:p w14:paraId="19CF9E6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支持对已复核医嘱取消复核功能，取消复核需判断医嘱执行状态，根据状态进行不同的处理；</w:t>
            </w:r>
          </w:p>
        </w:tc>
      </w:tr>
      <w:tr w14:paraId="60175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34BCF97E">
            <w:pPr>
              <w:numPr>
                <w:ilvl w:val="0"/>
                <w:numId w:val="11"/>
              </w:numPr>
              <w:rPr>
                <w:rFonts w:ascii="宋体" w:hAnsi="宋体" w:cs="宋体"/>
                <w:color w:val="auto"/>
                <w:szCs w:val="21"/>
                <w:highlight w:val="none"/>
              </w:rPr>
            </w:pPr>
          </w:p>
        </w:tc>
        <w:tc>
          <w:tcPr>
            <w:tcW w:w="1686" w:type="dxa"/>
            <w:gridSpan w:val="2"/>
            <w:vMerge w:val="continue"/>
            <w:vAlign w:val="center"/>
          </w:tcPr>
          <w:p w14:paraId="50BC3149">
            <w:pPr>
              <w:widowControl/>
              <w:jc w:val="center"/>
              <w:rPr>
                <w:rFonts w:ascii="宋体" w:hAnsi="宋体" w:cs="宋体"/>
                <w:color w:val="auto"/>
                <w:kern w:val="0"/>
                <w:szCs w:val="21"/>
                <w:highlight w:val="none"/>
              </w:rPr>
            </w:pPr>
          </w:p>
        </w:tc>
        <w:tc>
          <w:tcPr>
            <w:tcW w:w="10961" w:type="dxa"/>
            <w:vAlign w:val="center"/>
          </w:tcPr>
          <w:p w14:paraId="5EBBA78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支持待复核医嘱退回医生站功能，已复核先取消再退回，未复核直接退回医生；</w:t>
            </w:r>
          </w:p>
        </w:tc>
      </w:tr>
      <w:tr w14:paraId="26FF1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7AEAA87D">
            <w:pPr>
              <w:numPr>
                <w:ilvl w:val="0"/>
                <w:numId w:val="11"/>
              </w:numPr>
              <w:rPr>
                <w:rFonts w:ascii="宋体" w:hAnsi="宋体" w:cs="宋体"/>
                <w:color w:val="auto"/>
                <w:szCs w:val="21"/>
                <w:highlight w:val="none"/>
              </w:rPr>
            </w:pPr>
          </w:p>
        </w:tc>
        <w:tc>
          <w:tcPr>
            <w:tcW w:w="1686" w:type="dxa"/>
            <w:gridSpan w:val="2"/>
            <w:vMerge w:val="continue"/>
            <w:vAlign w:val="center"/>
          </w:tcPr>
          <w:p w14:paraId="174EBC33">
            <w:pPr>
              <w:widowControl/>
              <w:jc w:val="center"/>
              <w:rPr>
                <w:rFonts w:ascii="宋体" w:hAnsi="宋体" w:cs="宋体"/>
                <w:color w:val="auto"/>
                <w:kern w:val="0"/>
                <w:szCs w:val="21"/>
                <w:highlight w:val="none"/>
              </w:rPr>
            </w:pPr>
          </w:p>
        </w:tc>
        <w:tc>
          <w:tcPr>
            <w:tcW w:w="10961" w:type="dxa"/>
            <w:vAlign w:val="center"/>
          </w:tcPr>
          <w:p w14:paraId="42969C8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支持待复核医嘱相关申请单、报告单查询功能；</w:t>
            </w:r>
          </w:p>
        </w:tc>
      </w:tr>
      <w:tr w14:paraId="14FE6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236DB198">
            <w:pPr>
              <w:numPr>
                <w:ilvl w:val="0"/>
                <w:numId w:val="11"/>
              </w:numPr>
              <w:rPr>
                <w:rFonts w:ascii="宋体" w:hAnsi="宋体" w:cs="宋体"/>
                <w:color w:val="auto"/>
                <w:szCs w:val="21"/>
                <w:highlight w:val="none"/>
              </w:rPr>
            </w:pPr>
          </w:p>
        </w:tc>
        <w:tc>
          <w:tcPr>
            <w:tcW w:w="1686" w:type="dxa"/>
            <w:gridSpan w:val="2"/>
            <w:vMerge w:val="continue"/>
            <w:vAlign w:val="center"/>
          </w:tcPr>
          <w:p w14:paraId="4242E358">
            <w:pPr>
              <w:widowControl/>
              <w:jc w:val="center"/>
              <w:rPr>
                <w:rFonts w:ascii="宋体" w:hAnsi="宋体" w:cs="宋体"/>
                <w:color w:val="auto"/>
                <w:kern w:val="0"/>
                <w:szCs w:val="21"/>
                <w:highlight w:val="none"/>
              </w:rPr>
            </w:pPr>
          </w:p>
        </w:tc>
        <w:tc>
          <w:tcPr>
            <w:tcW w:w="10961" w:type="dxa"/>
            <w:vAlign w:val="center"/>
          </w:tcPr>
          <w:p w14:paraId="1B18799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支持药品发送、检查提交、检验条码打印功能集成在医嘱复核界面上；</w:t>
            </w:r>
          </w:p>
        </w:tc>
      </w:tr>
      <w:tr w14:paraId="66FC2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7E33CCE5">
            <w:pPr>
              <w:numPr>
                <w:ilvl w:val="0"/>
                <w:numId w:val="11"/>
              </w:numPr>
              <w:rPr>
                <w:rFonts w:ascii="宋体" w:hAnsi="宋体" w:cs="宋体"/>
                <w:color w:val="auto"/>
                <w:szCs w:val="21"/>
                <w:highlight w:val="none"/>
              </w:rPr>
            </w:pPr>
          </w:p>
        </w:tc>
        <w:tc>
          <w:tcPr>
            <w:tcW w:w="1686" w:type="dxa"/>
            <w:gridSpan w:val="2"/>
            <w:vMerge w:val="continue"/>
            <w:vAlign w:val="center"/>
          </w:tcPr>
          <w:p w14:paraId="2448642E">
            <w:pPr>
              <w:widowControl/>
              <w:jc w:val="center"/>
              <w:rPr>
                <w:rFonts w:ascii="宋体" w:hAnsi="宋体" w:cs="宋体"/>
                <w:color w:val="auto"/>
                <w:kern w:val="0"/>
                <w:szCs w:val="21"/>
                <w:highlight w:val="none"/>
              </w:rPr>
            </w:pPr>
          </w:p>
        </w:tc>
        <w:tc>
          <w:tcPr>
            <w:tcW w:w="10961" w:type="dxa"/>
            <w:vAlign w:val="center"/>
          </w:tcPr>
          <w:p w14:paraId="0837FD4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支持护士为待复核医嘱新增附加医嘱服务功能，附加项目可随时停止，并可新增新的附加项目记费。附加项目的频次可不同于主医嘱的频次，附加项目通过后台设置自动按规则计算自动附加；</w:t>
            </w:r>
          </w:p>
        </w:tc>
      </w:tr>
      <w:tr w14:paraId="3E487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71A2BDA1">
            <w:pPr>
              <w:numPr>
                <w:ilvl w:val="0"/>
                <w:numId w:val="11"/>
              </w:numPr>
              <w:rPr>
                <w:rFonts w:ascii="宋体" w:hAnsi="宋体" w:cs="宋体"/>
                <w:color w:val="auto"/>
                <w:szCs w:val="21"/>
                <w:highlight w:val="none"/>
              </w:rPr>
            </w:pPr>
          </w:p>
        </w:tc>
        <w:tc>
          <w:tcPr>
            <w:tcW w:w="1686" w:type="dxa"/>
            <w:gridSpan w:val="2"/>
            <w:vMerge w:val="continue"/>
            <w:vAlign w:val="center"/>
          </w:tcPr>
          <w:p w14:paraId="0B51C6C6">
            <w:pPr>
              <w:widowControl/>
              <w:jc w:val="center"/>
              <w:rPr>
                <w:rFonts w:ascii="宋体" w:hAnsi="宋体" w:cs="宋体"/>
                <w:color w:val="auto"/>
                <w:kern w:val="0"/>
                <w:szCs w:val="21"/>
                <w:highlight w:val="none"/>
              </w:rPr>
            </w:pPr>
          </w:p>
        </w:tc>
        <w:tc>
          <w:tcPr>
            <w:tcW w:w="10961" w:type="dxa"/>
            <w:vAlign w:val="center"/>
          </w:tcPr>
          <w:p w14:paraId="5B43420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支持医嘱附加项目的确认审核功能，审核过的附加项目可自动产生待记费的费用计划；</w:t>
            </w:r>
          </w:p>
        </w:tc>
      </w:tr>
      <w:tr w14:paraId="4F7B4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7C9B3C25">
            <w:pPr>
              <w:numPr>
                <w:ilvl w:val="0"/>
                <w:numId w:val="11"/>
              </w:numPr>
              <w:rPr>
                <w:rFonts w:ascii="宋体" w:hAnsi="宋体" w:cs="宋体"/>
                <w:color w:val="auto"/>
                <w:szCs w:val="21"/>
                <w:highlight w:val="none"/>
              </w:rPr>
            </w:pPr>
          </w:p>
        </w:tc>
        <w:tc>
          <w:tcPr>
            <w:tcW w:w="1686" w:type="dxa"/>
            <w:gridSpan w:val="2"/>
            <w:vMerge w:val="continue"/>
            <w:vAlign w:val="center"/>
          </w:tcPr>
          <w:p w14:paraId="6A5F5FCF">
            <w:pPr>
              <w:widowControl/>
              <w:jc w:val="center"/>
              <w:rPr>
                <w:rFonts w:ascii="宋体" w:hAnsi="宋体" w:cs="宋体"/>
                <w:color w:val="auto"/>
                <w:kern w:val="0"/>
                <w:szCs w:val="21"/>
                <w:highlight w:val="none"/>
              </w:rPr>
            </w:pPr>
          </w:p>
        </w:tc>
        <w:tc>
          <w:tcPr>
            <w:tcW w:w="10961" w:type="dxa"/>
            <w:vAlign w:val="center"/>
          </w:tcPr>
          <w:p w14:paraId="67EB788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支持医嘱计划管理功能，医嘱复核时自动产生若干天的医嘱计划，或由Autorun工具每天定时自动生成若干天医嘱计划；</w:t>
            </w:r>
          </w:p>
        </w:tc>
      </w:tr>
      <w:tr w14:paraId="72E77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46FFFFED">
            <w:pPr>
              <w:numPr>
                <w:ilvl w:val="0"/>
                <w:numId w:val="11"/>
              </w:numPr>
              <w:rPr>
                <w:rFonts w:ascii="宋体" w:hAnsi="宋体" w:cs="宋体"/>
                <w:color w:val="auto"/>
                <w:szCs w:val="21"/>
                <w:highlight w:val="none"/>
              </w:rPr>
            </w:pPr>
          </w:p>
        </w:tc>
        <w:tc>
          <w:tcPr>
            <w:tcW w:w="1686" w:type="dxa"/>
            <w:gridSpan w:val="2"/>
            <w:vMerge w:val="continue"/>
            <w:vAlign w:val="center"/>
          </w:tcPr>
          <w:p w14:paraId="6609F2A0">
            <w:pPr>
              <w:widowControl/>
              <w:jc w:val="center"/>
              <w:rPr>
                <w:rFonts w:ascii="宋体" w:hAnsi="宋体" w:cs="宋体"/>
                <w:color w:val="auto"/>
                <w:kern w:val="0"/>
                <w:szCs w:val="21"/>
                <w:highlight w:val="none"/>
              </w:rPr>
            </w:pPr>
          </w:p>
        </w:tc>
        <w:tc>
          <w:tcPr>
            <w:tcW w:w="10961" w:type="dxa"/>
            <w:vAlign w:val="center"/>
          </w:tcPr>
          <w:p w14:paraId="26ADC19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支持医嘱精细化管理，针对不同状态的医嘱计划可进行退药退费，计划作废，取消作废、计划记费、计划提交、计划备注相关操作；</w:t>
            </w:r>
          </w:p>
        </w:tc>
      </w:tr>
      <w:tr w14:paraId="1A0B2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34FAE98F">
            <w:pPr>
              <w:numPr>
                <w:ilvl w:val="0"/>
                <w:numId w:val="11"/>
              </w:numPr>
              <w:rPr>
                <w:rFonts w:ascii="宋体" w:hAnsi="宋体" w:cs="宋体"/>
                <w:color w:val="auto"/>
                <w:szCs w:val="21"/>
                <w:highlight w:val="none"/>
              </w:rPr>
            </w:pPr>
          </w:p>
        </w:tc>
        <w:tc>
          <w:tcPr>
            <w:tcW w:w="1686" w:type="dxa"/>
            <w:gridSpan w:val="2"/>
            <w:vMerge w:val="continue"/>
            <w:vAlign w:val="center"/>
          </w:tcPr>
          <w:p w14:paraId="18DEF33C">
            <w:pPr>
              <w:widowControl/>
              <w:jc w:val="center"/>
              <w:rPr>
                <w:rFonts w:ascii="宋体" w:hAnsi="宋体" w:cs="宋体"/>
                <w:color w:val="auto"/>
                <w:kern w:val="0"/>
                <w:szCs w:val="21"/>
                <w:highlight w:val="none"/>
              </w:rPr>
            </w:pPr>
          </w:p>
        </w:tc>
        <w:tc>
          <w:tcPr>
            <w:tcW w:w="10961" w:type="dxa"/>
            <w:vAlign w:val="center"/>
          </w:tcPr>
          <w:p w14:paraId="3C2607E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支持已复核医嘱费用查询功能，可进行退药退费处理；</w:t>
            </w:r>
          </w:p>
        </w:tc>
      </w:tr>
      <w:tr w14:paraId="0FE6D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39A69CFC">
            <w:pPr>
              <w:numPr>
                <w:ilvl w:val="0"/>
                <w:numId w:val="11"/>
              </w:numPr>
              <w:rPr>
                <w:rFonts w:ascii="宋体" w:hAnsi="宋体" w:cs="宋体"/>
                <w:color w:val="auto"/>
                <w:szCs w:val="21"/>
                <w:highlight w:val="none"/>
              </w:rPr>
            </w:pPr>
          </w:p>
        </w:tc>
        <w:tc>
          <w:tcPr>
            <w:tcW w:w="1686" w:type="dxa"/>
            <w:gridSpan w:val="2"/>
            <w:vMerge w:val="continue"/>
            <w:vAlign w:val="center"/>
          </w:tcPr>
          <w:p w14:paraId="47E13F58">
            <w:pPr>
              <w:widowControl/>
              <w:jc w:val="center"/>
              <w:rPr>
                <w:rFonts w:ascii="宋体" w:hAnsi="宋体" w:cs="宋体"/>
                <w:color w:val="auto"/>
                <w:kern w:val="0"/>
                <w:szCs w:val="21"/>
                <w:highlight w:val="none"/>
              </w:rPr>
            </w:pPr>
          </w:p>
        </w:tc>
        <w:tc>
          <w:tcPr>
            <w:tcW w:w="10961" w:type="dxa"/>
            <w:vAlign w:val="center"/>
          </w:tcPr>
          <w:p w14:paraId="2747FDF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支持待复核医嘱明细查询功能，按药品、检查、检验、手术等医嘱开立医疗单模式显示；</w:t>
            </w:r>
          </w:p>
        </w:tc>
      </w:tr>
      <w:tr w14:paraId="54060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2590075D">
            <w:pPr>
              <w:numPr>
                <w:ilvl w:val="0"/>
                <w:numId w:val="11"/>
              </w:numPr>
              <w:rPr>
                <w:rFonts w:ascii="宋体" w:hAnsi="宋体" w:cs="宋体"/>
                <w:color w:val="auto"/>
                <w:szCs w:val="21"/>
                <w:highlight w:val="none"/>
              </w:rPr>
            </w:pPr>
          </w:p>
        </w:tc>
        <w:tc>
          <w:tcPr>
            <w:tcW w:w="1686" w:type="dxa"/>
            <w:gridSpan w:val="2"/>
            <w:vMerge w:val="continue"/>
            <w:vAlign w:val="center"/>
          </w:tcPr>
          <w:p w14:paraId="21775214">
            <w:pPr>
              <w:widowControl/>
              <w:jc w:val="center"/>
              <w:rPr>
                <w:rFonts w:ascii="宋体" w:hAnsi="宋体" w:cs="宋体"/>
                <w:color w:val="auto"/>
                <w:kern w:val="0"/>
                <w:szCs w:val="21"/>
                <w:highlight w:val="none"/>
              </w:rPr>
            </w:pPr>
          </w:p>
        </w:tc>
        <w:tc>
          <w:tcPr>
            <w:tcW w:w="10961" w:type="dxa"/>
            <w:vAlign w:val="center"/>
          </w:tcPr>
          <w:p w14:paraId="7994943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支持医嘱过滤功能，可按长期/临时，已开嘱/已停嘱/已作废，未复核/已复核/变动医嘱/问题医嘱，所有/今日，医嘱/护嘱条件过滤；</w:t>
            </w:r>
          </w:p>
        </w:tc>
      </w:tr>
      <w:tr w14:paraId="06E71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075C3BE9">
            <w:pPr>
              <w:numPr>
                <w:ilvl w:val="0"/>
                <w:numId w:val="11"/>
              </w:numPr>
              <w:rPr>
                <w:rFonts w:ascii="宋体" w:hAnsi="宋体" w:cs="宋体"/>
                <w:color w:val="auto"/>
                <w:szCs w:val="21"/>
                <w:highlight w:val="none"/>
              </w:rPr>
            </w:pPr>
          </w:p>
        </w:tc>
        <w:tc>
          <w:tcPr>
            <w:tcW w:w="1686" w:type="dxa"/>
            <w:gridSpan w:val="2"/>
            <w:vMerge w:val="continue"/>
            <w:vAlign w:val="center"/>
          </w:tcPr>
          <w:p w14:paraId="78730AA5">
            <w:pPr>
              <w:widowControl/>
              <w:jc w:val="center"/>
              <w:rPr>
                <w:rFonts w:ascii="宋体" w:hAnsi="宋体" w:cs="宋体"/>
                <w:color w:val="auto"/>
                <w:kern w:val="0"/>
                <w:szCs w:val="21"/>
                <w:highlight w:val="none"/>
              </w:rPr>
            </w:pPr>
          </w:p>
        </w:tc>
        <w:tc>
          <w:tcPr>
            <w:tcW w:w="10961" w:type="dxa"/>
            <w:vAlign w:val="center"/>
          </w:tcPr>
          <w:p w14:paraId="706C543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支持待复核医嘱状态标识功能，包括紧急医嘱，出院带药，嘱托医嘱，附加费用医嘱，会诊医嘱，手术，转科，申请单，草药方，待审核医嘱；</w:t>
            </w:r>
          </w:p>
        </w:tc>
      </w:tr>
      <w:tr w14:paraId="1B13E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6A663E75">
            <w:pPr>
              <w:numPr>
                <w:ilvl w:val="0"/>
                <w:numId w:val="11"/>
              </w:numPr>
              <w:rPr>
                <w:rFonts w:ascii="宋体" w:hAnsi="宋体" w:cs="宋体"/>
                <w:color w:val="auto"/>
                <w:szCs w:val="21"/>
                <w:highlight w:val="none"/>
              </w:rPr>
            </w:pPr>
          </w:p>
        </w:tc>
        <w:tc>
          <w:tcPr>
            <w:tcW w:w="1686" w:type="dxa"/>
            <w:gridSpan w:val="2"/>
            <w:vMerge w:val="continue"/>
            <w:vAlign w:val="center"/>
          </w:tcPr>
          <w:p w14:paraId="6F770497">
            <w:pPr>
              <w:widowControl/>
              <w:jc w:val="center"/>
              <w:rPr>
                <w:rFonts w:ascii="宋体" w:hAnsi="宋体" w:cs="宋体"/>
                <w:color w:val="auto"/>
                <w:kern w:val="0"/>
                <w:szCs w:val="21"/>
                <w:highlight w:val="none"/>
              </w:rPr>
            </w:pPr>
          </w:p>
        </w:tc>
        <w:tc>
          <w:tcPr>
            <w:tcW w:w="10961" w:type="dxa"/>
            <w:vAlign w:val="center"/>
          </w:tcPr>
          <w:p w14:paraId="43F7F8E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支持待复核高危药品医嘱；</w:t>
            </w:r>
          </w:p>
        </w:tc>
      </w:tr>
      <w:tr w14:paraId="491F0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64F181A1">
            <w:pPr>
              <w:numPr>
                <w:ilvl w:val="0"/>
                <w:numId w:val="11"/>
              </w:numPr>
              <w:rPr>
                <w:rFonts w:ascii="宋体" w:hAnsi="宋体" w:cs="宋体"/>
                <w:color w:val="auto"/>
                <w:szCs w:val="21"/>
                <w:highlight w:val="none"/>
              </w:rPr>
            </w:pPr>
          </w:p>
        </w:tc>
        <w:tc>
          <w:tcPr>
            <w:tcW w:w="1686" w:type="dxa"/>
            <w:gridSpan w:val="2"/>
            <w:vMerge w:val="continue"/>
            <w:vAlign w:val="center"/>
          </w:tcPr>
          <w:p w14:paraId="2006FA8C">
            <w:pPr>
              <w:widowControl/>
              <w:jc w:val="center"/>
              <w:rPr>
                <w:rFonts w:ascii="宋体" w:hAnsi="宋体" w:cs="宋体"/>
                <w:color w:val="auto"/>
                <w:kern w:val="0"/>
                <w:szCs w:val="21"/>
                <w:highlight w:val="none"/>
              </w:rPr>
            </w:pPr>
          </w:p>
        </w:tc>
        <w:tc>
          <w:tcPr>
            <w:tcW w:w="10961" w:type="dxa"/>
            <w:vAlign w:val="center"/>
          </w:tcPr>
          <w:p w14:paraId="46C6866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支持待复核皮试药品医嘱用实心三角形显示，“未皮试”（红色），“免皮试”（蓝色），“阳性”（红色），阴性“（蓝色）；</w:t>
            </w:r>
          </w:p>
        </w:tc>
      </w:tr>
      <w:tr w14:paraId="222F1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46E04F8A">
            <w:pPr>
              <w:numPr>
                <w:ilvl w:val="0"/>
                <w:numId w:val="11"/>
              </w:numPr>
              <w:rPr>
                <w:rFonts w:ascii="宋体" w:hAnsi="宋体" w:cs="宋体"/>
                <w:color w:val="auto"/>
                <w:szCs w:val="21"/>
                <w:highlight w:val="none"/>
              </w:rPr>
            </w:pPr>
          </w:p>
        </w:tc>
        <w:tc>
          <w:tcPr>
            <w:tcW w:w="1686" w:type="dxa"/>
            <w:gridSpan w:val="2"/>
            <w:vMerge w:val="continue"/>
            <w:vAlign w:val="center"/>
          </w:tcPr>
          <w:p w14:paraId="26584DB5">
            <w:pPr>
              <w:widowControl/>
              <w:jc w:val="center"/>
              <w:rPr>
                <w:rFonts w:ascii="宋体" w:hAnsi="宋体" w:cs="宋体"/>
                <w:color w:val="auto"/>
                <w:kern w:val="0"/>
                <w:szCs w:val="21"/>
                <w:highlight w:val="none"/>
              </w:rPr>
            </w:pPr>
          </w:p>
        </w:tc>
        <w:tc>
          <w:tcPr>
            <w:tcW w:w="10961" w:type="dxa"/>
            <w:vAlign w:val="center"/>
          </w:tcPr>
          <w:p w14:paraId="24A9D3C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支持附加项目的单人审核、批量集中审核，可查询已审批，未审批数据，查看审核人、审核时间；</w:t>
            </w:r>
          </w:p>
        </w:tc>
      </w:tr>
      <w:tr w14:paraId="5BFBC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03BA3D29">
            <w:pPr>
              <w:numPr>
                <w:ilvl w:val="0"/>
                <w:numId w:val="11"/>
              </w:numPr>
              <w:rPr>
                <w:rFonts w:ascii="宋体" w:hAnsi="宋体" w:cs="宋体"/>
                <w:color w:val="auto"/>
                <w:szCs w:val="21"/>
                <w:highlight w:val="none"/>
              </w:rPr>
            </w:pPr>
          </w:p>
        </w:tc>
        <w:tc>
          <w:tcPr>
            <w:tcW w:w="1686" w:type="dxa"/>
            <w:gridSpan w:val="2"/>
            <w:vMerge w:val="continue"/>
            <w:vAlign w:val="center"/>
          </w:tcPr>
          <w:p w14:paraId="1AC8F53C">
            <w:pPr>
              <w:widowControl/>
              <w:jc w:val="center"/>
              <w:rPr>
                <w:rFonts w:ascii="宋体" w:hAnsi="宋体" w:cs="宋体"/>
                <w:color w:val="auto"/>
                <w:kern w:val="0"/>
                <w:szCs w:val="21"/>
                <w:highlight w:val="none"/>
              </w:rPr>
            </w:pPr>
          </w:p>
        </w:tc>
        <w:tc>
          <w:tcPr>
            <w:tcW w:w="10961" w:type="dxa"/>
            <w:vAlign w:val="center"/>
          </w:tcPr>
          <w:p w14:paraId="2A74C02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进行医嘱停嘱复核时，大于医嘱停嘱时间的已发药、已记费的计划，会自动生成退药退费单。护士进行医嘱作废复核时，已发药、已记费的计划，会自动生成退药退费单，方便护士进行核对与退药退费；</w:t>
            </w:r>
          </w:p>
        </w:tc>
      </w:tr>
      <w:tr w14:paraId="21CAC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642EB99B">
            <w:pPr>
              <w:numPr>
                <w:ilvl w:val="0"/>
                <w:numId w:val="11"/>
              </w:numPr>
              <w:rPr>
                <w:rFonts w:ascii="宋体" w:hAnsi="宋体" w:cs="宋体"/>
                <w:color w:val="auto"/>
                <w:szCs w:val="21"/>
                <w:highlight w:val="none"/>
              </w:rPr>
            </w:pPr>
          </w:p>
        </w:tc>
        <w:tc>
          <w:tcPr>
            <w:tcW w:w="1686" w:type="dxa"/>
            <w:gridSpan w:val="2"/>
            <w:vMerge w:val="continue"/>
            <w:vAlign w:val="center"/>
          </w:tcPr>
          <w:p w14:paraId="6F935C7A">
            <w:pPr>
              <w:widowControl/>
              <w:jc w:val="center"/>
              <w:rPr>
                <w:rFonts w:ascii="宋体" w:hAnsi="宋体" w:cs="宋体"/>
                <w:color w:val="auto"/>
                <w:kern w:val="0"/>
                <w:szCs w:val="21"/>
                <w:highlight w:val="none"/>
              </w:rPr>
            </w:pPr>
          </w:p>
        </w:tc>
        <w:tc>
          <w:tcPr>
            <w:tcW w:w="10961" w:type="dxa"/>
            <w:vAlign w:val="center"/>
          </w:tcPr>
          <w:p w14:paraId="034FA71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支持抗菌药物管理，复核时进行未送检提醒。</w:t>
            </w:r>
          </w:p>
        </w:tc>
      </w:tr>
      <w:tr w14:paraId="2AC47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7A6E2DA8">
            <w:pPr>
              <w:numPr>
                <w:ilvl w:val="0"/>
                <w:numId w:val="11"/>
              </w:numPr>
              <w:rPr>
                <w:rFonts w:ascii="宋体" w:hAnsi="宋体" w:cs="宋体"/>
                <w:color w:val="auto"/>
                <w:szCs w:val="21"/>
                <w:highlight w:val="none"/>
              </w:rPr>
            </w:pPr>
          </w:p>
        </w:tc>
        <w:tc>
          <w:tcPr>
            <w:tcW w:w="12647" w:type="dxa"/>
            <w:gridSpan w:val="3"/>
            <w:vAlign w:val="center"/>
          </w:tcPr>
          <w:p w14:paraId="6FDA74EC">
            <w:pPr>
              <w:numPr>
                <w:ilvl w:val="1"/>
                <w:numId w:val="11"/>
              </w:numPr>
              <w:ind w:left="0" w:firstLine="0"/>
              <w:rPr>
                <w:color w:val="auto"/>
                <w:highlight w:val="none"/>
                <w:shd w:val="clear" w:color="auto" w:fill="92D050"/>
              </w:rPr>
            </w:pPr>
            <w:r>
              <w:rPr>
                <w:rFonts w:hint="eastAsia" w:ascii="宋体" w:hAnsi="宋体" w:cs="宋体"/>
                <w:color w:val="auto"/>
                <w:kern w:val="0"/>
                <w:szCs w:val="21"/>
                <w:highlight w:val="none"/>
                <w:shd w:val="clear" w:color="auto"/>
              </w:rPr>
              <w:t>护嘱录入</w:t>
            </w:r>
          </w:p>
        </w:tc>
      </w:tr>
      <w:tr w14:paraId="0D0C3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4EBCB150">
            <w:pPr>
              <w:numPr>
                <w:ilvl w:val="0"/>
                <w:numId w:val="11"/>
              </w:numPr>
              <w:rPr>
                <w:rFonts w:ascii="宋体" w:hAnsi="宋体" w:cs="宋体"/>
                <w:color w:val="auto"/>
                <w:szCs w:val="21"/>
                <w:highlight w:val="none"/>
              </w:rPr>
            </w:pPr>
          </w:p>
        </w:tc>
        <w:tc>
          <w:tcPr>
            <w:tcW w:w="1686" w:type="dxa"/>
            <w:gridSpan w:val="2"/>
            <w:vMerge w:val="restart"/>
            <w:vAlign w:val="center"/>
          </w:tcPr>
          <w:p w14:paraId="37EB3BCE">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护嘱录入</w:t>
            </w:r>
          </w:p>
        </w:tc>
        <w:tc>
          <w:tcPr>
            <w:tcW w:w="10961" w:type="dxa"/>
            <w:vAlign w:val="center"/>
          </w:tcPr>
          <w:p w14:paraId="56621D5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支持护嘱录入是否使用可参数化设置，医院根据实际情况选择使用；</w:t>
            </w:r>
          </w:p>
        </w:tc>
      </w:tr>
      <w:tr w14:paraId="48D3A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294E57CC">
            <w:pPr>
              <w:numPr>
                <w:ilvl w:val="0"/>
                <w:numId w:val="11"/>
              </w:numPr>
              <w:rPr>
                <w:rFonts w:ascii="宋体" w:hAnsi="宋体" w:cs="宋体"/>
                <w:color w:val="auto"/>
                <w:szCs w:val="21"/>
                <w:highlight w:val="none"/>
              </w:rPr>
            </w:pPr>
          </w:p>
        </w:tc>
        <w:tc>
          <w:tcPr>
            <w:tcW w:w="1686" w:type="dxa"/>
            <w:gridSpan w:val="2"/>
            <w:vMerge w:val="continue"/>
            <w:vAlign w:val="center"/>
          </w:tcPr>
          <w:p w14:paraId="3D8AEDFF">
            <w:pPr>
              <w:widowControl/>
              <w:jc w:val="center"/>
              <w:rPr>
                <w:rFonts w:ascii="宋体" w:hAnsi="宋体" w:cs="宋体"/>
                <w:color w:val="auto"/>
                <w:kern w:val="0"/>
                <w:szCs w:val="21"/>
                <w:highlight w:val="none"/>
              </w:rPr>
            </w:pPr>
          </w:p>
        </w:tc>
        <w:tc>
          <w:tcPr>
            <w:tcW w:w="10961" w:type="dxa"/>
            <w:vAlign w:val="center"/>
          </w:tcPr>
          <w:p w14:paraId="15D9350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支持护嘱录入药品权限设置，可配置有权限录入的药品护嘱。</w:t>
            </w:r>
          </w:p>
        </w:tc>
      </w:tr>
      <w:tr w14:paraId="2F50D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7B56E2D2">
            <w:pPr>
              <w:numPr>
                <w:ilvl w:val="0"/>
                <w:numId w:val="11"/>
              </w:numPr>
              <w:rPr>
                <w:rFonts w:ascii="宋体" w:hAnsi="宋体" w:cs="宋体"/>
                <w:color w:val="auto"/>
                <w:szCs w:val="21"/>
                <w:highlight w:val="none"/>
              </w:rPr>
            </w:pPr>
          </w:p>
        </w:tc>
        <w:tc>
          <w:tcPr>
            <w:tcW w:w="12647" w:type="dxa"/>
            <w:gridSpan w:val="3"/>
            <w:vAlign w:val="center"/>
          </w:tcPr>
          <w:p w14:paraId="4F489A35">
            <w:pPr>
              <w:numPr>
                <w:ilvl w:val="1"/>
                <w:numId w:val="11"/>
              </w:numPr>
              <w:ind w:left="0" w:firstLine="0"/>
              <w:rPr>
                <w:color w:val="auto"/>
                <w:highlight w:val="none"/>
              </w:rPr>
            </w:pPr>
            <w:r>
              <w:rPr>
                <w:rFonts w:hint="eastAsia" w:ascii="宋体" w:hAnsi="宋体" w:cs="宋体"/>
                <w:color w:val="auto"/>
                <w:kern w:val="0"/>
                <w:szCs w:val="21"/>
                <w:highlight w:val="none"/>
              </w:rPr>
              <w:t>医嘱执行</w:t>
            </w:r>
          </w:p>
        </w:tc>
      </w:tr>
      <w:tr w14:paraId="4D2AB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4A52F248">
            <w:pPr>
              <w:numPr>
                <w:ilvl w:val="0"/>
                <w:numId w:val="11"/>
              </w:numPr>
              <w:rPr>
                <w:rFonts w:ascii="宋体" w:hAnsi="宋体" w:cs="宋体"/>
                <w:color w:val="auto"/>
                <w:szCs w:val="21"/>
                <w:highlight w:val="none"/>
              </w:rPr>
            </w:pPr>
          </w:p>
        </w:tc>
        <w:tc>
          <w:tcPr>
            <w:tcW w:w="1686" w:type="dxa"/>
            <w:gridSpan w:val="2"/>
            <w:vMerge w:val="restart"/>
            <w:vAlign w:val="center"/>
          </w:tcPr>
          <w:p w14:paraId="6B25A0BA">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医嘱执行</w:t>
            </w:r>
          </w:p>
        </w:tc>
        <w:tc>
          <w:tcPr>
            <w:tcW w:w="10961" w:type="dxa"/>
            <w:vAlign w:val="center"/>
          </w:tcPr>
          <w:p w14:paraId="1D93E0F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支持医嘱执行“一体化”操作界面，在一体化界面通过Tab页面切换到药品发送、医技提交、医嘱记费的医嘱执行大类页面，改变以往多窗口操作的离散情况；</w:t>
            </w:r>
          </w:p>
        </w:tc>
      </w:tr>
      <w:tr w14:paraId="519E9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7A8B8C45">
            <w:pPr>
              <w:numPr>
                <w:ilvl w:val="0"/>
                <w:numId w:val="11"/>
              </w:numPr>
              <w:rPr>
                <w:rFonts w:ascii="宋体" w:hAnsi="宋体" w:cs="宋体"/>
                <w:color w:val="auto"/>
                <w:szCs w:val="21"/>
                <w:highlight w:val="none"/>
              </w:rPr>
            </w:pPr>
          </w:p>
        </w:tc>
        <w:tc>
          <w:tcPr>
            <w:tcW w:w="1686" w:type="dxa"/>
            <w:gridSpan w:val="2"/>
            <w:vMerge w:val="continue"/>
            <w:vAlign w:val="center"/>
          </w:tcPr>
          <w:p w14:paraId="56912721">
            <w:pPr>
              <w:widowControl/>
              <w:jc w:val="center"/>
              <w:rPr>
                <w:rFonts w:ascii="宋体" w:hAnsi="宋体" w:cs="宋体"/>
                <w:color w:val="auto"/>
                <w:kern w:val="0"/>
                <w:szCs w:val="21"/>
                <w:highlight w:val="none"/>
              </w:rPr>
            </w:pPr>
          </w:p>
        </w:tc>
        <w:tc>
          <w:tcPr>
            <w:tcW w:w="10961" w:type="dxa"/>
            <w:vAlign w:val="center"/>
          </w:tcPr>
          <w:p w14:paraId="199704C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支持医嘱一键执行功能，不区分医嘱执行大类将药品发送、医技提交、医嘱记费功能集成在一个界面上，通过一键执行快速处理所有业务；</w:t>
            </w:r>
          </w:p>
        </w:tc>
      </w:tr>
      <w:tr w14:paraId="1DC6C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4CEBCCFD">
            <w:pPr>
              <w:numPr>
                <w:ilvl w:val="0"/>
                <w:numId w:val="11"/>
              </w:numPr>
              <w:rPr>
                <w:rFonts w:ascii="宋体" w:hAnsi="宋体" w:cs="宋体"/>
                <w:color w:val="auto"/>
                <w:szCs w:val="21"/>
                <w:highlight w:val="none"/>
              </w:rPr>
            </w:pPr>
          </w:p>
        </w:tc>
        <w:tc>
          <w:tcPr>
            <w:tcW w:w="1686" w:type="dxa"/>
            <w:gridSpan w:val="2"/>
            <w:vMerge w:val="continue"/>
            <w:vAlign w:val="center"/>
          </w:tcPr>
          <w:p w14:paraId="0D23F375">
            <w:pPr>
              <w:widowControl/>
              <w:jc w:val="center"/>
              <w:rPr>
                <w:rFonts w:ascii="宋体" w:hAnsi="宋体" w:cs="宋体"/>
                <w:color w:val="auto"/>
                <w:kern w:val="0"/>
                <w:szCs w:val="21"/>
                <w:highlight w:val="none"/>
              </w:rPr>
            </w:pPr>
          </w:p>
        </w:tc>
        <w:tc>
          <w:tcPr>
            <w:tcW w:w="10961" w:type="dxa"/>
            <w:vAlign w:val="center"/>
          </w:tcPr>
          <w:p w14:paraId="373F986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支持单病人医嘱执行和多病人集中执行功能，支持单人药品发送、医技单人提交、单人医嘱记费，也支持集中药品发送、医技集中提交、医嘱集中记费；</w:t>
            </w:r>
          </w:p>
        </w:tc>
      </w:tr>
      <w:tr w14:paraId="4B370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6D54FFAD">
            <w:pPr>
              <w:numPr>
                <w:ilvl w:val="0"/>
                <w:numId w:val="11"/>
              </w:numPr>
              <w:rPr>
                <w:rFonts w:ascii="宋体" w:hAnsi="宋体" w:cs="宋体"/>
                <w:color w:val="auto"/>
                <w:szCs w:val="21"/>
                <w:highlight w:val="none"/>
              </w:rPr>
            </w:pPr>
          </w:p>
        </w:tc>
        <w:tc>
          <w:tcPr>
            <w:tcW w:w="1686" w:type="dxa"/>
            <w:gridSpan w:val="2"/>
            <w:vMerge w:val="continue"/>
            <w:vAlign w:val="center"/>
          </w:tcPr>
          <w:p w14:paraId="70E17C7E">
            <w:pPr>
              <w:widowControl/>
              <w:jc w:val="center"/>
              <w:rPr>
                <w:rFonts w:ascii="宋体" w:hAnsi="宋体" w:cs="宋体"/>
                <w:color w:val="auto"/>
                <w:kern w:val="0"/>
                <w:szCs w:val="21"/>
                <w:highlight w:val="none"/>
              </w:rPr>
            </w:pPr>
          </w:p>
        </w:tc>
        <w:tc>
          <w:tcPr>
            <w:tcW w:w="10961" w:type="dxa"/>
            <w:vAlign w:val="center"/>
          </w:tcPr>
          <w:p w14:paraId="1571D64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支持医嘱精细化管理，通过执行医嘱计划可跟踪到每条医嘱的执行状态，如药品医嘱，什么时候被发送、发药、执行或退药，一定程度上达到医嘱闭环管理的效果；</w:t>
            </w:r>
          </w:p>
        </w:tc>
      </w:tr>
      <w:tr w14:paraId="44EB1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19982296">
            <w:pPr>
              <w:numPr>
                <w:ilvl w:val="0"/>
                <w:numId w:val="11"/>
              </w:numPr>
              <w:rPr>
                <w:rFonts w:ascii="宋体" w:hAnsi="宋体" w:cs="宋体"/>
                <w:color w:val="auto"/>
                <w:szCs w:val="21"/>
                <w:highlight w:val="none"/>
              </w:rPr>
            </w:pPr>
          </w:p>
        </w:tc>
        <w:tc>
          <w:tcPr>
            <w:tcW w:w="1686" w:type="dxa"/>
            <w:gridSpan w:val="2"/>
            <w:vMerge w:val="continue"/>
            <w:vAlign w:val="center"/>
          </w:tcPr>
          <w:p w14:paraId="7C739B4C">
            <w:pPr>
              <w:widowControl/>
              <w:jc w:val="center"/>
              <w:rPr>
                <w:rFonts w:ascii="宋体" w:hAnsi="宋体" w:cs="宋体"/>
                <w:color w:val="auto"/>
                <w:kern w:val="0"/>
                <w:szCs w:val="21"/>
                <w:highlight w:val="none"/>
              </w:rPr>
            </w:pPr>
          </w:p>
        </w:tc>
        <w:tc>
          <w:tcPr>
            <w:tcW w:w="10961" w:type="dxa"/>
            <w:vAlign w:val="center"/>
          </w:tcPr>
          <w:p w14:paraId="7A19A56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支持病区医嘱执行清单的打印功能，如药品发送清单、医嘱记费清单；</w:t>
            </w:r>
          </w:p>
        </w:tc>
      </w:tr>
      <w:tr w14:paraId="03A2C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0AF977D6">
            <w:pPr>
              <w:numPr>
                <w:ilvl w:val="0"/>
                <w:numId w:val="11"/>
              </w:numPr>
              <w:rPr>
                <w:rFonts w:ascii="宋体" w:hAnsi="宋体" w:cs="宋体"/>
                <w:color w:val="auto"/>
                <w:szCs w:val="21"/>
                <w:highlight w:val="none"/>
              </w:rPr>
            </w:pPr>
          </w:p>
        </w:tc>
        <w:tc>
          <w:tcPr>
            <w:tcW w:w="1686" w:type="dxa"/>
            <w:gridSpan w:val="2"/>
            <w:vMerge w:val="continue"/>
            <w:vAlign w:val="center"/>
          </w:tcPr>
          <w:p w14:paraId="1F77053E">
            <w:pPr>
              <w:widowControl/>
              <w:jc w:val="center"/>
              <w:rPr>
                <w:rFonts w:ascii="宋体" w:hAnsi="宋体" w:cs="宋体"/>
                <w:color w:val="auto"/>
                <w:kern w:val="0"/>
                <w:szCs w:val="21"/>
                <w:highlight w:val="none"/>
              </w:rPr>
            </w:pPr>
          </w:p>
        </w:tc>
        <w:tc>
          <w:tcPr>
            <w:tcW w:w="10961" w:type="dxa"/>
            <w:vAlign w:val="center"/>
          </w:tcPr>
          <w:p w14:paraId="3410CD5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支持医嘱执行欠费控制，控制等级分为不控制、提示、欠费前冻结和欠费后冻结，在药品发送、医技提交、医嘱记费时进行欠费控制；</w:t>
            </w:r>
          </w:p>
        </w:tc>
      </w:tr>
      <w:tr w14:paraId="6225D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16CCFA48">
            <w:pPr>
              <w:numPr>
                <w:ilvl w:val="0"/>
                <w:numId w:val="11"/>
              </w:numPr>
              <w:rPr>
                <w:rFonts w:ascii="宋体" w:hAnsi="宋体" w:cs="宋体"/>
                <w:color w:val="auto"/>
                <w:szCs w:val="21"/>
                <w:highlight w:val="none"/>
              </w:rPr>
            </w:pPr>
          </w:p>
        </w:tc>
        <w:tc>
          <w:tcPr>
            <w:tcW w:w="1686" w:type="dxa"/>
            <w:gridSpan w:val="2"/>
            <w:vMerge w:val="continue"/>
            <w:vAlign w:val="center"/>
          </w:tcPr>
          <w:p w14:paraId="50AA6223">
            <w:pPr>
              <w:widowControl/>
              <w:jc w:val="center"/>
              <w:rPr>
                <w:rFonts w:ascii="宋体" w:hAnsi="宋体" w:cs="宋体"/>
                <w:color w:val="auto"/>
                <w:kern w:val="0"/>
                <w:szCs w:val="21"/>
                <w:highlight w:val="none"/>
              </w:rPr>
            </w:pPr>
          </w:p>
        </w:tc>
        <w:tc>
          <w:tcPr>
            <w:tcW w:w="10961" w:type="dxa"/>
            <w:vAlign w:val="center"/>
          </w:tcPr>
          <w:p w14:paraId="3383CB9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支持领药发送，按领药方式、医嘱类别（普通医嘱、长期医嘱、临时医嘱、急诊医嘱、出院带药）和发药药房检索领药明细；</w:t>
            </w:r>
          </w:p>
        </w:tc>
      </w:tr>
      <w:tr w14:paraId="2557D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30" w:type="dxa"/>
            <w:vMerge w:val="continue"/>
            <w:vAlign w:val="center"/>
          </w:tcPr>
          <w:p w14:paraId="60DEBBD9">
            <w:pPr>
              <w:numPr>
                <w:ilvl w:val="0"/>
                <w:numId w:val="11"/>
              </w:numPr>
              <w:rPr>
                <w:rFonts w:ascii="宋体" w:hAnsi="宋体" w:cs="宋体"/>
                <w:color w:val="auto"/>
                <w:szCs w:val="21"/>
                <w:highlight w:val="none"/>
              </w:rPr>
            </w:pPr>
          </w:p>
        </w:tc>
        <w:tc>
          <w:tcPr>
            <w:tcW w:w="1686" w:type="dxa"/>
            <w:gridSpan w:val="2"/>
            <w:vMerge w:val="continue"/>
            <w:vAlign w:val="center"/>
          </w:tcPr>
          <w:p w14:paraId="5BD94C19">
            <w:pPr>
              <w:widowControl/>
              <w:jc w:val="center"/>
              <w:rPr>
                <w:rFonts w:ascii="宋体" w:hAnsi="宋体" w:cs="宋体"/>
                <w:color w:val="auto"/>
                <w:kern w:val="0"/>
                <w:szCs w:val="21"/>
                <w:highlight w:val="none"/>
              </w:rPr>
            </w:pPr>
          </w:p>
        </w:tc>
        <w:tc>
          <w:tcPr>
            <w:tcW w:w="10961" w:type="dxa"/>
            <w:vAlign w:val="center"/>
          </w:tcPr>
          <w:p w14:paraId="3A4933D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支持领药发送，支持根据所提交药品的领药明细生成领药汇总，支持领药预发送功能，将N天的药品医嘱一起发送；</w:t>
            </w:r>
          </w:p>
        </w:tc>
      </w:tr>
      <w:tr w14:paraId="04CF9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359B8BB4">
            <w:pPr>
              <w:numPr>
                <w:ilvl w:val="0"/>
                <w:numId w:val="11"/>
              </w:numPr>
              <w:rPr>
                <w:rFonts w:ascii="宋体" w:hAnsi="宋体" w:cs="宋体"/>
                <w:color w:val="auto"/>
                <w:szCs w:val="21"/>
                <w:highlight w:val="none"/>
              </w:rPr>
            </w:pPr>
          </w:p>
        </w:tc>
        <w:tc>
          <w:tcPr>
            <w:tcW w:w="1686" w:type="dxa"/>
            <w:gridSpan w:val="2"/>
            <w:vMerge w:val="continue"/>
            <w:vAlign w:val="center"/>
          </w:tcPr>
          <w:p w14:paraId="2B4B415F">
            <w:pPr>
              <w:widowControl/>
              <w:jc w:val="center"/>
              <w:rPr>
                <w:rFonts w:ascii="宋体" w:hAnsi="宋体" w:cs="宋体"/>
                <w:color w:val="auto"/>
                <w:kern w:val="0"/>
                <w:szCs w:val="21"/>
                <w:highlight w:val="none"/>
              </w:rPr>
            </w:pPr>
          </w:p>
        </w:tc>
        <w:tc>
          <w:tcPr>
            <w:tcW w:w="10961" w:type="dxa"/>
            <w:vAlign w:val="center"/>
          </w:tcPr>
          <w:p w14:paraId="0117B03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支持领药发送，支持缺药替换功能，缺药(禁用)药品可用不同规格，或不同产地的同种药品替换，可替换同一服务项目的药品；支持库存缺药、药品禁用、病人欠费标识功能；</w:t>
            </w:r>
          </w:p>
        </w:tc>
      </w:tr>
      <w:tr w14:paraId="40BBA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2B727122">
            <w:pPr>
              <w:numPr>
                <w:ilvl w:val="0"/>
                <w:numId w:val="11"/>
              </w:numPr>
              <w:rPr>
                <w:rFonts w:ascii="宋体" w:hAnsi="宋体" w:cs="宋体"/>
                <w:color w:val="auto"/>
                <w:szCs w:val="21"/>
                <w:highlight w:val="none"/>
              </w:rPr>
            </w:pPr>
          </w:p>
        </w:tc>
        <w:tc>
          <w:tcPr>
            <w:tcW w:w="1686" w:type="dxa"/>
            <w:gridSpan w:val="2"/>
            <w:vMerge w:val="continue"/>
            <w:vAlign w:val="center"/>
          </w:tcPr>
          <w:p w14:paraId="606AEF56">
            <w:pPr>
              <w:widowControl/>
              <w:jc w:val="center"/>
              <w:rPr>
                <w:rFonts w:ascii="宋体" w:hAnsi="宋体" w:cs="宋体"/>
                <w:color w:val="auto"/>
                <w:kern w:val="0"/>
                <w:szCs w:val="21"/>
                <w:highlight w:val="none"/>
              </w:rPr>
            </w:pPr>
          </w:p>
        </w:tc>
        <w:tc>
          <w:tcPr>
            <w:tcW w:w="10961" w:type="dxa"/>
            <w:vAlign w:val="center"/>
          </w:tcPr>
          <w:p w14:paraId="016CA9D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支持领药发送，支持病区三级药房，发药属性为病区发药的药品医嘱在三级药房发药；</w:t>
            </w:r>
          </w:p>
        </w:tc>
      </w:tr>
      <w:tr w14:paraId="3C921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7A98B3BD">
            <w:pPr>
              <w:numPr>
                <w:ilvl w:val="0"/>
                <w:numId w:val="11"/>
              </w:numPr>
              <w:rPr>
                <w:rFonts w:ascii="宋体" w:hAnsi="宋体" w:cs="宋体"/>
                <w:color w:val="auto"/>
                <w:szCs w:val="21"/>
                <w:highlight w:val="none"/>
              </w:rPr>
            </w:pPr>
          </w:p>
        </w:tc>
        <w:tc>
          <w:tcPr>
            <w:tcW w:w="1686" w:type="dxa"/>
            <w:gridSpan w:val="2"/>
            <w:vMerge w:val="continue"/>
            <w:vAlign w:val="center"/>
          </w:tcPr>
          <w:p w14:paraId="4F345212">
            <w:pPr>
              <w:widowControl/>
              <w:jc w:val="center"/>
              <w:rPr>
                <w:rFonts w:ascii="宋体" w:hAnsi="宋体" w:cs="宋体"/>
                <w:color w:val="auto"/>
                <w:kern w:val="0"/>
                <w:szCs w:val="21"/>
                <w:highlight w:val="none"/>
              </w:rPr>
            </w:pPr>
          </w:p>
        </w:tc>
        <w:tc>
          <w:tcPr>
            <w:tcW w:w="10961" w:type="dxa"/>
            <w:vAlign w:val="center"/>
          </w:tcPr>
          <w:p w14:paraId="253D527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支持医技提交，支持按医技项目进行提交；</w:t>
            </w:r>
          </w:p>
        </w:tc>
      </w:tr>
      <w:tr w14:paraId="04BC9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4CD479B8">
            <w:pPr>
              <w:numPr>
                <w:ilvl w:val="0"/>
                <w:numId w:val="11"/>
              </w:numPr>
              <w:rPr>
                <w:rFonts w:ascii="宋体" w:hAnsi="宋体" w:cs="宋体"/>
                <w:color w:val="auto"/>
                <w:szCs w:val="21"/>
                <w:highlight w:val="none"/>
              </w:rPr>
            </w:pPr>
          </w:p>
        </w:tc>
        <w:tc>
          <w:tcPr>
            <w:tcW w:w="1686" w:type="dxa"/>
            <w:gridSpan w:val="2"/>
            <w:vMerge w:val="continue"/>
            <w:vAlign w:val="center"/>
          </w:tcPr>
          <w:p w14:paraId="0E4E68F4">
            <w:pPr>
              <w:widowControl/>
              <w:jc w:val="center"/>
              <w:rPr>
                <w:rFonts w:ascii="宋体" w:hAnsi="宋体" w:cs="宋体"/>
                <w:color w:val="auto"/>
                <w:kern w:val="0"/>
                <w:szCs w:val="21"/>
                <w:highlight w:val="none"/>
              </w:rPr>
            </w:pPr>
          </w:p>
        </w:tc>
        <w:tc>
          <w:tcPr>
            <w:tcW w:w="10961" w:type="dxa"/>
            <w:vAlign w:val="center"/>
          </w:tcPr>
          <w:p w14:paraId="711D1BB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支持项目记费，支持按项目归类选择，支持显示是医嘱费用或是附加费用；支持根据所提交项目明细生成所提交项目汇总。</w:t>
            </w:r>
          </w:p>
        </w:tc>
      </w:tr>
      <w:tr w14:paraId="1E393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512D3FD6">
            <w:pPr>
              <w:numPr>
                <w:ilvl w:val="0"/>
                <w:numId w:val="11"/>
              </w:numPr>
              <w:rPr>
                <w:rFonts w:ascii="宋体" w:hAnsi="宋体" w:cs="宋体"/>
                <w:color w:val="auto"/>
                <w:szCs w:val="21"/>
                <w:highlight w:val="none"/>
              </w:rPr>
            </w:pPr>
          </w:p>
        </w:tc>
        <w:tc>
          <w:tcPr>
            <w:tcW w:w="1686" w:type="dxa"/>
            <w:gridSpan w:val="2"/>
            <w:vMerge w:val="continue"/>
            <w:vAlign w:val="center"/>
          </w:tcPr>
          <w:p w14:paraId="4FF6D21A">
            <w:pPr>
              <w:widowControl/>
              <w:jc w:val="center"/>
              <w:rPr>
                <w:rFonts w:ascii="宋体" w:hAnsi="宋体" w:cs="宋体"/>
                <w:color w:val="auto"/>
                <w:kern w:val="0"/>
                <w:szCs w:val="21"/>
                <w:highlight w:val="none"/>
              </w:rPr>
            </w:pPr>
          </w:p>
        </w:tc>
        <w:tc>
          <w:tcPr>
            <w:tcW w:w="10961" w:type="dxa"/>
            <w:vAlign w:val="center"/>
          </w:tcPr>
          <w:p w14:paraId="4AE715B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支持临床执行，支持与移动护理PDA关联，存储临床执行操作，显示实际执行时间；支持页面选择计划后登记执行操作；</w:t>
            </w:r>
          </w:p>
        </w:tc>
      </w:tr>
      <w:tr w14:paraId="2AFE8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1335660B">
            <w:pPr>
              <w:numPr>
                <w:ilvl w:val="0"/>
                <w:numId w:val="11"/>
              </w:numPr>
              <w:rPr>
                <w:rFonts w:ascii="宋体" w:hAnsi="宋体" w:cs="宋体"/>
                <w:color w:val="auto"/>
                <w:szCs w:val="21"/>
                <w:highlight w:val="none"/>
              </w:rPr>
            </w:pPr>
          </w:p>
        </w:tc>
        <w:tc>
          <w:tcPr>
            <w:tcW w:w="1686" w:type="dxa"/>
            <w:gridSpan w:val="2"/>
            <w:vMerge w:val="continue"/>
            <w:vAlign w:val="center"/>
          </w:tcPr>
          <w:p w14:paraId="029873B0">
            <w:pPr>
              <w:widowControl/>
              <w:jc w:val="center"/>
              <w:rPr>
                <w:rFonts w:ascii="宋体" w:hAnsi="宋体" w:cs="宋体"/>
                <w:color w:val="auto"/>
                <w:kern w:val="0"/>
                <w:szCs w:val="21"/>
                <w:highlight w:val="none"/>
              </w:rPr>
            </w:pPr>
          </w:p>
        </w:tc>
        <w:tc>
          <w:tcPr>
            <w:tcW w:w="10961" w:type="dxa"/>
            <w:vAlign w:val="center"/>
          </w:tcPr>
          <w:p w14:paraId="2D9AE98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支持登记为不执行、输液开始、输液巡视、输液结束、注射开始、注射结束、临床执行等不同状态；</w:t>
            </w:r>
          </w:p>
        </w:tc>
      </w:tr>
      <w:tr w14:paraId="415F1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024FF105">
            <w:pPr>
              <w:numPr>
                <w:ilvl w:val="0"/>
                <w:numId w:val="11"/>
              </w:numPr>
              <w:rPr>
                <w:rFonts w:ascii="宋体" w:hAnsi="宋体" w:cs="宋体"/>
                <w:color w:val="auto"/>
                <w:szCs w:val="21"/>
                <w:highlight w:val="none"/>
              </w:rPr>
            </w:pPr>
          </w:p>
        </w:tc>
        <w:tc>
          <w:tcPr>
            <w:tcW w:w="1686" w:type="dxa"/>
            <w:gridSpan w:val="2"/>
            <w:vMerge w:val="continue"/>
            <w:vAlign w:val="center"/>
          </w:tcPr>
          <w:p w14:paraId="4FDE10ED">
            <w:pPr>
              <w:widowControl/>
              <w:jc w:val="center"/>
              <w:rPr>
                <w:rFonts w:ascii="宋体" w:hAnsi="宋体" w:cs="宋体"/>
                <w:color w:val="auto"/>
                <w:kern w:val="0"/>
                <w:szCs w:val="21"/>
                <w:highlight w:val="none"/>
              </w:rPr>
            </w:pPr>
          </w:p>
        </w:tc>
        <w:tc>
          <w:tcPr>
            <w:tcW w:w="10961" w:type="dxa"/>
            <w:vAlign w:val="center"/>
          </w:tcPr>
          <w:p w14:paraId="153C323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支持护士代替医生执行，可先选择医生工号，记录为医生执行，并记录操作人；</w:t>
            </w:r>
          </w:p>
        </w:tc>
      </w:tr>
      <w:tr w14:paraId="7295E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772EDA5F">
            <w:pPr>
              <w:numPr>
                <w:ilvl w:val="0"/>
                <w:numId w:val="11"/>
              </w:numPr>
              <w:rPr>
                <w:rFonts w:ascii="宋体" w:hAnsi="宋体" w:cs="宋体"/>
                <w:color w:val="auto"/>
                <w:szCs w:val="21"/>
                <w:highlight w:val="none"/>
              </w:rPr>
            </w:pPr>
          </w:p>
        </w:tc>
        <w:tc>
          <w:tcPr>
            <w:tcW w:w="1686" w:type="dxa"/>
            <w:gridSpan w:val="2"/>
            <w:vMerge w:val="continue"/>
            <w:vAlign w:val="center"/>
          </w:tcPr>
          <w:p w14:paraId="5B7C7947">
            <w:pPr>
              <w:widowControl/>
              <w:jc w:val="center"/>
              <w:rPr>
                <w:rFonts w:ascii="宋体" w:hAnsi="宋体" w:cs="宋体"/>
                <w:color w:val="auto"/>
                <w:kern w:val="0"/>
                <w:szCs w:val="21"/>
                <w:highlight w:val="none"/>
              </w:rPr>
            </w:pPr>
          </w:p>
        </w:tc>
        <w:tc>
          <w:tcPr>
            <w:tcW w:w="10961" w:type="dxa"/>
            <w:vAlign w:val="center"/>
          </w:tcPr>
          <w:p w14:paraId="514581E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支持验证执行人员与确认人员为同一人；</w:t>
            </w:r>
          </w:p>
        </w:tc>
      </w:tr>
      <w:tr w14:paraId="46B8A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7BF789C3">
            <w:pPr>
              <w:numPr>
                <w:ilvl w:val="0"/>
                <w:numId w:val="11"/>
              </w:numPr>
              <w:rPr>
                <w:rFonts w:ascii="宋体" w:hAnsi="宋体" w:cs="宋体"/>
                <w:color w:val="auto"/>
                <w:szCs w:val="21"/>
                <w:highlight w:val="none"/>
              </w:rPr>
            </w:pPr>
          </w:p>
        </w:tc>
        <w:tc>
          <w:tcPr>
            <w:tcW w:w="1686" w:type="dxa"/>
            <w:gridSpan w:val="2"/>
            <w:vMerge w:val="continue"/>
            <w:vAlign w:val="center"/>
          </w:tcPr>
          <w:p w14:paraId="626CF234">
            <w:pPr>
              <w:widowControl/>
              <w:jc w:val="center"/>
              <w:rPr>
                <w:rFonts w:ascii="宋体" w:hAnsi="宋体" w:cs="宋体"/>
                <w:color w:val="auto"/>
                <w:kern w:val="0"/>
                <w:szCs w:val="21"/>
                <w:highlight w:val="none"/>
              </w:rPr>
            </w:pPr>
          </w:p>
        </w:tc>
        <w:tc>
          <w:tcPr>
            <w:tcW w:w="10961" w:type="dxa"/>
            <w:vAlign w:val="center"/>
          </w:tcPr>
          <w:p w14:paraId="0894922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支持医嘱临床执行维护功能，可为不同病区定制临床执行数据显示范围；</w:t>
            </w:r>
          </w:p>
        </w:tc>
      </w:tr>
      <w:tr w14:paraId="682F7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3504B3AB">
            <w:pPr>
              <w:numPr>
                <w:ilvl w:val="0"/>
                <w:numId w:val="11"/>
              </w:numPr>
              <w:rPr>
                <w:rFonts w:ascii="宋体" w:hAnsi="宋体" w:cs="宋体"/>
                <w:color w:val="auto"/>
                <w:szCs w:val="21"/>
                <w:highlight w:val="none"/>
              </w:rPr>
            </w:pPr>
          </w:p>
        </w:tc>
        <w:tc>
          <w:tcPr>
            <w:tcW w:w="1686" w:type="dxa"/>
            <w:gridSpan w:val="2"/>
            <w:vMerge w:val="continue"/>
            <w:vAlign w:val="center"/>
          </w:tcPr>
          <w:p w14:paraId="106D8695">
            <w:pPr>
              <w:widowControl/>
              <w:jc w:val="center"/>
              <w:rPr>
                <w:rFonts w:ascii="宋体" w:hAnsi="宋体" w:cs="宋体"/>
                <w:color w:val="auto"/>
                <w:kern w:val="0"/>
                <w:szCs w:val="21"/>
                <w:highlight w:val="none"/>
              </w:rPr>
            </w:pPr>
          </w:p>
        </w:tc>
        <w:tc>
          <w:tcPr>
            <w:tcW w:w="10961" w:type="dxa"/>
            <w:vAlign w:val="center"/>
          </w:tcPr>
          <w:p w14:paraId="54D0C55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支持医嘱临床执行查询，支持修改临床执行时间、临床执行人员；</w:t>
            </w:r>
          </w:p>
        </w:tc>
      </w:tr>
      <w:tr w14:paraId="56348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7F2E6F9C">
            <w:pPr>
              <w:numPr>
                <w:ilvl w:val="0"/>
                <w:numId w:val="11"/>
              </w:numPr>
              <w:rPr>
                <w:rFonts w:ascii="宋体" w:hAnsi="宋体" w:cs="宋体"/>
                <w:color w:val="auto"/>
                <w:szCs w:val="21"/>
                <w:highlight w:val="none"/>
              </w:rPr>
            </w:pPr>
          </w:p>
        </w:tc>
        <w:tc>
          <w:tcPr>
            <w:tcW w:w="1686" w:type="dxa"/>
            <w:gridSpan w:val="2"/>
            <w:vMerge w:val="continue"/>
            <w:vAlign w:val="center"/>
          </w:tcPr>
          <w:p w14:paraId="337CAA36">
            <w:pPr>
              <w:widowControl/>
              <w:jc w:val="center"/>
              <w:rPr>
                <w:rFonts w:ascii="宋体" w:hAnsi="宋体" w:cs="宋体"/>
                <w:color w:val="auto"/>
                <w:kern w:val="0"/>
                <w:szCs w:val="21"/>
                <w:highlight w:val="none"/>
              </w:rPr>
            </w:pPr>
          </w:p>
        </w:tc>
        <w:tc>
          <w:tcPr>
            <w:tcW w:w="10961" w:type="dxa"/>
            <w:vAlign w:val="center"/>
          </w:tcPr>
          <w:p w14:paraId="509A9AE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支持临床执行时联动收费功能。</w:t>
            </w:r>
          </w:p>
        </w:tc>
      </w:tr>
      <w:tr w14:paraId="4FE0F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38DC289A">
            <w:pPr>
              <w:numPr>
                <w:ilvl w:val="0"/>
                <w:numId w:val="11"/>
              </w:numPr>
              <w:rPr>
                <w:rFonts w:ascii="宋体" w:hAnsi="宋体" w:cs="宋体"/>
                <w:color w:val="auto"/>
                <w:szCs w:val="21"/>
                <w:highlight w:val="none"/>
              </w:rPr>
            </w:pPr>
          </w:p>
        </w:tc>
        <w:tc>
          <w:tcPr>
            <w:tcW w:w="12647" w:type="dxa"/>
            <w:gridSpan w:val="3"/>
            <w:vAlign w:val="center"/>
          </w:tcPr>
          <w:p w14:paraId="710E6260">
            <w:pPr>
              <w:numPr>
                <w:ilvl w:val="1"/>
                <w:numId w:val="11"/>
              </w:numPr>
              <w:ind w:left="0" w:firstLine="0"/>
              <w:rPr>
                <w:color w:val="auto"/>
                <w:highlight w:val="none"/>
                <w:shd w:val="clear" w:color="auto" w:fill="92D050"/>
              </w:rPr>
            </w:pPr>
            <w:r>
              <w:rPr>
                <w:rFonts w:hint="eastAsia" w:ascii="宋体" w:hAnsi="宋体" w:cs="宋体"/>
                <w:color w:val="auto"/>
                <w:kern w:val="0"/>
                <w:szCs w:val="21"/>
                <w:highlight w:val="none"/>
                <w:shd w:val="clear" w:color="auto"/>
              </w:rPr>
              <w:t>药品管理</w:t>
            </w:r>
          </w:p>
        </w:tc>
      </w:tr>
      <w:tr w14:paraId="01B33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03DE4B16">
            <w:pPr>
              <w:numPr>
                <w:ilvl w:val="0"/>
                <w:numId w:val="11"/>
              </w:numPr>
              <w:rPr>
                <w:rFonts w:ascii="宋体" w:hAnsi="宋体" w:cs="宋体"/>
                <w:color w:val="auto"/>
                <w:szCs w:val="21"/>
                <w:highlight w:val="none"/>
              </w:rPr>
            </w:pPr>
          </w:p>
        </w:tc>
        <w:tc>
          <w:tcPr>
            <w:tcW w:w="1686" w:type="dxa"/>
            <w:gridSpan w:val="2"/>
            <w:vMerge w:val="restart"/>
            <w:vAlign w:val="center"/>
          </w:tcPr>
          <w:p w14:paraId="01F34BE2">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药品管理</w:t>
            </w:r>
          </w:p>
        </w:tc>
        <w:tc>
          <w:tcPr>
            <w:tcW w:w="10961" w:type="dxa"/>
            <w:vAlign w:val="center"/>
          </w:tcPr>
          <w:p w14:paraId="6DB2DC1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支持退药申请-&gt;退药审核-&gt;退药发送的退药流程管理，如包药、静配不能退药的药品，根据参数配置需走退药审核流程；</w:t>
            </w:r>
          </w:p>
        </w:tc>
      </w:tr>
      <w:tr w14:paraId="1E72F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53FF5F51">
            <w:pPr>
              <w:numPr>
                <w:ilvl w:val="0"/>
                <w:numId w:val="11"/>
              </w:numPr>
              <w:rPr>
                <w:rFonts w:ascii="宋体" w:hAnsi="宋体" w:cs="宋体"/>
                <w:color w:val="auto"/>
                <w:szCs w:val="21"/>
                <w:highlight w:val="none"/>
              </w:rPr>
            </w:pPr>
          </w:p>
        </w:tc>
        <w:tc>
          <w:tcPr>
            <w:tcW w:w="1686" w:type="dxa"/>
            <w:gridSpan w:val="2"/>
            <w:vMerge w:val="continue"/>
            <w:vAlign w:val="center"/>
          </w:tcPr>
          <w:p w14:paraId="06F885E4">
            <w:pPr>
              <w:widowControl/>
              <w:jc w:val="center"/>
              <w:rPr>
                <w:rFonts w:ascii="宋体" w:hAnsi="宋体" w:cs="宋体"/>
                <w:color w:val="auto"/>
                <w:kern w:val="0"/>
                <w:szCs w:val="21"/>
                <w:highlight w:val="none"/>
              </w:rPr>
            </w:pPr>
          </w:p>
        </w:tc>
        <w:tc>
          <w:tcPr>
            <w:tcW w:w="10961" w:type="dxa"/>
            <w:vAlign w:val="center"/>
          </w:tcPr>
          <w:p w14:paraId="07352FA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支持除外其它药品退药，可直接发送药房，提供单病人退药申请和多病人退药申请功能，单人退药处理可以按医嘱、费用日期、记费日期、药品进行退药；</w:t>
            </w:r>
          </w:p>
        </w:tc>
      </w:tr>
      <w:tr w14:paraId="77595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3B155892">
            <w:pPr>
              <w:numPr>
                <w:ilvl w:val="0"/>
                <w:numId w:val="11"/>
              </w:numPr>
              <w:rPr>
                <w:rFonts w:ascii="宋体" w:hAnsi="宋体" w:cs="宋体"/>
                <w:color w:val="auto"/>
                <w:szCs w:val="21"/>
                <w:highlight w:val="none"/>
              </w:rPr>
            </w:pPr>
          </w:p>
        </w:tc>
        <w:tc>
          <w:tcPr>
            <w:tcW w:w="1686" w:type="dxa"/>
            <w:gridSpan w:val="2"/>
            <w:vMerge w:val="continue"/>
            <w:vAlign w:val="center"/>
          </w:tcPr>
          <w:p w14:paraId="3CF3A923">
            <w:pPr>
              <w:widowControl/>
              <w:jc w:val="center"/>
              <w:rPr>
                <w:rFonts w:ascii="宋体" w:hAnsi="宋体" w:cs="宋体"/>
                <w:color w:val="auto"/>
                <w:kern w:val="0"/>
                <w:szCs w:val="21"/>
                <w:highlight w:val="none"/>
              </w:rPr>
            </w:pPr>
          </w:p>
        </w:tc>
        <w:tc>
          <w:tcPr>
            <w:tcW w:w="10961" w:type="dxa"/>
            <w:vAlign w:val="center"/>
          </w:tcPr>
          <w:p w14:paraId="6AAC843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支持多人退药处理根据药品名称、费用日期查询病区可退药信息，再按姓名、床号、住院号快速定位到病人进行退药；</w:t>
            </w:r>
          </w:p>
        </w:tc>
      </w:tr>
      <w:tr w14:paraId="37DE9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3961C7A3">
            <w:pPr>
              <w:numPr>
                <w:ilvl w:val="0"/>
                <w:numId w:val="11"/>
              </w:numPr>
              <w:rPr>
                <w:rFonts w:ascii="宋体" w:hAnsi="宋体" w:cs="宋体"/>
                <w:color w:val="auto"/>
                <w:szCs w:val="21"/>
                <w:highlight w:val="none"/>
              </w:rPr>
            </w:pPr>
          </w:p>
        </w:tc>
        <w:tc>
          <w:tcPr>
            <w:tcW w:w="1686" w:type="dxa"/>
            <w:gridSpan w:val="2"/>
            <w:vMerge w:val="continue"/>
            <w:vAlign w:val="center"/>
          </w:tcPr>
          <w:p w14:paraId="77348191">
            <w:pPr>
              <w:widowControl/>
              <w:jc w:val="center"/>
              <w:rPr>
                <w:rFonts w:ascii="宋体" w:hAnsi="宋体" w:cs="宋体"/>
                <w:color w:val="auto"/>
                <w:kern w:val="0"/>
                <w:szCs w:val="21"/>
                <w:highlight w:val="none"/>
              </w:rPr>
            </w:pPr>
          </w:p>
        </w:tc>
        <w:tc>
          <w:tcPr>
            <w:tcW w:w="10961" w:type="dxa"/>
            <w:vAlign w:val="center"/>
          </w:tcPr>
          <w:p w14:paraId="345B913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支持单病人退药发送和多病人退药集中发送，可打印退药汇总单(多病人)；</w:t>
            </w:r>
          </w:p>
        </w:tc>
      </w:tr>
      <w:tr w14:paraId="57561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7049D901">
            <w:pPr>
              <w:numPr>
                <w:ilvl w:val="0"/>
                <w:numId w:val="11"/>
              </w:numPr>
              <w:rPr>
                <w:rFonts w:ascii="宋体" w:hAnsi="宋体" w:cs="宋体"/>
                <w:color w:val="auto"/>
                <w:szCs w:val="21"/>
                <w:highlight w:val="none"/>
              </w:rPr>
            </w:pPr>
          </w:p>
        </w:tc>
        <w:tc>
          <w:tcPr>
            <w:tcW w:w="1686" w:type="dxa"/>
            <w:gridSpan w:val="2"/>
            <w:vMerge w:val="continue"/>
            <w:vAlign w:val="center"/>
          </w:tcPr>
          <w:p w14:paraId="5C16ECBA">
            <w:pPr>
              <w:widowControl/>
              <w:jc w:val="center"/>
              <w:rPr>
                <w:rFonts w:ascii="宋体" w:hAnsi="宋体" w:cs="宋体"/>
                <w:color w:val="auto"/>
                <w:kern w:val="0"/>
                <w:szCs w:val="21"/>
                <w:highlight w:val="none"/>
              </w:rPr>
            </w:pPr>
          </w:p>
        </w:tc>
        <w:tc>
          <w:tcPr>
            <w:tcW w:w="10961" w:type="dxa"/>
            <w:vAlign w:val="center"/>
          </w:tcPr>
          <w:p w14:paraId="7684950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支持手工填写退药申请单，或者停嘱、作废医嘱时系统自动生成退药申请单；</w:t>
            </w:r>
          </w:p>
        </w:tc>
      </w:tr>
      <w:tr w14:paraId="2B260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1CECCF2D">
            <w:pPr>
              <w:numPr>
                <w:ilvl w:val="0"/>
                <w:numId w:val="11"/>
              </w:numPr>
              <w:rPr>
                <w:rFonts w:ascii="宋体" w:hAnsi="宋体" w:cs="宋体"/>
                <w:color w:val="auto"/>
                <w:szCs w:val="21"/>
                <w:highlight w:val="none"/>
              </w:rPr>
            </w:pPr>
          </w:p>
        </w:tc>
        <w:tc>
          <w:tcPr>
            <w:tcW w:w="1686" w:type="dxa"/>
            <w:gridSpan w:val="2"/>
            <w:vMerge w:val="continue"/>
            <w:vAlign w:val="center"/>
          </w:tcPr>
          <w:p w14:paraId="43D4C438">
            <w:pPr>
              <w:widowControl/>
              <w:jc w:val="center"/>
              <w:rPr>
                <w:rFonts w:ascii="宋体" w:hAnsi="宋体" w:cs="宋体"/>
                <w:color w:val="auto"/>
                <w:kern w:val="0"/>
                <w:szCs w:val="21"/>
                <w:highlight w:val="none"/>
              </w:rPr>
            </w:pPr>
          </w:p>
        </w:tc>
        <w:tc>
          <w:tcPr>
            <w:tcW w:w="10961" w:type="dxa"/>
            <w:vAlign w:val="center"/>
          </w:tcPr>
          <w:p w14:paraId="54786E2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支持退药冲抵功能，病区护士退药提交后无需将实物药品退回，在下次药房领药时自动冲抵实物未退回药品；</w:t>
            </w:r>
          </w:p>
        </w:tc>
      </w:tr>
      <w:tr w14:paraId="4A1DD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6DE990AE">
            <w:pPr>
              <w:numPr>
                <w:ilvl w:val="0"/>
                <w:numId w:val="11"/>
              </w:numPr>
              <w:rPr>
                <w:rFonts w:ascii="宋体" w:hAnsi="宋体" w:cs="宋体"/>
                <w:color w:val="auto"/>
                <w:szCs w:val="21"/>
                <w:highlight w:val="none"/>
              </w:rPr>
            </w:pPr>
          </w:p>
        </w:tc>
        <w:tc>
          <w:tcPr>
            <w:tcW w:w="1686" w:type="dxa"/>
            <w:gridSpan w:val="2"/>
            <w:vMerge w:val="continue"/>
            <w:vAlign w:val="center"/>
          </w:tcPr>
          <w:p w14:paraId="34604392">
            <w:pPr>
              <w:widowControl/>
              <w:jc w:val="center"/>
              <w:rPr>
                <w:rFonts w:ascii="宋体" w:hAnsi="宋体" w:cs="宋体"/>
                <w:color w:val="auto"/>
                <w:kern w:val="0"/>
                <w:szCs w:val="21"/>
                <w:highlight w:val="none"/>
              </w:rPr>
            </w:pPr>
          </w:p>
        </w:tc>
        <w:tc>
          <w:tcPr>
            <w:tcW w:w="10961" w:type="dxa"/>
            <w:vAlign w:val="center"/>
          </w:tcPr>
          <w:p w14:paraId="6C0D024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支持退药申请原因填写；</w:t>
            </w:r>
          </w:p>
        </w:tc>
      </w:tr>
      <w:tr w14:paraId="7A0CC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74F3AA6C">
            <w:pPr>
              <w:numPr>
                <w:ilvl w:val="0"/>
                <w:numId w:val="11"/>
              </w:numPr>
              <w:rPr>
                <w:rFonts w:ascii="宋体" w:hAnsi="宋体" w:cs="宋体"/>
                <w:color w:val="auto"/>
                <w:szCs w:val="21"/>
                <w:highlight w:val="none"/>
              </w:rPr>
            </w:pPr>
          </w:p>
        </w:tc>
        <w:tc>
          <w:tcPr>
            <w:tcW w:w="1686" w:type="dxa"/>
            <w:gridSpan w:val="2"/>
            <w:vMerge w:val="continue"/>
            <w:vAlign w:val="center"/>
          </w:tcPr>
          <w:p w14:paraId="42DDF290">
            <w:pPr>
              <w:widowControl/>
              <w:jc w:val="center"/>
              <w:rPr>
                <w:rFonts w:ascii="宋体" w:hAnsi="宋体" w:cs="宋体"/>
                <w:color w:val="auto"/>
                <w:kern w:val="0"/>
                <w:szCs w:val="21"/>
                <w:highlight w:val="none"/>
              </w:rPr>
            </w:pPr>
          </w:p>
        </w:tc>
        <w:tc>
          <w:tcPr>
            <w:tcW w:w="10961" w:type="dxa"/>
            <w:vAlign w:val="center"/>
          </w:tcPr>
          <w:p w14:paraId="57AF459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支持退药审核未过原因填写；</w:t>
            </w:r>
          </w:p>
        </w:tc>
      </w:tr>
      <w:tr w14:paraId="6C24C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5677F99C">
            <w:pPr>
              <w:numPr>
                <w:ilvl w:val="0"/>
                <w:numId w:val="11"/>
              </w:numPr>
              <w:rPr>
                <w:rFonts w:ascii="宋体" w:hAnsi="宋体" w:cs="宋体"/>
                <w:color w:val="auto"/>
                <w:szCs w:val="21"/>
                <w:highlight w:val="none"/>
              </w:rPr>
            </w:pPr>
          </w:p>
        </w:tc>
        <w:tc>
          <w:tcPr>
            <w:tcW w:w="1686" w:type="dxa"/>
            <w:gridSpan w:val="2"/>
            <w:vMerge w:val="continue"/>
            <w:vAlign w:val="center"/>
          </w:tcPr>
          <w:p w14:paraId="53AFBA26">
            <w:pPr>
              <w:widowControl/>
              <w:jc w:val="center"/>
              <w:rPr>
                <w:rFonts w:ascii="宋体" w:hAnsi="宋体" w:cs="宋体"/>
                <w:color w:val="auto"/>
                <w:kern w:val="0"/>
                <w:szCs w:val="21"/>
                <w:highlight w:val="none"/>
              </w:rPr>
            </w:pPr>
          </w:p>
        </w:tc>
        <w:tc>
          <w:tcPr>
            <w:tcW w:w="10961" w:type="dxa"/>
            <w:vAlign w:val="center"/>
          </w:tcPr>
          <w:p w14:paraId="178533E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针对本病区的特殊药品类型包含麻醉精神类型的药物的发药记录、领药记录进行登记管理；</w:t>
            </w:r>
          </w:p>
        </w:tc>
      </w:tr>
      <w:tr w14:paraId="4BB40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5B077DF3">
            <w:pPr>
              <w:numPr>
                <w:ilvl w:val="0"/>
                <w:numId w:val="11"/>
              </w:numPr>
              <w:rPr>
                <w:rFonts w:ascii="宋体" w:hAnsi="宋体" w:cs="宋体"/>
                <w:color w:val="auto"/>
                <w:szCs w:val="21"/>
                <w:highlight w:val="none"/>
              </w:rPr>
            </w:pPr>
          </w:p>
        </w:tc>
        <w:tc>
          <w:tcPr>
            <w:tcW w:w="1686" w:type="dxa"/>
            <w:gridSpan w:val="2"/>
            <w:vMerge w:val="continue"/>
            <w:vAlign w:val="center"/>
          </w:tcPr>
          <w:p w14:paraId="4977C432">
            <w:pPr>
              <w:widowControl/>
              <w:jc w:val="center"/>
              <w:rPr>
                <w:rFonts w:ascii="宋体" w:hAnsi="宋体" w:cs="宋体"/>
                <w:color w:val="auto"/>
                <w:kern w:val="0"/>
                <w:szCs w:val="21"/>
                <w:highlight w:val="none"/>
              </w:rPr>
            </w:pPr>
          </w:p>
        </w:tc>
        <w:tc>
          <w:tcPr>
            <w:tcW w:w="10961" w:type="dxa"/>
            <w:vAlign w:val="center"/>
          </w:tcPr>
          <w:p w14:paraId="12AE81B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支持镇痛泵残余液处理登记管理。</w:t>
            </w:r>
          </w:p>
        </w:tc>
      </w:tr>
      <w:tr w14:paraId="27B5C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544D8BA3">
            <w:pPr>
              <w:numPr>
                <w:ilvl w:val="0"/>
                <w:numId w:val="11"/>
              </w:numPr>
              <w:rPr>
                <w:rFonts w:ascii="宋体" w:hAnsi="宋体" w:cs="宋体"/>
                <w:color w:val="auto"/>
                <w:szCs w:val="21"/>
                <w:highlight w:val="none"/>
              </w:rPr>
            </w:pPr>
          </w:p>
        </w:tc>
        <w:tc>
          <w:tcPr>
            <w:tcW w:w="12647" w:type="dxa"/>
            <w:gridSpan w:val="3"/>
            <w:vAlign w:val="center"/>
          </w:tcPr>
          <w:p w14:paraId="3DF2D3D7">
            <w:pPr>
              <w:numPr>
                <w:ilvl w:val="1"/>
                <w:numId w:val="11"/>
              </w:numPr>
              <w:ind w:left="0" w:firstLine="0"/>
              <w:rPr>
                <w:color w:val="auto"/>
                <w:highlight w:val="none"/>
                <w:shd w:val="clear" w:color="auto" w:fill="92D050"/>
              </w:rPr>
            </w:pPr>
            <w:r>
              <w:rPr>
                <w:rFonts w:hint="eastAsia" w:ascii="宋体" w:hAnsi="宋体" w:cs="宋体"/>
                <w:color w:val="auto"/>
                <w:kern w:val="0"/>
                <w:szCs w:val="21"/>
                <w:highlight w:val="none"/>
                <w:shd w:val="clear" w:color="auto"/>
              </w:rPr>
              <w:t>医技提交</w:t>
            </w:r>
          </w:p>
        </w:tc>
      </w:tr>
      <w:tr w14:paraId="3593C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02B87FC1">
            <w:pPr>
              <w:numPr>
                <w:ilvl w:val="0"/>
                <w:numId w:val="11"/>
              </w:numPr>
              <w:rPr>
                <w:rFonts w:ascii="宋体" w:hAnsi="宋体" w:cs="宋体"/>
                <w:color w:val="auto"/>
                <w:szCs w:val="21"/>
                <w:highlight w:val="none"/>
              </w:rPr>
            </w:pPr>
          </w:p>
        </w:tc>
        <w:tc>
          <w:tcPr>
            <w:tcW w:w="1686" w:type="dxa"/>
            <w:gridSpan w:val="2"/>
            <w:vAlign w:val="center"/>
          </w:tcPr>
          <w:p w14:paraId="7B09AF2E">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医技提交</w:t>
            </w:r>
          </w:p>
        </w:tc>
        <w:tc>
          <w:tcPr>
            <w:tcW w:w="10961" w:type="dxa"/>
            <w:vAlign w:val="center"/>
          </w:tcPr>
          <w:p w14:paraId="3D926E07">
            <w:pPr>
              <w:numPr>
                <w:ilvl w:val="0"/>
                <w:numId w:val="12"/>
              </w:numPr>
              <w:tabs>
                <w:tab w:val="left" w:pos="525"/>
                <w:tab w:val="left" w:pos="630"/>
              </w:tabs>
              <w:spacing w:line="360" w:lineRule="auto"/>
              <w:rPr>
                <w:rFonts w:ascii="宋体" w:hAnsi="宋体" w:cs="宋体"/>
                <w:color w:val="auto"/>
                <w:kern w:val="0"/>
                <w:szCs w:val="21"/>
                <w:highlight w:val="none"/>
              </w:rPr>
            </w:pPr>
            <w:r>
              <w:rPr>
                <w:rFonts w:hint="eastAsia"/>
                <w:color w:val="auto"/>
                <w:highlight w:val="none"/>
              </w:rPr>
              <w:t>支持按医技项目进行提交。</w:t>
            </w:r>
          </w:p>
        </w:tc>
      </w:tr>
      <w:tr w14:paraId="3EFC7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01165455">
            <w:pPr>
              <w:numPr>
                <w:ilvl w:val="0"/>
                <w:numId w:val="11"/>
              </w:numPr>
              <w:rPr>
                <w:rFonts w:ascii="宋体" w:hAnsi="宋体" w:cs="宋体"/>
                <w:color w:val="auto"/>
                <w:szCs w:val="21"/>
                <w:highlight w:val="none"/>
              </w:rPr>
            </w:pPr>
          </w:p>
        </w:tc>
        <w:tc>
          <w:tcPr>
            <w:tcW w:w="12647" w:type="dxa"/>
            <w:gridSpan w:val="3"/>
            <w:vAlign w:val="center"/>
          </w:tcPr>
          <w:p w14:paraId="50AE04D7">
            <w:pPr>
              <w:numPr>
                <w:ilvl w:val="1"/>
                <w:numId w:val="11"/>
              </w:numPr>
              <w:ind w:left="0" w:firstLine="0"/>
              <w:rPr>
                <w:color w:val="auto"/>
                <w:highlight w:val="none"/>
                <w:shd w:val="clear" w:color="auto" w:fill="92D050"/>
              </w:rPr>
            </w:pPr>
            <w:r>
              <w:rPr>
                <w:rFonts w:hint="eastAsia" w:ascii="宋体" w:hAnsi="宋体" w:cs="宋体"/>
                <w:color w:val="auto"/>
                <w:kern w:val="0"/>
                <w:szCs w:val="21"/>
                <w:highlight w:val="none"/>
                <w:shd w:val="clear" w:color="auto"/>
              </w:rPr>
              <w:t>项目记费</w:t>
            </w:r>
          </w:p>
        </w:tc>
      </w:tr>
      <w:tr w14:paraId="2F344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7738A2BB">
            <w:pPr>
              <w:numPr>
                <w:ilvl w:val="0"/>
                <w:numId w:val="11"/>
              </w:numPr>
              <w:rPr>
                <w:rFonts w:ascii="宋体" w:hAnsi="宋体" w:cs="宋体"/>
                <w:color w:val="auto"/>
                <w:szCs w:val="21"/>
                <w:highlight w:val="none"/>
              </w:rPr>
            </w:pPr>
          </w:p>
        </w:tc>
        <w:tc>
          <w:tcPr>
            <w:tcW w:w="1686" w:type="dxa"/>
            <w:gridSpan w:val="2"/>
            <w:vMerge w:val="restart"/>
            <w:vAlign w:val="center"/>
          </w:tcPr>
          <w:p w14:paraId="52C7D233">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项目记费</w:t>
            </w:r>
          </w:p>
        </w:tc>
        <w:tc>
          <w:tcPr>
            <w:tcW w:w="10961" w:type="dxa"/>
            <w:vAlign w:val="center"/>
          </w:tcPr>
          <w:p w14:paraId="56D7C88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提供附加项目审核与自动计费两种模式；</w:t>
            </w:r>
          </w:p>
        </w:tc>
      </w:tr>
      <w:tr w14:paraId="58F60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04DD1877">
            <w:pPr>
              <w:numPr>
                <w:ilvl w:val="0"/>
                <w:numId w:val="11"/>
              </w:numPr>
              <w:rPr>
                <w:rFonts w:ascii="宋体" w:hAnsi="宋体" w:cs="宋体"/>
                <w:color w:val="auto"/>
                <w:szCs w:val="21"/>
                <w:highlight w:val="none"/>
              </w:rPr>
            </w:pPr>
          </w:p>
        </w:tc>
        <w:tc>
          <w:tcPr>
            <w:tcW w:w="1686" w:type="dxa"/>
            <w:gridSpan w:val="2"/>
            <w:vMerge w:val="continue"/>
            <w:vAlign w:val="center"/>
          </w:tcPr>
          <w:p w14:paraId="310035D8">
            <w:pPr>
              <w:widowControl/>
              <w:jc w:val="center"/>
              <w:rPr>
                <w:rFonts w:ascii="宋体" w:hAnsi="宋体" w:cs="宋体"/>
                <w:color w:val="auto"/>
                <w:kern w:val="0"/>
                <w:szCs w:val="21"/>
                <w:highlight w:val="none"/>
              </w:rPr>
            </w:pPr>
          </w:p>
        </w:tc>
        <w:tc>
          <w:tcPr>
            <w:tcW w:w="10961" w:type="dxa"/>
            <w:vAlign w:val="center"/>
          </w:tcPr>
          <w:p w14:paraId="701E642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提供项目医嘱记费，且支持对其附加项目进行记费；</w:t>
            </w:r>
          </w:p>
        </w:tc>
      </w:tr>
      <w:tr w14:paraId="4CBA5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70B179BB">
            <w:pPr>
              <w:numPr>
                <w:ilvl w:val="0"/>
                <w:numId w:val="11"/>
              </w:numPr>
              <w:rPr>
                <w:rFonts w:ascii="宋体" w:hAnsi="宋体" w:cs="宋体"/>
                <w:color w:val="auto"/>
                <w:szCs w:val="21"/>
                <w:highlight w:val="none"/>
              </w:rPr>
            </w:pPr>
          </w:p>
        </w:tc>
        <w:tc>
          <w:tcPr>
            <w:tcW w:w="1686" w:type="dxa"/>
            <w:gridSpan w:val="2"/>
            <w:vMerge w:val="continue"/>
            <w:vAlign w:val="center"/>
          </w:tcPr>
          <w:p w14:paraId="6397F8F6">
            <w:pPr>
              <w:widowControl/>
              <w:jc w:val="center"/>
              <w:rPr>
                <w:rFonts w:ascii="宋体" w:hAnsi="宋体" w:cs="宋体"/>
                <w:color w:val="auto"/>
                <w:kern w:val="0"/>
                <w:szCs w:val="21"/>
                <w:highlight w:val="none"/>
              </w:rPr>
            </w:pPr>
          </w:p>
        </w:tc>
        <w:tc>
          <w:tcPr>
            <w:tcW w:w="10961" w:type="dxa"/>
            <w:vAlign w:val="center"/>
          </w:tcPr>
          <w:p w14:paraId="5836E34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提供药品附加记费，且支持根据所记费药品附加明细生成药品附加汇总；</w:t>
            </w:r>
          </w:p>
        </w:tc>
      </w:tr>
      <w:tr w14:paraId="5E58B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23193930">
            <w:pPr>
              <w:numPr>
                <w:ilvl w:val="0"/>
                <w:numId w:val="11"/>
              </w:numPr>
              <w:rPr>
                <w:rFonts w:ascii="宋体" w:hAnsi="宋体" w:cs="宋体"/>
                <w:color w:val="auto"/>
                <w:szCs w:val="21"/>
                <w:highlight w:val="none"/>
              </w:rPr>
            </w:pPr>
          </w:p>
        </w:tc>
        <w:tc>
          <w:tcPr>
            <w:tcW w:w="1686" w:type="dxa"/>
            <w:gridSpan w:val="2"/>
            <w:vMerge w:val="continue"/>
            <w:vAlign w:val="center"/>
          </w:tcPr>
          <w:p w14:paraId="19B3A5FB">
            <w:pPr>
              <w:widowControl/>
              <w:jc w:val="center"/>
              <w:rPr>
                <w:rFonts w:ascii="宋体" w:hAnsi="宋体" w:cs="宋体"/>
                <w:color w:val="auto"/>
                <w:kern w:val="0"/>
                <w:szCs w:val="21"/>
                <w:highlight w:val="none"/>
              </w:rPr>
            </w:pPr>
          </w:p>
        </w:tc>
        <w:tc>
          <w:tcPr>
            <w:tcW w:w="10961" w:type="dxa"/>
            <w:vAlign w:val="center"/>
          </w:tcPr>
          <w:p w14:paraId="1BF342D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提供嘱托附加记费，将患者特殊医嘱的附加费用计入患者账户中；</w:t>
            </w:r>
          </w:p>
        </w:tc>
      </w:tr>
      <w:tr w14:paraId="720A0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0DCA7DD2">
            <w:pPr>
              <w:numPr>
                <w:ilvl w:val="0"/>
                <w:numId w:val="11"/>
              </w:numPr>
              <w:rPr>
                <w:rFonts w:ascii="宋体" w:hAnsi="宋体" w:cs="宋体"/>
                <w:color w:val="auto"/>
                <w:szCs w:val="21"/>
                <w:highlight w:val="none"/>
              </w:rPr>
            </w:pPr>
          </w:p>
        </w:tc>
        <w:tc>
          <w:tcPr>
            <w:tcW w:w="1686" w:type="dxa"/>
            <w:gridSpan w:val="2"/>
            <w:vMerge w:val="continue"/>
            <w:vAlign w:val="center"/>
          </w:tcPr>
          <w:p w14:paraId="2C498F26">
            <w:pPr>
              <w:widowControl/>
              <w:jc w:val="center"/>
              <w:rPr>
                <w:rFonts w:ascii="宋体" w:hAnsi="宋体" w:cs="宋体"/>
                <w:color w:val="auto"/>
                <w:kern w:val="0"/>
                <w:szCs w:val="21"/>
                <w:highlight w:val="none"/>
              </w:rPr>
            </w:pPr>
          </w:p>
        </w:tc>
        <w:tc>
          <w:tcPr>
            <w:tcW w:w="10961" w:type="dxa"/>
            <w:vAlign w:val="center"/>
          </w:tcPr>
          <w:p w14:paraId="1D055E9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支持根据所提交项目明细生成所提交项目汇总。</w:t>
            </w:r>
          </w:p>
        </w:tc>
      </w:tr>
      <w:tr w14:paraId="11FFE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0606C43A">
            <w:pPr>
              <w:numPr>
                <w:ilvl w:val="0"/>
                <w:numId w:val="11"/>
              </w:numPr>
              <w:rPr>
                <w:rFonts w:ascii="宋体" w:hAnsi="宋体" w:cs="宋体"/>
                <w:color w:val="auto"/>
                <w:szCs w:val="21"/>
                <w:highlight w:val="none"/>
              </w:rPr>
            </w:pPr>
          </w:p>
        </w:tc>
        <w:tc>
          <w:tcPr>
            <w:tcW w:w="12647" w:type="dxa"/>
            <w:gridSpan w:val="3"/>
            <w:vAlign w:val="center"/>
          </w:tcPr>
          <w:p w14:paraId="4CA2861D">
            <w:pPr>
              <w:numPr>
                <w:ilvl w:val="1"/>
                <w:numId w:val="11"/>
              </w:numPr>
              <w:ind w:left="0" w:firstLine="0"/>
              <w:rPr>
                <w:color w:val="auto"/>
                <w:highlight w:val="none"/>
                <w:shd w:val="clear" w:color="auto" w:fill="92D050"/>
              </w:rPr>
            </w:pPr>
            <w:r>
              <w:rPr>
                <w:rFonts w:hint="eastAsia" w:ascii="宋体" w:hAnsi="宋体" w:cs="宋体"/>
                <w:color w:val="auto"/>
                <w:kern w:val="0"/>
                <w:szCs w:val="21"/>
                <w:highlight w:val="none"/>
                <w:shd w:val="clear" w:color="auto"/>
              </w:rPr>
              <w:t>退补费处理</w:t>
            </w:r>
          </w:p>
        </w:tc>
      </w:tr>
      <w:tr w14:paraId="60CDB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20E7EDB2">
            <w:pPr>
              <w:numPr>
                <w:ilvl w:val="0"/>
                <w:numId w:val="11"/>
              </w:numPr>
              <w:rPr>
                <w:rFonts w:ascii="宋体" w:hAnsi="宋体" w:cs="宋体"/>
                <w:color w:val="auto"/>
                <w:szCs w:val="21"/>
                <w:highlight w:val="none"/>
              </w:rPr>
            </w:pPr>
          </w:p>
        </w:tc>
        <w:tc>
          <w:tcPr>
            <w:tcW w:w="1686" w:type="dxa"/>
            <w:gridSpan w:val="2"/>
            <w:vMerge w:val="restart"/>
            <w:vAlign w:val="center"/>
          </w:tcPr>
          <w:p w14:paraId="7C968473">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退补费处理</w:t>
            </w:r>
          </w:p>
        </w:tc>
        <w:tc>
          <w:tcPr>
            <w:tcW w:w="10961" w:type="dxa"/>
            <w:vAlign w:val="center"/>
          </w:tcPr>
          <w:p w14:paraId="3564383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支持[申请退费]和[直接退费]2种模式，申请退费需走退费审核流程，直接退费则直接执行即可；</w:t>
            </w:r>
          </w:p>
        </w:tc>
      </w:tr>
      <w:tr w14:paraId="58844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4E73E7CB">
            <w:pPr>
              <w:numPr>
                <w:ilvl w:val="0"/>
                <w:numId w:val="11"/>
              </w:numPr>
              <w:rPr>
                <w:rFonts w:ascii="宋体" w:hAnsi="宋体" w:cs="宋体"/>
                <w:color w:val="auto"/>
                <w:szCs w:val="21"/>
                <w:highlight w:val="none"/>
              </w:rPr>
            </w:pPr>
          </w:p>
        </w:tc>
        <w:tc>
          <w:tcPr>
            <w:tcW w:w="1686" w:type="dxa"/>
            <w:gridSpan w:val="2"/>
            <w:vMerge w:val="continue"/>
            <w:vAlign w:val="center"/>
          </w:tcPr>
          <w:p w14:paraId="4F9023B2">
            <w:pPr>
              <w:widowControl/>
              <w:jc w:val="center"/>
              <w:rPr>
                <w:rFonts w:ascii="宋体" w:hAnsi="宋体" w:cs="宋体"/>
                <w:color w:val="auto"/>
                <w:kern w:val="0"/>
                <w:szCs w:val="21"/>
                <w:highlight w:val="none"/>
              </w:rPr>
            </w:pPr>
          </w:p>
        </w:tc>
        <w:tc>
          <w:tcPr>
            <w:tcW w:w="10961" w:type="dxa"/>
            <w:vAlign w:val="center"/>
          </w:tcPr>
          <w:p w14:paraId="67B6526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支持根据医嘱的停嘱、作废自动生成退费退药单；支持单人退补费处理和多人退补费处理；</w:t>
            </w:r>
          </w:p>
        </w:tc>
      </w:tr>
      <w:tr w14:paraId="2C5E8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664F7BA7">
            <w:pPr>
              <w:numPr>
                <w:ilvl w:val="0"/>
                <w:numId w:val="11"/>
              </w:numPr>
              <w:rPr>
                <w:rFonts w:ascii="宋体" w:hAnsi="宋体" w:cs="宋体"/>
                <w:color w:val="auto"/>
                <w:szCs w:val="21"/>
                <w:highlight w:val="none"/>
              </w:rPr>
            </w:pPr>
          </w:p>
        </w:tc>
        <w:tc>
          <w:tcPr>
            <w:tcW w:w="1686" w:type="dxa"/>
            <w:gridSpan w:val="2"/>
            <w:vMerge w:val="continue"/>
            <w:vAlign w:val="center"/>
          </w:tcPr>
          <w:p w14:paraId="12479FB2">
            <w:pPr>
              <w:widowControl/>
              <w:jc w:val="center"/>
              <w:rPr>
                <w:rFonts w:ascii="宋体" w:hAnsi="宋体" w:cs="宋体"/>
                <w:color w:val="auto"/>
                <w:kern w:val="0"/>
                <w:szCs w:val="21"/>
                <w:highlight w:val="none"/>
              </w:rPr>
            </w:pPr>
          </w:p>
        </w:tc>
        <w:tc>
          <w:tcPr>
            <w:tcW w:w="10961" w:type="dxa"/>
            <w:vAlign w:val="center"/>
          </w:tcPr>
          <w:p w14:paraId="60C623F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支持单人退补费处理可以按医嘱、费用日期、记费日期、项目进行退费；</w:t>
            </w:r>
          </w:p>
        </w:tc>
      </w:tr>
      <w:tr w14:paraId="1975C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423A44F0">
            <w:pPr>
              <w:numPr>
                <w:ilvl w:val="0"/>
                <w:numId w:val="11"/>
              </w:numPr>
              <w:rPr>
                <w:rFonts w:ascii="宋体" w:hAnsi="宋体" w:cs="宋体"/>
                <w:color w:val="auto"/>
                <w:szCs w:val="21"/>
                <w:highlight w:val="none"/>
              </w:rPr>
            </w:pPr>
          </w:p>
        </w:tc>
        <w:tc>
          <w:tcPr>
            <w:tcW w:w="1686" w:type="dxa"/>
            <w:gridSpan w:val="2"/>
            <w:vMerge w:val="continue"/>
            <w:vAlign w:val="center"/>
          </w:tcPr>
          <w:p w14:paraId="50737D88">
            <w:pPr>
              <w:widowControl/>
              <w:jc w:val="center"/>
              <w:rPr>
                <w:rFonts w:ascii="宋体" w:hAnsi="宋体" w:cs="宋体"/>
                <w:color w:val="auto"/>
                <w:kern w:val="0"/>
                <w:szCs w:val="21"/>
                <w:highlight w:val="none"/>
              </w:rPr>
            </w:pPr>
          </w:p>
        </w:tc>
        <w:tc>
          <w:tcPr>
            <w:tcW w:w="10961" w:type="dxa"/>
            <w:vAlign w:val="center"/>
          </w:tcPr>
          <w:p w14:paraId="79A3BC2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支持多人退补费处理根据项目名称、费用日期查询病区可退费信息，再按姓名、床号、住院号快速定位到病人进行退补费；</w:t>
            </w:r>
          </w:p>
        </w:tc>
      </w:tr>
      <w:tr w14:paraId="0304F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5751F889">
            <w:pPr>
              <w:numPr>
                <w:ilvl w:val="0"/>
                <w:numId w:val="11"/>
              </w:numPr>
              <w:rPr>
                <w:rFonts w:ascii="宋体" w:hAnsi="宋体" w:cs="宋体"/>
                <w:color w:val="auto"/>
                <w:szCs w:val="21"/>
                <w:highlight w:val="none"/>
              </w:rPr>
            </w:pPr>
          </w:p>
        </w:tc>
        <w:tc>
          <w:tcPr>
            <w:tcW w:w="1686" w:type="dxa"/>
            <w:gridSpan w:val="2"/>
            <w:vMerge w:val="continue"/>
            <w:vAlign w:val="center"/>
          </w:tcPr>
          <w:p w14:paraId="7EB87961">
            <w:pPr>
              <w:widowControl/>
              <w:jc w:val="center"/>
              <w:rPr>
                <w:rFonts w:ascii="宋体" w:hAnsi="宋体" w:cs="宋体"/>
                <w:color w:val="auto"/>
                <w:kern w:val="0"/>
                <w:szCs w:val="21"/>
                <w:highlight w:val="none"/>
              </w:rPr>
            </w:pPr>
          </w:p>
        </w:tc>
        <w:tc>
          <w:tcPr>
            <w:tcW w:w="10961" w:type="dxa"/>
            <w:vAlign w:val="center"/>
          </w:tcPr>
          <w:p w14:paraId="061587B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支持护士可以批量进行多个费用的补费，且支持使用模版补费；</w:t>
            </w:r>
          </w:p>
        </w:tc>
      </w:tr>
      <w:tr w14:paraId="0586B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707B6AE8">
            <w:pPr>
              <w:numPr>
                <w:ilvl w:val="0"/>
                <w:numId w:val="11"/>
              </w:numPr>
              <w:rPr>
                <w:rFonts w:ascii="宋体" w:hAnsi="宋体" w:cs="宋体"/>
                <w:color w:val="auto"/>
                <w:szCs w:val="21"/>
                <w:highlight w:val="none"/>
              </w:rPr>
            </w:pPr>
          </w:p>
        </w:tc>
        <w:tc>
          <w:tcPr>
            <w:tcW w:w="1686" w:type="dxa"/>
            <w:gridSpan w:val="2"/>
            <w:vMerge w:val="continue"/>
            <w:vAlign w:val="center"/>
          </w:tcPr>
          <w:p w14:paraId="49C13ED8">
            <w:pPr>
              <w:widowControl/>
              <w:jc w:val="center"/>
              <w:rPr>
                <w:rFonts w:ascii="宋体" w:hAnsi="宋体" w:cs="宋体"/>
                <w:color w:val="auto"/>
                <w:kern w:val="0"/>
                <w:szCs w:val="21"/>
                <w:highlight w:val="none"/>
              </w:rPr>
            </w:pPr>
          </w:p>
        </w:tc>
        <w:tc>
          <w:tcPr>
            <w:tcW w:w="10961" w:type="dxa"/>
            <w:vAlign w:val="center"/>
          </w:tcPr>
          <w:p w14:paraId="1594B8E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支持手工填写退费申请单，或者停嘱时系统自动生成退费申请单；</w:t>
            </w:r>
          </w:p>
        </w:tc>
      </w:tr>
      <w:tr w14:paraId="1FC15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1C4183C7">
            <w:pPr>
              <w:numPr>
                <w:ilvl w:val="0"/>
                <w:numId w:val="11"/>
              </w:numPr>
              <w:rPr>
                <w:rFonts w:ascii="宋体" w:hAnsi="宋体" w:cs="宋体"/>
                <w:color w:val="auto"/>
                <w:szCs w:val="21"/>
                <w:highlight w:val="none"/>
              </w:rPr>
            </w:pPr>
          </w:p>
        </w:tc>
        <w:tc>
          <w:tcPr>
            <w:tcW w:w="1686" w:type="dxa"/>
            <w:gridSpan w:val="2"/>
            <w:vMerge w:val="continue"/>
            <w:vAlign w:val="center"/>
          </w:tcPr>
          <w:p w14:paraId="18691C8C">
            <w:pPr>
              <w:widowControl/>
              <w:jc w:val="center"/>
              <w:rPr>
                <w:rFonts w:ascii="宋体" w:hAnsi="宋体" w:cs="宋体"/>
                <w:color w:val="auto"/>
                <w:kern w:val="0"/>
                <w:szCs w:val="21"/>
                <w:highlight w:val="none"/>
              </w:rPr>
            </w:pPr>
          </w:p>
        </w:tc>
        <w:tc>
          <w:tcPr>
            <w:tcW w:w="10961" w:type="dxa"/>
            <w:vAlign w:val="center"/>
          </w:tcPr>
          <w:p w14:paraId="1378E3A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支持对系统自动产生的退费单；</w:t>
            </w:r>
          </w:p>
        </w:tc>
      </w:tr>
      <w:tr w14:paraId="7291A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572EC2D7">
            <w:pPr>
              <w:numPr>
                <w:ilvl w:val="0"/>
                <w:numId w:val="11"/>
              </w:numPr>
              <w:rPr>
                <w:rFonts w:ascii="宋体" w:hAnsi="宋体" w:cs="宋体"/>
                <w:color w:val="auto"/>
                <w:szCs w:val="21"/>
                <w:highlight w:val="none"/>
              </w:rPr>
            </w:pPr>
          </w:p>
        </w:tc>
        <w:tc>
          <w:tcPr>
            <w:tcW w:w="1686" w:type="dxa"/>
            <w:gridSpan w:val="2"/>
            <w:vMerge w:val="continue"/>
            <w:vAlign w:val="center"/>
          </w:tcPr>
          <w:p w14:paraId="37F5886C">
            <w:pPr>
              <w:widowControl/>
              <w:jc w:val="center"/>
              <w:rPr>
                <w:rFonts w:ascii="宋体" w:hAnsi="宋体" w:cs="宋体"/>
                <w:color w:val="auto"/>
                <w:kern w:val="0"/>
                <w:szCs w:val="21"/>
                <w:highlight w:val="none"/>
              </w:rPr>
            </w:pPr>
          </w:p>
        </w:tc>
        <w:tc>
          <w:tcPr>
            <w:tcW w:w="10961" w:type="dxa"/>
            <w:vAlign w:val="center"/>
          </w:tcPr>
          <w:p w14:paraId="617F7AA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支持将审核通过的退费单进行集中发送；</w:t>
            </w:r>
          </w:p>
        </w:tc>
      </w:tr>
      <w:tr w14:paraId="06B37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58C14DCC">
            <w:pPr>
              <w:numPr>
                <w:ilvl w:val="0"/>
                <w:numId w:val="11"/>
              </w:numPr>
              <w:rPr>
                <w:rFonts w:ascii="宋体" w:hAnsi="宋体" w:cs="宋体"/>
                <w:color w:val="auto"/>
                <w:szCs w:val="21"/>
                <w:highlight w:val="none"/>
              </w:rPr>
            </w:pPr>
          </w:p>
        </w:tc>
        <w:tc>
          <w:tcPr>
            <w:tcW w:w="1686" w:type="dxa"/>
            <w:gridSpan w:val="2"/>
            <w:vMerge w:val="continue"/>
            <w:vAlign w:val="center"/>
          </w:tcPr>
          <w:p w14:paraId="0AD26301">
            <w:pPr>
              <w:widowControl/>
              <w:jc w:val="center"/>
              <w:rPr>
                <w:rFonts w:ascii="宋体" w:hAnsi="宋体" w:cs="宋体"/>
                <w:color w:val="auto"/>
                <w:kern w:val="0"/>
                <w:szCs w:val="21"/>
                <w:highlight w:val="none"/>
              </w:rPr>
            </w:pPr>
          </w:p>
        </w:tc>
        <w:tc>
          <w:tcPr>
            <w:tcW w:w="10961" w:type="dxa"/>
            <w:vAlign w:val="center"/>
          </w:tcPr>
          <w:p w14:paraId="442CD35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支持退费申请原因填写，提供常见原因供护士选择，也可直接录入。</w:t>
            </w:r>
          </w:p>
        </w:tc>
      </w:tr>
      <w:tr w14:paraId="5A0D1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2DAFE713">
            <w:pPr>
              <w:numPr>
                <w:ilvl w:val="0"/>
                <w:numId w:val="11"/>
              </w:numPr>
              <w:rPr>
                <w:rFonts w:ascii="宋体" w:hAnsi="宋体" w:cs="宋体"/>
                <w:color w:val="auto"/>
                <w:szCs w:val="21"/>
                <w:highlight w:val="none"/>
              </w:rPr>
            </w:pPr>
          </w:p>
        </w:tc>
        <w:tc>
          <w:tcPr>
            <w:tcW w:w="12647" w:type="dxa"/>
            <w:gridSpan w:val="3"/>
            <w:vAlign w:val="center"/>
          </w:tcPr>
          <w:p w14:paraId="50409E7D">
            <w:pPr>
              <w:numPr>
                <w:ilvl w:val="1"/>
                <w:numId w:val="11"/>
              </w:numPr>
              <w:ind w:left="0" w:firstLine="0"/>
              <w:rPr>
                <w:color w:val="auto"/>
                <w:highlight w:val="none"/>
                <w:shd w:val="clear" w:color="auto" w:fill="92D050"/>
              </w:rPr>
            </w:pPr>
            <w:r>
              <w:rPr>
                <w:rFonts w:hint="eastAsia" w:ascii="宋体" w:hAnsi="宋体" w:cs="宋体"/>
                <w:color w:val="auto"/>
                <w:kern w:val="0"/>
                <w:szCs w:val="21"/>
                <w:highlight w:val="none"/>
                <w:shd w:val="clear" w:color="auto"/>
              </w:rPr>
              <w:t>病区撤回</w:t>
            </w:r>
          </w:p>
        </w:tc>
      </w:tr>
      <w:tr w14:paraId="66282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4287CFF6">
            <w:pPr>
              <w:numPr>
                <w:ilvl w:val="0"/>
                <w:numId w:val="11"/>
              </w:numPr>
              <w:rPr>
                <w:rFonts w:ascii="宋体" w:hAnsi="宋体" w:cs="宋体"/>
                <w:color w:val="auto"/>
                <w:szCs w:val="21"/>
                <w:highlight w:val="none"/>
              </w:rPr>
            </w:pPr>
          </w:p>
        </w:tc>
        <w:tc>
          <w:tcPr>
            <w:tcW w:w="1686" w:type="dxa"/>
            <w:gridSpan w:val="2"/>
            <w:vMerge w:val="restart"/>
            <w:vAlign w:val="center"/>
          </w:tcPr>
          <w:p w14:paraId="6F41E256">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病区撤回</w:t>
            </w:r>
          </w:p>
        </w:tc>
        <w:tc>
          <w:tcPr>
            <w:tcW w:w="10961" w:type="dxa"/>
            <w:vAlign w:val="center"/>
          </w:tcPr>
          <w:p w14:paraId="4D94F28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支持病区撤回“一体化”操作界面，在一体化界面通过Tab页面切换到药品发送撤回、医技提交退回页面，改变以往多窗口操作的离散情况；</w:t>
            </w:r>
          </w:p>
        </w:tc>
      </w:tr>
      <w:tr w14:paraId="0C34F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2CD53138">
            <w:pPr>
              <w:numPr>
                <w:ilvl w:val="0"/>
                <w:numId w:val="11"/>
              </w:numPr>
              <w:rPr>
                <w:rFonts w:ascii="宋体" w:hAnsi="宋体" w:cs="宋体"/>
                <w:color w:val="auto"/>
                <w:szCs w:val="21"/>
                <w:highlight w:val="none"/>
              </w:rPr>
            </w:pPr>
          </w:p>
        </w:tc>
        <w:tc>
          <w:tcPr>
            <w:tcW w:w="1686" w:type="dxa"/>
            <w:gridSpan w:val="2"/>
            <w:vMerge w:val="continue"/>
            <w:vAlign w:val="center"/>
          </w:tcPr>
          <w:p w14:paraId="09CDEB1E">
            <w:pPr>
              <w:widowControl/>
              <w:jc w:val="center"/>
              <w:rPr>
                <w:rFonts w:ascii="宋体" w:hAnsi="宋体" w:cs="宋体"/>
                <w:color w:val="auto"/>
                <w:kern w:val="0"/>
                <w:szCs w:val="21"/>
                <w:highlight w:val="none"/>
              </w:rPr>
            </w:pPr>
          </w:p>
        </w:tc>
        <w:tc>
          <w:tcPr>
            <w:tcW w:w="10961" w:type="dxa"/>
            <w:vAlign w:val="center"/>
          </w:tcPr>
          <w:p w14:paraId="3BC19319">
            <w:pPr>
              <w:numPr>
                <w:ilvl w:val="0"/>
                <w:numId w:val="12"/>
              </w:numPr>
              <w:tabs>
                <w:tab w:val="left" w:pos="525"/>
                <w:tab w:val="left" w:pos="630"/>
              </w:tabs>
              <w:spacing w:line="360" w:lineRule="auto"/>
              <w:rPr>
                <w:rFonts w:ascii="宋体" w:hAnsi="宋体" w:cs="宋体"/>
                <w:bCs/>
                <w:color w:val="auto"/>
                <w:szCs w:val="21"/>
                <w:highlight w:val="none"/>
              </w:rPr>
            </w:pPr>
            <w:bookmarkStart w:id="0" w:name="RANGE!C96"/>
            <w:r>
              <w:rPr>
                <w:rFonts w:hint="eastAsia" w:ascii="宋体" w:hAnsi="宋体" w:cs="宋体"/>
                <w:bCs/>
                <w:color w:val="auto"/>
                <w:szCs w:val="21"/>
                <w:highlight w:val="none"/>
              </w:rPr>
              <w:t>支持领药发送撤回、退药发送撤回，可按发送日期、医嘱类型(普通用药、急诊用药、出院带药)、发送药房、撤回类型(领药/退药)、处理状态检索发送记录；</w:t>
            </w:r>
            <w:bookmarkEnd w:id="0"/>
          </w:p>
        </w:tc>
      </w:tr>
      <w:tr w14:paraId="06C20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681714BB">
            <w:pPr>
              <w:numPr>
                <w:ilvl w:val="0"/>
                <w:numId w:val="11"/>
              </w:numPr>
              <w:rPr>
                <w:rFonts w:ascii="宋体" w:hAnsi="宋体" w:cs="宋体"/>
                <w:color w:val="auto"/>
                <w:szCs w:val="21"/>
                <w:highlight w:val="none"/>
              </w:rPr>
            </w:pPr>
          </w:p>
        </w:tc>
        <w:tc>
          <w:tcPr>
            <w:tcW w:w="1686" w:type="dxa"/>
            <w:gridSpan w:val="2"/>
            <w:vMerge w:val="continue"/>
            <w:vAlign w:val="center"/>
          </w:tcPr>
          <w:p w14:paraId="58834723">
            <w:pPr>
              <w:widowControl/>
              <w:jc w:val="center"/>
              <w:rPr>
                <w:rFonts w:ascii="宋体" w:hAnsi="宋体" w:cs="宋体"/>
                <w:color w:val="auto"/>
                <w:kern w:val="0"/>
                <w:szCs w:val="21"/>
                <w:highlight w:val="none"/>
              </w:rPr>
            </w:pPr>
          </w:p>
        </w:tc>
        <w:tc>
          <w:tcPr>
            <w:tcW w:w="10961" w:type="dxa"/>
            <w:vAlign w:val="center"/>
          </w:tcPr>
          <w:p w14:paraId="3F4CF78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支持按发送记录、发送药品明细进行撤回；支持按检查科室、检查项目进行退回。</w:t>
            </w:r>
          </w:p>
        </w:tc>
      </w:tr>
      <w:tr w14:paraId="3028D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5D957E2C">
            <w:pPr>
              <w:numPr>
                <w:ilvl w:val="0"/>
                <w:numId w:val="11"/>
              </w:numPr>
              <w:rPr>
                <w:rFonts w:ascii="宋体" w:hAnsi="宋体" w:cs="宋体"/>
                <w:color w:val="auto"/>
                <w:szCs w:val="21"/>
                <w:highlight w:val="none"/>
              </w:rPr>
            </w:pPr>
          </w:p>
        </w:tc>
        <w:tc>
          <w:tcPr>
            <w:tcW w:w="12647" w:type="dxa"/>
            <w:gridSpan w:val="3"/>
            <w:vAlign w:val="center"/>
          </w:tcPr>
          <w:p w14:paraId="4B164383">
            <w:pPr>
              <w:numPr>
                <w:ilvl w:val="1"/>
                <w:numId w:val="11"/>
              </w:numPr>
              <w:ind w:left="0" w:firstLine="0"/>
              <w:rPr>
                <w:color w:val="auto"/>
                <w:highlight w:val="none"/>
                <w:shd w:val="clear" w:color="auto" w:fill="92D050"/>
              </w:rPr>
            </w:pPr>
            <w:r>
              <w:rPr>
                <w:rFonts w:hint="eastAsia" w:ascii="宋体" w:hAnsi="宋体" w:cs="宋体"/>
                <w:color w:val="auto"/>
                <w:kern w:val="0"/>
                <w:szCs w:val="21"/>
                <w:highlight w:val="none"/>
                <w:shd w:val="clear" w:color="auto"/>
              </w:rPr>
              <w:t>医嘱卡片</w:t>
            </w:r>
          </w:p>
        </w:tc>
      </w:tr>
      <w:tr w14:paraId="54A75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29D2AF7D">
            <w:pPr>
              <w:numPr>
                <w:ilvl w:val="0"/>
                <w:numId w:val="11"/>
              </w:numPr>
              <w:rPr>
                <w:rFonts w:ascii="宋体" w:hAnsi="宋体" w:cs="宋体"/>
                <w:color w:val="auto"/>
                <w:szCs w:val="21"/>
                <w:highlight w:val="none"/>
              </w:rPr>
            </w:pPr>
          </w:p>
        </w:tc>
        <w:tc>
          <w:tcPr>
            <w:tcW w:w="1686" w:type="dxa"/>
            <w:gridSpan w:val="2"/>
            <w:vMerge w:val="restart"/>
            <w:vAlign w:val="center"/>
          </w:tcPr>
          <w:p w14:paraId="12A30A5B">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医嘱卡片</w:t>
            </w:r>
          </w:p>
        </w:tc>
        <w:tc>
          <w:tcPr>
            <w:tcW w:w="10961" w:type="dxa"/>
            <w:vAlign w:val="center"/>
          </w:tcPr>
          <w:p w14:paraId="13D1048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支持按随机卡片、固定卡片、执行单3种形式生成医嘱卡片；</w:t>
            </w:r>
          </w:p>
        </w:tc>
      </w:tr>
      <w:tr w14:paraId="225E7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339E03F3">
            <w:pPr>
              <w:numPr>
                <w:ilvl w:val="0"/>
                <w:numId w:val="11"/>
              </w:numPr>
              <w:rPr>
                <w:rFonts w:ascii="宋体" w:hAnsi="宋体" w:cs="宋体"/>
                <w:color w:val="auto"/>
                <w:szCs w:val="21"/>
                <w:highlight w:val="none"/>
              </w:rPr>
            </w:pPr>
          </w:p>
        </w:tc>
        <w:tc>
          <w:tcPr>
            <w:tcW w:w="1686" w:type="dxa"/>
            <w:gridSpan w:val="2"/>
            <w:vMerge w:val="continue"/>
            <w:vAlign w:val="center"/>
          </w:tcPr>
          <w:p w14:paraId="500A3EB8">
            <w:pPr>
              <w:widowControl/>
              <w:jc w:val="center"/>
              <w:rPr>
                <w:rFonts w:ascii="宋体" w:hAnsi="宋体" w:cs="宋体"/>
                <w:color w:val="auto"/>
                <w:kern w:val="0"/>
                <w:szCs w:val="21"/>
                <w:highlight w:val="none"/>
              </w:rPr>
            </w:pPr>
          </w:p>
        </w:tc>
        <w:tc>
          <w:tcPr>
            <w:tcW w:w="10961" w:type="dxa"/>
            <w:vAlign w:val="center"/>
          </w:tcPr>
          <w:p w14:paraId="3414F09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口服卡、注射卡、静滴卡、饮食卡、输液巡视卡、临时医嘱卡片和其他卡片；医嘱卡片是大小标签（规格和打印样式均可自定），医嘱执行单是报表，满足护士日常工作所需，固定卡片，可实现医嘱卡片一码多刷。</w:t>
            </w:r>
          </w:p>
        </w:tc>
      </w:tr>
      <w:tr w14:paraId="6DBBD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1D4FB657">
            <w:pPr>
              <w:numPr>
                <w:ilvl w:val="0"/>
                <w:numId w:val="11"/>
              </w:numPr>
              <w:rPr>
                <w:rFonts w:ascii="宋体" w:hAnsi="宋体" w:cs="宋体"/>
                <w:color w:val="auto"/>
                <w:szCs w:val="21"/>
                <w:highlight w:val="none"/>
              </w:rPr>
            </w:pPr>
          </w:p>
        </w:tc>
        <w:tc>
          <w:tcPr>
            <w:tcW w:w="1686" w:type="dxa"/>
            <w:gridSpan w:val="2"/>
            <w:vMerge w:val="continue"/>
            <w:vAlign w:val="center"/>
          </w:tcPr>
          <w:p w14:paraId="1612EB58">
            <w:pPr>
              <w:widowControl/>
              <w:jc w:val="center"/>
              <w:rPr>
                <w:rFonts w:ascii="宋体" w:hAnsi="宋体" w:cs="宋体"/>
                <w:color w:val="auto"/>
                <w:kern w:val="0"/>
                <w:szCs w:val="21"/>
                <w:highlight w:val="none"/>
              </w:rPr>
            </w:pPr>
          </w:p>
        </w:tc>
        <w:tc>
          <w:tcPr>
            <w:tcW w:w="10961" w:type="dxa"/>
            <w:vAlign w:val="center"/>
          </w:tcPr>
          <w:p w14:paraId="6EDB4A3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支持固定卡片拆分打印，某组医嘱大于设置的行数，系统自动把多余的内容打印到另一张卡片中；</w:t>
            </w:r>
          </w:p>
        </w:tc>
      </w:tr>
      <w:tr w14:paraId="7D0A6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59B2E729">
            <w:pPr>
              <w:numPr>
                <w:ilvl w:val="0"/>
                <w:numId w:val="11"/>
              </w:numPr>
              <w:rPr>
                <w:rFonts w:ascii="宋体" w:hAnsi="宋体" w:cs="宋体"/>
                <w:color w:val="auto"/>
                <w:szCs w:val="21"/>
                <w:highlight w:val="none"/>
              </w:rPr>
            </w:pPr>
          </w:p>
        </w:tc>
        <w:tc>
          <w:tcPr>
            <w:tcW w:w="1686" w:type="dxa"/>
            <w:gridSpan w:val="2"/>
            <w:vMerge w:val="continue"/>
            <w:vAlign w:val="center"/>
          </w:tcPr>
          <w:p w14:paraId="3F5AECBB">
            <w:pPr>
              <w:widowControl/>
              <w:jc w:val="center"/>
              <w:rPr>
                <w:rFonts w:ascii="宋体" w:hAnsi="宋体" w:cs="宋体"/>
                <w:color w:val="auto"/>
                <w:kern w:val="0"/>
                <w:szCs w:val="21"/>
                <w:highlight w:val="none"/>
              </w:rPr>
            </w:pPr>
          </w:p>
        </w:tc>
        <w:tc>
          <w:tcPr>
            <w:tcW w:w="10961" w:type="dxa"/>
            <w:vAlign w:val="center"/>
          </w:tcPr>
          <w:p w14:paraId="1E389DC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支持按执行科室、按患者生成医嘱卡片；</w:t>
            </w:r>
          </w:p>
        </w:tc>
      </w:tr>
      <w:tr w14:paraId="3386A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136F3463">
            <w:pPr>
              <w:numPr>
                <w:ilvl w:val="0"/>
                <w:numId w:val="11"/>
              </w:numPr>
              <w:rPr>
                <w:rFonts w:ascii="宋体" w:hAnsi="宋体" w:cs="宋体"/>
                <w:color w:val="auto"/>
                <w:szCs w:val="21"/>
                <w:highlight w:val="none"/>
              </w:rPr>
            </w:pPr>
          </w:p>
        </w:tc>
        <w:tc>
          <w:tcPr>
            <w:tcW w:w="1686" w:type="dxa"/>
            <w:gridSpan w:val="2"/>
            <w:vMerge w:val="continue"/>
            <w:vAlign w:val="center"/>
          </w:tcPr>
          <w:p w14:paraId="2C396BF2">
            <w:pPr>
              <w:widowControl/>
              <w:jc w:val="center"/>
              <w:rPr>
                <w:rFonts w:ascii="宋体" w:hAnsi="宋体" w:cs="宋体"/>
                <w:color w:val="auto"/>
                <w:kern w:val="0"/>
                <w:szCs w:val="21"/>
                <w:highlight w:val="none"/>
              </w:rPr>
            </w:pPr>
          </w:p>
        </w:tc>
        <w:tc>
          <w:tcPr>
            <w:tcW w:w="10961" w:type="dxa"/>
            <w:vAlign w:val="center"/>
          </w:tcPr>
          <w:p w14:paraId="31EEDC4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支持医嘱卡片使用报表工具进行自定义设计功能；</w:t>
            </w:r>
          </w:p>
        </w:tc>
      </w:tr>
      <w:tr w14:paraId="70708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4EF962C0">
            <w:pPr>
              <w:numPr>
                <w:ilvl w:val="0"/>
                <w:numId w:val="11"/>
              </w:numPr>
              <w:rPr>
                <w:rFonts w:ascii="宋体" w:hAnsi="宋体" w:cs="宋体"/>
                <w:color w:val="auto"/>
                <w:szCs w:val="21"/>
                <w:highlight w:val="none"/>
              </w:rPr>
            </w:pPr>
          </w:p>
        </w:tc>
        <w:tc>
          <w:tcPr>
            <w:tcW w:w="1686" w:type="dxa"/>
            <w:gridSpan w:val="2"/>
            <w:vMerge w:val="continue"/>
            <w:vAlign w:val="center"/>
          </w:tcPr>
          <w:p w14:paraId="504E4B92">
            <w:pPr>
              <w:widowControl/>
              <w:jc w:val="center"/>
              <w:rPr>
                <w:rFonts w:ascii="宋体" w:hAnsi="宋体" w:cs="宋体"/>
                <w:color w:val="auto"/>
                <w:kern w:val="0"/>
                <w:szCs w:val="21"/>
                <w:highlight w:val="none"/>
              </w:rPr>
            </w:pPr>
          </w:p>
        </w:tc>
        <w:tc>
          <w:tcPr>
            <w:tcW w:w="10961" w:type="dxa"/>
            <w:vAlign w:val="center"/>
          </w:tcPr>
          <w:p w14:paraId="66B6087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支持按日次多张卡片的方式生成医嘱卡片，即药品或费用每天使用几次，就打印几张卡片，并且用编号进行标示；</w:t>
            </w:r>
          </w:p>
        </w:tc>
      </w:tr>
      <w:tr w14:paraId="35287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27B28437">
            <w:pPr>
              <w:numPr>
                <w:ilvl w:val="0"/>
                <w:numId w:val="11"/>
              </w:numPr>
              <w:rPr>
                <w:rFonts w:ascii="宋体" w:hAnsi="宋体" w:cs="宋体"/>
                <w:color w:val="auto"/>
                <w:szCs w:val="21"/>
                <w:highlight w:val="none"/>
              </w:rPr>
            </w:pPr>
          </w:p>
        </w:tc>
        <w:tc>
          <w:tcPr>
            <w:tcW w:w="1686" w:type="dxa"/>
            <w:gridSpan w:val="2"/>
            <w:vMerge w:val="continue"/>
            <w:vAlign w:val="center"/>
          </w:tcPr>
          <w:p w14:paraId="0686FC8A">
            <w:pPr>
              <w:widowControl/>
              <w:jc w:val="center"/>
              <w:rPr>
                <w:rFonts w:ascii="宋体" w:hAnsi="宋体" w:cs="宋体"/>
                <w:color w:val="auto"/>
                <w:kern w:val="0"/>
                <w:szCs w:val="21"/>
                <w:highlight w:val="none"/>
              </w:rPr>
            </w:pPr>
          </w:p>
        </w:tc>
        <w:tc>
          <w:tcPr>
            <w:tcW w:w="10961" w:type="dxa"/>
            <w:vAlign w:val="center"/>
          </w:tcPr>
          <w:p w14:paraId="0392E35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支持按明日、今日、自定义日期筛选医嘱卡片打印内容并进行打印；</w:t>
            </w:r>
          </w:p>
        </w:tc>
      </w:tr>
      <w:tr w14:paraId="70319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6D529D56">
            <w:pPr>
              <w:numPr>
                <w:ilvl w:val="0"/>
                <w:numId w:val="11"/>
              </w:numPr>
              <w:rPr>
                <w:rFonts w:ascii="宋体" w:hAnsi="宋体" w:cs="宋体"/>
                <w:color w:val="auto"/>
                <w:szCs w:val="21"/>
                <w:highlight w:val="none"/>
              </w:rPr>
            </w:pPr>
          </w:p>
        </w:tc>
        <w:tc>
          <w:tcPr>
            <w:tcW w:w="1686" w:type="dxa"/>
            <w:gridSpan w:val="2"/>
            <w:vMerge w:val="continue"/>
            <w:vAlign w:val="center"/>
          </w:tcPr>
          <w:p w14:paraId="156AD3DF">
            <w:pPr>
              <w:widowControl/>
              <w:jc w:val="center"/>
              <w:rPr>
                <w:rFonts w:ascii="宋体" w:hAnsi="宋体" w:cs="宋体"/>
                <w:color w:val="auto"/>
                <w:kern w:val="0"/>
                <w:szCs w:val="21"/>
                <w:highlight w:val="none"/>
              </w:rPr>
            </w:pPr>
          </w:p>
        </w:tc>
        <w:tc>
          <w:tcPr>
            <w:tcW w:w="10961" w:type="dxa"/>
            <w:vAlign w:val="center"/>
          </w:tcPr>
          <w:p w14:paraId="3E4ECD9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支持一键打印，按患者床号进行逐个患者打印。</w:t>
            </w:r>
          </w:p>
        </w:tc>
      </w:tr>
      <w:tr w14:paraId="22169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38729136">
            <w:pPr>
              <w:numPr>
                <w:ilvl w:val="0"/>
                <w:numId w:val="11"/>
              </w:numPr>
              <w:rPr>
                <w:rFonts w:ascii="宋体" w:hAnsi="宋体" w:cs="宋体"/>
                <w:color w:val="auto"/>
                <w:szCs w:val="21"/>
                <w:highlight w:val="none"/>
              </w:rPr>
            </w:pPr>
          </w:p>
        </w:tc>
        <w:tc>
          <w:tcPr>
            <w:tcW w:w="12647" w:type="dxa"/>
            <w:gridSpan w:val="3"/>
            <w:vAlign w:val="center"/>
          </w:tcPr>
          <w:p w14:paraId="1E399505">
            <w:pPr>
              <w:numPr>
                <w:ilvl w:val="1"/>
                <w:numId w:val="11"/>
              </w:numPr>
              <w:ind w:left="0" w:firstLine="0"/>
              <w:rPr>
                <w:color w:val="auto"/>
                <w:highlight w:val="none"/>
                <w:shd w:val="clear" w:color="auto" w:fill="92D050"/>
              </w:rPr>
            </w:pPr>
            <w:r>
              <w:rPr>
                <w:rFonts w:hint="eastAsia" w:ascii="宋体" w:hAnsi="宋体" w:cs="宋体"/>
                <w:color w:val="auto"/>
                <w:kern w:val="0"/>
                <w:szCs w:val="21"/>
                <w:highlight w:val="none"/>
                <w:shd w:val="clear" w:color="auto"/>
              </w:rPr>
              <w:t>申请单管理</w:t>
            </w:r>
          </w:p>
        </w:tc>
      </w:tr>
      <w:tr w14:paraId="6F42A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56B13983">
            <w:pPr>
              <w:numPr>
                <w:ilvl w:val="0"/>
                <w:numId w:val="11"/>
              </w:numPr>
              <w:rPr>
                <w:rFonts w:ascii="宋体" w:hAnsi="宋体" w:cs="宋体"/>
                <w:color w:val="auto"/>
                <w:szCs w:val="21"/>
                <w:highlight w:val="none"/>
              </w:rPr>
            </w:pPr>
          </w:p>
        </w:tc>
        <w:tc>
          <w:tcPr>
            <w:tcW w:w="1686" w:type="dxa"/>
            <w:gridSpan w:val="2"/>
            <w:vAlign w:val="center"/>
          </w:tcPr>
          <w:p w14:paraId="67F84256">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申请单管理</w:t>
            </w:r>
          </w:p>
        </w:tc>
        <w:tc>
          <w:tcPr>
            <w:tcW w:w="10961" w:type="dxa"/>
            <w:vAlign w:val="center"/>
          </w:tcPr>
          <w:p w14:paraId="3A15BEB9">
            <w:pPr>
              <w:numPr>
                <w:ilvl w:val="0"/>
                <w:numId w:val="12"/>
              </w:numPr>
              <w:tabs>
                <w:tab w:val="left" w:pos="525"/>
                <w:tab w:val="left" w:pos="630"/>
              </w:tabs>
              <w:spacing w:line="360" w:lineRule="auto"/>
              <w:rPr>
                <w:rFonts w:ascii="宋体" w:hAnsi="宋体" w:cs="宋体"/>
                <w:color w:val="auto"/>
                <w:kern w:val="0"/>
                <w:szCs w:val="21"/>
                <w:highlight w:val="none"/>
              </w:rPr>
            </w:pPr>
            <w:r>
              <w:rPr>
                <w:rFonts w:hint="eastAsia"/>
                <w:color w:val="auto"/>
                <w:highlight w:val="none"/>
              </w:rPr>
              <w:t>支持单病人检查单管理、多病人检查单集中管理；支持指引单打印、预约单打印、检查预约及取消、提交与退回检查单、申请单的查询。</w:t>
            </w:r>
          </w:p>
        </w:tc>
      </w:tr>
      <w:tr w14:paraId="51F0E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6AC4FE35">
            <w:pPr>
              <w:numPr>
                <w:ilvl w:val="0"/>
                <w:numId w:val="11"/>
              </w:numPr>
              <w:rPr>
                <w:rFonts w:ascii="宋体" w:hAnsi="宋体" w:cs="宋体"/>
                <w:color w:val="auto"/>
                <w:szCs w:val="21"/>
                <w:highlight w:val="none"/>
              </w:rPr>
            </w:pPr>
          </w:p>
        </w:tc>
        <w:tc>
          <w:tcPr>
            <w:tcW w:w="12647" w:type="dxa"/>
            <w:gridSpan w:val="3"/>
            <w:vAlign w:val="center"/>
          </w:tcPr>
          <w:p w14:paraId="22592BC5">
            <w:pPr>
              <w:numPr>
                <w:ilvl w:val="1"/>
                <w:numId w:val="11"/>
              </w:numPr>
              <w:ind w:left="0" w:firstLine="0"/>
              <w:rPr>
                <w:color w:val="auto"/>
                <w:highlight w:val="none"/>
                <w:shd w:val="clear" w:color="auto" w:fill="92D050"/>
              </w:rPr>
            </w:pPr>
            <w:r>
              <w:rPr>
                <w:rFonts w:hint="eastAsia" w:ascii="宋体" w:hAnsi="宋体" w:cs="宋体"/>
                <w:color w:val="auto"/>
                <w:kern w:val="0"/>
                <w:szCs w:val="21"/>
                <w:highlight w:val="none"/>
                <w:shd w:val="clear" w:color="auto"/>
              </w:rPr>
              <w:t>他科治疗</w:t>
            </w:r>
          </w:p>
        </w:tc>
      </w:tr>
      <w:tr w14:paraId="7D844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2237D1AB">
            <w:pPr>
              <w:numPr>
                <w:ilvl w:val="0"/>
                <w:numId w:val="11"/>
              </w:numPr>
              <w:rPr>
                <w:rFonts w:ascii="宋体" w:hAnsi="宋体" w:cs="宋体"/>
                <w:color w:val="auto"/>
                <w:szCs w:val="21"/>
                <w:highlight w:val="none"/>
              </w:rPr>
            </w:pPr>
          </w:p>
        </w:tc>
        <w:tc>
          <w:tcPr>
            <w:tcW w:w="1686" w:type="dxa"/>
            <w:gridSpan w:val="2"/>
            <w:vMerge w:val="restart"/>
            <w:vAlign w:val="center"/>
          </w:tcPr>
          <w:p w14:paraId="52734325">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他科治疗</w:t>
            </w:r>
          </w:p>
        </w:tc>
        <w:tc>
          <w:tcPr>
            <w:tcW w:w="10961" w:type="dxa"/>
            <w:vAlign w:val="center"/>
          </w:tcPr>
          <w:p w14:paraId="2AE3BAD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支持他科治疗申请列表和他科治疗接收列表；</w:t>
            </w:r>
          </w:p>
        </w:tc>
      </w:tr>
      <w:tr w14:paraId="0E5C0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5722AD7B">
            <w:pPr>
              <w:numPr>
                <w:ilvl w:val="0"/>
                <w:numId w:val="11"/>
              </w:numPr>
              <w:rPr>
                <w:rFonts w:ascii="宋体" w:hAnsi="宋体" w:cs="宋体"/>
                <w:color w:val="auto"/>
                <w:szCs w:val="21"/>
                <w:highlight w:val="none"/>
              </w:rPr>
            </w:pPr>
          </w:p>
        </w:tc>
        <w:tc>
          <w:tcPr>
            <w:tcW w:w="1686" w:type="dxa"/>
            <w:gridSpan w:val="2"/>
            <w:vMerge w:val="continue"/>
            <w:vAlign w:val="center"/>
          </w:tcPr>
          <w:p w14:paraId="6866354D">
            <w:pPr>
              <w:widowControl/>
              <w:jc w:val="center"/>
              <w:rPr>
                <w:rFonts w:ascii="宋体" w:hAnsi="宋体" w:cs="宋体"/>
                <w:color w:val="auto"/>
                <w:kern w:val="0"/>
                <w:szCs w:val="21"/>
                <w:highlight w:val="none"/>
              </w:rPr>
            </w:pPr>
          </w:p>
        </w:tc>
        <w:tc>
          <w:tcPr>
            <w:tcW w:w="10961" w:type="dxa"/>
            <w:vAlign w:val="center"/>
          </w:tcPr>
          <w:p w14:paraId="3417C13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支持原科室取消他科申请的功能；</w:t>
            </w:r>
          </w:p>
        </w:tc>
      </w:tr>
      <w:tr w14:paraId="79103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7A8148BF">
            <w:pPr>
              <w:numPr>
                <w:ilvl w:val="0"/>
                <w:numId w:val="11"/>
              </w:numPr>
              <w:rPr>
                <w:rFonts w:ascii="宋体" w:hAnsi="宋体" w:cs="宋体"/>
                <w:color w:val="auto"/>
                <w:szCs w:val="21"/>
                <w:highlight w:val="none"/>
              </w:rPr>
            </w:pPr>
          </w:p>
        </w:tc>
        <w:tc>
          <w:tcPr>
            <w:tcW w:w="1686" w:type="dxa"/>
            <w:gridSpan w:val="2"/>
            <w:vMerge w:val="continue"/>
            <w:vAlign w:val="center"/>
          </w:tcPr>
          <w:p w14:paraId="4CD0B083">
            <w:pPr>
              <w:widowControl/>
              <w:jc w:val="center"/>
              <w:rPr>
                <w:rFonts w:ascii="宋体" w:hAnsi="宋体" w:cs="宋体"/>
                <w:color w:val="auto"/>
                <w:kern w:val="0"/>
                <w:szCs w:val="21"/>
                <w:highlight w:val="none"/>
              </w:rPr>
            </w:pPr>
          </w:p>
        </w:tc>
        <w:tc>
          <w:tcPr>
            <w:tcW w:w="10961" w:type="dxa"/>
            <w:vAlign w:val="center"/>
          </w:tcPr>
          <w:p w14:paraId="7D10656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支持治疗科室退回申请并填写退回原因，提供常见原因供护士选择，也可直接录入；</w:t>
            </w:r>
          </w:p>
        </w:tc>
      </w:tr>
      <w:tr w14:paraId="7C253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7E1A0522">
            <w:pPr>
              <w:numPr>
                <w:ilvl w:val="0"/>
                <w:numId w:val="11"/>
              </w:numPr>
              <w:rPr>
                <w:rFonts w:ascii="宋体" w:hAnsi="宋体" w:cs="宋体"/>
                <w:color w:val="auto"/>
                <w:szCs w:val="21"/>
                <w:highlight w:val="none"/>
              </w:rPr>
            </w:pPr>
          </w:p>
        </w:tc>
        <w:tc>
          <w:tcPr>
            <w:tcW w:w="1686" w:type="dxa"/>
            <w:gridSpan w:val="2"/>
            <w:vMerge w:val="continue"/>
            <w:vAlign w:val="center"/>
          </w:tcPr>
          <w:p w14:paraId="4743F458">
            <w:pPr>
              <w:widowControl/>
              <w:jc w:val="center"/>
              <w:rPr>
                <w:rFonts w:ascii="宋体" w:hAnsi="宋体" w:cs="宋体"/>
                <w:color w:val="auto"/>
                <w:kern w:val="0"/>
                <w:szCs w:val="21"/>
                <w:highlight w:val="none"/>
              </w:rPr>
            </w:pPr>
          </w:p>
        </w:tc>
        <w:tc>
          <w:tcPr>
            <w:tcW w:w="10961" w:type="dxa"/>
            <w:vAlign w:val="center"/>
          </w:tcPr>
          <w:p w14:paraId="1501ABB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支持他科治疗时原科室护士仍可以正常操作该患者所有功能，包括护嘱录入、医嘱卡片、退药申请、退费申请、医嘱执行、未完成工作；</w:t>
            </w:r>
          </w:p>
        </w:tc>
      </w:tr>
      <w:tr w14:paraId="4056F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3A354277">
            <w:pPr>
              <w:numPr>
                <w:ilvl w:val="0"/>
                <w:numId w:val="11"/>
              </w:numPr>
              <w:rPr>
                <w:rFonts w:ascii="宋体" w:hAnsi="宋体" w:cs="宋体"/>
                <w:color w:val="auto"/>
                <w:szCs w:val="21"/>
                <w:highlight w:val="none"/>
              </w:rPr>
            </w:pPr>
          </w:p>
        </w:tc>
        <w:tc>
          <w:tcPr>
            <w:tcW w:w="1686" w:type="dxa"/>
            <w:gridSpan w:val="2"/>
            <w:vMerge w:val="continue"/>
            <w:vAlign w:val="center"/>
          </w:tcPr>
          <w:p w14:paraId="2843930B">
            <w:pPr>
              <w:widowControl/>
              <w:jc w:val="center"/>
              <w:rPr>
                <w:rFonts w:ascii="宋体" w:hAnsi="宋体" w:cs="宋体"/>
                <w:color w:val="auto"/>
                <w:kern w:val="0"/>
                <w:szCs w:val="21"/>
                <w:highlight w:val="none"/>
              </w:rPr>
            </w:pPr>
          </w:p>
        </w:tc>
        <w:tc>
          <w:tcPr>
            <w:tcW w:w="10961" w:type="dxa"/>
            <w:vAlign w:val="center"/>
          </w:tcPr>
          <w:p w14:paraId="436CCF3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支持他科治疗时原科室医生仍可以录入医嘱，书写病历。</w:t>
            </w:r>
          </w:p>
        </w:tc>
      </w:tr>
      <w:tr w14:paraId="68527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63C77D56">
            <w:pPr>
              <w:numPr>
                <w:ilvl w:val="0"/>
                <w:numId w:val="11"/>
              </w:numPr>
              <w:rPr>
                <w:rFonts w:ascii="宋体" w:hAnsi="宋体" w:cs="宋体"/>
                <w:color w:val="auto"/>
                <w:szCs w:val="21"/>
                <w:highlight w:val="none"/>
              </w:rPr>
            </w:pPr>
          </w:p>
        </w:tc>
        <w:tc>
          <w:tcPr>
            <w:tcW w:w="1686" w:type="dxa"/>
            <w:gridSpan w:val="2"/>
            <w:vMerge w:val="continue"/>
            <w:vAlign w:val="center"/>
          </w:tcPr>
          <w:p w14:paraId="77203DE8">
            <w:pPr>
              <w:widowControl/>
              <w:jc w:val="center"/>
              <w:rPr>
                <w:rFonts w:ascii="宋体" w:hAnsi="宋体" w:cs="宋体"/>
                <w:color w:val="auto"/>
                <w:kern w:val="0"/>
                <w:szCs w:val="21"/>
                <w:highlight w:val="none"/>
              </w:rPr>
            </w:pPr>
          </w:p>
        </w:tc>
        <w:tc>
          <w:tcPr>
            <w:tcW w:w="10961" w:type="dxa"/>
            <w:vAlign w:val="center"/>
          </w:tcPr>
          <w:p w14:paraId="2AF3DC2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具有他科包床权限（可配置）的病区，护士可以直接利用【他科包床】功能将需要他科治疗的病人一键拉入本病区，便于妇产类医院分娩室这类特殊科室快捷处理病人流转。</w:t>
            </w:r>
          </w:p>
        </w:tc>
      </w:tr>
      <w:tr w14:paraId="55978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3FA9027E">
            <w:pPr>
              <w:numPr>
                <w:ilvl w:val="0"/>
                <w:numId w:val="11"/>
              </w:numPr>
              <w:rPr>
                <w:rFonts w:ascii="宋体" w:hAnsi="宋体" w:cs="宋体"/>
                <w:color w:val="auto"/>
                <w:szCs w:val="21"/>
                <w:highlight w:val="none"/>
              </w:rPr>
            </w:pPr>
          </w:p>
        </w:tc>
        <w:tc>
          <w:tcPr>
            <w:tcW w:w="1686" w:type="dxa"/>
            <w:gridSpan w:val="2"/>
            <w:vMerge w:val="continue"/>
            <w:vAlign w:val="center"/>
          </w:tcPr>
          <w:p w14:paraId="51D1602F">
            <w:pPr>
              <w:widowControl/>
              <w:jc w:val="center"/>
              <w:rPr>
                <w:rFonts w:ascii="宋体" w:hAnsi="宋体" w:cs="宋体"/>
                <w:color w:val="auto"/>
                <w:kern w:val="0"/>
                <w:szCs w:val="21"/>
                <w:highlight w:val="none"/>
              </w:rPr>
            </w:pPr>
          </w:p>
        </w:tc>
        <w:tc>
          <w:tcPr>
            <w:tcW w:w="10961" w:type="dxa"/>
            <w:vAlign w:val="center"/>
          </w:tcPr>
          <w:p w14:paraId="6863BEB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可以查看本病区已接收的他科病人，查询这些病人本病区未完成工作，其他病区未完成工作。</w:t>
            </w:r>
          </w:p>
        </w:tc>
      </w:tr>
      <w:tr w14:paraId="5A1C6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304C95AD">
            <w:pPr>
              <w:numPr>
                <w:ilvl w:val="0"/>
                <w:numId w:val="11"/>
              </w:numPr>
              <w:rPr>
                <w:rFonts w:ascii="宋体" w:hAnsi="宋体" w:cs="宋体"/>
                <w:color w:val="auto"/>
                <w:szCs w:val="21"/>
                <w:highlight w:val="none"/>
              </w:rPr>
            </w:pPr>
          </w:p>
        </w:tc>
        <w:tc>
          <w:tcPr>
            <w:tcW w:w="12647" w:type="dxa"/>
            <w:gridSpan w:val="3"/>
            <w:vAlign w:val="center"/>
          </w:tcPr>
          <w:p w14:paraId="0516E358">
            <w:pPr>
              <w:numPr>
                <w:ilvl w:val="1"/>
                <w:numId w:val="11"/>
              </w:numPr>
              <w:ind w:left="0" w:firstLine="0"/>
              <w:rPr>
                <w:color w:val="auto"/>
                <w:highlight w:val="none"/>
                <w:shd w:val="clear" w:color="auto" w:fill="92D050"/>
              </w:rPr>
            </w:pPr>
            <w:r>
              <w:rPr>
                <w:rFonts w:hint="eastAsia" w:ascii="宋体" w:hAnsi="宋体" w:cs="宋体"/>
                <w:color w:val="auto"/>
                <w:kern w:val="0"/>
                <w:szCs w:val="21"/>
                <w:highlight w:val="none"/>
                <w:shd w:val="clear" w:color="auto"/>
              </w:rPr>
              <w:t>转科治疗</w:t>
            </w:r>
          </w:p>
        </w:tc>
      </w:tr>
      <w:tr w14:paraId="282A8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0E396868">
            <w:pPr>
              <w:numPr>
                <w:ilvl w:val="0"/>
                <w:numId w:val="11"/>
              </w:numPr>
              <w:rPr>
                <w:rFonts w:ascii="宋体" w:hAnsi="宋体" w:cs="宋体"/>
                <w:color w:val="auto"/>
                <w:szCs w:val="21"/>
                <w:highlight w:val="none"/>
              </w:rPr>
            </w:pPr>
          </w:p>
        </w:tc>
        <w:tc>
          <w:tcPr>
            <w:tcW w:w="1686" w:type="dxa"/>
            <w:gridSpan w:val="2"/>
            <w:vMerge w:val="restart"/>
            <w:vAlign w:val="center"/>
          </w:tcPr>
          <w:p w14:paraId="4B671647">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转科治疗</w:t>
            </w:r>
          </w:p>
        </w:tc>
        <w:tc>
          <w:tcPr>
            <w:tcW w:w="10961" w:type="dxa"/>
            <w:vAlign w:val="center"/>
          </w:tcPr>
          <w:p w14:paraId="4CCE79F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支持本病区转科和跨病区转科；</w:t>
            </w:r>
          </w:p>
        </w:tc>
      </w:tr>
      <w:tr w14:paraId="0CA1B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030B1F7B">
            <w:pPr>
              <w:numPr>
                <w:ilvl w:val="0"/>
                <w:numId w:val="11"/>
              </w:numPr>
              <w:rPr>
                <w:rFonts w:ascii="宋体" w:hAnsi="宋体" w:cs="宋体"/>
                <w:color w:val="auto"/>
                <w:szCs w:val="21"/>
                <w:highlight w:val="none"/>
              </w:rPr>
            </w:pPr>
          </w:p>
        </w:tc>
        <w:tc>
          <w:tcPr>
            <w:tcW w:w="1686" w:type="dxa"/>
            <w:gridSpan w:val="2"/>
            <w:vMerge w:val="continue"/>
            <w:vAlign w:val="center"/>
          </w:tcPr>
          <w:p w14:paraId="5CC3514D">
            <w:pPr>
              <w:widowControl/>
              <w:jc w:val="center"/>
              <w:rPr>
                <w:rFonts w:ascii="宋体" w:hAnsi="宋体" w:cs="宋体"/>
                <w:color w:val="auto"/>
                <w:kern w:val="0"/>
                <w:szCs w:val="21"/>
                <w:highlight w:val="none"/>
              </w:rPr>
            </w:pPr>
          </w:p>
        </w:tc>
        <w:tc>
          <w:tcPr>
            <w:tcW w:w="10961" w:type="dxa"/>
            <w:vAlign w:val="center"/>
          </w:tcPr>
          <w:p w14:paraId="4C12E9D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提供转科治疗申请列表和转科治疗接收列表；</w:t>
            </w:r>
          </w:p>
        </w:tc>
      </w:tr>
      <w:tr w14:paraId="41CD9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3344AFF7">
            <w:pPr>
              <w:numPr>
                <w:ilvl w:val="0"/>
                <w:numId w:val="11"/>
              </w:numPr>
              <w:rPr>
                <w:rFonts w:ascii="宋体" w:hAnsi="宋体" w:cs="宋体"/>
                <w:color w:val="auto"/>
                <w:szCs w:val="21"/>
                <w:highlight w:val="none"/>
              </w:rPr>
            </w:pPr>
          </w:p>
        </w:tc>
        <w:tc>
          <w:tcPr>
            <w:tcW w:w="1686" w:type="dxa"/>
            <w:gridSpan w:val="2"/>
            <w:vMerge w:val="continue"/>
            <w:vAlign w:val="center"/>
          </w:tcPr>
          <w:p w14:paraId="6D1F6FD1">
            <w:pPr>
              <w:widowControl/>
              <w:jc w:val="center"/>
              <w:rPr>
                <w:rFonts w:ascii="宋体" w:hAnsi="宋体" w:cs="宋体"/>
                <w:color w:val="auto"/>
                <w:kern w:val="0"/>
                <w:szCs w:val="21"/>
                <w:highlight w:val="none"/>
              </w:rPr>
            </w:pPr>
          </w:p>
        </w:tc>
        <w:tc>
          <w:tcPr>
            <w:tcW w:w="10961" w:type="dxa"/>
            <w:vAlign w:val="center"/>
          </w:tcPr>
          <w:p w14:paraId="6A11A40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支持转出科室取消转科申请的功能；</w:t>
            </w:r>
          </w:p>
        </w:tc>
      </w:tr>
      <w:tr w14:paraId="64662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07175C6E">
            <w:pPr>
              <w:numPr>
                <w:ilvl w:val="0"/>
                <w:numId w:val="11"/>
              </w:numPr>
              <w:rPr>
                <w:rFonts w:ascii="宋体" w:hAnsi="宋体" w:cs="宋体"/>
                <w:color w:val="auto"/>
                <w:szCs w:val="21"/>
                <w:highlight w:val="none"/>
              </w:rPr>
            </w:pPr>
          </w:p>
        </w:tc>
        <w:tc>
          <w:tcPr>
            <w:tcW w:w="1686" w:type="dxa"/>
            <w:gridSpan w:val="2"/>
            <w:vMerge w:val="continue"/>
            <w:vAlign w:val="center"/>
          </w:tcPr>
          <w:p w14:paraId="26418A34">
            <w:pPr>
              <w:widowControl/>
              <w:jc w:val="center"/>
              <w:rPr>
                <w:rFonts w:ascii="宋体" w:hAnsi="宋体" w:cs="宋体"/>
                <w:color w:val="auto"/>
                <w:kern w:val="0"/>
                <w:szCs w:val="21"/>
                <w:highlight w:val="none"/>
              </w:rPr>
            </w:pPr>
          </w:p>
        </w:tc>
        <w:tc>
          <w:tcPr>
            <w:tcW w:w="10961" w:type="dxa"/>
            <w:vAlign w:val="center"/>
          </w:tcPr>
          <w:p w14:paraId="3B5FC71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支持转入科室退回申请并填写退回原因，提供常见原因供护士选择，也可直接录入；</w:t>
            </w:r>
          </w:p>
        </w:tc>
      </w:tr>
      <w:tr w14:paraId="23119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3DA4B627">
            <w:pPr>
              <w:numPr>
                <w:ilvl w:val="0"/>
                <w:numId w:val="11"/>
              </w:numPr>
              <w:rPr>
                <w:rFonts w:ascii="宋体" w:hAnsi="宋体" w:cs="宋体"/>
                <w:color w:val="auto"/>
                <w:szCs w:val="21"/>
                <w:highlight w:val="none"/>
              </w:rPr>
            </w:pPr>
          </w:p>
        </w:tc>
        <w:tc>
          <w:tcPr>
            <w:tcW w:w="1686" w:type="dxa"/>
            <w:gridSpan w:val="2"/>
            <w:vMerge w:val="continue"/>
            <w:vAlign w:val="center"/>
          </w:tcPr>
          <w:p w14:paraId="72ECC643">
            <w:pPr>
              <w:widowControl/>
              <w:jc w:val="center"/>
              <w:rPr>
                <w:rFonts w:ascii="宋体" w:hAnsi="宋体" w:cs="宋体"/>
                <w:color w:val="auto"/>
                <w:kern w:val="0"/>
                <w:szCs w:val="21"/>
                <w:highlight w:val="none"/>
              </w:rPr>
            </w:pPr>
          </w:p>
        </w:tc>
        <w:tc>
          <w:tcPr>
            <w:tcW w:w="10961" w:type="dxa"/>
            <w:vAlign w:val="center"/>
          </w:tcPr>
          <w:p w14:paraId="007EFF3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支持转前医生可以继续操作患者转科前的未完成业务，但不能进行开嘱停嘱操作；</w:t>
            </w:r>
          </w:p>
        </w:tc>
      </w:tr>
      <w:tr w14:paraId="15B23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74342147">
            <w:pPr>
              <w:numPr>
                <w:ilvl w:val="0"/>
                <w:numId w:val="11"/>
              </w:numPr>
              <w:rPr>
                <w:rFonts w:ascii="宋体" w:hAnsi="宋体" w:cs="宋体"/>
                <w:color w:val="auto"/>
                <w:szCs w:val="21"/>
                <w:highlight w:val="none"/>
              </w:rPr>
            </w:pPr>
          </w:p>
        </w:tc>
        <w:tc>
          <w:tcPr>
            <w:tcW w:w="1686" w:type="dxa"/>
            <w:gridSpan w:val="2"/>
            <w:vMerge w:val="continue"/>
            <w:vAlign w:val="center"/>
          </w:tcPr>
          <w:p w14:paraId="0EED9BDE">
            <w:pPr>
              <w:widowControl/>
              <w:jc w:val="center"/>
              <w:rPr>
                <w:rFonts w:ascii="宋体" w:hAnsi="宋体" w:cs="宋体"/>
                <w:color w:val="auto"/>
                <w:kern w:val="0"/>
                <w:szCs w:val="21"/>
                <w:highlight w:val="none"/>
              </w:rPr>
            </w:pPr>
          </w:p>
        </w:tc>
        <w:tc>
          <w:tcPr>
            <w:tcW w:w="10961" w:type="dxa"/>
            <w:vAlign w:val="center"/>
          </w:tcPr>
          <w:p w14:paraId="4C81414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支持有未完成业务病人的转科控制，需停嘱后才可进行转科处理。</w:t>
            </w:r>
          </w:p>
        </w:tc>
      </w:tr>
      <w:tr w14:paraId="087BA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7043C186">
            <w:pPr>
              <w:numPr>
                <w:ilvl w:val="0"/>
                <w:numId w:val="11"/>
              </w:numPr>
              <w:rPr>
                <w:rFonts w:ascii="宋体" w:hAnsi="宋体" w:cs="宋体"/>
                <w:color w:val="auto"/>
                <w:szCs w:val="21"/>
                <w:highlight w:val="none"/>
              </w:rPr>
            </w:pPr>
          </w:p>
        </w:tc>
        <w:tc>
          <w:tcPr>
            <w:tcW w:w="12647" w:type="dxa"/>
            <w:gridSpan w:val="3"/>
            <w:vAlign w:val="center"/>
          </w:tcPr>
          <w:p w14:paraId="72642F68">
            <w:pPr>
              <w:numPr>
                <w:ilvl w:val="1"/>
                <w:numId w:val="11"/>
              </w:numPr>
              <w:ind w:left="0" w:firstLine="0"/>
              <w:rPr>
                <w:color w:val="auto"/>
                <w:highlight w:val="none"/>
              </w:rPr>
            </w:pPr>
            <w:r>
              <w:rPr>
                <w:rFonts w:hint="eastAsia" w:ascii="宋体" w:hAnsi="宋体" w:cs="宋体"/>
                <w:color w:val="auto"/>
                <w:kern w:val="0"/>
                <w:szCs w:val="21"/>
                <w:highlight w:val="none"/>
                <w:shd w:val="clear" w:color="auto"/>
              </w:rPr>
              <w:t>换病区管理</w:t>
            </w:r>
          </w:p>
        </w:tc>
      </w:tr>
      <w:tr w14:paraId="5DBB7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09E3AABF">
            <w:pPr>
              <w:numPr>
                <w:ilvl w:val="0"/>
                <w:numId w:val="11"/>
              </w:numPr>
              <w:rPr>
                <w:rFonts w:ascii="宋体" w:hAnsi="宋体" w:cs="宋体"/>
                <w:color w:val="auto"/>
                <w:szCs w:val="21"/>
                <w:highlight w:val="none"/>
              </w:rPr>
            </w:pPr>
          </w:p>
        </w:tc>
        <w:tc>
          <w:tcPr>
            <w:tcW w:w="1686" w:type="dxa"/>
            <w:gridSpan w:val="2"/>
            <w:vMerge w:val="restart"/>
            <w:vAlign w:val="center"/>
          </w:tcPr>
          <w:p w14:paraId="7E1A21F9">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换病区管理</w:t>
            </w:r>
          </w:p>
        </w:tc>
        <w:tc>
          <w:tcPr>
            <w:tcW w:w="10961" w:type="dxa"/>
            <w:vAlign w:val="center"/>
          </w:tcPr>
          <w:p w14:paraId="4B963D5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支持临床病区之间的换病区操作；</w:t>
            </w:r>
          </w:p>
        </w:tc>
      </w:tr>
      <w:tr w14:paraId="49F6B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7C50FF45">
            <w:pPr>
              <w:numPr>
                <w:ilvl w:val="0"/>
                <w:numId w:val="11"/>
              </w:numPr>
              <w:rPr>
                <w:rFonts w:ascii="宋体" w:hAnsi="宋体" w:cs="宋体"/>
                <w:color w:val="auto"/>
                <w:szCs w:val="21"/>
                <w:highlight w:val="none"/>
              </w:rPr>
            </w:pPr>
          </w:p>
        </w:tc>
        <w:tc>
          <w:tcPr>
            <w:tcW w:w="1686" w:type="dxa"/>
            <w:gridSpan w:val="2"/>
            <w:vMerge w:val="continue"/>
            <w:vAlign w:val="center"/>
          </w:tcPr>
          <w:p w14:paraId="4A5DE597">
            <w:pPr>
              <w:widowControl/>
              <w:jc w:val="center"/>
              <w:rPr>
                <w:rFonts w:ascii="宋体" w:hAnsi="宋体" w:cs="宋体"/>
                <w:color w:val="auto"/>
                <w:kern w:val="0"/>
                <w:szCs w:val="21"/>
                <w:highlight w:val="none"/>
              </w:rPr>
            </w:pPr>
          </w:p>
        </w:tc>
        <w:tc>
          <w:tcPr>
            <w:tcW w:w="10961" w:type="dxa"/>
            <w:vAlign w:val="center"/>
          </w:tcPr>
          <w:p w14:paraId="0F3D9E8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换病区接收时，可以看到患者在原病区的未完成工作，接收后，相关计划会自动转到新病区可继续工作。</w:t>
            </w:r>
          </w:p>
        </w:tc>
      </w:tr>
      <w:tr w14:paraId="6238A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1867F8E1">
            <w:pPr>
              <w:numPr>
                <w:ilvl w:val="0"/>
                <w:numId w:val="11"/>
              </w:numPr>
              <w:rPr>
                <w:rFonts w:ascii="宋体" w:hAnsi="宋体" w:cs="宋体"/>
                <w:color w:val="auto"/>
                <w:szCs w:val="21"/>
                <w:highlight w:val="none"/>
              </w:rPr>
            </w:pPr>
          </w:p>
        </w:tc>
        <w:tc>
          <w:tcPr>
            <w:tcW w:w="1686" w:type="dxa"/>
            <w:gridSpan w:val="2"/>
            <w:vMerge w:val="continue"/>
            <w:vAlign w:val="center"/>
          </w:tcPr>
          <w:p w14:paraId="67C38263">
            <w:pPr>
              <w:widowControl/>
              <w:jc w:val="center"/>
              <w:rPr>
                <w:rFonts w:ascii="宋体" w:hAnsi="宋体" w:cs="宋体"/>
                <w:color w:val="auto"/>
                <w:kern w:val="0"/>
                <w:szCs w:val="21"/>
                <w:highlight w:val="none"/>
              </w:rPr>
            </w:pPr>
          </w:p>
        </w:tc>
        <w:tc>
          <w:tcPr>
            <w:tcW w:w="10961" w:type="dxa"/>
            <w:vAlign w:val="center"/>
          </w:tcPr>
          <w:p w14:paraId="526E081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支持日间病区换到临床病区的操作；</w:t>
            </w:r>
          </w:p>
        </w:tc>
      </w:tr>
      <w:tr w14:paraId="5E364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318F5172">
            <w:pPr>
              <w:numPr>
                <w:ilvl w:val="0"/>
                <w:numId w:val="11"/>
              </w:numPr>
              <w:rPr>
                <w:rFonts w:ascii="宋体" w:hAnsi="宋体" w:cs="宋体"/>
                <w:color w:val="auto"/>
                <w:szCs w:val="21"/>
                <w:highlight w:val="none"/>
              </w:rPr>
            </w:pPr>
          </w:p>
        </w:tc>
        <w:tc>
          <w:tcPr>
            <w:tcW w:w="1686" w:type="dxa"/>
            <w:gridSpan w:val="2"/>
            <w:vMerge w:val="continue"/>
            <w:vAlign w:val="center"/>
          </w:tcPr>
          <w:p w14:paraId="62344E8A">
            <w:pPr>
              <w:widowControl/>
              <w:jc w:val="center"/>
              <w:rPr>
                <w:rFonts w:ascii="宋体" w:hAnsi="宋体" w:cs="宋体"/>
                <w:color w:val="auto"/>
                <w:kern w:val="0"/>
                <w:szCs w:val="21"/>
                <w:highlight w:val="none"/>
              </w:rPr>
            </w:pPr>
          </w:p>
        </w:tc>
        <w:tc>
          <w:tcPr>
            <w:tcW w:w="10961" w:type="dxa"/>
            <w:vAlign w:val="center"/>
          </w:tcPr>
          <w:p w14:paraId="0BB5F2F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支持住院准备中心换到临床病区的操作；</w:t>
            </w:r>
          </w:p>
        </w:tc>
      </w:tr>
      <w:tr w14:paraId="0BD47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634B7BC3">
            <w:pPr>
              <w:numPr>
                <w:ilvl w:val="0"/>
                <w:numId w:val="11"/>
              </w:numPr>
              <w:rPr>
                <w:rFonts w:ascii="宋体" w:hAnsi="宋体" w:cs="宋体"/>
                <w:color w:val="auto"/>
                <w:szCs w:val="21"/>
                <w:highlight w:val="none"/>
              </w:rPr>
            </w:pPr>
          </w:p>
        </w:tc>
        <w:tc>
          <w:tcPr>
            <w:tcW w:w="1686" w:type="dxa"/>
            <w:gridSpan w:val="2"/>
            <w:vMerge w:val="continue"/>
            <w:vAlign w:val="center"/>
          </w:tcPr>
          <w:p w14:paraId="61D7D23C">
            <w:pPr>
              <w:widowControl/>
              <w:jc w:val="center"/>
              <w:rPr>
                <w:rFonts w:ascii="宋体" w:hAnsi="宋体" w:cs="宋体"/>
                <w:color w:val="auto"/>
                <w:kern w:val="0"/>
                <w:szCs w:val="21"/>
                <w:highlight w:val="none"/>
              </w:rPr>
            </w:pPr>
          </w:p>
        </w:tc>
        <w:tc>
          <w:tcPr>
            <w:tcW w:w="10961" w:type="dxa"/>
            <w:vAlign w:val="center"/>
          </w:tcPr>
          <w:p w14:paraId="2FA9454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支持临床病区换到住院准备中心的操作。</w:t>
            </w:r>
          </w:p>
        </w:tc>
      </w:tr>
      <w:tr w14:paraId="0F923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71FF30CF">
            <w:pPr>
              <w:numPr>
                <w:ilvl w:val="0"/>
                <w:numId w:val="11"/>
              </w:numPr>
              <w:rPr>
                <w:rFonts w:ascii="宋体" w:hAnsi="宋体" w:cs="宋体"/>
                <w:color w:val="auto"/>
                <w:szCs w:val="21"/>
                <w:highlight w:val="none"/>
              </w:rPr>
            </w:pPr>
          </w:p>
        </w:tc>
        <w:tc>
          <w:tcPr>
            <w:tcW w:w="1686" w:type="dxa"/>
            <w:gridSpan w:val="2"/>
            <w:vMerge w:val="continue"/>
            <w:vAlign w:val="center"/>
          </w:tcPr>
          <w:p w14:paraId="66005C4C">
            <w:pPr>
              <w:widowControl/>
              <w:jc w:val="center"/>
              <w:rPr>
                <w:rFonts w:ascii="宋体" w:hAnsi="宋体" w:cs="宋体"/>
                <w:color w:val="auto"/>
                <w:kern w:val="0"/>
                <w:szCs w:val="21"/>
                <w:highlight w:val="none"/>
              </w:rPr>
            </w:pPr>
          </w:p>
        </w:tc>
        <w:tc>
          <w:tcPr>
            <w:tcW w:w="10961" w:type="dxa"/>
            <w:vAlign w:val="center"/>
          </w:tcPr>
          <w:p w14:paraId="36E1CD6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护士站支持进行母亲转病区时，是否带领婴儿联动转病区，若带领跟随，则联动一起转病区。</w:t>
            </w:r>
          </w:p>
        </w:tc>
      </w:tr>
      <w:tr w14:paraId="5730B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76F00AAF">
            <w:pPr>
              <w:numPr>
                <w:ilvl w:val="0"/>
                <w:numId w:val="11"/>
              </w:numPr>
              <w:rPr>
                <w:rFonts w:ascii="宋体" w:hAnsi="宋体" w:cs="宋体"/>
                <w:color w:val="auto"/>
                <w:szCs w:val="21"/>
                <w:highlight w:val="none"/>
              </w:rPr>
            </w:pPr>
          </w:p>
        </w:tc>
        <w:tc>
          <w:tcPr>
            <w:tcW w:w="12647" w:type="dxa"/>
            <w:gridSpan w:val="3"/>
            <w:vAlign w:val="center"/>
          </w:tcPr>
          <w:p w14:paraId="71D6C42C">
            <w:pPr>
              <w:numPr>
                <w:ilvl w:val="1"/>
                <w:numId w:val="11"/>
              </w:numPr>
              <w:ind w:left="0" w:firstLine="0"/>
              <w:rPr>
                <w:color w:val="auto"/>
                <w:highlight w:val="none"/>
                <w:shd w:val="clear" w:color="auto" w:fill="92D050"/>
              </w:rPr>
            </w:pPr>
            <w:r>
              <w:rPr>
                <w:rFonts w:hint="eastAsia" w:ascii="宋体" w:hAnsi="宋体" w:cs="宋体"/>
                <w:color w:val="auto"/>
                <w:kern w:val="0"/>
                <w:szCs w:val="21"/>
                <w:highlight w:val="none"/>
                <w:shd w:val="clear" w:color="auto"/>
              </w:rPr>
              <w:t>催款管理</w:t>
            </w:r>
          </w:p>
        </w:tc>
      </w:tr>
      <w:tr w14:paraId="60658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230" w:type="dxa"/>
            <w:vMerge w:val="continue"/>
            <w:vAlign w:val="center"/>
          </w:tcPr>
          <w:p w14:paraId="039DBBA4">
            <w:pPr>
              <w:numPr>
                <w:ilvl w:val="0"/>
                <w:numId w:val="11"/>
              </w:numPr>
              <w:rPr>
                <w:rFonts w:ascii="宋体" w:hAnsi="宋体" w:cs="宋体"/>
                <w:color w:val="auto"/>
                <w:szCs w:val="21"/>
                <w:highlight w:val="none"/>
              </w:rPr>
            </w:pPr>
          </w:p>
        </w:tc>
        <w:tc>
          <w:tcPr>
            <w:tcW w:w="1686" w:type="dxa"/>
            <w:gridSpan w:val="2"/>
            <w:vMerge w:val="restart"/>
            <w:vAlign w:val="center"/>
          </w:tcPr>
          <w:p w14:paraId="55342E7C">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催款管理</w:t>
            </w:r>
          </w:p>
        </w:tc>
        <w:tc>
          <w:tcPr>
            <w:tcW w:w="10961" w:type="dxa"/>
            <w:vAlign w:val="center"/>
          </w:tcPr>
          <w:p w14:paraId="4DE835D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支持护士打印催款清单催促相应患者及时缴款；</w:t>
            </w:r>
          </w:p>
        </w:tc>
      </w:tr>
      <w:tr w14:paraId="17EDE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230" w:type="dxa"/>
            <w:vMerge w:val="continue"/>
            <w:vAlign w:val="center"/>
          </w:tcPr>
          <w:p w14:paraId="32DB9565">
            <w:pPr>
              <w:numPr>
                <w:ilvl w:val="0"/>
                <w:numId w:val="11"/>
              </w:numPr>
              <w:rPr>
                <w:rFonts w:ascii="宋体" w:hAnsi="宋体" w:cs="宋体"/>
                <w:color w:val="auto"/>
                <w:szCs w:val="21"/>
                <w:highlight w:val="none"/>
              </w:rPr>
            </w:pPr>
          </w:p>
        </w:tc>
        <w:tc>
          <w:tcPr>
            <w:tcW w:w="1686" w:type="dxa"/>
            <w:gridSpan w:val="2"/>
            <w:vMerge w:val="continue"/>
            <w:vAlign w:val="center"/>
          </w:tcPr>
          <w:p w14:paraId="2CFF19DC">
            <w:pPr>
              <w:widowControl/>
              <w:jc w:val="center"/>
              <w:rPr>
                <w:rFonts w:ascii="宋体" w:hAnsi="宋体" w:cs="宋体"/>
                <w:color w:val="auto"/>
                <w:kern w:val="0"/>
                <w:szCs w:val="21"/>
                <w:highlight w:val="none"/>
              </w:rPr>
            </w:pPr>
          </w:p>
        </w:tc>
        <w:tc>
          <w:tcPr>
            <w:tcW w:w="10961" w:type="dxa"/>
            <w:vAlign w:val="center"/>
          </w:tcPr>
          <w:p w14:paraId="518FE26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支持多种信息化催款途径，如：短信、微信、电子床头卡等。</w:t>
            </w:r>
          </w:p>
        </w:tc>
      </w:tr>
      <w:tr w14:paraId="1E175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1BB7B553">
            <w:pPr>
              <w:numPr>
                <w:ilvl w:val="0"/>
                <w:numId w:val="11"/>
              </w:numPr>
              <w:rPr>
                <w:rFonts w:ascii="宋体" w:hAnsi="宋体" w:cs="宋体"/>
                <w:color w:val="auto"/>
                <w:szCs w:val="21"/>
                <w:highlight w:val="none"/>
              </w:rPr>
            </w:pPr>
          </w:p>
        </w:tc>
        <w:tc>
          <w:tcPr>
            <w:tcW w:w="12647" w:type="dxa"/>
            <w:gridSpan w:val="3"/>
            <w:vAlign w:val="center"/>
          </w:tcPr>
          <w:p w14:paraId="71B3E9A5">
            <w:pPr>
              <w:numPr>
                <w:ilvl w:val="1"/>
                <w:numId w:val="11"/>
              </w:numPr>
              <w:ind w:left="0" w:firstLine="0"/>
              <w:rPr>
                <w:color w:val="auto"/>
                <w:highlight w:val="none"/>
                <w:shd w:val="clear" w:color="auto" w:fill="92D050"/>
              </w:rPr>
            </w:pPr>
            <w:r>
              <w:rPr>
                <w:rFonts w:hint="eastAsia" w:ascii="宋体" w:hAnsi="宋体" w:cs="宋体"/>
                <w:color w:val="auto"/>
                <w:kern w:val="0"/>
                <w:szCs w:val="21"/>
                <w:highlight w:val="none"/>
                <w:shd w:val="clear" w:color="auto"/>
              </w:rPr>
              <w:t>病人药箱</w:t>
            </w:r>
          </w:p>
        </w:tc>
      </w:tr>
      <w:tr w14:paraId="794AB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016AA30A">
            <w:pPr>
              <w:numPr>
                <w:ilvl w:val="0"/>
                <w:numId w:val="11"/>
              </w:numPr>
              <w:rPr>
                <w:rFonts w:ascii="宋体" w:hAnsi="宋体" w:cs="宋体"/>
                <w:color w:val="auto"/>
                <w:szCs w:val="21"/>
                <w:highlight w:val="none"/>
              </w:rPr>
            </w:pPr>
          </w:p>
        </w:tc>
        <w:tc>
          <w:tcPr>
            <w:tcW w:w="1686" w:type="dxa"/>
            <w:gridSpan w:val="2"/>
            <w:vAlign w:val="center"/>
          </w:tcPr>
          <w:p w14:paraId="72FD5833">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病人药箱</w:t>
            </w:r>
          </w:p>
        </w:tc>
        <w:tc>
          <w:tcPr>
            <w:tcW w:w="10961" w:type="dxa"/>
            <w:vAlign w:val="center"/>
          </w:tcPr>
          <w:p w14:paraId="7C2D84C0">
            <w:pPr>
              <w:numPr>
                <w:ilvl w:val="0"/>
                <w:numId w:val="12"/>
              </w:numPr>
              <w:tabs>
                <w:tab w:val="left" w:pos="525"/>
                <w:tab w:val="left" w:pos="630"/>
              </w:tabs>
              <w:spacing w:line="360" w:lineRule="auto"/>
              <w:rPr>
                <w:rFonts w:ascii="宋体" w:hAnsi="宋体" w:cs="宋体"/>
                <w:color w:val="auto"/>
                <w:kern w:val="0"/>
                <w:szCs w:val="21"/>
                <w:highlight w:val="none"/>
              </w:rPr>
            </w:pPr>
            <w:r>
              <w:rPr>
                <w:rFonts w:hint="eastAsia"/>
                <w:color w:val="auto"/>
                <w:highlight w:val="none"/>
              </w:rPr>
              <w:t>支持</w:t>
            </w:r>
            <w:r>
              <w:rPr>
                <w:rFonts w:hint="eastAsia" w:ascii="宋体" w:hAnsi="宋体" w:cs="宋体"/>
                <w:bCs/>
                <w:color w:val="auto"/>
                <w:szCs w:val="21"/>
                <w:highlight w:val="none"/>
              </w:rPr>
              <w:t>自备</w:t>
            </w:r>
            <w:r>
              <w:rPr>
                <w:rFonts w:hint="eastAsia"/>
                <w:color w:val="auto"/>
                <w:highlight w:val="none"/>
              </w:rPr>
              <w:t>药管理、大包装管理(病区发药药房是大包装，临床输入用小包装)、整量发药管理(如胰岛素)。</w:t>
            </w:r>
          </w:p>
        </w:tc>
      </w:tr>
      <w:tr w14:paraId="7CF12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4298D9B7">
            <w:pPr>
              <w:numPr>
                <w:ilvl w:val="0"/>
                <w:numId w:val="11"/>
              </w:numPr>
              <w:rPr>
                <w:rFonts w:ascii="宋体" w:hAnsi="宋体" w:cs="宋体"/>
                <w:color w:val="auto"/>
                <w:szCs w:val="21"/>
                <w:highlight w:val="none"/>
              </w:rPr>
            </w:pPr>
          </w:p>
        </w:tc>
        <w:tc>
          <w:tcPr>
            <w:tcW w:w="12647" w:type="dxa"/>
            <w:gridSpan w:val="3"/>
            <w:vAlign w:val="center"/>
          </w:tcPr>
          <w:p w14:paraId="7CE51F5D">
            <w:pPr>
              <w:numPr>
                <w:ilvl w:val="1"/>
                <w:numId w:val="11"/>
              </w:numPr>
              <w:ind w:left="0" w:firstLine="0"/>
              <w:rPr>
                <w:color w:val="auto"/>
                <w:highlight w:val="none"/>
                <w:shd w:val="clear" w:color="auto" w:fill="92D050"/>
              </w:rPr>
            </w:pPr>
            <w:r>
              <w:rPr>
                <w:rFonts w:hint="eastAsia" w:ascii="宋体" w:hAnsi="宋体" w:cs="宋体"/>
                <w:color w:val="auto"/>
                <w:kern w:val="0"/>
                <w:szCs w:val="21"/>
                <w:highlight w:val="none"/>
                <w:shd w:val="clear" w:color="auto"/>
              </w:rPr>
              <w:t>未完成工作</w:t>
            </w:r>
          </w:p>
        </w:tc>
      </w:tr>
      <w:tr w14:paraId="551AF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49EAE05A">
            <w:pPr>
              <w:numPr>
                <w:ilvl w:val="0"/>
                <w:numId w:val="11"/>
              </w:numPr>
              <w:rPr>
                <w:rFonts w:ascii="宋体" w:hAnsi="宋体" w:cs="宋体"/>
                <w:color w:val="auto"/>
                <w:szCs w:val="21"/>
                <w:highlight w:val="none"/>
              </w:rPr>
            </w:pPr>
          </w:p>
        </w:tc>
        <w:tc>
          <w:tcPr>
            <w:tcW w:w="1686" w:type="dxa"/>
            <w:gridSpan w:val="2"/>
            <w:vMerge w:val="restart"/>
            <w:vAlign w:val="center"/>
          </w:tcPr>
          <w:p w14:paraId="52ADBF3A">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未完成工作</w:t>
            </w:r>
          </w:p>
        </w:tc>
        <w:tc>
          <w:tcPr>
            <w:tcW w:w="10961" w:type="dxa"/>
            <w:vAlign w:val="center"/>
          </w:tcPr>
          <w:p w14:paraId="6E8DE87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提供住院患者未完成工作“一体化”处理界面，可处理未复核医嘱、发药未提交、退药未提交、医技未提交、未记费、记费未确认、退费未确认等未完成工作，通过Tab页面切换到相关业务进行操作；</w:t>
            </w:r>
          </w:p>
        </w:tc>
      </w:tr>
      <w:tr w14:paraId="2CF98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30" w:type="dxa"/>
            <w:vMerge w:val="continue"/>
            <w:vAlign w:val="center"/>
          </w:tcPr>
          <w:p w14:paraId="07AC2BE0">
            <w:pPr>
              <w:numPr>
                <w:ilvl w:val="0"/>
                <w:numId w:val="11"/>
              </w:numPr>
              <w:rPr>
                <w:rFonts w:ascii="宋体" w:hAnsi="宋体" w:cs="宋体"/>
                <w:color w:val="auto"/>
                <w:szCs w:val="21"/>
                <w:highlight w:val="none"/>
              </w:rPr>
            </w:pPr>
          </w:p>
        </w:tc>
        <w:tc>
          <w:tcPr>
            <w:tcW w:w="1686" w:type="dxa"/>
            <w:gridSpan w:val="2"/>
            <w:vMerge w:val="continue"/>
            <w:vAlign w:val="center"/>
          </w:tcPr>
          <w:p w14:paraId="731BEA38">
            <w:pPr>
              <w:widowControl/>
              <w:jc w:val="center"/>
              <w:rPr>
                <w:rFonts w:ascii="宋体" w:hAnsi="宋体" w:cs="宋体"/>
                <w:color w:val="auto"/>
                <w:kern w:val="0"/>
                <w:szCs w:val="21"/>
                <w:highlight w:val="none"/>
              </w:rPr>
            </w:pPr>
          </w:p>
        </w:tc>
        <w:tc>
          <w:tcPr>
            <w:tcW w:w="10961" w:type="dxa"/>
            <w:vAlign w:val="center"/>
          </w:tcPr>
          <w:p w14:paraId="10F548E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支持已转病区患者未完成工作、手术室未完成工作，他科治疗患者未完成工作。</w:t>
            </w:r>
          </w:p>
        </w:tc>
      </w:tr>
      <w:tr w14:paraId="2EEE8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7CC27FF6">
            <w:pPr>
              <w:numPr>
                <w:ilvl w:val="0"/>
                <w:numId w:val="11"/>
              </w:numPr>
              <w:rPr>
                <w:rFonts w:ascii="宋体" w:hAnsi="宋体" w:cs="宋体"/>
                <w:color w:val="auto"/>
                <w:szCs w:val="21"/>
                <w:highlight w:val="none"/>
              </w:rPr>
            </w:pPr>
          </w:p>
        </w:tc>
        <w:tc>
          <w:tcPr>
            <w:tcW w:w="12647" w:type="dxa"/>
            <w:gridSpan w:val="3"/>
            <w:vAlign w:val="center"/>
          </w:tcPr>
          <w:p w14:paraId="4CB3F5EE">
            <w:pPr>
              <w:numPr>
                <w:ilvl w:val="1"/>
                <w:numId w:val="11"/>
              </w:numPr>
              <w:ind w:left="0" w:firstLine="0"/>
              <w:rPr>
                <w:color w:val="auto"/>
                <w:highlight w:val="none"/>
                <w:shd w:val="clear" w:color="auto" w:fill="92D050"/>
              </w:rPr>
            </w:pPr>
            <w:r>
              <w:rPr>
                <w:rFonts w:hint="eastAsia" w:ascii="宋体" w:hAnsi="宋体" w:cs="宋体"/>
                <w:color w:val="auto"/>
                <w:kern w:val="0"/>
                <w:szCs w:val="21"/>
                <w:highlight w:val="none"/>
                <w:shd w:val="clear" w:color="auto"/>
              </w:rPr>
              <w:t>出院处理</w:t>
            </w:r>
          </w:p>
        </w:tc>
      </w:tr>
      <w:tr w14:paraId="638F6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0F76ECE8">
            <w:pPr>
              <w:numPr>
                <w:ilvl w:val="0"/>
                <w:numId w:val="11"/>
              </w:numPr>
              <w:rPr>
                <w:rFonts w:ascii="宋体" w:hAnsi="宋体" w:cs="宋体"/>
                <w:color w:val="auto"/>
                <w:szCs w:val="21"/>
                <w:highlight w:val="none"/>
              </w:rPr>
            </w:pPr>
          </w:p>
        </w:tc>
        <w:tc>
          <w:tcPr>
            <w:tcW w:w="1686" w:type="dxa"/>
            <w:gridSpan w:val="2"/>
            <w:vMerge w:val="restart"/>
            <w:vAlign w:val="center"/>
          </w:tcPr>
          <w:p w14:paraId="606B3B8C">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出院处理</w:t>
            </w:r>
          </w:p>
        </w:tc>
        <w:tc>
          <w:tcPr>
            <w:tcW w:w="10961" w:type="dxa"/>
            <w:vAlign w:val="center"/>
          </w:tcPr>
          <w:p w14:paraId="0CD85DB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支持有未完成业务病人的出院控制，若患者存在医嘱未停、未提交、未执行，手术申请未安排，手术记录未完成等业务没完成，则需完成或停嘱后才能通知出院；未完成任务可依据项目要求配置限制出院的条件。</w:t>
            </w:r>
          </w:p>
        </w:tc>
      </w:tr>
      <w:tr w14:paraId="2C90C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230" w:type="dxa"/>
            <w:vMerge w:val="continue"/>
            <w:vAlign w:val="center"/>
          </w:tcPr>
          <w:p w14:paraId="109B637B">
            <w:pPr>
              <w:numPr>
                <w:ilvl w:val="0"/>
                <w:numId w:val="11"/>
              </w:numPr>
              <w:rPr>
                <w:rFonts w:ascii="宋体" w:hAnsi="宋体" w:cs="宋体"/>
                <w:color w:val="auto"/>
                <w:szCs w:val="21"/>
                <w:highlight w:val="none"/>
              </w:rPr>
            </w:pPr>
          </w:p>
        </w:tc>
        <w:tc>
          <w:tcPr>
            <w:tcW w:w="1686" w:type="dxa"/>
            <w:gridSpan w:val="2"/>
            <w:vMerge w:val="continue"/>
            <w:vAlign w:val="center"/>
          </w:tcPr>
          <w:p w14:paraId="34441C75">
            <w:pPr>
              <w:widowControl/>
              <w:jc w:val="center"/>
              <w:rPr>
                <w:rFonts w:ascii="宋体" w:hAnsi="宋体" w:cs="宋体"/>
                <w:color w:val="auto"/>
                <w:kern w:val="0"/>
                <w:szCs w:val="21"/>
                <w:highlight w:val="none"/>
              </w:rPr>
            </w:pPr>
          </w:p>
        </w:tc>
        <w:tc>
          <w:tcPr>
            <w:tcW w:w="10961" w:type="dxa"/>
            <w:vAlign w:val="center"/>
          </w:tcPr>
          <w:p w14:paraId="340485E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支持通知出院时成人、婴儿多页未完成业务单独显示；</w:t>
            </w:r>
          </w:p>
        </w:tc>
      </w:tr>
      <w:tr w14:paraId="00C8D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230" w:type="dxa"/>
            <w:vMerge w:val="continue"/>
            <w:vAlign w:val="center"/>
          </w:tcPr>
          <w:p w14:paraId="49128A53">
            <w:pPr>
              <w:numPr>
                <w:ilvl w:val="0"/>
                <w:numId w:val="11"/>
              </w:numPr>
              <w:rPr>
                <w:rFonts w:ascii="宋体" w:hAnsi="宋体" w:cs="宋体"/>
                <w:color w:val="auto"/>
                <w:szCs w:val="21"/>
                <w:highlight w:val="none"/>
              </w:rPr>
            </w:pPr>
          </w:p>
        </w:tc>
        <w:tc>
          <w:tcPr>
            <w:tcW w:w="1686" w:type="dxa"/>
            <w:gridSpan w:val="2"/>
            <w:vMerge w:val="continue"/>
            <w:vAlign w:val="center"/>
          </w:tcPr>
          <w:p w14:paraId="67515C67">
            <w:pPr>
              <w:widowControl/>
              <w:jc w:val="center"/>
              <w:rPr>
                <w:rFonts w:ascii="宋体" w:hAnsi="宋体" w:cs="宋体"/>
                <w:color w:val="auto"/>
                <w:kern w:val="0"/>
                <w:szCs w:val="21"/>
                <w:highlight w:val="none"/>
              </w:rPr>
            </w:pPr>
          </w:p>
        </w:tc>
        <w:tc>
          <w:tcPr>
            <w:tcW w:w="10961" w:type="dxa"/>
            <w:vAlign w:val="center"/>
          </w:tcPr>
          <w:p w14:paraId="3752DBD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支持通知出院后自动腾空患者床位；</w:t>
            </w:r>
          </w:p>
        </w:tc>
      </w:tr>
      <w:tr w14:paraId="6E581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30" w:type="dxa"/>
            <w:vMerge w:val="continue"/>
            <w:vAlign w:val="center"/>
          </w:tcPr>
          <w:p w14:paraId="337B9D63">
            <w:pPr>
              <w:numPr>
                <w:ilvl w:val="0"/>
                <w:numId w:val="11"/>
              </w:numPr>
              <w:rPr>
                <w:rFonts w:ascii="宋体" w:hAnsi="宋体" w:cs="宋体"/>
                <w:color w:val="auto"/>
                <w:szCs w:val="21"/>
                <w:highlight w:val="none"/>
              </w:rPr>
            </w:pPr>
          </w:p>
        </w:tc>
        <w:tc>
          <w:tcPr>
            <w:tcW w:w="1686" w:type="dxa"/>
            <w:gridSpan w:val="2"/>
            <w:vMerge w:val="continue"/>
            <w:vAlign w:val="center"/>
          </w:tcPr>
          <w:p w14:paraId="2851AE51">
            <w:pPr>
              <w:widowControl/>
              <w:jc w:val="center"/>
              <w:rPr>
                <w:rFonts w:ascii="宋体" w:hAnsi="宋体" w:cs="宋体"/>
                <w:color w:val="auto"/>
                <w:kern w:val="0"/>
                <w:szCs w:val="21"/>
                <w:highlight w:val="none"/>
              </w:rPr>
            </w:pPr>
          </w:p>
        </w:tc>
        <w:tc>
          <w:tcPr>
            <w:tcW w:w="10961" w:type="dxa"/>
            <w:vAlign w:val="center"/>
          </w:tcPr>
          <w:p w14:paraId="6099261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支持取消通知出院后提示是否退回原床位；</w:t>
            </w:r>
          </w:p>
        </w:tc>
      </w:tr>
      <w:tr w14:paraId="65267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230" w:type="dxa"/>
            <w:vMerge w:val="continue"/>
            <w:vAlign w:val="center"/>
          </w:tcPr>
          <w:p w14:paraId="436D697E">
            <w:pPr>
              <w:numPr>
                <w:ilvl w:val="0"/>
                <w:numId w:val="11"/>
              </w:numPr>
              <w:rPr>
                <w:rFonts w:ascii="宋体" w:hAnsi="宋体" w:cs="宋体"/>
                <w:color w:val="auto"/>
                <w:szCs w:val="21"/>
                <w:highlight w:val="none"/>
              </w:rPr>
            </w:pPr>
          </w:p>
        </w:tc>
        <w:tc>
          <w:tcPr>
            <w:tcW w:w="1686" w:type="dxa"/>
            <w:gridSpan w:val="2"/>
            <w:vMerge w:val="continue"/>
            <w:vAlign w:val="center"/>
          </w:tcPr>
          <w:p w14:paraId="5774D06D">
            <w:pPr>
              <w:widowControl/>
              <w:jc w:val="center"/>
              <w:rPr>
                <w:rFonts w:ascii="宋体" w:hAnsi="宋体" w:cs="宋体"/>
                <w:color w:val="auto"/>
                <w:kern w:val="0"/>
                <w:szCs w:val="21"/>
                <w:highlight w:val="none"/>
              </w:rPr>
            </w:pPr>
          </w:p>
        </w:tc>
        <w:tc>
          <w:tcPr>
            <w:tcW w:w="10961" w:type="dxa"/>
            <w:vAlign w:val="center"/>
          </w:tcPr>
          <w:p w14:paraId="376CD4A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支持护士查询出院病人的费用账卡、医嘱、病历。</w:t>
            </w:r>
          </w:p>
        </w:tc>
      </w:tr>
      <w:tr w14:paraId="1AF0B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0FF39ADF">
            <w:pPr>
              <w:numPr>
                <w:ilvl w:val="0"/>
                <w:numId w:val="11"/>
              </w:numPr>
              <w:rPr>
                <w:rFonts w:ascii="宋体" w:hAnsi="宋体" w:cs="宋体"/>
                <w:color w:val="auto"/>
                <w:szCs w:val="21"/>
                <w:highlight w:val="none"/>
              </w:rPr>
            </w:pPr>
          </w:p>
        </w:tc>
        <w:tc>
          <w:tcPr>
            <w:tcW w:w="12647" w:type="dxa"/>
            <w:gridSpan w:val="3"/>
            <w:vAlign w:val="center"/>
          </w:tcPr>
          <w:p w14:paraId="0F89222C">
            <w:pPr>
              <w:numPr>
                <w:ilvl w:val="1"/>
                <w:numId w:val="11"/>
              </w:numPr>
              <w:ind w:left="0" w:firstLine="0"/>
              <w:rPr>
                <w:color w:val="auto"/>
                <w:highlight w:val="none"/>
                <w:shd w:val="clear" w:color="auto" w:fill="92D050"/>
              </w:rPr>
            </w:pPr>
            <w:r>
              <w:rPr>
                <w:rFonts w:hint="eastAsia" w:ascii="宋体" w:hAnsi="宋体" w:cs="宋体"/>
                <w:color w:val="auto"/>
                <w:kern w:val="0"/>
                <w:szCs w:val="21"/>
                <w:highlight w:val="none"/>
                <w:shd w:val="clear" w:color="auto"/>
              </w:rPr>
              <w:t>病区三级药房</w:t>
            </w:r>
          </w:p>
        </w:tc>
      </w:tr>
      <w:tr w14:paraId="1797B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20CB6638">
            <w:pPr>
              <w:numPr>
                <w:ilvl w:val="0"/>
                <w:numId w:val="11"/>
              </w:numPr>
              <w:rPr>
                <w:rFonts w:ascii="宋体" w:hAnsi="宋体" w:cs="宋体"/>
                <w:color w:val="auto"/>
                <w:szCs w:val="21"/>
                <w:highlight w:val="none"/>
              </w:rPr>
            </w:pPr>
          </w:p>
        </w:tc>
        <w:tc>
          <w:tcPr>
            <w:tcW w:w="1686" w:type="dxa"/>
            <w:gridSpan w:val="2"/>
            <w:vAlign w:val="center"/>
          </w:tcPr>
          <w:p w14:paraId="361D25E5">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病区三级药房</w:t>
            </w:r>
          </w:p>
        </w:tc>
        <w:tc>
          <w:tcPr>
            <w:tcW w:w="10961" w:type="dxa"/>
            <w:vAlign w:val="center"/>
          </w:tcPr>
          <w:p w14:paraId="17439AD6">
            <w:pPr>
              <w:numPr>
                <w:ilvl w:val="0"/>
                <w:numId w:val="12"/>
              </w:numPr>
              <w:tabs>
                <w:tab w:val="left" w:pos="525"/>
                <w:tab w:val="left" w:pos="630"/>
              </w:tabs>
              <w:spacing w:line="360" w:lineRule="auto"/>
              <w:rPr>
                <w:rFonts w:ascii="宋体" w:hAnsi="宋体" w:cs="宋体"/>
                <w:color w:val="auto"/>
                <w:kern w:val="0"/>
                <w:szCs w:val="21"/>
                <w:highlight w:val="none"/>
              </w:rPr>
            </w:pPr>
            <w:r>
              <w:rPr>
                <w:rFonts w:hint="eastAsia"/>
                <w:color w:val="auto"/>
                <w:highlight w:val="none"/>
              </w:rPr>
              <w:t>支持本病区药品出入库管理，医嘱发药处理，盘点处理，月底过帐，收支查询及本病区三级药房的初始化等功能。</w:t>
            </w:r>
          </w:p>
        </w:tc>
      </w:tr>
      <w:tr w14:paraId="2D407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31AD58E8">
            <w:pPr>
              <w:numPr>
                <w:ilvl w:val="0"/>
                <w:numId w:val="11"/>
              </w:numPr>
              <w:rPr>
                <w:rFonts w:ascii="宋体" w:hAnsi="宋体" w:cs="宋体"/>
                <w:color w:val="auto"/>
                <w:szCs w:val="21"/>
                <w:highlight w:val="none"/>
              </w:rPr>
            </w:pPr>
          </w:p>
        </w:tc>
        <w:tc>
          <w:tcPr>
            <w:tcW w:w="12647" w:type="dxa"/>
            <w:gridSpan w:val="3"/>
            <w:vAlign w:val="center"/>
          </w:tcPr>
          <w:p w14:paraId="62388483">
            <w:pPr>
              <w:numPr>
                <w:ilvl w:val="1"/>
                <w:numId w:val="11"/>
              </w:numPr>
              <w:ind w:left="0" w:firstLine="0"/>
              <w:rPr>
                <w:color w:val="auto"/>
                <w:highlight w:val="none"/>
                <w:shd w:val="clear" w:color="auto" w:fill="92D050"/>
              </w:rPr>
            </w:pPr>
            <w:r>
              <w:rPr>
                <w:rFonts w:hint="eastAsia" w:ascii="宋体" w:hAnsi="宋体" w:cs="宋体"/>
                <w:color w:val="auto"/>
                <w:kern w:val="0"/>
                <w:szCs w:val="21"/>
                <w:highlight w:val="none"/>
                <w:shd w:val="clear" w:color="auto"/>
              </w:rPr>
              <w:t>病区三级库房</w:t>
            </w:r>
          </w:p>
        </w:tc>
      </w:tr>
      <w:tr w14:paraId="4C304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230" w:type="dxa"/>
            <w:vMerge w:val="continue"/>
            <w:vAlign w:val="center"/>
          </w:tcPr>
          <w:p w14:paraId="1C9519E9">
            <w:pPr>
              <w:numPr>
                <w:ilvl w:val="0"/>
                <w:numId w:val="11"/>
              </w:numPr>
              <w:rPr>
                <w:rFonts w:ascii="宋体" w:hAnsi="宋体" w:cs="宋体"/>
                <w:color w:val="auto"/>
                <w:szCs w:val="21"/>
                <w:highlight w:val="none"/>
              </w:rPr>
            </w:pPr>
          </w:p>
        </w:tc>
        <w:tc>
          <w:tcPr>
            <w:tcW w:w="1686" w:type="dxa"/>
            <w:gridSpan w:val="2"/>
            <w:vMerge w:val="restart"/>
            <w:vAlign w:val="center"/>
          </w:tcPr>
          <w:p w14:paraId="1F0FC28F">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病区三级库房</w:t>
            </w:r>
          </w:p>
        </w:tc>
        <w:tc>
          <w:tcPr>
            <w:tcW w:w="10961" w:type="dxa"/>
            <w:vAlign w:val="center"/>
          </w:tcPr>
          <w:p w14:paraId="3AA7A34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支持本病区医用耗材出入库管理，消耗管理，盘点处理，月底过帐，收支查询及本病区三级库房的初始化等功能；</w:t>
            </w:r>
          </w:p>
        </w:tc>
      </w:tr>
      <w:tr w14:paraId="43B53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230" w:type="dxa"/>
            <w:vMerge w:val="continue"/>
            <w:vAlign w:val="center"/>
          </w:tcPr>
          <w:p w14:paraId="73617CF9">
            <w:pPr>
              <w:numPr>
                <w:ilvl w:val="0"/>
                <w:numId w:val="11"/>
              </w:numPr>
              <w:rPr>
                <w:rFonts w:ascii="宋体" w:hAnsi="宋体" w:cs="宋体"/>
                <w:color w:val="auto"/>
                <w:szCs w:val="21"/>
                <w:highlight w:val="none"/>
              </w:rPr>
            </w:pPr>
          </w:p>
        </w:tc>
        <w:tc>
          <w:tcPr>
            <w:tcW w:w="1686" w:type="dxa"/>
            <w:gridSpan w:val="2"/>
            <w:vMerge w:val="continue"/>
            <w:vAlign w:val="center"/>
          </w:tcPr>
          <w:p w14:paraId="7E045204">
            <w:pPr>
              <w:widowControl/>
              <w:jc w:val="center"/>
              <w:rPr>
                <w:rFonts w:ascii="宋体" w:hAnsi="宋体" w:cs="宋体"/>
                <w:color w:val="auto"/>
                <w:kern w:val="0"/>
                <w:szCs w:val="21"/>
                <w:highlight w:val="none"/>
              </w:rPr>
            </w:pPr>
          </w:p>
        </w:tc>
        <w:tc>
          <w:tcPr>
            <w:tcW w:w="10961" w:type="dxa"/>
            <w:vAlign w:val="center"/>
          </w:tcPr>
          <w:p w14:paraId="06CB638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支持本病区医用耗材实耗实销管理，医嘱执行时自动减库存。</w:t>
            </w:r>
          </w:p>
        </w:tc>
      </w:tr>
      <w:tr w14:paraId="0083E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19E6DFDF">
            <w:pPr>
              <w:numPr>
                <w:ilvl w:val="0"/>
                <w:numId w:val="11"/>
              </w:numPr>
              <w:rPr>
                <w:rFonts w:ascii="宋体" w:hAnsi="宋体" w:cs="宋体"/>
                <w:color w:val="auto"/>
                <w:szCs w:val="21"/>
                <w:highlight w:val="none"/>
              </w:rPr>
            </w:pPr>
          </w:p>
        </w:tc>
        <w:tc>
          <w:tcPr>
            <w:tcW w:w="12647" w:type="dxa"/>
            <w:gridSpan w:val="3"/>
            <w:vAlign w:val="center"/>
          </w:tcPr>
          <w:p w14:paraId="4927375E">
            <w:pPr>
              <w:numPr>
                <w:ilvl w:val="1"/>
                <w:numId w:val="11"/>
              </w:numPr>
              <w:ind w:left="0" w:firstLine="0"/>
              <w:rPr>
                <w:color w:val="auto"/>
                <w:highlight w:val="none"/>
                <w:shd w:val="clear" w:color="auto" w:fill="92D050"/>
              </w:rPr>
            </w:pPr>
            <w:r>
              <w:rPr>
                <w:rFonts w:hint="eastAsia" w:ascii="宋体" w:hAnsi="宋体" w:cs="宋体"/>
                <w:color w:val="auto"/>
                <w:kern w:val="0"/>
                <w:szCs w:val="21"/>
                <w:highlight w:val="none"/>
                <w:shd w:val="clear" w:color="auto"/>
              </w:rPr>
              <w:t>护理管理</w:t>
            </w:r>
          </w:p>
        </w:tc>
      </w:tr>
      <w:tr w14:paraId="697FD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30" w:type="dxa"/>
            <w:vMerge w:val="continue"/>
            <w:vAlign w:val="center"/>
          </w:tcPr>
          <w:p w14:paraId="5EDAE917">
            <w:pPr>
              <w:numPr>
                <w:ilvl w:val="0"/>
                <w:numId w:val="11"/>
              </w:numPr>
              <w:rPr>
                <w:rFonts w:ascii="宋体" w:hAnsi="宋体" w:cs="宋体"/>
                <w:color w:val="auto"/>
                <w:szCs w:val="21"/>
                <w:highlight w:val="none"/>
              </w:rPr>
            </w:pPr>
          </w:p>
        </w:tc>
        <w:tc>
          <w:tcPr>
            <w:tcW w:w="1686" w:type="dxa"/>
            <w:gridSpan w:val="2"/>
            <w:vMerge w:val="restart"/>
            <w:vAlign w:val="center"/>
          </w:tcPr>
          <w:p w14:paraId="0F2D0641">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护理管理</w:t>
            </w:r>
          </w:p>
        </w:tc>
        <w:tc>
          <w:tcPr>
            <w:tcW w:w="10961" w:type="dxa"/>
            <w:vAlign w:val="center"/>
          </w:tcPr>
          <w:p w14:paraId="4D55A3F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支持与护理系统做无缝接口，将护理管理业务接入到病区护士站系统；</w:t>
            </w:r>
          </w:p>
        </w:tc>
      </w:tr>
      <w:tr w14:paraId="310E1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698C53D3">
            <w:pPr>
              <w:numPr>
                <w:ilvl w:val="0"/>
                <w:numId w:val="11"/>
              </w:numPr>
              <w:rPr>
                <w:rFonts w:ascii="宋体" w:hAnsi="宋体" w:cs="宋体"/>
                <w:color w:val="auto"/>
                <w:szCs w:val="21"/>
                <w:highlight w:val="none"/>
              </w:rPr>
            </w:pPr>
          </w:p>
        </w:tc>
        <w:tc>
          <w:tcPr>
            <w:tcW w:w="1686" w:type="dxa"/>
            <w:gridSpan w:val="2"/>
            <w:vMerge w:val="continue"/>
            <w:vAlign w:val="center"/>
          </w:tcPr>
          <w:p w14:paraId="4778AC3B">
            <w:pPr>
              <w:widowControl/>
              <w:jc w:val="center"/>
              <w:rPr>
                <w:rFonts w:ascii="宋体" w:hAnsi="宋体" w:cs="宋体"/>
                <w:color w:val="auto"/>
                <w:kern w:val="0"/>
                <w:szCs w:val="21"/>
                <w:highlight w:val="none"/>
              </w:rPr>
            </w:pPr>
          </w:p>
        </w:tc>
        <w:tc>
          <w:tcPr>
            <w:tcW w:w="10961" w:type="dxa"/>
            <w:vAlign w:val="center"/>
          </w:tcPr>
          <w:p w14:paraId="7B74207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提供护理管理“一体化”操作界面，在一体化界面通过Tab页面切换到护理计划、护理评估、护理记录、健康宣教、护理焦点、护理路径、体征记录、不良事件等页面，改变以往多窗口操作的离散情况；</w:t>
            </w:r>
          </w:p>
        </w:tc>
      </w:tr>
      <w:tr w14:paraId="2BBAE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230" w:type="dxa"/>
            <w:vMerge w:val="continue"/>
            <w:vAlign w:val="center"/>
          </w:tcPr>
          <w:p w14:paraId="05AA0B9C">
            <w:pPr>
              <w:numPr>
                <w:ilvl w:val="0"/>
                <w:numId w:val="11"/>
              </w:numPr>
              <w:rPr>
                <w:rFonts w:ascii="宋体" w:hAnsi="宋体" w:cs="宋体"/>
                <w:color w:val="auto"/>
                <w:szCs w:val="21"/>
                <w:highlight w:val="none"/>
              </w:rPr>
            </w:pPr>
          </w:p>
        </w:tc>
        <w:tc>
          <w:tcPr>
            <w:tcW w:w="1686" w:type="dxa"/>
            <w:gridSpan w:val="2"/>
            <w:vMerge w:val="continue"/>
            <w:vAlign w:val="center"/>
          </w:tcPr>
          <w:p w14:paraId="678C1B2A">
            <w:pPr>
              <w:widowControl/>
              <w:jc w:val="center"/>
              <w:rPr>
                <w:rFonts w:ascii="宋体" w:hAnsi="宋体" w:cs="宋体"/>
                <w:color w:val="auto"/>
                <w:kern w:val="0"/>
                <w:szCs w:val="21"/>
                <w:highlight w:val="none"/>
              </w:rPr>
            </w:pPr>
          </w:p>
        </w:tc>
        <w:tc>
          <w:tcPr>
            <w:tcW w:w="10961" w:type="dxa"/>
            <w:vAlign w:val="center"/>
          </w:tcPr>
          <w:p w14:paraId="04FAFCA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支持与移动护理系统做无缝接口，实现数据互联互通。</w:t>
            </w:r>
          </w:p>
        </w:tc>
      </w:tr>
      <w:tr w14:paraId="04AB8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3C16D10A">
            <w:pPr>
              <w:numPr>
                <w:ilvl w:val="0"/>
                <w:numId w:val="11"/>
              </w:numPr>
              <w:rPr>
                <w:rFonts w:ascii="宋体" w:hAnsi="宋体" w:cs="宋体"/>
                <w:color w:val="auto"/>
                <w:szCs w:val="21"/>
                <w:highlight w:val="none"/>
              </w:rPr>
            </w:pPr>
          </w:p>
        </w:tc>
        <w:tc>
          <w:tcPr>
            <w:tcW w:w="12647" w:type="dxa"/>
            <w:gridSpan w:val="3"/>
            <w:vAlign w:val="center"/>
          </w:tcPr>
          <w:p w14:paraId="525E3F34">
            <w:pPr>
              <w:numPr>
                <w:ilvl w:val="1"/>
                <w:numId w:val="11"/>
              </w:numPr>
              <w:ind w:left="0" w:firstLine="0"/>
              <w:rPr>
                <w:color w:val="auto"/>
                <w:highlight w:val="none"/>
                <w:shd w:val="clear" w:color="auto" w:fill="92D050"/>
              </w:rPr>
            </w:pPr>
            <w:r>
              <w:rPr>
                <w:rFonts w:hint="eastAsia" w:ascii="宋体" w:hAnsi="宋体" w:cs="宋体"/>
                <w:color w:val="auto"/>
                <w:kern w:val="0"/>
                <w:szCs w:val="21"/>
                <w:highlight w:val="none"/>
                <w:shd w:val="clear" w:color="auto"/>
              </w:rPr>
              <w:t>检验管理</w:t>
            </w:r>
          </w:p>
        </w:tc>
      </w:tr>
      <w:tr w14:paraId="0AE2B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230" w:type="dxa"/>
            <w:vMerge w:val="continue"/>
            <w:vAlign w:val="center"/>
          </w:tcPr>
          <w:p w14:paraId="447A177C">
            <w:pPr>
              <w:numPr>
                <w:ilvl w:val="0"/>
                <w:numId w:val="11"/>
              </w:numPr>
              <w:rPr>
                <w:rFonts w:ascii="宋体" w:hAnsi="宋体" w:cs="宋体"/>
                <w:color w:val="auto"/>
                <w:szCs w:val="21"/>
                <w:highlight w:val="none"/>
              </w:rPr>
            </w:pPr>
          </w:p>
        </w:tc>
        <w:tc>
          <w:tcPr>
            <w:tcW w:w="1686" w:type="dxa"/>
            <w:gridSpan w:val="2"/>
            <w:vMerge w:val="restart"/>
            <w:vAlign w:val="center"/>
          </w:tcPr>
          <w:p w14:paraId="1AE3C04C">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检验管理</w:t>
            </w:r>
          </w:p>
        </w:tc>
        <w:tc>
          <w:tcPr>
            <w:tcW w:w="10961" w:type="dxa"/>
            <w:vAlign w:val="center"/>
          </w:tcPr>
          <w:p w14:paraId="2E54EBB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支持与检验(LIS)做无缝接口，将检验管理业务接入到病区护士站系统；</w:t>
            </w:r>
          </w:p>
        </w:tc>
      </w:tr>
      <w:tr w14:paraId="1CA91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364A6B15">
            <w:pPr>
              <w:numPr>
                <w:ilvl w:val="0"/>
                <w:numId w:val="11"/>
              </w:numPr>
              <w:rPr>
                <w:rFonts w:ascii="宋体" w:hAnsi="宋体" w:cs="宋体"/>
                <w:color w:val="auto"/>
                <w:szCs w:val="21"/>
                <w:highlight w:val="none"/>
              </w:rPr>
            </w:pPr>
          </w:p>
        </w:tc>
        <w:tc>
          <w:tcPr>
            <w:tcW w:w="1686" w:type="dxa"/>
            <w:gridSpan w:val="2"/>
            <w:vMerge w:val="continue"/>
            <w:vAlign w:val="center"/>
          </w:tcPr>
          <w:p w14:paraId="5FFAC6CA">
            <w:pPr>
              <w:widowControl/>
              <w:jc w:val="center"/>
              <w:rPr>
                <w:rFonts w:ascii="宋体" w:hAnsi="宋体" w:cs="宋体"/>
                <w:color w:val="auto"/>
                <w:kern w:val="0"/>
                <w:szCs w:val="21"/>
                <w:highlight w:val="none"/>
              </w:rPr>
            </w:pPr>
          </w:p>
        </w:tc>
        <w:tc>
          <w:tcPr>
            <w:tcW w:w="10961" w:type="dxa"/>
            <w:vAlign w:val="center"/>
          </w:tcPr>
          <w:p w14:paraId="32A91C2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提供检验管理“一体化”操作界面，在一体化界面通过Tab页面切换到条码生成、打印，标本采集、运送、交接等页面，改变以往多窗口操作的离散情况；</w:t>
            </w:r>
          </w:p>
        </w:tc>
      </w:tr>
      <w:tr w14:paraId="26CF1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230" w:type="dxa"/>
            <w:vMerge w:val="continue"/>
            <w:vAlign w:val="center"/>
          </w:tcPr>
          <w:p w14:paraId="1E9653DF">
            <w:pPr>
              <w:numPr>
                <w:ilvl w:val="0"/>
                <w:numId w:val="11"/>
              </w:numPr>
              <w:rPr>
                <w:rFonts w:ascii="宋体" w:hAnsi="宋体" w:cs="宋体"/>
                <w:color w:val="auto"/>
                <w:szCs w:val="21"/>
                <w:highlight w:val="none"/>
              </w:rPr>
            </w:pPr>
          </w:p>
        </w:tc>
        <w:tc>
          <w:tcPr>
            <w:tcW w:w="1686" w:type="dxa"/>
            <w:gridSpan w:val="2"/>
            <w:vMerge w:val="continue"/>
            <w:vAlign w:val="center"/>
          </w:tcPr>
          <w:p w14:paraId="081C5E11">
            <w:pPr>
              <w:widowControl/>
              <w:jc w:val="center"/>
              <w:rPr>
                <w:rFonts w:ascii="宋体" w:hAnsi="宋体" w:cs="宋体"/>
                <w:color w:val="auto"/>
                <w:kern w:val="0"/>
                <w:szCs w:val="21"/>
                <w:highlight w:val="none"/>
              </w:rPr>
            </w:pPr>
          </w:p>
        </w:tc>
        <w:tc>
          <w:tcPr>
            <w:tcW w:w="10961" w:type="dxa"/>
            <w:vAlign w:val="center"/>
          </w:tcPr>
          <w:p w14:paraId="435173A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支持与移动护理系统做无缝接口，实现数据互联互通。</w:t>
            </w:r>
          </w:p>
        </w:tc>
      </w:tr>
      <w:tr w14:paraId="5D8BC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70D2018C">
            <w:pPr>
              <w:numPr>
                <w:ilvl w:val="0"/>
                <w:numId w:val="11"/>
              </w:numPr>
              <w:rPr>
                <w:rFonts w:ascii="宋体" w:hAnsi="宋体" w:cs="宋体"/>
                <w:color w:val="auto"/>
                <w:szCs w:val="21"/>
                <w:highlight w:val="none"/>
              </w:rPr>
            </w:pPr>
          </w:p>
        </w:tc>
        <w:tc>
          <w:tcPr>
            <w:tcW w:w="12647" w:type="dxa"/>
            <w:gridSpan w:val="3"/>
            <w:vAlign w:val="center"/>
          </w:tcPr>
          <w:p w14:paraId="439245C7">
            <w:pPr>
              <w:numPr>
                <w:ilvl w:val="1"/>
                <w:numId w:val="11"/>
              </w:numPr>
              <w:ind w:left="0" w:firstLine="0"/>
              <w:rPr>
                <w:color w:val="auto"/>
                <w:highlight w:val="none"/>
                <w:shd w:val="clear" w:color="auto" w:fill="92D050"/>
              </w:rPr>
            </w:pPr>
            <w:r>
              <w:rPr>
                <w:rFonts w:hint="eastAsia" w:ascii="宋体" w:hAnsi="宋体" w:cs="宋体"/>
                <w:color w:val="auto"/>
                <w:kern w:val="0"/>
                <w:szCs w:val="21"/>
                <w:highlight w:val="none"/>
                <w:shd w:val="clear" w:color="auto"/>
              </w:rPr>
              <w:t>用血管理</w:t>
            </w:r>
          </w:p>
        </w:tc>
      </w:tr>
      <w:tr w14:paraId="548C4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30" w:type="dxa"/>
            <w:vMerge w:val="continue"/>
            <w:vAlign w:val="center"/>
          </w:tcPr>
          <w:p w14:paraId="579573FC">
            <w:pPr>
              <w:numPr>
                <w:ilvl w:val="0"/>
                <w:numId w:val="11"/>
              </w:numPr>
              <w:rPr>
                <w:rFonts w:ascii="宋体" w:hAnsi="宋体" w:cs="宋体"/>
                <w:color w:val="auto"/>
                <w:szCs w:val="21"/>
                <w:highlight w:val="none"/>
              </w:rPr>
            </w:pPr>
          </w:p>
        </w:tc>
        <w:tc>
          <w:tcPr>
            <w:tcW w:w="1686" w:type="dxa"/>
            <w:gridSpan w:val="2"/>
            <w:vMerge w:val="restart"/>
            <w:vAlign w:val="center"/>
          </w:tcPr>
          <w:p w14:paraId="1B8F6C55">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用血管理</w:t>
            </w:r>
          </w:p>
        </w:tc>
        <w:tc>
          <w:tcPr>
            <w:tcW w:w="10961" w:type="dxa"/>
            <w:vAlign w:val="center"/>
          </w:tcPr>
          <w:p w14:paraId="683BADE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支持与血库管理系统做无缝接口，将用血管理业务接入到病区护士站系统；</w:t>
            </w:r>
          </w:p>
        </w:tc>
      </w:tr>
      <w:tr w14:paraId="606AD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2599BF07">
            <w:pPr>
              <w:numPr>
                <w:ilvl w:val="0"/>
                <w:numId w:val="11"/>
              </w:numPr>
              <w:rPr>
                <w:rFonts w:ascii="宋体" w:hAnsi="宋体" w:cs="宋体"/>
                <w:color w:val="auto"/>
                <w:szCs w:val="21"/>
                <w:highlight w:val="none"/>
              </w:rPr>
            </w:pPr>
          </w:p>
        </w:tc>
        <w:tc>
          <w:tcPr>
            <w:tcW w:w="1686" w:type="dxa"/>
            <w:gridSpan w:val="2"/>
            <w:vMerge w:val="continue"/>
            <w:vAlign w:val="center"/>
          </w:tcPr>
          <w:p w14:paraId="164245A3">
            <w:pPr>
              <w:widowControl/>
              <w:jc w:val="center"/>
              <w:rPr>
                <w:rFonts w:ascii="宋体" w:hAnsi="宋体" w:cs="宋体"/>
                <w:color w:val="auto"/>
                <w:kern w:val="0"/>
                <w:szCs w:val="21"/>
                <w:highlight w:val="none"/>
              </w:rPr>
            </w:pPr>
          </w:p>
        </w:tc>
        <w:tc>
          <w:tcPr>
            <w:tcW w:w="10961" w:type="dxa"/>
            <w:vAlign w:val="center"/>
          </w:tcPr>
          <w:p w14:paraId="07764CB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提供用血管理“一体化”操作界面，在一体化界面通过Tab页面切换到输血标本条码生成、打印，输血标本采集确认，标本送出及接收，血液领取及接收，病区输血等页面，改变以往多窗口操作的离散情况；</w:t>
            </w:r>
          </w:p>
        </w:tc>
      </w:tr>
      <w:tr w14:paraId="61CB2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30" w:type="dxa"/>
            <w:vMerge w:val="continue"/>
            <w:vAlign w:val="center"/>
          </w:tcPr>
          <w:p w14:paraId="7DAB905F">
            <w:pPr>
              <w:numPr>
                <w:ilvl w:val="0"/>
                <w:numId w:val="11"/>
              </w:numPr>
              <w:rPr>
                <w:rFonts w:ascii="宋体" w:hAnsi="宋体" w:cs="宋体"/>
                <w:color w:val="auto"/>
                <w:szCs w:val="21"/>
                <w:highlight w:val="none"/>
              </w:rPr>
            </w:pPr>
          </w:p>
        </w:tc>
        <w:tc>
          <w:tcPr>
            <w:tcW w:w="1686" w:type="dxa"/>
            <w:gridSpan w:val="2"/>
            <w:vMerge w:val="continue"/>
            <w:vAlign w:val="center"/>
          </w:tcPr>
          <w:p w14:paraId="39CE9542">
            <w:pPr>
              <w:widowControl/>
              <w:jc w:val="center"/>
              <w:rPr>
                <w:rFonts w:ascii="宋体" w:hAnsi="宋体" w:cs="宋体"/>
                <w:color w:val="auto"/>
                <w:kern w:val="0"/>
                <w:szCs w:val="21"/>
                <w:highlight w:val="none"/>
              </w:rPr>
            </w:pPr>
          </w:p>
        </w:tc>
        <w:tc>
          <w:tcPr>
            <w:tcW w:w="10961" w:type="dxa"/>
            <w:vAlign w:val="center"/>
          </w:tcPr>
          <w:p w14:paraId="4540CB7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支持与移动护理系统做无缝接口，实现数据互联互通。</w:t>
            </w:r>
          </w:p>
        </w:tc>
      </w:tr>
      <w:tr w14:paraId="70774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4A3C142E">
            <w:pPr>
              <w:numPr>
                <w:ilvl w:val="0"/>
                <w:numId w:val="11"/>
              </w:numPr>
              <w:rPr>
                <w:rFonts w:ascii="宋体" w:hAnsi="宋体" w:cs="宋体"/>
                <w:color w:val="auto"/>
                <w:szCs w:val="21"/>
                <w:highlight w:val="none"/>
              </w:rPr>
            </w:pPr>
          </w:p>
        </w:tc>
        <w:tc>
          <w:tcPr>
            <w:tcW w:w="12647" w:type="dxa"/>
            <w:gridSpan w:val="3"/>
            <w:vAlign w:val="center"/>
          </w:tcPr>
          <w:p w14:paraId="7DDF095D">
            <w:pPr>
              <w:numPr>
                <w:ilvl w:val="1"/>
                <w:numId w:val="11"/>
              </w:numPr>
              <w:ind w:left="0" w:firstLine="0"/>
              <w:rPr>
                <w:color w:val="auto"/>
                <w:highlight w:val="none"/>
                <w:shd w:val="clear" w:color="auto" w:fill="92D050"/>
              </w:rPr>
            </w:pPr>
            <w:r>
              <w:rPr>
                <w:rFonts w:hint="eastAsia" w:ascii="宋体" w:hAnsi="宋体" w:cs="宋体"/>
                <w:color w:val="auto"/>
                <w:kern w:val="0"/>
                <w:szCs w:val="21"/>
                <w:highlight w:val="none"/>
                <w:shd w:val="clear" w:color="auto"/>
              </w:rPr>
              <w:t>病人信息管理</w:t>
            </w:r>
          </w:p>
        </w:tc>
      </w:tr>
      <w:tr w14:paraId="61736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230" w:type="dxa"/>
            <w:vMerge w:val="continue"/>
            <w:vAlign w:val="center"/>
          </w:tcPr>
          <w:p w14:paraId="2A0A4AB5">
            <w:pPr>
              <w:numPr>
                <w:ilvl w:val="0"/>
                <w:numId w:val="11"/>
              </w:numPr>
              <w:rPr>
                <w:rFonts w:ascii="宋体" w:hAnsi="宋体" w:cs="宋体"/>
                <w:color w:val="auto"/>
                <w:szCs w:val="21"/>
                <w:highlight w:val="none"/>
              </w:rPr>
            </w:pPr>
          </w:p>
        </w:tc>
        <w:tc>
          <w:tcPr>
            <w:tcW w:w="1686" w:type="dxa"/>
            <w:gridSpan w:val="2"/>
            <w:vMerge w:val="restart"/>
            <w:vAlign w:val="center"/>
          </w:tcPr>
          <w:p w14:paraId="67E0D2C0">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病人信息管理</w:t>
            </w:r>
          </w:p>
        </w:tc>
        <w:tc>
          <w:tcPr>
            <w:tcW w:w="10961" w:type="dxa"/>
            <w:vAlign w:val="center"/>
          </w:tcPr>
          <w:p w14:paraId="3701F72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提供病人基本信息(就诊信息、费用信息、临床信息、诊断信息)，过敏信息，住院信息管理；</w:t>
            </w:r>
          </w:p>
        </w:tc>
      </w:tr>
      <w:tr w14:paraId="7D9B6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230" w:type="dxa"/>
            <w:vMerge w:val="continue"/>
            <w:vAlign w:val="center"/>
          </w:tcPr>
          <w:p w14:paraId="223B4DA5">
            <w:pPr>
              <w:numPr>
                <w:ilvl w:val="0"/>
                <w:numId w:val="11"/>
              </w:numPr>
              <w:rPr>
                <w:rFonts w:ascii="宋体" w:hAnsi="宋体" w:cs="宋体"/>
                <w:color w:val="auto"/>
                <w:szCs w:val="21"/>
                <w:highlight w:val="none"/>
              </w:rPr>
            </w:pPr>
          </w:p>
        </w:tc>
        <w:tc>
          <w:tcPr>
            <w:tcW w:w="1686" w:type="dxa"/>
            <w:gridSpan w:val="2"/>
            <w:vMerge w:val="continue"/>
            <w:vAlign w:val="center"/>
          </w:tcPr>
          <w:p w14:paraId="581E7840">
            <w:pPr>
              <w:widowControl/>
              <w:jc w:val="center"/>
              <w:rPr>
                <w:rFonts w:ascii="宋体" w:hAnsi="宋体" w:cs="宋体"/>
                <w:color w:val="auto"/>
                <w:kern w:val="0"/>
                <w:szCs w:val="21"/>
                <w:highlight w:val="none"/>
              </w:rPr>
            </w:pPr>
          </w:p>
        </w:tc>
        <w:tc>
          <w:tcPr>
            <w:tcW w:w="10961" w:type="dxa"/>
            <w:vAlign w:val="center"/>
          </w:tcPr>
          <w:p w14:paraId="23F809C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支持护士手工录入病人信息，也支持从医生站或护理系统中自动获取病人信息。</w:t>
            </w:r>
          </w:p>
        </w:tc>
      </w:tr>
      <w:tr w14:paraId="5B894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4DEC63F3">
            <w:pPr>
              <w:numPr>
                <w:ilvl w:val="0"/>
                <w:numId w:val="11"/>
              </w:numPr>
              <w:rPr>
                <w:rFonts w:ascii="宋体" w:hAnsi="宋体" w:cs="宋体"/>
                <w:color w:val="auto"/>
                <w:szCs w:val="21"/>
                <w:highlight w:val="none"/>
              </w:rPr>
            </w:pPr>
          </w:p>
        </w:tc>
        <w:tc>
          <w:tcPr>
            <w:tcW w:w="12647" w:type="dxa"/>
            <w:gridSpan w:val="3"/>
            <w:vAlign w:val="center"/>
          </w:tcPr>
          <w:p w14:paraId="00C33307">
            <w:pPr>
              <w:numPr>
                <w:ilvl w:val="1"/>
                <w:numId w:val="11"/>
              </w:numPr>
              <w:ind w:left="0" w:firstLine="0"/>
              <w:rPr>
                <w:color w:val="auto"/>
                <w:highlight w:val="none"/>
                <w:shd w:val="clear" w:color="auto" w:fill="92D050"/>
              </w:rPr>
            </w:pPr>
            <w:r>
              <w:rPr>
                <w:rFonts w:hint="eastAsia" w:ascii="宋体" w:hAnsi="宋体" w:cs="宋体"/>
                <w:color w:val="auto"/>
                <w:kern w:val="0"/>
                <w:szCs w:val="21"/>
                <w:highlight w:val="none"/>
                <w:shd w:val="clear" w:color="auto"/>
              </w:rPr>
              <w:t>费用账卡</w:t>
            </w:r>
          </w:p>
        </w:tc>
      </w:tr>
      <w:tr w14:paraId="1AD8C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30" w:type="dxa"/>
            <w:vMerge w:val="continue"/>
            <w:vAlign w:val="center"/>
          </w:tcPr>
          <w:p w14:paraId="3D70713D">
            <w:pPr>
              <w:numPr>
                <w:ilvl w:val="0"/>
                <w:numId w:val="11"/>
              </w:numPr>
              <w:rPr>
                <w:rFonts w:ascii="宋体" w:hAnsi="宋体" w:cs="宋体"/>
                <w:color w:val="auto"/>
                <w:szCs w:val="21"/>
                <w:highlight w:val="none"/>
              </w:rPr>
            </w:pPr>
          </w:p>
        </w:tc>
        <w:tc>
          <w:tcPr>
            <w:tcW w:w="1686" w:type="dxa"/>
            <w:gridSpan w:val="2"/>
            <w:vMerge w:val="restart"/>
            <w:vAlign w:val="center"/>
          </w:tcPr>
          <w:p w14:paraId="1DB508C1">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费用账卡</w:t>
            </w:r>
          </w:p>
        </w:tc>
        <w:tc>
          <w:tcPr>
            <w:tcW w:w="10961" w:type="dxa"/>
            <w:vAlign w:val="center"/>
          </w:tcPr>
          <w:p w14:paraId="451D948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支持全、成人、婴儿多页账卡单独显示；支持病人帐卡中费用明细的打印功能；</w:t>
            </w:r>
          </w:p>
        </w:tc>
      </w:tr>
      <w:tr w14:paraId="76029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230" w:type="dxa"/>
            <w:vMerge w:val="continue"/>
            <w:vAlign w:val="center"/>
          </w:tcPr>
          <w:p w14:paraId="095D0C85">
            <w:pPr>
              <w:numPr>
                <w:ilvl w:val="0"/>
                <w:numId w:val="11"/>
              </w:numPr>
              <w:rPr>
                <w:rFonts w:ascii="宋体" w:hAnsi="宋体" w:cs="宋体"/>
                <w:color w:val="auto"/>
                <w:szCs w:val="21"/>
                <w:highlight w:val="none"/>
              </w:rPr>
            </w:pPr>
          </w:p>
        </w:tc>
        <w:tc>
          <w:tcPr>
            <w:tcW w:w="1686" w:type="dxa"/>
            <w:gridSpan w:val="2"/>
            <w:vMerge w:val="continue"/>
            <w:vAlign w:val="center"/>
          </w:tcPr>
          <w:p w14:paraId="51B60CA1">
            <w:pPr>
              <w:widowControl/>
              <w:jc w:val="center"/>
              <w:rPr>
                <w:rFonts w:ascii="宋体" w:hAnsi="宋体" w:cs="宋体"/>
                <w:color w:val="auto"/>
                <w:kern w:val="0"/>
                <w:szCs w:val="21"/>
                <w:highlight w:val="none"/>
              </w:rPr>
            </w:pPr>
          </w:p>
        </w:tc>
        <w:tc>
          <w:tcPr>
            <w:tcW w:w="10961" w:type="dxa"/>
            <w:vAlign w:val="center"/>
          </w:tcPr>
          <w:p w14:paraId="500F4CD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支持预览病人住院账户时可查看病人的换床记录；</w:t>
            </w:r>
          </w:p>
        </w:tc>
      </w:tr>
      <w:tr w14:paraId="31DE3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230" w:type="dxa"/>
            <w:vMerge w:val="continue"/>
            <w:vAlign w:val="center"/>
          </w:tcPr>
          <w:p w14:paraId="5C58D0B6">
            <w:pPr>
              <w:numPr>
                <w:ilvl w:val="0"/>
                <w:numId w:val="11"/>
              </w:numPr>
              <w:rPr>
                <w:rFonts w:ascii="宋体" w:hAnsi="宋体" w:cs="宋体"/>
                <w:color w:val="auto"/>
                <w:szCs w:val="21"/>
                <w:highlight w:val="none"/>
              </w:rPr>
            </w:pPr>
          </w:p>
        </w:tc>
        <w:tc>
          <w:tcPr>
            <w:tcW w:w="1686" w:type="dxa"/>
            <w:gridSpan w:val="2"/>
            <w:vMerge w:val="continue"/>
            <w:vAlign w:val="center"/>
          </w:tcPr>
          <w:p w14:paraId="564BC1A3">
            <w:pPr>
              <w:widowControl/>
              <w:jc w:val="center"/>
              <w:rPr>
                <w:rFonts w:ascii="宋体" w:hAnsi="宋体" w:cs="宋体"/>
                <w:color w:val="auto"/>
                <w:kern w:val="0"/>
                <w:szCs w:val="21"/>
                <w:highlight w:val="none"/>
              </w:rPr>
            </w:pPr>
          </w:p>
        </w:tc>
        <w:tc>
          <w:tcPr>
            <w:tcW w:w="10961" w:type="dxa"/>
            <w:vAlign w:val="center"/>
          </w:tcPr>
          <w:p w14:paraId="33507D2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支持预览病人住院账户时可查看病人的缴款记录；</w:t>
            </w:r>
          </w:p>
        </w:tc>
      </w:tr>
      <w:tr w14:paraId="35986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230" w:type="dxa"/>
            <w:vMerge w:val="continue"/>
            <w:vAlign w:val="center"/>
          </w:tcPr>
          <w:p w14:paraId="3468033D">
            <w:pPr>
              <w:numPr>
                <w:ilvl w:val="0"/>
                <w:numId w:val="11"/>
              </w:numPr>
              <w:rPr>
                <w:rFonts w:ascii="宋体" w:hAnsi="宋体" w:cs="宋体"/>
                <w:color w:val="auto"/>
                <w:szCs w:val="21"/>
                <w:highlight w:val="none"/>
              </w:rPr>
            </w:pPr>
          </w:p>
        </w:tc>
        <w:tc>
          <w:tcPr>
            <w:tcW w:w="1686" w:type="dxa"/>
            <w:gridSpan w:val="2"/>
            <w:vMerge w:val="continue"/>
            <w:vAlign w:val="center"/>
          </w:tcPr>
          <w:p w14:paraId="155113CE">
            <w:pPr>
              <w:widowControl/>
              <w:jc w:val="center"/>
              <w:rPr>
                <w:rFonts w:ascii="宋体" w:hAnsi="宋体" w:cs="宋体"/>
                <w:color w:val="auto"/>
                <w:kern w:val="0"/>
                <w:szCs w:val="21"/>
                <w:highlight w:val="none"/>
              </w:rPr>
            </w:pPr>
          </w:p>
        </w:tc>
        <w:tc>
          <w:tcPr>
            <w:tcW w:w="10961" w:type="dxa"/>
            <w:vAlign w:val="center"/>
          </w:tcPr>
          <w:p w14:paraId="627174B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支持预览病人住院账户时可查询打印病人当前的结算发票；</w:t>
            </w:r>
          </w:p>
        </w:tc>
      </w:tr>
      <w:tr w14:paraId="59821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3365A15B">
            <w:pPr>
              <w:numPr>
                <w:ilvl w:val="0"/>
                <w:numId w:val="11"/>
              </w:numPr>
              <w:rPr>
                <w:rFonts w:ascii="宋体" w:hAnsi="宋体" w:cs="宋体"/>
                <w:color w:val="auto"/>
                <w:szCs w:val="21"/>
                <w:highlight w:val="none"/>
              </w:rPr>
            </w:pPr>
          </w:p>
        </w:tc>
        <w:tc>
          <w:tcPr>
            <w:tcW w:w="1686" w:type="dxa"/>
            <w:gridSpan w:val="2"/>
            <w:vMerge w:val="continue"/>
            <w:vAlign w:val="center"/>
          </w:tcPr>
          <w:p w14:paraId="5CEBFDCB">
            <w:pPr>
              <w:widowControl/>
              <w:jc w:val="center"/>
              <w:rPr>
                <w:rFonts w:ascii="宋体" w:hAnsi="宋体" w:cs="宋体"/>
                <w:color w:val="auto"/>
                <w:kern w:val="0"/>
                <w:szCs w:val="21"/>
                <w:highlight w:val="none"/>
              </w:rPr>
            </w:pPr>
          </w:p>
        </w:tc>
        <w:tc>
          <w:tcPr>
            <w:tcW w:w="10961" w:type="dxa"/>
            <w:vAlign w:val="center"/>
          </w:tcPr>
          <w:p w14:paraId="6474378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支持预览病人住院账户时可查询打印病人的费用清单，支持明细格式、汇总格式、医嘱格式和其他格式4种查询方式；</w:t>
            </w:r>
          </w:p>
        </w:tc>
      </w:tr>
      <w:tr w14:paraId="16A13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230" w:type="dxa"/>
            <w:vMerge w:val="continue"/>
            <w:vAlign w:val="center"/>
          </w:tcPr>
          <w:p w14:paraId="6E1717A2">
            <w:pPr>
              <w:numPr>
                <w:ilvl w:val="0"/>
                <w:numId w:val="11"/>
              </w:numPr>
              <w:rPr>
                <w:rFonts w:ascii="宋体" w:hAnsi="宋体" w:cs="宋体"/>
                <w:color w:val="auto"/>
                <w:szCs w:val="21"/>
                <w:highlight w:val="none"/>
              </w:rPr>
            </w:pPr>
          </w:p>
        </w:tc>
        <w:tc>
          <w:tcPr>
            <w:tcW w:w="1686" w:type="dxa"/>
            <w:gridSpan w:val="2"/>
            <w:vMerge w:val="continue"/>
            <w:vAlign w:val="center"/>
          </w:tcPr>
          <w:p w14:paraId="06F29CAA">
            <w:pPr>
              <w:widowControl/>
              <w:jc w:val="center"/>
              <w:rPr>
                <w:rFonts w:ascii="宋体" w:hAnsi="宋体" w:cs="宋体"/>
                <w:color w:val="auto"/>
                <w:kern w:val="0"/>
                <w:szCs w:val="21"/>
                <w:highlight w:val="none"/>
              </w:rPr>
            </w:pPr>
          </w:p>
        </w:tc>
        <w:tc>
          <w:tcPr>
            <w:tcW w:w="10961" w:type="dxa"/>
            <w:vAlign w:val="center"/>
          </w:tcPr>
          <w:p w14:paraId="2470CE2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支持预览病人住院账户时，若是医保病人，可查看病人的大保清单。</w:t>
            </w:r>
          </w:p>
        </w:tc>
      </w:tr>
      <w:tr w14:paraId="58604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41DF312A">
            <w:pPr>
              <w:numPr>
                <w:ilvl w:val="0"/>
                <w:numId w:val="11"/>
              </w:numPr>
              <w:rPr>
                <w:rFonts w:ascii="宋体" w:hAnsi="宋体" w:cs="宋体"/>
                <w:color w:val="auto"/>
                <w:szCs w:val="21"/>
                <w:highlight w:val="none"/>
              </w:rPr>
            </w:pPr>
          </w:p>
        </w:tc>
        <w:tc>
          <w:tcPr>
            <w:tcW w:w="12647" w:type="dxa"/>
            <w:gridSpan w:val="3"/>
            <w:vAlign w:val="center"/>
          </w:tcPr>
          <w:p w14:paraId="2A6DFBC4">
            <w:pPr>
              <w:numPr>
                <w:ilvl w:val="1"/>
                <w:numId w:val="11"/>
              </w:numPr>
              <w:ind w:left="0" w:firstLine="0"/>
              <w:rPr>
                <w:color w:val="auto"/>
                <w:highlight w:val="none"/>
                <w:shd w:val="clear" w:color="auto" w:fill="92D050"/>
              </w:rPr>
            </w:pPr>
            <w:r>
              <w:rPr>
                <w:rFonts w:hint="eastAsia" w:ascii="宋体" w:hAnsi="宋体" w:cs="宋体"/>
                <w:color w:val="auto"/>
                <w:kern w:val="0"/>
                <w:szCs w:val="21"/>
                <w:highlight w:val="none"/>
                <w:shd w:val="clear" w:color="auto"/>
              </w:rPr>
              <w:t>病区查询</w:t>
            </w:r>
          </w:p>
        </w:tc>
      </w:tr>
      <w:tr w14:paraId="44753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01067367">
            <w:pPr>
              <w:numPr>
                <w:ilvl w:val="0"/>
                <w:numId w:val="11"/>
              </w:numPr>
              <w:rPr>
                <w:rFonts w:ascii="宋体" w:hAnsi="宋体" w:cs="宋体"/>
                <w:color w:val="auto"/>
                <w:szCs w:val="21"/>
                <w:highlight w:val="none"/>
              </w:rPr>
            </w:pPr>
          </w:p>
        </w:tc>
        <w:tc>
          <w:tcPr>
            <w:tcW w:w="1686" w:type="dxa"/>
            <w:gridSpan w:val="2"/>
            <w:vMerge w:val="restart"/>
            <w:vAlign w:val="center"/>
          </w:tcPr>
          <w:p w14:paraId="6F85E83E">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病区查询</w:t>
            </w:r>
          </w:p>
        </w:tc>
        <w:tc>
          <w:tcPr>
            <w:tcW w:w="10961" w:type="dxa"/>
            <w:vAlign w:val="center"/>
          </w:tcPr>
          <w:p w14:paraId="7F2B8AB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支持医嘱单查询，支持修改执行时间，修订数据；</w:t>
            </w:r>
          </w:p>
        </w:tc>
      </w:tr>
      <w:tr w14:paraId="4A2F4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Merge w:val="continue"/>
            <w:vAlign w:val="center"/>
          </w:tcPr>
          <w:p w14:paraId="5F707CC5">
            <w:pPr>
              <w:numPr>
                <w:ilvl w:val="0"/>
                <w:numId w:val="11"/>
              </w:numPr>
              <w:rPr>
                <w:rFonts w:ascii="宋体" w:hAnsi="宋体" w:cs="宋体"/>
                <w:color w:val="auto"/>
                <w:szCs w:val="21"/>
                <w:highlight w:val="none"/>
              </w:rPr>
            </w:pPr>
          </w:p>
        </w:tc>
        <w:tc>
          <w:tcPr>
            <w:tcW w:w="1686" w:type="dxa"/>
            <w:gridSpan w:val="2"/>
            <w:vMerge w:val="continue"/>
            <w:vAlign w:val="center"/>
          </w:tcPr>
          <w:p w14:paraId="796F7691">
            <w:pPr>
              <w:widowControl/>
              <w:jc w:val="center"/>
              <w:rPr>
                <w:rFonts w:ascii="宋体" w:hAnsi="宋体" w:cs="宋体"/>
                <w:color w:val="auto"/>
                <w:kern w:val="0"/>
                <w:szCs w:val="21"/>
                <w:highlight w:val="none"/>
              </w:rPr>
            </w:pPr>
          </w:p>
        </w:tc>
        <w:tc>
          <w:tcPr>
            <w:tcW w:w="10961" w:type="dxa"/>
            <w:vAlign w:val="center"/>
          </w:tcPr>
          <w:p w14:paraId="4424932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支持医嘱查询、病历查询、已发送药品查询、发药退药查询、冲抵药品查询、病区工作日志查询、病区退费查询、病区收入核算、病区历史病人查询等等。</w:t>
            </w:r>
          </w:p>
        </w:tc>
      </w:tr>
    </w:tbl>
    <w:p w14:paraId="136922B8">
      <w:pPr>
        <w:rPr>
          <w:color w:val="auto"/>
          <w:highlight w:val="none"/>
        </w:rPr>
      </w:pPr>
    </w:p>
    <w:p w14:paraId="43659A7A">
      <w:pPr>
        <w:rPr>
          <w:color w:val="auto"/>
          <w:highlight w:val="none"/>
        </w:rPr>
      </w:pPr>
    </w:p>
    <w:p w14:paraId="2BE4058D">
      <w:pPr>
        <w:rPr>
          <w:color w:val="auto"/>
          <w:highlight w:val="none"/>
        </w:rPr>
      </w:pPr>
    </w:p>
    <w:p w14:paraId="65B5B3C8">
      <w:pPr>
        <w:pStyle w:val="4"/>
        <w:numPr>
          <w:ilvl w:val="2"/>
          <w:numId w:val="9"/>
        </w:numPr>
        <w:spacing w:before="0" w:after="0" w:line="360" w:lineRule="auto"/>
        <w:ind w:left="567" w:hanging="567"/>
        <w:rPr>
          <w:color w:val="auto"/>
          <w:sz w:val="24"/>
          <w:highlight w:val="none"/>
        </w:rPr>
      </w:pPr>
      <w:r>
        <w:rPr>
          <w:rFonts w:hint="eastAsia" w:eastAsia="宋体"/>
          <w:color w:val="auto"/>
          <w:kern w:val="2"/>
          <w:sz w:val="24"/>
          <w:szCs w:val="24"/>
          <w:highlight w:val="none"/>
        </w:rPr>
        <w:t>药库系统建设需求</w:t>
      </w:r>
    </w:p>
    <w:tbl>
      <w:tblPr>
        <w:tblStyle w:val="43"/>
        <w:tblW w:w="138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9"/>
        <w:gridCol w:w="1367"/>
        <w:gridCol w:w="15"/>
        <w:gridCol w:w="57"/>
        <w:gridCol w:w="11369"/>
      </w:tblGrid>
      <w:tr w14:paraId="3F448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69" w:type="dxa"/>
            <w:vAlign w:val="center"/>
          </w:tcPr>
          <w:p w14:paraId="74A2FD43">
            <w:pPr>
              <w:jc w:val="center"/>
              <w:rPr>
                <w:rFonts w:ascii="宋体" w:hAnsi="宋体" w:cs="宋体"/>
                <w:color w:val="auto"/>
                <w:szCs w:val="21"/>
                <w:highlight w:val="none"/>
              </w:rPr>
            </w:pPr>
            <w:r>
              <w:rPr>
                <w:rFonts w:hint="eastAsia" w:ascii="宋体" w:hAnsi="宋体" w:cs="宋体"/>
                <w:color w:val="auto"/>
                <w:kern w:val="0"/>
                <w:szCs w:val="21"/>
                <w:highlight w:val="none"/>
              </w:rPr>
              <w:t>需求名称</w:t>
            </w:r>
          </w:p>
        </w:tc>
        <w:tc>
          <w:tcPr>
            <w:tcW w:w="1382" w:type="dxa"/>
            <w:gridSpan w:val="2"/>
            <w:vAlign w:val="center"/>
          </w:tcPr>
          <w:p w14:paraId="70EE1B64">
            <w:pPr>
              <w:jc w:val="center"/>
              <w:rPr>
                <w:rFonts w:ascii="宋体" w:hAnsi="宋体" w:cs="宋体"/>
                <w:color w:val="auto"/>
                <w:sz w:val="22"/>
                <w:szCs w:val="22"/>
                <w:highlight w:val="none"/>
              </w:rPr>
            </w:pPr>
            <w:r>
              <w:rPr>
                <w:rFonts w:hint="eastAsia" w:ascii="宋体" w:hAnsi="宋体" w:cs="宋体"/>
                <w:color w:val="auto"/>
                <w:kern w:val="0"/>
                <w:szCs w:val="21"/>
                <w:highlight w:val="none"/>
              </w:rPr>
              <w:t>序号</w:t>
            </w:r>
          </w:p>
        </w:tc>
        <w:tc>
          <w:tcPr>
            <w:tcW w:w="11426" w:type="dxa"/>
            <w:gridSpan w:val="2"/>
            <w:vAlign w:val="center"/>
          </w:tcPr>
          <w:p w14:paraId="353835B6">
            <w:pPr>
              <w:jc w:val="center"/>
              <w:rPr>
                <w:rFonts w:ascii="宋体" w:hAnsi="宋体" w:cs="宋体"/>
                <w:color w:val="auto"/>
                <w:sz w:val="22"/>
                <w:szCs w:val="22"/>
                <w:highlight w:val="none"/>
              </w:rPr>
            </w:pPr>
            <w:r>
              <w:rPr>
                <w:rFonts w:hint="eastAsia" w:ascii="宋体" w:hAnsi="宋体" w:cs="宋体"/>
                <w:color w:val="auto"/>
                <w:kern w:val="0"/>
                <w:szCs w:val="21"/>
                <w:highlight w:val="none"/>
              </w:rPr>
              <w:t>需求描述</w:t>
            </w:r>
          </w:p>
        </w:tc>
      </w:tr>
      <w:tr w14:paraId="75DA5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877" w:type="dxa"/>
            <w:gridSpan w:val="5"/>
            <w:vAlign w:val="center"/>
          </w:tcPr>
          <w:p w14:paraId="57B8D110">
            <w:pPr>
              <w:rPr>
                <w:rFonts w:ascii="宋体" w:hAnsi="宋体" w:cs="宋体"/>
                <w:color w:val="auto"/>
                <w:szCs w:val="21"/>
                <w:highlight w:val="none"/>
              </w:rPr>
            </w:pPr>
            <w:r>
              <w:rPr>
                <w:rFonts w:hint="eastAsia" w:ascii="宋体" w:hAnsi="宋体" w:cs="宋体"/>
                <w:color w:val="auto"/>
                <w:szCs w:val="21"/>
                <w:highlight w:val="none"/>
              </w:rPr>
              <w:t>药库系统需满足以下日常业务工作：药品采购、入库、财务验收、付款处理、出库、调价、盘点、月结、药品属性维护、用药规则维护、公告编辑推送、药品使用限制维护，相应的信息系统需求包括但不限于以下内容。</w:t>
            </w:r>
          </w:p>
        </w:tc>
      </w:tr>
      <w:tr w14:paraId="2111E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69" w:type="dxa"/>
            <w:vMerge w:val="restart"/>
            <w:vAlign w:val="center"/>
          </w:tcPr>
          <w:p w14:paraId="0C2F91B8">
            <w:pPr>
              <w:rPr>
                <w:rFonts w:ascii="宋体" w:hAnsi="宋体" w:cs="宋体"/>
                <w:color w:val="auto"/>
                <w:szCs w:val="21"/>
                <w:highlight w:val="none"/>
              </w:rPr>
            </w:pPr>
            <w:r>
              <w:rPr>
                <w:rFonts w:hint="eastAsia" w:ascii="宋体" w:hAnsi="宋体" w:cs="宋体"/>
                <w:color w:val="auto"/>
                <w:szCs w:val="21"/>
                <w:highlight w:val="none"/>
              </w:rPr>
              <w:t>5 药库</w:t>
            </w:r>
          </w:p>
        </w:tc>
        <w:tc>
          <w:tcPr>
            <w:tcW w:w="12808" w:type="dxa"/>
            <w:gridSpan w:val="4"/>
            <w:vAlign w:val="center"/>
          </w:tcPr>
          <w:p w14:paraId="5B6CA31D">
            <w:pPr>
              <w:rPr>
                <w:rFonts w:ascii="宋体" w:hAnsi="宋体" w:cs="宋体"/>
                <w:color w:val="auto"/>
                <w:kern w:val="0"/>
                <w:szCs w:val="21"/>
                <w:highlight w:val="none"/>
              </w:rPr>
            </w:pPr>
            <w:r>
              <w:rPr>
                <w:rFonts w:hint="eastAsia" w:ascii="宋体" w:hAnsi="宋体" w:cs="宋体"/>
                <w:color w:val="auto"/>
                <w:sz w:val="22"/>
                <w:szCs w:val="22"/>
                <w:highlight w:val="none"/>
              </w:rPr>
              <w:t>5.1药品采购</w:t>
            </w:r>
          </w:p>
        </w:tc>
      </w:tr>
      <w:tr w14:paraId="62AA6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4" w:hRule="atLeast"/>
          <w:jc w:val="center"/>
        </w:trPr>
        <w:tc>
          <w:tcPr>
            <w:tcW w:w="1069" w:type="dxa"/>
            <w:vMerge w:val="continue"/>
            <w:vAlign w:val="center"/>
          </w:tcPr>
          <w:p w14:paraId="7AAC91AC">
            <w:pPr>
              <w:numPr>
                <w:ilvl w:val="0"/>
                <w:numId w:val="11"/>
              </w:numPr>
              <w:rPr>
                <w:rFonts w:ascii="宋体" w:hAnsi="宋体" w:cs="宋体"/>
                <w:color w:val="auto"/>
                <w:szCs w:val="21"/>
                <w:highlight w:val="none"/>
              </w:rPr>
            </w:pPr>
          </w:p>
        </w:tc>
        <w:tc>
          <w:tcPr>
            <w:tcW w:w="1439" w:type="dxa"/>
            <w:gridSpan w:val="3"/>
            <w:vAlign w:val="center"/>
          </w:tcPr>
          <w:p w14:paraId="195508CF">
            <w:pPr>
              <w:numPr>
                <w:ilvl w:val="2"/>
                <w:numId w:val="0"/>
              </w:numPr>
              <w:rPr>
                <w:rFonts w:ascii="宋体" w:hAnsi="宋体" w:cs="宋体"/>
                <w:color w:val="auto"/>
                <w:kern w:val="0"/>
                <w:szCs w:val="21"/>
                <w:highlight w:val="none"/>
              </w:rPr>
            </w:pPr>
            <w:r>
              <w:rPr>
                <w:rFonts w:hint="eastAsia" w:ascii="宋体" w:hAnsi="宋体" w:cs="宋体"/>
                <w:color w:val="auto"/>
                <w:kern w:val="0"/>
                <w:szCs w:val="21"/>
                <w:highlight w:val="none"/>
              </w:rPr>
              <w:t>5.1.1</w:t>
            </w:r>
            <w:r>
              <w:rPr>
                <w:rFonts w:hint="eastAsia" w:ascii="宋体" w:hAnsi="宋体" w:cs="宋体"/>
                <w:color w:val="auto"/>
                <w:sz w:val="22"/>
                <w:szCs w:val="22"/>
                <w:highlight w:val="none"/>
              </w:rPr>
              <w:t>药品采购</w:t>
            </w:r>
          </w:p>
        </w:tc>
        <w:tc>
          <w:tcPr>
            <w:tcW w:w="11369" w:type="dxa"/>
            <w:vAlign w:val="bottom"/>
          </w:tcPr>
          <w:p w14:paraId="68460CB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提供药品采购闭环管理流程：从采购计划编制、审批到采购订单生成、执行再到采购入库、财务验收、付款处理的药品采购全过程管理。</w:t>
            </w:r>
          </w:p>
          <w:p w14:paraId="7164A69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提供手动或智能采购规则自动生成采购订单功能；智能规则包括且不限于参考药品当前库存数量、高低储标准、上月入出库情况、药房发药数量编制药品采购计划功能；</w:t>
            </w:r>
          </w:p>
          <w:p w14:paraId="7C4F85B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提供按药品类别、药品库位、药品ABC类条件筛选需要编制采购计划的药品。</w:t>
            </w:r>
          </w:p>
          <w:p w14:paraId="082BDA2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支持按照国家相关规定，可以与集采、统采等平台对接，提供采购订单在线上传到供应链平台功能。</w:t>
            </w:r>
          </w:p>
          <w:p w14:paraId="758EC54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支持定向出库功能，采购入库后，直接将药品出库给指定库存，无需单独进行出库操作。</w:t>
            </w:r>
          </w:p>
          <w:p w14:paraId="2801A90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维护集采药品属性，维护集采药品执行周期、任务量，支持根据全院入库数量计算集采药品采购执行进度（采购执行进度=入库数量/任务量*100%），集采药品使用执行进度（使用执行进度=全院使用量/任务量*100%）。</w:t>
            </w:r>
          </w:p>
          <w:p w14:paraId="0A548F8B">
            <w:pPr>
              <w:numPr>
                <w:ilvl w:val="0"/>
                <w:numId w:val="14"/>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集采药品可根据任务量生成月度采购计划（如采购周期12个月，集采药品月度采购计划=任务量/12），当月首次生成采购订单的需求数量若小于集采月度采购计划数量，则按集采月度采购计划数量生成采购订单；若当月首次生成采购订单的需求数量大于集采月度采购计划数量，则按需求数量生成采购订单。</w:t>
            </w:r>
            <w:r>
              <w:rPr>
                <w:rFonts w:hint="eastAsia"/>
                <w:color w:val="auto"/>
                <w:highlight w:val="none"/>
              </w:rPr>
              <w:t>（再沟通确定是否 可以定制开发）</w:t>
            </w:r>
          </w:p>
        </w:tc>
      </w:tr>
      <w:tr w14:paraId="1EFA6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69" w:type="dxa"/>
            <w:vMerge w:val="continue"/>
            <w:vAlign w:val="center"/>
          </w:tcPr>
          <w:p w14:paraId="17B61E3C">
            <w:pPr>
              <w:numPr>
                <w:ilvl w:val="0"/>
                <w:numId w:val="11"/>
              </w:numPr>
              <w:rPr>
                <w:rFonts w:ascii="宋体" w:hAnsi="宋体" w:cs="宋体"/>
                <w:color w:val="auto"/>
                <w:szCs w:val="21"/>
                <w:highlight w:val="none"/>
              </w:rPr>
            </w:pPr>
          </w:p>
        </w:tc>
        <w:tc>
          <w:tcPr>
            <w:tcW w:w="12808" w:type="dxa"/>
            <w:gridSpan w:val="4"/>
            <w:vAlign w:val="center"/>
          </w:tcPr>
          <w:p w14:paraId="3294B816">
            <w:pPr>
              <w:numPr>
                <w:ilvl w:val="1"/>
                <w:numId w:val="0"/>
              </w:numPr>
              <w:rPr>
                <w:rFonts w:ascii="宋体" w:hAnsi="宋体" w:cs="宋体"/>
                <w:color w:val="auto"/>
                <w:kern w:val="0"/>
                <w:szCs w:val="21"/>
                <w:highlight w:val="none"/>
              </w:rPr>
            </w:pPr>
            <w:r>
              <w:rPr>
                <w:rFonts w:hint="eastAsia" w:ascii="宋体" w:hAnsi="宋体" w:cs="宋体"/>
                <w:color w:val="auto"/>
                <w:kern w:val="0"/>
                <w:szCs w:val="21"/>
                <w:highlight w:val="none"/>
              </w:rPr>
              <w:t>5.2</w:t>
            </w:r>
            <w:r>
              <w:rPr>
                <w:rFonts w:hint="eastAsia" w:ascii="宋体" w:hAnsi="宋体" w:cs="宋体"/>
                <w:color w:val="auto"/>
                <w:sz w:val="22"/>
                <w:szCs w:val="22"/>
                <w:highlight w:val="none"/>
              </w:rPr>
              <w:t>药品入库</w:t>
            </w:r>
          </w:p>
        </w:tc>
      </w:tr>
      <w:tr w14:paraId="76BFC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5" w:hRule="atLeast"/>
          <w:jc w:val="center"/>
        </w:trPr>
        <w:tc>
          <w:tcPr>
            <w:tcW w:w="1069" w:type="dxa"/>
            <w:vMerge w:val="continue"/>
            <w:vAlign w:val="center"/>
          </w:tcPr>
          <w:p w14:paraId="0FAC7512">
            <w:pPr>
              <w:numPr>
                <w:ilvl w:val="0"/>
                <w:numId w:val="11"/>
              </w:numPr>
              <w:rPr>
                <w:rFonts w:ascii="宋体" w:hAnsi="宋体" w:cs="宋体"/>
                <w:color w:val="auto"/>
                <w:szCs w:val="21"/>
                <w:highlight w:val="none"/>
              </w:rPr>
            </w:pPr>
          </w:p>
        </w:tc>
        <w:tc>
          <w:tcPr>
            <w:tcW w:w="1439" w:type="dxa"/>
            <w:gridSpan w:val="3"/>
            <w:vAlign w:val="center"/>
          </w:tcPr>
          <w:p w14:paraId="6DF2A0C6">
            <w:pPr>
              <w:numPr>
                <w:ilvl w:val="2"/>
                <w:numId w:val="0"/>
              </w:numPr>
              <w:rPr>
                <w:rFonts w:ascii="宋体" w:hAnsi="宋体" w:cs="宋体"/>
                <w:color w:val="auto"/>
                <w:kern w:val="0"/>
                <w:szCs w:val="21"/>
                <w:highlight w:val="none"/>
              </w:rPr>
            </w:pPr>
            <w:r>
              <w:rPr>
                <w:rFonts w:hint="eastAsia" w:ascii="宋体" w:hAnsi="宋体" w:cs="宋体"/>
                <w:color w:val="auto"/>
                <w:kern w:val="0"/>
                <w:szCs w:val="21"/>
                <w:highlight w:val="none"/>
              </w:rPr>
              <w:t>5.2.1</w:t>
            </w:r>
            <w:r>
              <w:rPr>
                <w:rFonts w:hint="eastAsia" w:ascii="宋体" w:hAnsi="宋体" w:cs="宋体"/>
                <w:color w:val="auto"/>
                <w:sz w:val="22"/>
                <w:szCs w:val="22"/>
                <w:highlight w:val="none"/>
              </w:rPr>
              <w:t>药品入库</w:t>
            </w:r>
          </w:p>
        </w:tc>
        <w:tc>
          <w:tcPr>
            <w:tcW w:w="11369" w:type="dxa"/>
            <w:vAlign w:val="bottom"/>
          </w:tcPr>
          <w:p w14:paraId="253A32B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基于货到票到（正常入库）、货到票未到（挂账入库）、票到货未到（不能入库，仅支持单据编制）三种购入方式对已采购的药品进行入库管理，并支持手工新增采购入库单、引入采购计划单自动生成采购入库单、引入采购订单自动生成采购入库单、引入智能链收货平台订单（此处智能链指本需求书27.1.18部分）按发票号自动生成采购入库单（包括中、西药库）等功能；</w:t>
            </w:r>
          </w:p>
          <w:p w14:paraId="24B51BF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支持如赠送、自制、盘盈等除采购入库外的其它入库业务；</w:t>
            </w:r>
          </w:p>
          <w:p w14:paraId="3105C1D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支持根据库房盘盈数据自动生成盘盈入库单；</w:t>
            </w:r>
          </w:p>
          <w:p w14:paraId="506D5D5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药品入库下的其它入库，支持同时按照多种单位进行入库操作；</w:t>
            </w:r>
          </w:p>
          <w:p w14:paraId="034777C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支持同厂家药品按批号、按效期分批次入库管理业务，并提供采购入库冲红功能，对于已经财务验收的入库单进行退回，以满足业务流程的双向管理；</w:t>
            </w:r>
          </w:p>
          <w:p w14:paraId="760FDA2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支持PDA端进行上述入库操作，扫描条码加载单据数据，通过扫描药品码进行入库实物核验，在PDA端完成采购入库操作。</w:t>
            </w:r>
          </w:p>
          <w:p w14:paraId="3E89A4A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当入库方式是“智能链收货平台订单入库”时，支持从智能链平台同时获取入库药品的追溯码，若首次入库时追溯码未获取完全，后续需定时从智能链发送请求获取追溯码。（现有功能，但未开发相关界面，无法提供截图；追溯码的需求仅针对西药库，下同，药学部提供智能链接口文档）</w:t>
            </w:r>
          </w:p>
          <w:p w14:paraId="529D93A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入库界面可显示追溯码获取状态，包括药品通用名、药品数量、追溯码数量，若追溯码数量小于药品数量，该条目显示为红色（定制化开发）。</w:t>
            </w:r>
          </w:p>
          <w:p w14:paraId="10DCD4D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入库阶段获取药品追溯码后系统自动执行上传医保平台（现有功能，但未开发相关界面，无法提供截图）</w:t>
            </w:r>
          </w:p>
          <w:p w14:paraId="3E4E41F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入库信息新增一列“近1年效期药品”，近1年效期药品是指药品有效期减去入库日期小于365天，若无近效期药品，显示为“无”，若有近效期药品，需要显示药品名称，且为红色字体（定制化开发），进行确认入库时，再次弹框“含有近效期药品，是否入库”，选择是，执行入库，选择否，不入库。</w:t>
            </w:r>
          </w:p>
          <w:p w14:paraId="1E70F72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按发票号入库时若出现重复发票号，弹框提醒。</w:t>
            </w:r>
          </w:p>
          <w:p w14:paraId="2A31506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入库界面增加“验收不入库”按钮，点击“验收不入库”，药品视为“已验收未入库”状态，除已验收未入库药品统计报表（见5.9.2）外，其余报表不统计该状态药品；在入库界面筛选条件增加“验收状态”，可筛选“已验收未入库”药品。</w:t>
            </w:r>
            <w:r>
              <w:rPr>
                <w:rFonts w:hint="eastAsia"/>
                <w:color w:val="auto"/>
                <w:highlight w:val="none"/>
              </w:rPr>
              <w:t>（定制化开发）</w:t>
            </w:r>
          </w:p>
        </w:tc>
      </w:tr>
      <w:tr w14:paraId="35633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69" w:type="dxa"/>
            <w:vMerge w:val="continue"/>
            <w:vAlign w:val="center"/>
          </w:tcPr>
          <w:p w14:paraId="73FE8D4D">
            <w:pPr>
              <w:numPr>
                <w:ilvl w:val="0"/>
                <w:numId w:val="11"/>
              </w:numPr>
              <w:rPr>
                <w:rFonts w:ascii="宋体" w:hAnsi="宋体" w:cs="宋体"/>
                <w:color w:val="auto"/>
                <w:szCs w:val="21"/>
                <w:highlight w:val="none"/>
              </w:rPr>
            </w:pPr>
          </w:p>
        </w:tc>
        <w:tc>
          <w:tcPr>
            <w:tcW w:w="12808" w:type="dxa"/>
            <w:gridSpan w:val="4"/>
            <w:vAlign w:val="center"/>
          </w:tcPr>
          <w:p w14:paraId="365D4427">
            <w:pPr>
              <w:numPr>
                <w:ilvl w:val="1"/>
                <w:numId w:val="0"/>
              </w:numPr>
              <w:rPr>
                <w:rFonts w:ascii="宋体" w:hAnsi="宋体" w:cs="宋体"/>
                <w:color w:val="auto"/>
                <w:kern w:val="0"/>
                <w:szCs w:val="21"/>
                <w:highlight w:val="none"/>
              </w:rPr>
            </w:pPr>
            <w:r>
              <w:rPr>
                <w:rFonts w:hint="eastAsia" w:ascii="宋体" w:hAnsi="宋体" w:cs="宋体"/>
                <w:color w:val="auto"/>
                <w:kern w:val="0"/>
                <w:szCs w:val="21"/>
                <w:highlight w:val="none"/>
              </w:rPr>
              <w:t>5.3</w:t>
            </w:r>
            <w:r>
              <w:rPr>
                <w:rFonts w:hint="eastAsia" w:ascii="宋体" w:hAnsi="宋体" w:cs="宋体"/>
                <w:color w:val="auto"/>
                <w:sz w:val="22"/>
                <w:szCs w:val="22"/>
                <w:highlight w:val="none"/>
              </w:rPr>
              <w:t>财务验收</w:t>
            </w:r>
          </w:p>
        </w:tc>
      </w:tr>
      <w:tr w14:paraId="230C6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7" w:hRule="atLeast"/>
          <w:jc w:val="center"/>
        </w:trPr>
        <w:tc>
          <w:tcPr>
            <w:tcW w:w="1069" w:type="dxa"/>
            <w:vMerge w:val="continue"/>
            <w:vAlign w:val="center"/>
          </w:tcPr>
          <w:p w14:paraId="042FBB1E">
            <w:pPr>
              <w:numPr>
                <w:ilvl w:val="0"/>
                <w:numId w:val="11"/>
              </w:numPr>
              <w:rPr>
                <w:rFonts w:ascii="宋体" w:hAnsi="宋体" w:cs="宋体"/>
                <w:color w:val="auto"/>
                <w:szCs w:val="21"/>
                <w:highlight w:val="none"/>
              </w:rPr>
            </w:pPr>
          </w:p>
        </w:tc>
        <w:tc>
          <w:tcPr>
            <w:tcW w:w="1439" w:type="dxa"/>
            <w:gridSpan w:val="3"/>
            <w:vAlign w:val="center"/>
          </w:tcPr>
          <w:p w14:paraId="02D64942">
            <w:pPr>
              <w:numPr>
                <w:ilvl w:val="2"/>
                <w:numId w:val="0"/>
              </w:numPr>
              <w:rPr>
                <w:rFonts w:ascii="宋体" w:hAnsi="宋体" w:cs="宋体"/>
                <w:color w:val="auto"/>
                <w:sz w:val="22"/>
                <w:szCs w:val="22"/>
                <w:highlight w:val="none"/>
              </w:rPr>
            </w:pPr>
            <w:r>
              <w:rPr>
                <w:rFonts w:hint="eastAsia" w:ascii="宋体" w:hAnsi="宋体" w:cs="宋体"/>
                <w:color w:val="auto"/>
                <w:sz w:val="22"/>
                <w:szCs w:val="22"/>
                <w:highlight w:val="none"/>
              </w:rPr>
              <w:t>5.3.1财务验收</w:t>
            </w:r>
          </w:p>
        </w:tc>
        <w:tc>
          <w:tcPr>
            <w:tcW w:w="11369" w:type="dxa"/>
            <w:vAlign w:val="bottom"/>
          </w:tcPr>
          <w:p w14:paraId="0A7E790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支持选择单张入库单据或同一家供货单位集中验收，并支持未财务验收药品出库时自动产生平账记录，以冲抵药品实际购入进货价格和出库进货价格差；</w:t>
            </w:r>
          </w:p>
          <w:p w14:paraId="1AC20D7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持PDA端扫描随货联或者发票号，对药品的外观、包装、数量进行质量验收操作。</w:t>
            </w:r>
          </w:p>
        </w:tc>
      </w:tr>
      <w:tr w14:paraId="4B50F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69" w:type="dxa"/>
            <w:vMerge w:val="continue"/>
            <w:vAlign w:val="center"/>
          </w:tcPr>
          <w:p w14:paraId="1498226B">
            <w:pPr>
              <w:numPr>
                <w:ilvl w:val="0"/>
                <w:numId w:val="11"/>
              </w:numPr>
              <w:rPr>
                <w:rFonts w:ascii="宋体" w:hAnsi="宋体" w:cs="宋体"/>
                <w:color w:val="auto"/>
                <w:szCs w:val="21"/>
                <w:highlight w:val="none"/>
              </w:rPr>
            </w:pPr>
          </w:p>
        </w:tc>
        <w:tc>
          <w:tcPr>
            <w:tcW w:w="12808" w:type="dxa"/>
            <w:gridSpan w:val="4"/>
            <w:vAlign w:val="center"/>
          </w:tcPr>
          <w:p w14:paraId="1A54718B">
            <w:pPr>
              <w:numPr>
                <w:ilvl w:val="1"/>
                <w:numId w:val="0"/>
              </w:numPr>
              <w:rPr>
                <w:rFonts w:ascii="宋体" w:hAnsi="宋体" w:cs="宋体"/>
                <w:color w:val="auto"/>
                <w:kern w:val="0"/>
                <w:szCs w:val="21"/>
                <w:highlight w:val="none"/>
              </w:rPr>
            </w:pPr>
            <w:r>
              <w:rPr>
                <w:rFonts w:hint="eastAsia" w:ascii="宋体" w:hAnsi="宋体" w:cs="宋体"/>
                <w:color w:val="auto"/>
                <w:kern w:val="0"/>
                <w:szCs w:val="21"/>
                <w:highlight w:val="none"/>
              </w:rPr>
              <w:t>5.4</w:t>
            </w:r>
            <w:r>
              <w:rPr>
                <w:rFonts w:hint="eastAsia" w:ascii="宋体" w:hAnsi="宋体" w:cs="宋体"/>
                <w:color w:val="auto"/>
                <w:sz w:val="22"/>
                <w:szCs w:val="22"/>
                <w:highlight w:val="none"/>
              </w:rPr>
              <w:t>药品养护</w:t>
            </w:r>
          </w:p>
        </w:tc>
      </w:tr>
      <w:tr w14:paraId="167F3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69" w:type="dxa"/>
            <w:vMerge w:val="continue"/>
            <w:vAlign w:val="center"/>
          </w:tcPr>
          <w:p w14:paraId="01FD74E1">
            <w:pPr>
              <w:numPr>
                <w:ilvl w:val="0"/>
                <w:numId w:val="11"/>
              </w:numPr>
              <w:rPr>
                <w:rFonts w:ascii="宋体" w:hAnsi="宋体" w:cs="宋体"/>
                <w:color w:val="auto"/>
                <w:szCs w:val="21"/>
                <w:highlight w:val="none"/>
              </w:rPr>
            </w:pPr>
          </w:p>
        </w:tc>
        <w:tc>
          <w:tcPr>
            <w:tcW w:w="1439" w:type="dxa"/>
            <w:gridSpan w:val="3"/>
            <w:vAlign w:val="center"/>
          </w:tcPr>
          <w:p w14:paraId="165A667A">
            <w:pPr>
              <w:numPr>
                <w:ilvl w:val="2"/>
                <w:numId w:val="0"/>
              </w:numPr>
              <w:rPr>
                <w:rFonts w:ascii="宋体" w:hAnsi="宋体" w:cs="宋体"/>
                <w:color w:val="auto"/>
                <w:kern w:val="0"/>
                <w:szCs w:val="21"/>
                <w:highlight w:val="none"/>
              </w:rPr>
            </w:pPr>
            <w:r>
              <w:rPr>
                <w:rFonts w:hint="eastAsia" w:ascii="宋体" w:hAnsi="宋体" w:cs="宋体"/>
                <w:color w:val="auto"/>
                <w:kern w:val="0"/>
                <w:szCs w:val="21"/>
                <w:highlight w:val="none"/>
              </w:rPr>
              <w:t>5.4.1</w:t>
            </w:r>
            <w:r>
              <w:rPr>
                <w:rFonts w:hint="eastAsia" w:ascii="宋体" w:hAnsi="宋体" w:cs="宋体"/>
                <w:color w:val="auto"/>
                <w:sz w:val="22"/>
                <w:szCs w:val="22"/>
                <w:highlight w:val="none"/>
              </w:rPr>
              <w:t>药品养护</w:t>
            </w:r>
          </w:p>
        </w:tc>
        <w:tc>
          <w:tcPr>
            <w:tcW w:w="11369" w:type="dxa"/>
            <w:vAlign w:val="bottom"/>
          </w:tcPr>
          <w:p w14:paraId="15B177C5">
            <w:pPr>
              <w:numPr>
                <w:ilvl w:val="0"/>
                <w:numId w:val="12"/>
              </w:numPr>
              <w:tabs>
                <w:tab w:val="left" w:pos="525"/>
                <w:tab w:val="left" w:pos="630"/>
              </w:tabs>
              <w:spacing w:line="360" w:lineRule="auto"/>
              <w:rPr>
                <w:rFonts w:ascii="宋体" w:hAnsi="宋体" w:cs="宋体"/>
                <w:color w:val="auto"/>
                <w:kern w:val="0"/>
                <w:szCs w:val="21"/>
                <w:highlight w:val="none"/>
              </w:rPr>
            </w:pPr>
            <w:r>
              <w:rPr>
                <w:rFonts w:hint="eastAsia" w:ascii="宋体" w:hAnsi="宋体" w:cs="宋体"/>
                <w:color w:val="auto"/>
                <w:highlight w:val="none"/>
              </w:rPr>
              <w:t>提供</w:t>
            </w:r>
            <w:r>
              <w:rPr>
                <w:rFonts w:hint="eastAsia" w:ascii="宋体" w:hAnsi="宋体" w:cs="宋体"/>
                <w:bCs/>
                <w:color w:val="auto"/>
                <w:szCs w:val="21"/>
                <w:highlight w:val="none"/>
              </w:rPr>
              <w:t>药品</w:t>
            </w:r>
            <w:r>
              <w:rPr>
                <w:rFonts w:hint="eastAsia" w:ascii="宋体" w:hAnsi="宋体" w:cs="宋体"/>
                <w:color w:val="auto"/>
                <w:highlight w:val="none"/>
              </w:rPr>
              <w:t>养护功能，并支持对药品养护定期管理。</w:t>
            </w:r>
          </w:p>
        </w:tc>
      </w:tr>
      <w:tr w14:paraId="0A88E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69" w:type="dxa"/>
            <w:vMerge w:val="continue"/>
            <w:vAlign w:val="center"/>
          </w:tcPr>
          <w:p w14:paraId="1A1FBC16">
            <w:pPr>
              <w:numPr>
                <w:ilvl w:val="0"/>
                <w:numId w:val="11"/>
              </w:numPr>
              <w:rPr>
                <w:rFonts w:ascii="宋体" w:hAnsi="宋体" w:cs="宋体"/>
                <w:color w:val="auto"/>
                <w:szCs w:val="21"/>
                <w:highlight w:val="none"/>
              </w:rPr>
            </w:pPr>
          </w:p>
        </w:tc>
        <w:tc>
          <w:tcPr>
            <w:tcW w:w="12808" w:type="dxa"/>
            <w:gridSpan w:val="4"/>
            <w:vAlign w:val="center"/>
          </w:tcPr>
          <w:p w14:paraId="3C78C9ED">
            <w:pPr>
              <w:numPr>
                <w:ilvl w:val="1"/>
                <w:numId w:val="0"/>
              </w:numPr>
              <w:rPr>
                <w:rFonts w:ascii="宋体" w:hAnsi="宋体" w:cs="宋体"/>
                <w:color w:val="auto"/>
                <w:kern w:val="0"/>
                <w:szCs w:val="21"/>
                <w:highlight w:val="none"/>
              </w:rPr>
            </w:pPr>
            <w:r>
              <w:rPr>
                <w:rFonts w:hint="eastAsia" w:ascii="宋体" w:hAnsi="宋体" w:cs="宋体"/>
                <w:color w:val="auto"/>
                <w:kern w:val="0"/>
                <w:szCs w:val="21"/>
                <w:highlight w:val="none"/>
              </w:rPr>
              <w:t>5.5</w:t>
            </w:r>
            <w:r>
              <w:rPr>
                <w:rFonts w:hint="eastAsia" w:ascii="宋体" w:hAnsi="宋体" w:cs="宋体"/>
                <w:color w:val="auto"/>
                <w:sz w:val="22"/>
                <w:szCs w:val="22"/>
                <w:highlight w:val="none"/>
              </w:rPr>
              <w:t>付款处理</w:t>
            </w:r>
          </w:p>
        </w:tc>
      </w:tr>
      <w:tr w14:paraId="52A65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0" w:hRule="atLeast"/>
          <w:jc w:val="center"/>
        </w:trPr>
        <w:tc>
          <w:tcPr>
            <w:tcW w:w="1069" w:type="dxa"/>
            <w:vMerge w:val="continue"/>
            <w:vAlign w:val="center"/>
          </w:tcPr>
          <w:p w14:paraId="502589AE">
            <w:pPr>
              <w:numPr>
                <w:ilvl w:val="0"/>
                <w:numId w:val="11"/>
              </w:numPr>
              <w:rPr>
                <w:rFonts w:ascii="宋体" w:hAnsi="宋体" w:cs="宋体"/>
                <w:color w:val="auto"/>
                <w:szCs w:val="21"/>
                <w:highlight w:val="none"/>
              </w:rPr>
            </w:pPr>
          </w:p>
        </w:tc>
        <w:tc>
          <w:tcPr>
            <w:tcW w:w="1439" w:type="dxa"/>
            <w:gridSpan w:val="3"/>
            <w:vAlign w:val="center"/>
          </w:tcPr>
          <w:p w14:paraId="3A693BEC">
            <w:pPr>
              <w:numPr>
                <w:ilvl w:val="2"/>
                <w:numId w:val="0"/>
              </w:numPr>
              <w:rPr>
                <w:rFonts w:ascii="宋体" w:hAnsi="宋体" w:cs="宋体"/>
                <w:color w:val="auto"/>
                <w:kern w:val="0"/>
                <w:szCs w:val="21"/>
                <w:highlight w:val="none"/>
              </w:rPr>
            </w:pPr>
            <w:r>
              <w:rPr>
                <w:rFonts w:hint="eastAsia" w:ascii="宋体" w:hAnsi="宋体" w:cs="宋体"/>
                <w:color w:val="auto"/>
                <w:kern w:val="0"/>
                <w:szCs w:val="21"/>
                <w:highlight w:val="none"/>
              </w:rPr>
              <w:t>5.5.1</w:t>
            </w:r>
            <w:r>
              <w:rPr>
                <w:rFonts w:hint="eastAsia" w:ascii="宋体" w:hAnsi="宋体" w:cs="宋体"/>
                <w:color w:val="auto"/>
                <w:sz w:val="22"/>
                <w:szCs w:val="22"/>
                <w:highlight w:val="none"/>
              </w:rPr>
              <w:t>付款处理</w:t>
            </w:r>
          </w:p>
        </w:tc>
        <w:tc>
          <w:tcPr>
            <w:tcW w:w="11369" w:type="dxa"/>
            <w:vAlign w:val="center"/>
          </w:tcPr>
          <w:p w14:paraId="1132E82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支持按供货商付款，同一供货商的所有的单据集中付款；</w:t>
            </w:r>
          </w:p>
          <w:p w14:paraId="187FD1C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支持按采购入库单据付款，同一张采购单上的药品集中付款；</w:t>
            </w:r>
          </w:p>
          <w:p w14:paraId="7075118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支持按发票付款，同一张单据上同一发票上的药品集中付款。</w:t>
            </w:r>
          </w:p>
          <w:p w14:paraId="7DA0934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color w:val="auto"/>
                <w:sz w:val="22"/>
                <w:szCs w:val="22"/>
                <w:highlight w:val="none"/>
              </w:rPr>
              <w:t>支持全部付款、输入付款、部分金额分摊三种付款方式。</w:t>
            </w:r>
          </w:p>
          <w:p w14:paraId="51F70B6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“按发票付款”增加筛选条件“按集采属性付款”，药品集采属性支持通过药品属性自主维护，选择“集采”，只统计集采药品的发票，选择“非集采”，只统计非集采药品的发票。</w:t>
            </w:r>
          </w:p>
        </w:tc>
      </w:tr>
      <w:tr w14:paraId="2F64A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69" w:type="dxa"/>
            <w:vMerge w:val="continue"/>
            <w:vAlign w:val="center"/>
          </w:tcPr>
          <w:p w14:paraId="19C399A4">
            <w:pPr>
              <w:numPr>
                <w:ilvl w:val="0"/>
                <w:numId w:val="11"/>
              </w:numPr>
              <w:rPr>
                <w:rFonts w:ascii="宋体" w:hAnsi="宋体" w:cs="宋体"/>
                <w:color w:val="auto"/>
                <w:szCs w:val="21"/>
                <w:highlight w:val="none"/>
              </w:rPr>
            </w:pPr>
          </w:p>
        </w:tc>
        <w:tc>
          <w:tcPr>
            <w:tcW w:w="12808" w:type="dxa"/>
            <w:gridSpan w:val="4"/>
            <w:vAlign w:val="center"/>
          </w:tcPr>
          <w:p w14:paraId="16B8CA23">
            <w:pPr>
              <w:numPr>
                <w:ilvl w:val="1"/>
                <w:numId w:val="0"/>
              </w:numPr>
              <w:rPr>
                <w:rFonts w:ascii="宋体" w:hAnsi="宋体" w:cs="宋体"/>
                <w:color w:val="auto"/>
                <w:kern w:val="0"/>
                <w:szCs w:val="21"/>
                <w:highlight w:val="none"/>
              </w:rPr>
            </w:pPr>
            <w:r>
              <w:rPr>
                <w:rFonts w:hint="eastAsia" w:ascii="宋体" w:hAnsi="宋体" w:cs="宋体"/>
                <w:color w:val="auto"/>
                <w:kern w:val="0"/>
                <w:szCs w:val="21"/>
                <w:highlight w:val="none"/>
              </w:rPr>
              <w:t>5.6</w:t>
            </w:r>
            <w:r>
              <w:rPr>
                <w:rFonts w:hint="eastAsia" w:ascii="宋体" w:hAnsi="宋体" w:cs="宋体"/>
                <w:color w:val="auto"/>
                <w:sz w:val="22"/>
                <w:szCs w:val="22"/>
                <w:highlight w:val="none"/>
              </w:rPr>
              <w:t>药品出库</w:t>
            </w:r>
          </w:p>
        </w:tc>
      </w:tr>
      <w:tr w14:paraId="4B3E0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4" w:hRule="atLeast"/>
          <w:jc w:val="center"/>
        </w:trPr>
        <w:tc>
          <w:tcPr>
            <w:tcW w:w="1069" w:type="dxa"/>
            <w:vMerge w:val="continue"/>
            <w:vAlign w:val="center"/>
          </w:tcPr>
          <w:p w14:paraId="0D83E55B">
            <w:pPr>
              <w:numPr>
                <w:ilvl w:val="0"/>
                <w:numId w:val="11"/>
              </w:numPr>
              <w:rPr>
                <w:rFonts w:ascii="宋体" w:hAnsi="宋体" w:cs="宋体"/>
                <w:color w:val="auto"/>
                <w:szCs w:val="21"/>
                <w:highlight w:val="none"/>
              </w:rPr>
            </w:pPr>
          </w:p>
        </w:tc>
        <w:tc>
          <w:tcPr>
            <w:tcW w:w="1439" w:type="dxa"/>
            <w:gridSpan w:val="3"/>
            <w:vAlign w:val="center"/>
          </w:tcPr>
          <w:p w14:paraId="293AE450">
            <w:pPr>
              <w:numPr>
                <w:ilvl w:val="2"/>
                <w:numId w:val="0"/>
              </w:numPr>
              <w:rPr>
                <w:rFonts w:ascii="宋体" w:hAnsi="宋体" w:cs="宋体"/>
                <w:color w:val="auto"/>
                <w:kern w:val="0"/>
                <w:szCs w:val="21"/>
                <w:highlight w:val="none"/>
              </w:rPr>
            </w:pPr>
            <w:r>
              <w:rPr>
                <w:rFonts w:hint="eastAsia" w:ascii="宋体" w:hAnsi="宋体" w:cs="宋体"/>
                <w:color w:val="auto"/>
                <w:kern w:val="0"/>
                <w:szCs w:val="21"/>
                <w:highlight w:val="none"/>
              </w:rPr>
              <w:t>5.6.1</w:t>
            </w:r>
            <w:r>
              <w:rPr>
                <w:rFonts w:hint="eastAsia" w:ascii="宋体" w:hAnsi="宋体" w:cs="宋体"/>
                <w:color w:val="auto"/>
                <w:sz w:val="22"/>
                <w:szCs w:val="22"/>
                <w:highlight w:val="none"/>
              </w:rPr>
              <w:t>药品出库</w:t>
            </w:r>
          </w:p>
        </w:tc>
        <w:tc>
          <w:tcPr>
            <w:tcW w:w="11369" w:type="dxa"/>
            <w:vAlign w:val="center"/>
          </w:tcPr>
          <w:p w14:paraId="2B3D4F4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支持对药房进行出库处理，并基于出库类型不同，除通过引入入库单自动生成库房出库信息、手工选择批次、库存性质进行出库等正常出库方式之外，</w:t>
            </w:r>
          </w:p>
          <w:p w14:paraId="17BFBC5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支持药品报损、科室领用、盘亏出库等其他出库业务，并对同一厂家不同批次的药品按效期/库存数量出库，按效期分为早先出、迟先出，按库存数量分为大先出、小先出等业务流程操作。</w:t>
            </w:r>
          </w:p>
          <w:p w14:paraId="60015E7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提供跨机构跨院区库房出库功能。</w:t>
            </w:r>
          </w:p>
        </w:tc>
      </w:tr>
      <w:tr w14:paraId="2AE3C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69" w:type="dxa"/>
            <w:vMerge w:val="continue"/>
            <w:vAlign w:val="center"/>
          </w:tcPr>
          <w:p w14:paraId="2A354491">
            <w:pPr>
              <w:numPr>
                <w:ilvl w:val="0"/>
                <w:numId w:val="11"/>
              </w:numPr>
              <w:rPr>
                <w:rFonts w:ascii="宋体" w:hAnsi="宋体" w:cs="宋体"/>
                <w:color w:val="auto"/>
                <w:szCs w:val="21"/>
                <w:highlight w:val="none"/>
              </w:rPr>
            </w:pPr>
          </w:p>
        </w:tc>
        <w:tc>
          <w:tcPr>
            <w:tcW w:w="12808" w:type="dxa"/>
            <w:gridSpan w:val="4"/>
            <w:vAlign w:val="center"/>
          </w:tcPr>
          <w:p w14:paraId="043C10D6">
            <w:pPr>
              <w:numPr>
                <w:ilvl w:val="1"/>
                <w:numId w:val="0"/>
              </w:numPr>
              <w:rPr>
                <w:rFonts w:ascii="宋体" w:hAnsi="宋体" w:cs="宋体"/>
                <w:color w:val="auto"/>
                <w:kern w:val="0"/>
                <w:szCs w:val="21"/>
                <w:highlight w:val="none"/>
              </w:rPr>
            </w:pPr>
            <w:r>
              <w:rPr>
                <w:rFonts w:hint="eastAsia" w:ascii="宋体" w:hAnsi="宋体" w:cs="宋体"/>
                <w:color w:val="auto"/>
                <w:kern w:val="0"/>
                <w:szCs w:val="21"/>
                <w:highlight w:val="none"/>
              </w:rPr>
              <w:t>5.7</w:t>
            </w:r>
            <w:r>
              <w:rPr>
                <w:rFonts w:hint="eastAsia" w:ascii="宋体" w:hAnsi="宋体" w:cs="宋体"/>
                <w:color w:val="auto"/>
                <w:sz w:val="22"/>
                <w:szCs w:val="22"/>
                <w:highlight w:val="none"/>
              </w:rPr>
              <w:t>调价管理</w:t>
            </w:r>
          </w:p>
        </w:tc>
      </w:tr>
      <w:tr w14:paraId="56646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7" w:hRule="atLeast"/>
          <w:jc w:val="center"/>
        </w:trPr>
        <w:tc>
          <w:tcPr>
            <w:tcW w:w="1069" w:type="dxa"/>
            <w:vMerge w:val="continue"/>
            <w:vAlign w:val="center"/>
          </w:tcPr>
          <w:p w14:paraId="2334C5FB">
            <w:pPr>
              <w:numPr>
                <w:ilvl w:val="0"/>
                <w:numId w:val="11"/>
              </w:numPr>
              <w:rPr>
                <w:rFonts w:ascii="宋体" w:hAnsi="宋体" w:cs="宋体"/>
                <w:color w:val="auto"/>
                <w:szCs w:val="21"/>
                <w:highlight w:val="none"/>
              </w:rPr>
            </w:pPr>
          </w:p>
        </w:tc>
        <w:tc>
          <w:tcPr>
            <w:tcW w:w="1439" w:type="dxa"/>
            <w:gridSpan w:val="3"/>
            <w:vAlign w:val="center"/>
          </w:tcPr>
          <w:p w14:paraId="5914806D">
            <w:pPr>
              <w:numPr>
                <w:ilvl w:val="2"/>
                <w:numId w:val="0"/>
              </w:numPr>
              <w:rPr>
                <w:rFonts w:ascii="宋体" w:hAnsi="宋体" w:cs="宋体"/>
                <w:color w:val="auto"/>
                <w:kern w:val="0"/>
                <w:szCs w:val="21"/>
                <w:highlight w:val="none"/>
              </w:rPr>
            </w:pPr>
            <w:r>
              <w:rPr>
                <w:rFonts w:hint="eastAsia" w:ascii="宋体" w:hAnsi="宋体" w:cs="宋体"/>
                <w:color w:val="auto"/>
                <w:kern w:val="0"/>
                <w:szCs w:val="21"/>
                <w:highlight w:val="none"/>
              </w:rPr>
              <w:t>5.7.1</w:t>
            </w:r>
            <w:r>
              <w:rPr>
                <w:rFonts w:hint="eastAsia" w:ascii="宋体" w:hAnsi="宋体" w:cs="宋体"/>
                <w:color w:val="auto"/>
                <w:sz w:val="22"/>
                <w:szCs w:val="22"/>
                <w:highlight w:val="none"/>
              </w:rPr>
              <w:t>调价管理</w:t>
            </w:r>
          </w:p>
        </w:tc>
        <w:tc>
          <w:tcPr>
            <w:tcW w:w="11369" w:type="dxa"/>
            <w:vAlign w:val="center"/>
          </w:tcPr>
          <w:p w14:paraId="6B1F3FC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支持两种调价方式：零售价调价、进货价调价。</w:t>
            </w:r>
          </w:p>
          <w:p w14:paraId="36D4585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支持通过即时与定时两种调节方式对药品价格进行更改。</w:t>
            </w:r>
          </w:p>
          <w:p w14:paraId="5FFB775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支持对单一出入口进行调价，例如仅对药库或仅对药房或病区三级药房进行药品调价，亦可支持对全部出入口调价，同时调价管理支持国家调价和企业调价两种类型，提供调价明细报表。</w:t>
            </w:r>
          </w:p>
          <w:p w14:paraId="1972B34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支持同步调价，如进销零差价的药品，支持调整零售价时，同步调整进价。</w:t>
            </w:r>
          </w:p>
        </w:tc>
      </w:tr>
      <w:tr w14:paraId="0A969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69" w:type="dxa"/>
            <w:vMerge w:val="continue"/>
            <w:vAlign w:val="center"/>
          </w:tcPr>
          <w:p w14:paraId="34CDF2F0">
            <w:pPr>
              <w:numPr>
                <w:ilvl w:val="0"/>
                <w:numId w:val="11"/>
              </w:numPr>
              <w:rPr>
                <w:rFonts w:ascii="宋体" w:hAnsi="宋体" w:cs="宋体"/>
                <w:color w:val="auto"/>
                <w:szCs w:val="21"/>
                <w:highlight w:val="none"/>
              </w:rPr>
            </w:pPr>
          </w:p>
        </w:tc>
        <w:tc>
          <w:tcPr>
            <w:tcW w:w="12808" w:type="dxa"/>
            <w:gridSpan w:val="4"/>
            <w:vAlign w:val="center"/>
          </w:tcPr>
          <w:p w14:paraId="7052EE5A">
            <w:pPr>
              <w:numPr>
                <w:ilvl w:val="1"/>
                <w:numId w:val="0"/>
              </w:numPr>
              <w:rPr>
                <w:rFonts w:ascii="宋体" w:hAnsi="宋体" w:cs="宋体"/>
                <w:color w:val="auto"/>
                <w:kern w:val="0"/>
                <w:szCs w:val="21"/>
                <w:highlight w:val="none"/>
              </w:rPr>
            </w:pPr>
            <w:r>
              <w:rPr>
                <w:rFonts w:hint="eastAsia" w:ascii="宋体" w:hAnsi="宋体" w:cs="宋体"/>
                <w:color w:val="auto"/>
                <w:kern w:val="0"/>
                <w:szCs w:val="21"/>
                <w:highlight w:val="none"/>
              </w:rPr>
              <w:t>5.8</w:t>
            </w:r>
            <w:r>
              <w:rPr>
                <w:rFonts w:hint="eastAsia" w:ascii="宋体" w:hAnsi="宋体" w:cs="宋体"/>
                <w:color w:val="auto"/>
                <w:sz w:val="22"/>
                <w:szCs w:val="22"/>
                <w:highlight w:val="none"/>
              </w:rPr>
              <w:t>药品盘点</w:t>
            </w:r>
          </w:p>
        </w:tc>
      </w:tr>
      <w:tr w14:paraId="5B582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2" w:hRule="atLeast"/>
          <w:jc w:val="center"/>
        </w:trPr>
        <w:tc>
          <w:tcPr>
            <w:tcW w:w="1069" w:type="dxa"/>
            <w:vMerge w:val="continue"/>
            <w:vAlign w:val="center"/>
          </w:tcPr>
          <w:p w14:paraId="3F88772A">
            <w:pPr>
              <w:numPr>
                <w:ilvl w:val="0"/>
                <w:numId w:val="11"/>
              </w:numPr>
              <w:rPr>
                <w:rFonts w:ascii="宋体" w:hAnsi="宋体" w:cs="宋体"/>
                <w:color w:val="auto"/>
                <w:szCs w:val="21"/>
                <w:highlight w:val="none"/>
              </w:rPr>
            </w:pPr>
          </w:p>
        </w:tc>
        <w:tc>
          <w:tcPr>
            <w:tcW w:w="1439" w:type="dxa"/>
            <w:gridSpan w:val="3"/>
            <w:vAlign w:val="center"/>
          </w:tcPr>
          <w:p w14:paraId="4B142DD0">
            <w:pPr>
              <w:numPr>
                <w:ilvl w:val="2"/>
                <w:numId w:val="0"/>
              </w:numPr>
              <w:rPr>
                <w:rFonts w:ascii="宋体" w:hAnsi="宋体" w:cs="宋体"/>
                <w:color w:val="auto"/>
                <w:kern w:val="0"/>
                <w:szCs w:val="21"/>
                <w:highlight w:val="none"/>
              </w:rPr>
            </w:pPr>
            <w:r>
              <w:rPr>
                <w:rFonts w:hint="eastAsia" w:ascii="宋体" w:hAnsi="宋体" w:cs="宋体"/>
                <w:color w:val="auto"/>
                <w:kern w:val="0"/>
                <w:szCs w:val="21"/>
                <w:highlight w:val="none"/>
              </w:rPr>
              <w:t>5.8.1</w:t>
            </w:r>
            <w:r>
              <w:rPr>
                <w:rFonts w:hint="eastAsia" w:ascii="宋体" w:hAnsi="宋体" w:cs="宋体"/>
                <w:color w:val="auto"/>
                <w:sz w:val="22"/>
                <w:szCs w:val="22"/>
                <w:highlight w:val="none"/>
              </w:rPr>
              <w:t>药品盘点</w:t>
            </w:r>
          </w:p>
        </w:tc>
        <w:tc>
          <w:tcPr>
            <w:tcW w:w="11369" w:type="dxa"/>
            <w:vAlign w:val="center"/>
          </w:tcPr>
          <w:p w14:paraId="4A2FC00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支持分类、分库位、分批次、分包装进行盘点；</w:t>
            </w:r>
          </w:p>
          <w:p w14:paraId="3E7DAAF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支持按最小包装进行盘点；</w:t>
            </w:r>
          </w:p>
          <w:p w14:paraId="37FBC70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支持当前库房无库存药品盘点；</w:t>
            </w:r>
          </w:p>
          <w:p w14:paraId="64C688E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支持单人或多人盘点；</w:t>
            </w:r>
          </w:p>
          <w:p w14:paraId="3B89F47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支持抽样盘点；</w:t>
            </w:r>
          </w:p>
          <w:p w14:paraId="7617390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支持盘点录入时实盘库存直接复制账面库存。</w:t>
            </w:r>
          </w:p>
          <w:p w14:paraId="37EE014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支持自动产生盘盈入库单、盘亏出库单。</w:t>
            </w:r>
          </w:p>
          <w:p w14:paraId="4B48273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支持盘点过程中进行发退药，并在最终的汇总单上体现出发退药的数量，通过计算盘点过程中发退药数量之和，利用盘前数量和发退药数量相加，再和实盘数量进行比较后计算出盘盈盘亏数值。</w:t>
            </w:r>
          </w:p>
          <w:p w14:paraId="0BECF97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支持PDA端进行盘点录入，多人或单人在PDA端同时盘点录入。</w:t>
            </w:r>
          </w:p>
        </w:tc>
      </w:tr>
      <w:tr w14:paraId="70CA9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69" w:type="dxa"/>
            <w:vMerge w:val="continue"/>
            <w:vAlign w:val="center"/>
          </w:tcPr>
          <w:p w14:paraId="1F639EB6">
            <w:pPr>
              <w:numPr>
                <w:ilvl w:val="0"/>
                <w:numId w:val="11"/>
              </w:numPr>
              <w:rPr>
                <w:rFonts w:ascii="宋体" w:hAnsi="宋体" w:cs="宋体"/>
                <w:color w:val="auto"/>
                <w:szCs w:val="21"/>
                <w:highlight w:val="none"/>
              </w:rPr>
            </w:pPr>
          </w:p>
        </w:tc>
        <w:tc>
          <w:tcPr>
            <w:tcW w:w="12808" w:type="dxa"/>
            <w:gridSpan w:val="4"/>
            <w:vAlign w:val="center"/>
          </w:tcPr>
          <w:p w14:paraId="285B99FE">
            <w:pPr>
              <w:numPr>
                <w:ilvl w:val="1"/>
                <w:numId w:val="0"/>
              </w:numPr>
              <w:rPr>
                <w:rFonts w:ascii="宋体" w:hAnsi="宋体" w:cs="宋体"/>
                <w:color w:val="auto"/>
                <w:kern w:val="0"/>
                <w:szCs w:val="21"/>
                <w:highlight w:val="none"/>
              </w:rPr>
            </w:pPr>
            <w:r>
              <w:rPr>
                <w:rFonts w:hint="eastAsia" w:ascii="宋体" w:hAnsi="宋体" w:cs="宋体"/>
                <w:color w:val="auto"/>
                <w:kern w:val="0"/>
                <w:szCs w:val="21"/>
                <w:highlight w:val="none"/>
              </w:rPr>
              <w:t>5.9</w:t>
            </w:r>
            <w:r>
              <w:rPr>
                <w:rFonts w:hint="eastAsia" w:ascii="宋体" w:hAnsi="宋体" w:cs="宋体"/>
                <w:color w:val="auto"/>
                <w:sz w:val="22"/>
                <w:szCs w:val="22"/>
                <w:highlight w:val="none"/>
              </w:rPr>
              <w:t>库房管理查询</w:t>
            </w:r>
          </w:p>
        </w:tc>
      </w:tr>
      <w:tr w14:paraId="2D20C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7" w:hRule="atLeast"/>
          <w:jc w:val="center"/>
        </w:trPr>
        <w:tc>
          <w:tcPr>
            <w:tcW w:w="1069" w:type="dxa"/>
            <w:vMerge w:val="continue"/>
            <w:vAlign w:val="center"/>
          </w:tcPr>
          <w:p w14:paraId="09DC2617">
            <w:pPr>
              <w:numPr>
                <w:ilvl w:val="0"/>
                <w:numId w:val="11"/>
              </w:numPr>
              <w:rPr>
                <w:rFonts w:ascii="宋体" w:hAnsi="宋体" w:cs="宋体"/>
                <w:color w:val="auto"/>
                <w:szCs w:val="21"/>
                <w:highlight w:val="none"/>
              </w:rPr>
            </w:pPr>
          </w:p>
        </w:tc>
        <w:tc>
          <w:tcPr>
            <w:tcW w:w="1439" w:type="dxa"/>
            <w:gridSpan w:val="3"/>
            <w:vAlign w:val="center"/>
          </w:tcPr>
          <w:p w14:paraId="7644674B">
            <w:pPr>
              <w:numPr>
                <w:ilvl w:val="2"/>
                <w:numId w:val="0"/>
              </w:numPr>
              <w:rPr>
                <w:rFonts w:ascii="宋体" w:hAnsi="宋体" w:cs="宋体"/>
                <w:color w:val="auto"/>
                <w:kern w:val="0"/>
                <w:szCs w:val="21"/>
                <w:highlight w:val="none"/>
              </w:rPr>
            </w:pPr>
            <w:r>
              <w:rPr>
                <w:rFonts w:hint="eastAsia" w:ascii="宋体" w:hAnsi="宋体" w:cs="宋体"/>
                <w:color w:val="auto"/>
                <w:kern w:val="0"/>
                <w:szCs w:val="21"/>
                <w:highlight w:val="none"/>
              </w:rPr>
              <w:t>5.9.1库房月结</w:t>
            </w:r>
          </w:p>
        </w:tc>
        <w:tc>
          <w:tcPr>
            <w:tcW w:w="11369" w:type="dxa"/>
            <w:vAlign w:val="center"/>
          </w:tcPr>
          <w:p w14:paraId="31B778C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支持自定义月结日统计，对初次月结日未初始建账日期，以后每月的月结起始时间就是上次月结的月结终止时间。</w:t>
            </w:r>
          </w:p>
          <w:p w14:paraId="767B0E8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支持月结前自动判断库房业务是否完成功能，如调价单、入库单、出库单是否确认，也支持取消月结，取消月结必须从最后一个月结月份逐月取消，不能跳月取消月结。</w:t>
            </w:r>
          </w:p>
        </w:tc>
      </w:tr>
      <w:tr w14:paraId="2E7F6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7" w:hRule="atLeast"/>
          <w:jc w:val="center"/>
        </w:trPr>
        <w:tc>
          <w:tcPr>
            <w:tcW w:w="1069" w:type="dxa"/>
            <w:vMerge w:val="continue"/>
            <w:vAlign w:val="center"/>
          </w:tcPr>
          <w:p w14:paraId="6A106905">
            <w:pPr>
              <w:numPr>
                <w:ilvl w:val="0"/>
                <w:numId w:val="11"/>
              </w:numPr>
              <w:rPr>
                <w:rFonts w:ascii="宋体" w:hAnsi="宋体" w:cs="宋体"/>
                <w:color w:val="auto"/>
                <w:szCs w:val="21"/>
                <w:highlight w:val="none"/>
              </w:rPr>
            </w:pPr>
          </w:p>
        </w:tc>
        <w:tc>
          <w:tcPr>
            <w:tcW w:w="1439" w:type="dxa"/>
            <w:gridSpan w:val="3"/>
            <w:vAlign w:val="center"/>
          </w:tcPr>
          <w:p w14:paraId="7B5F18DC">
            <w:pPr>
              <w:numPr>
                <w:ilvl w:val="2"/>
                <w:numId w:val="0"/>
              </w:numPr>
              <w:rPr>
                <w:rFonts w:ascii="宋体" w:hAnsi="宋体" w:cs="宋体"/>
                <w:color w:val="auto"/>
                <w:kern w:val="0"/>
                <w:szCs w:val="21"/>
                <w:highlight w:val="none"/>
              </w:rPr>
            </w:pPr>
            <w:r>
              <w:rPr>
                <w:rFonts w:hint="eastAsia" w:ascii="宋体" w:hAnsi="宋体" w:cs="宋体"/>
                <w:color w:val="auto"/>
                <w:kern w:val="0"/>
                <w:szCs w:val="21"/>
                <w:highlight w:val="none"/>
              </w:rPr>
              <w:t>5.9.2库房查询</w:t>
            </w:r>
          </w:p>
        </w:tc>
        <w:tc>
          <w:tcPr>
            <w:tcW w:w="11369" w:type="dxa"/>
            <w:vAlign w:val="center"/>
          </w:tcPr>
          <w:p w14:paraId="72F99BA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多维度查询功能，例如各药库与全院药品库存查询，以及采购历史、会计账簿、保管员账簿、财务月报、收发存表、采购销售分析、失效药品查询、基本药物统计、特殊药品统计、抗生素统计等统计查询功能。</w:t>
            </w:r>
          </w:p>
          <w:p w14:paraId="282677E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支持总院、分院多个药库统一或者分开管理模式。</w:t>
            </w:r>
          </w:p>
          <w:p w14:paraId="657F009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系统记账标准提供进货价格、批发价格、零售价格三种方式</w:t>
            </w:r>
          </w:p>
          <w:p w14:paraId="2202622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支持财务账和实物账的分开处理，对应账簿分别为会计账簿与保管员账簿。</w:t>
            </w:r>
          </w:p>
          <w:p w14:paraId="56BE9AF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增加已验收未入库药品统计报表，可按验收时间、发票地点、药品类型（西药、中成药、中草药）查询“已验收未入库”药品，需要显示药品院内ID、通用名、商品名、规格、生产厂家、已验收未入库数量、实时库存数量、验收时间。</w:t>
            </w:r>
          </w:p>
        </w:tc>
      </w:tr>
      <w:tr w14:paraId="5F30B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1069" w:type="dxa"/>
            <w:vMerge w:val="restart"/>
            <w:vAlign w:val="center"/>
          </w:tcPr>
          <w:p w14:paraId="5EDB3A13">
            <w:pPr>
              <w:rPr>
                <w:rFonts w:ascii="宋体" w:hAnsi="宋体" w:cs="宋体"/>
                <w:color w:val="auto"/>
                <w:szCs w:val="21"/>
                <w:highlight w:val="none"/>
              </w:rPr>
            </w:pPr>
          </w:p>
        </w:tc>
        <w:tc>
          <w:tcPr>
            <w:tcW w:w="12808" w:type="dxa"/>
            <w:gridSpan w:val="4"/>
            <w:vAlign w:val="center"/>
          </w:tcPr>
          <w:p w14:paraId="6F664D1B">
            <w:pPr>
              <w:rPr>
                <w:rFonts w:ascii="宋体" w:hAnsi="宋体" w:cs="宋体"/>
                <w:color w:val="auto"/>
                <w:szCs w:val="21"/>
                <w:highlight w:val="none"/>
              </w:rPr>
            </w:pPr>
            <w:r>
              <w:rPr>
                <w:rFonts w:hint="eastAsia" w:ascii="宋体" w:hAnsi="宋体" w:cs="宋体"/>
                <w:color w:val="auto"/>
                <w:kern w:val="0"/>
                <w:szCs w:val="21"/>
                <w:highlight w:val="none"/>
              </w:rPr>
              <w:t xml:space="preserve">5.10 </w:t>
            </w:r>
            <w:r>
              <w:rPr>
                <w:rFonts w:hint="eastAsia" w:ascii="宋体" w:hAnsi="宋体" w:cs="宋体"/>
                <w:color w:val="auto"/>
                <w:szCs w:val="21"/>
                <w:highlight w:val="none"/>
              </w:rPr>
              <w:t>合理用药维护功能</w:t>
            </w:r>
          </w:p>
        </w:tc>
      </w:tr>
      <w:tr w14:paraId="2FCB6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7" w:hRule="atLeast"/>
          <w:jc w:val="center"/>
        </w:trPr>
        <w:tc>
          <w:tcPr>
            <w:tcW w:w="1069" w:type="dxa"/>
            <w:vMerge w:val="continue"/>
            <w:vAlign w:val="center"/>
          </w:tcPr>
          <w:p w14:paraId="3FE5377F">
            <w:pPr>
              <w:rPr>
                <w:rFonts w:ascii="宋体" w:hAnsi="宋体" w:cs="宋体"/>
                <w:color w:val="auto"/>
                <w:szCs w:val="21"/>
                <w:highlight w:val="none"/>
              </w:rPr>
            </w:pPr>
          </w:p>
        </w:tc>
        <w:tc>
          <w:tcPr>
            <w:tcW w:w="1439" w:type="dxa"/>
            <w:gridSpan w:val="3"/>
            <w:vAlign w:val="center"/>
          </w:tcPr>
          <w:p w14:paraId="19EBAD18">
            <w:pPr>
              <w:rPr>
                <w:rFonts w:ascii="宋体" w:hAnsi="宋体" w:cs="宋体"/>
                <w:color w:val="auto"/>
                <w:kern w:val="0"/>
                <w:szCs w:val="21"/>
                <w:highlight w:val="none"/>
              </w:rPr>
            </w:pPr>
            <w:r>
              <w:rPr>
                <w:rFonts w:hint="eastAsia" w:ascii="宋体" w:hAnsi="宋体" w:cs="宋体"/>
                <w:color w:val="auto"/>
                <w:kern w:val="0"/>
                <w:szCs w:val="21"/>
                <w:highlight w:val="none"/>
              </w:rPr>
              <w:t>5.10.1</w:t>
            </w:r>
          </w:p>
        </w:tc>
        <w:tc>
          <w:tcPr>
            <w:tcW w:w="11369" w:type="dxa"/>
            <w:vAlign w:val="center"/>
          </w:tcPr>
          <w:p w14:paraId="32364509">
            <w:pPr>
              <w:numPr>
                <w:ilvl w:val="0"/>
                <w:numId w:val="15"/>
              </w:numPr>
              <w:tabs>
                <w:tab w:val="left" w:pos="525"/>
                <w:tab w:val="left" w:pos="630"/>
              </w:tabs>
              <w:spacing w:line="360" w:lineRule="auto"/>
              <w:rPr>
                <w:rFonts w:ascii="宋体" w:hAnsi="宋体" w:cs="宋体"/>
                <w:color w:val="auto"/>
                <w:szCs w:val="21"/>
                <w:highlight w:val="none"/>
              </w:rPr>
            </w:pPr>
            <w:r>
              <w:rPr>
                <w:rFonts w:hint="eastAsia" w:ascii="宋体" w:hAnsi="宋体" w:cs="宋体"/>
                <w:color w:val="auto"/>
                <w:szCs w:val="21"/>
                <w:highlight w:val="none"/>
              </w:rPr>
              <w:t>支持维护药品最大单次用量、最小单次用量、最大用药频次、最小用药频次，及相对应的柔性、刚性拦截功能，在医师开具医嘱时进行拦截，例如A药设置最大用量为1g，刚性拦截，医师开具1.2g时不能提交医嘱。</w:t>
            </w:r>
          </w:p>
          <w:p w14:paraId="3634CAE7">
            <w:pPr>
              <w:numPr>
                <w:ilvl w:val="0"/>
                <w:numId w:val="15"/>
              </w:numPr>
              <w:tabs>
                <w:tab w:val="left" w:pos="525"/>
                <w:tab w:val="left" w:pos="630"/>
              </w:tabs>
              <w:spacing w:line="360" w:lineRule="auto"/>
              <w:rPr>
                <w:rFonts w:ascii="宋体" w:hAnsi="宋体" w:cs="宋体"/>
                <w:color w:val="auto"/>
                <w:szCs w:val="21"/>
                <w:highlight w:val="none"/>
              </w:rPr>
            </w:pPr>
            <w:r>
              <w:rPr>
                <w:rFonts w:hint="eastAsia" w:ascii="宋体" w:hAnsi="宋体" w:cs="宋体"/>
                <w:color w:val="auto"/>
                <w:szCs w:val="21"/>
                <w:highlight w:val="none"/>
              </w:rPr>
              <w:t>支持维护药品溶媒，及相对应的柔性、刚性拦截功能，在医师开具医嘱时进行拦截（合理用药系统提供接口给HIS），例如A药设置溶媒为氯化钠注射液，柔性拦截，医师若开具葡糖糖注射液为溶媒，弹框提醒，但医师可继续点击下一步提交医嘱。</w:t>
            </w:r>
          </w:p>
          <w:p w14:paraId="3C303F8B">
            <w:pPr>
              <w:numPr>
                <w:ilvl w:val="0"/>
                <w:numId w:val="15"/>
              </w:numPr>
              <w:tabs>
                <w:tab w:val="left" w:pos="525"/>
                <w:tab w:val="left" w:pos="630"/>
              </w:tabs>
              <w:spacing w:line="360" w:lineRule="auto"/>
              <w:rPr>
                <w:rFonts w:ascii="宋体" w:hAnsi="宋体" w:cs="宋体"/>
                <w:color w:val="auto"/>
                <w:szCs w:val="21"/>
                <w:highlight w:val="none"/>
              </w:rPr>
            </w:pPr>
            <w:r>
              <w:rPr>
                <w:rFonts w:hint="eastAsia" w:ascii="宋体" w:hAnsi="宋体" w:cs="宋体"/>
                <w:color w:val="auto"/>
                <w:szCs w:val="21"/>
                <w:highlight w:val="none"/>
              </w:rPr>
              <w:t>支持维护同类药品重复用药设置，及相对应的柔性、刚性拦截功能，在医师开具医嘱时进行拦截，例如将A、B药设置为同类药品，刚性拦截，同一患者在3天内开具A、B药时，不可提交医嘱。</w:t>
            </w:r>
          </w:p>
          <w:p w14:paraId="7530835C">
            <w:pPr>
              <w:numPr>
                <w:ilvl w:val="0"/>
                <w:numId w:val="15"/>
              </w:numPr>
              <w:tabs>
                <w:tab w:val="left" w:pos="525"/>
                <w:tab w:val="left" w:pos="630"/>
              </w:tabs>
              <w:spacing w:line="360" w:lineRule="auto"/>
              <w:rPr>
                <w:rFonts w:ascii="宋体" w:hAnsi="宋体" w:cs="宋体"/>
                <w:color w:val="auto"/>
                <w:szCs w:val="21"/>
                <w:highlight w:val="none"/>
              </w:rPr>
            </w:pPr>
            <w:r>
              <w:rPr>
                <w:rFonts w:hint="eastAsia" w:ascii="宋体" w:hAnsi="宋体" w:cs="宋体"/>
                <w:color w:val="auto"/>
                <w:szCs w:val="21"/>
                <w:highlight w:val="none"/>
              </w:rPr>
              <w:t>支持维护药品特殊用药人群（年龄、孕妇、哺乳期、肝功能、肾功能），及相对应的柔性、刚性拦截功能，例如A药设置年龄低于5岁、刚性拦截，则医师为4岁患者开具A药时，不可提交医嘱。</w:t>
            </w:r>
          </w:p>
        </w:tc>
      </w:tr>
      <w:tr w14:paraId="690CB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69" w:type="dxa"/>
            <w:vMerge w:val="restart"/>
            <w:vAlign w:val="center"/>
          </w:tcPr>
          <w:p w14:paraId="129B351F">
            <w:pPr>
              <w:rPr>
                <w:rFonts w:ascii="宋体" w:hAnsi="宋体" w:cs="宋体"/>
                <w:color w:val="auto"/>
                <w:szCs w:val="21"/>
                <w:highlight w:val="none"/>
              </w:rPr>
            </w:pPr>
          </w:p>
        </w:tc>
        <w:tc>
          <w:tcPr>
            <w:tcW w:w="12808" w:type="dxa"/>
            <w:gridSpan w:val="4"/>
            <w:vAlign w:val="center"/>
          </w:tcPr>
          <w:p w14:paraId="115953B2">
            <w:pPr>
              <w:tabs>
                <w:tab w:val="left" w:pos="525"/>
                <w:tab w:val="left" w:pos="630"/>
              </w:tabs>
              <w:spacing w:line="360" w:lineRule="auto"/>
              <w:rPr>
                <w:rFonts w:ascii="宋体" w:hAnsi="宋体" w:cs="宋体"/>
                <w:color w:val="auto"/>
                <w:szCs w:val="21"/>
                <w:highlight w:val="none"/>
              </w:rPr>
            </w:pPr>
            <w:r>
              <w:rPr>
                <w:rFonts w:hint="eastAsia" w:ascii="宋体" w:hAnsi="宋体" w:cs="宋体"/>
                <w:color w:val="auto"/>
                <w:szCs w:val="21"/>
                <w:highlight w:val="none"/>
              </w:rPr>
              <w:t>5.11 病区三级库房设置、查询</w:t>
            </w:r>
          </w:p>
        </w:tc>
      </w:tr>
      <w:tr w14:paraId="0D454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jc w:val="center"/>
        </w:trPr>
        <w:tc>
          <w:tcPr>
            <w:tcW w:w="1069" w:type="dxa"/>
            <w:vMerge w:val="continue"/>
            <w:vAlign w:val="center"/>
          </w:tcPr>
          <w:p w14:paraId="1DBC309C">
            <w:pPr>
              <w:rPr>
                <w:rFonts w:ascii="宋体" w:hAnsi="宋体" w:cs="宋体"/>
                <w:color w:val="auto"/>
                <w:szCs w:val="21"/>
                <w:highlight w:val="none"/>
              </w:rPr>
            </w:pPr>
          </w:p>
        </w:tc>
        <w:tc>
          <w:tcPr>
            <w:tcW w:w="1439" w:type="dxa"/>
            <w:gridSpan w:val="3"/>
            <w:vAlign w:val="center"/>
          </w:tcPr>
          <w:p w14:paraId="124835B2">
            <w:pPr>
              <w:rPr>
                <w:rFonts w:ascii="宋体" w:hAnsi="宋体" w:cs="宋体"/>
                <w:color w:val="auto"/>
                <w:kern w:val="0"/>
                <w:szCs w:val="21"/>
                <w:highlight w:val="none"/>
              </w:rPr>
            </w:pPr>
            <w:r>
              <w:rPr>
                <w:rFonts w:hint="eastAsia" w:ascii="宋体" w:hAnsi="宋体" w:cs="宋体"/>
                <w:color w:val="auto"/>
                <w:kern w:val="0"/>
                <w:szCs w:val="21"/>
                <w:highlight w:val="none"/>
              </w:rPr>
              <w:t>5.11.1</w:t>
            </w:r>
          </w:p>
        </w:tc>
        <w:tc>
          <w:tcPr>
            <w:tcW w:w="11369" w:type="dxa"/>
            <w:vAlign w:val="center"/>
          </w:tcPr>
          <w:p w14:paraId="0FFA8336">
            <w:pPr>
              <w:numPr>
                <w:ilvl w:val="0"/>
                <w:numId w:val="15"/>
              </w:numPr>
              <w:tabs>
                <w:tab w:val="left" w:pos="525"/>
                <w:tab w:val="left" w:pos="630"/>
              </w:tabs>
              <w:spacing w:line="360" w:lineRule="auto"/>
              <w:rPr>
                <w:rFonts w:ascii="宋体" w:hAnsi="宋体" w:cs="宋体"/>
                <w:color w:val="auto"/>
                <w:szCs w:val="21"/>
                <w:highlight w:val="none"/>
              </w:rPr>
            </w:pPr>
            <w:r>
              <w:rPr>
                <w:rFonts w:hint="eastAsia" w:ascii="宋体" w:hAnsi="宋体" w:cs="宋体"/>
                <w:color w:val="auto"/>
                <w:szCs w:val="21"/>
                <w:highlight w:val="none"/>
              </w:rPr>
              <w:t>支持查询病区三级库房实时库存、收支明细（见4.22 病区三级库房部分），需要查询的明细包括：药品通用名、商品名、规格、库存数量、出库数量、入库数量，可按病区、日期、药品类型（西药、中成药、中草药）进行统计。</w:t>
            </w:r>
          </w:p>
          <w:p w14:paraId="1ED14C3C">
            <w:pPr>
              <w:numPr>
                <w:ilvl w:val="0"/>
                <w:numId w:val="15"/>
              </w:numPr>
              <w:tabs>
                <w:tab w:val="left" w:pos="525"/>
                <w:tab w:val="left" w:pos="630"/>
              </w:tabs>
              <w:spacing w:line="360" w:lineRule="auto"/>
              <w:rPr>
                <w:rFonts w:ascii="宋体" w:hAnsi="宋体" w:cs="宋体"/>
                <w:color w:val="auto"/>
                <w:szCs w:val="21"/>
                <w:highlight w:val="none"/>
              </w:rPr>
            </w:pPr>
            <w:r>
              <w:rPr>
                <w:rFonts w:hint="eastAsia" w:ascii="宋体" w:hAnsi="宋体" w:cs="宋体"/>
                <w:color w:val="auto"/>
                <w:szCs w:val="21"/>
                <w:highlight w:val="none"/>
              </w:rPr>
              <w:t>支持设置</w:t>
            </w:r>
            <w:r>
              <w:rPr>
                <w:rFonts w:hint="eastAsia" w:ascii="宋体" w:hAnsi="宋体" w:cs="宋体"/>
                <w:bCs/>
                <w:color w:val="auto"/>
                <w:szCs w:val="21"/>
                <w:highlight w:val="none"/>
              </w:rPr>
              <w:t>病区三级库房备用药库存基数（库存上限）功能。</w:t>
            </w:r>
          </w:p>
        </w:tc>
      </w:tr>
      <w:tr w14:paraId="256AD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1069" w:type="dxa"/>
            <w:vMerge w:val="continue"/>
            <w:vAlign w:val="center"/>
          </w:tcPr>
          <w:p w14:paraId="06BD0CA6">
            <w:pPr>
              <w:rPr>
                <w:rFonts w:ascii="宋体" w:hAnsi="宋体" w:cs="宋体"/>
                <w:color w:val="auto"/>
                <w:szCs w:val="21"/>
                <w:highlight w:val="none"/>
              </w:rPr>
            </w:pPr>
          </w:p>
        </w:tc>
        <w:tc>
          <w:tcPr>
            <w:tcW w:w="12808" w:type="dxa"/>
            <w:gridSpan w:val="4"/>
            <w:vAlign w:val="center"/>
          </w:tcPr>
          <w:p w14:paraId="05B31A19">
            <w:pPr>
              <w:tabs>
                <w:tab w:val="left" w:pos="525"/>
                <w:tab w:val="left" w:pos="630"/>
              </w:tabs>
              <w:spacing w:line="360" w:lineRule="auto"/>
              <w:rPr>
                <w:rFonts w:ascii="宋体" w:hAnsi="宋体" w:cs="宋体"/>
                <w:color w:val="auto"/>
                <w:szCs w:val="21"/>
                <w:highlight w:val="none"/>
              </w:rPr>
            </w:pPr>
            <w:r>
              <w:rPr>
                <w:rFonts w:hint="eastAsia" w:ascii="宋体" w:hAnsi="宋体" w:cs="宋体"/>
                <w:color w:val="auto"/>
                <w:szCs w:val="21"/>
                <w:highlight w:val="none"/>
              </w:rPr>
              <w:t>5.12 公告编辑推送功能</w:t>
            </w:r>
          </w:p>
        </w:tc>
      </w:tr>
      <w:tr w14:paraId="01D85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69" w:type="dxa"/>
            <w:vMerge w:val="continue"/>
            <w:vAlign w:val="center"/>
          </w:tcPr>
          <w:p w14:paraId="5836DE56">
            <w:pPr>
              <w:rPr>
                <w:rFonts w:ascii="宋体" w:hAnsi="宋体" w:cs="宋体"/>
                <w:color w:val="auto"/>
                <w:szCs w:val="21"/>
                <w:highlight w:val="none"/>
              </w:rPr>
            </w:pPr>
          </w:p>
        </w:tc>
        <w:tc>
          <w:tcPr>
            <w:tcW w:w="1439" w:type="dxa"/>
            <w:gridSpan w:val="3"/>
            <w:vAlign w:val="center"/>
          </w:tcPr>
          <w:p w14:paraId="5C682D19">
            <w:pPr>
              <w:rPr>
                <w:rFonts w:ascii="宋体" w:hAnsi="宋体" w:cs="宋体"/>
                <w:color w:val="auto"/>
                <w:kern w:val="0"/>
                <w:szCs w:val="21"/>
                <w:highlight w:val="none"/>
              </w:rPr>
            </w:pPr>
          </w:p>
        </w:tc>
        <w:tc>
          <w:tcPr>
            <w:tcW w:w="11369" w:type="dxa"/>
            <w:vAlign w:val="center"/>
          </w:tcPr>
          <w:p w14:paraId="0F9C1E7E">
            <w:pPr>
              <w:numPr>
                <w:ilvl w:val="0"/>
                <w:numId w:val="15"/>
              </w:numPr>
              <w:tabs>
                <w:tab w:val="left" w:pos="525"/>
                <w:tab w:val="left" w:pos="630"/>
              </w:tabs>
              <w:spacing w:line="360" w:lineRule="auto"/>
              <w:rPr>
                <w:rFonts w:ascii="宋体" w:hAnsi="宋体" w:cs="宋体"/>
                <w:color w:val="auto"/>
                <w:szCs w:val="21"/>
                <w:highlight w:val="none"/>
              </w:rPr>
            </w:pPr>
            <w:r>
              <w:rPr>
                <w:rFonts w:hint="eastAsia" w:ascii="宋体" w:hAnsi="宋体" w:cs="宋体"/>
                <w:bCs/>
                <w:color w:val="auto"/>
                <w:szCs w:val="21"/>
                <w:highlight w:val="none"/>
              </w:rPr>
              <w:t>支持药库发送消息公告，可选择推送至医师站或护士站，可设置保留天数。医师站或护士站首页可收到消息推送。</w:t>
            </w:r>
          </w:p>
        </w:tc>
      </w:tr>
      <w:tr w14:paraId="6FC05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069" w:type="dxa"/>
            <w:vMerge w:val="continue"/>
            <w:vAlign w:val="center"/>
          </w:tcPr>
          <w:p w14:paraId="7007288A">
            <w:pPr>
              <w:rPr>
                <w:rFonts w:ascii="宋体" w:hAnsi="宋体" w:cs="宋体"/>
                <w:color w:val="auto"/>
                <w:szCs w:val="21"/>
                <w:highlight w:val="none"/>
              </w:rPr>
            </w:pPr>
          </w:p>
        </w:tc>
        <w:tc>
          <w:tcPr>
            <w:tcW w:w="12808" w:type="dxa"/>
            <w:gridSpan w:val="4"/>
            <w:vAlign w:val="center"/>
          </w:tcPr>
          <w:p w14:paraId="10A6816D">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5.13 药品使用限制维护</w:t>
            </w:r>
          </w:p>
        </w:tc>
      </w:tr>
      <w:tr w14:paraId="7A42E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2" w:hRule="atLeast"/>
          <w:jc w:val="center"/>
        </w:trPr>
        <w:tc>
          <w:tcPr>
            <w:tcW w:w="1069" w:type="dxa"/>
            <w:vMerge w:val="restart"/>
            <w:vAlign w:val="center"/>
          </w:tcPr>
          <w:p w14:paraId="6AAEB5AE">
            <w:pPr>
              <w:rPr>
                <w:rFonts w:ascii="宋体" w:hAnsi="宋体" w:cs="宋体"/>
                <w:color w:val="auto"/>
                <w:szCs w:val="21"/>
                <w:highlight w:val="none"/>
              </w:rPr>
            </w:pPr>
          </w:p>
        </w:tc>
        <w:tc>
          <w:tcPr>
            <w:tcW w:w="1439" w:type="dxa"/>
            <w:gridSpan w:val="3"/>
            <w:vAlign w:val="center"/>
          </w:tcPr>
          <w:p w14:paraId="1FC6C692">
            <w:pPr>
              <w:rPr>
                <w:rFonts w:ascii="宋体" w:hAnsi="宋体" w:cs="宋体"/>
                <w:color w:val="auto"/>
                <w:kern w:val="0"/>
                <w:szCs w:val="21"/>
                <w:highlight w:val="none"/>
              </w:rPr>
            </w:pPr>
            <w:r>
              <w:rPr>
                <w:rFonts w:hint="eastAsia" w:ascii="宋体" w:hAnsi="宋体" w:cs="宋体"/>
                <w:color w:val="auto"/>
                <w:kern w:val="0"/>
                <w:szCs w:val="21"/>
                <w:highlight w:val="none"/>
              </w:rPr>
              <w:t>5.13.1 药品使用限制条件维护</w:t>
            </w:r>
          </w:p>
        </w:tc>
        <w:tc>
          <w:tcPr>
            <w:tcW w:w="11369" w:type="dxa"/>
            <w:vAlign w:val="center"/>
          </w:tcPr>
          <w:p w14:paraId="71FB4506">
            <w:pPr>
              <w:numPr>
                <w:ilvl w:val="0"/>
                <w:numId w:val="15"/>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支持对药品设置同时或单独限制科室、限制职称、限制患者、限制门诊/住院、限制医生，设置后满足条件方可开具药品医嘱，不满足条件不可开具。</w:t>
            </w:r>
          </w:p>
          <w:p w14:paraId="493C9D6D">
            <w:pPr>
              <w:numPr>
                <w:ilvl w:val="0"/>
                <w:numId w:val="15"/>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支持对具体医师设置某一时间范围内药品使用数量，在设置时间内开具数量达到额度后不可再开具</w:t>
            </w:r>
          </w:p>
        </w:tc>
      </w:tr>
      <w:tr w14:paraId="1014B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1069" w:type="dxa"/>
            <w:vMerge w:val="continue"/>
            <w:vAlign w:val="center"/>
          </w:tcPr>
          <w:p w14:paraId="4706551D">
            <w:pPr>
              <w:rPr>
                <w:rFonts w:ascii="宋体" w:hAnsi="宋体" w:cs="宋体"/>
                <w:color w:val="auto"/>
                <w:szCs w:val="21"/>
                <w:highlight w:val="none"/>
              </w:rPr>
            </w:pPr>
          </w:p>
        </w:tc>
        <w:tc>
          <w:tcPr>
            <w:tcW w:w="12808" w:type="dxa"/>
            <w:gridSpan w:val="4"/>
            <w:vAlign w:val="center"/>
          </w:tcPr>
          <w:p w14:paraId="3E0D5EE2">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5.14 药品属性维护</w:t>
            </w:r>
          </w:p>
        </w:tc>
      </w:tr>
      <w:tr w14:paraId="236FE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7" w:hRule="atLeast"/>
          <w:jc w:val="center"/>
        </w:trPr>
        <w:tc>
          <w:tcPr>
            <w:tcW w:w="1069" w:type="dxa"/>
            <w:vMerge w:val="continue"/>
            <w:vAlign w:val="center"/>
          </w:tcPr>
          <w:p w14:paraId="62AC7524">
            <w:pPr>
              <w:rPr>
                <w:rFonts w:ascii="宋体" w:hAnsi="宋体" w:cs="宋体"/>
                <w:color w:val="auto"/>
                <w:szCs w:val="21"/>
                <w:highlight w:val="none"/>
              </w:rPr>
            </w:pPr>
          </w:p>
        </w:tc>
        <w:tc>
          <w:tcPr>
            <w:tcW w:w="12808" w:type="dxa"/>
            <w:gridSpan w:val="4"/>
            <w:vAlign w:val="center"/>
          </w:tcPr>
          <w:p w14:paraId="74549E91">
            <w:pPr>
              <w:numPr>
                <w:ilvl w:val="0"/>
                <w:numId w:val="16"/>
              </w:numPr>
              <w:tabs>
                <w:tab w:val="left" w:pos="525"/>
                <w:tab w:val="left" w:pos="630"/>
              </w:tabs>
              <w:spacing w:line="360" w:lineRule="auto"/>
              <w:rPr>
                <w:rFonts w:ascii="宋体" w:hAnsi="宋体" w:cs="宋体"/>
                <w:color w:val="auto"/>
                <w:szCs w:val="21"/>
                <w:highlight w:val="none"/>
              </w:rPr>
            </w:pPr>
            <w:r>
              <w:rPr>
                <w:rFonts w:hint="eastAsia" w:ascii="宋体" w:hAnsi="宋体" w:cs="宋体"/>
                <w:color w:val="auto"/>
                <w:szCs w:val="21"/>
                <w:highlight w:val="none"/>
              </w:rPr>
              <w:t>支持维护通用名、商品名、剂型、剂量、单位、售价、医保控制级别、状态、本位码、批准文号、拆零追溯码次数（定制开发增加个字段）等信息，并可维护不同的附加属性</w:t>
            </w:r>
          </w:p>
          <w:p w14:paraId="1CF03E3C">
            <w:pPr>
              <w:numPr>
                <w:ilvl w:val="0"/>
                <w:numId w:val="16"/>
              </w:numPr>
              <w:tabs>
                <w:tab w:val="left" w:pos="525"/>
                <w:tab w:val="left" w:pos="630"/>
              </w:tabs>
              <w:spacing w:line="360" w:lineRule="auto"/>
              <w:rPr>
                <w:rFonts w:ascii="宋体" w:hAnsi="宋体" w:cs="宋体"/>
                <w:color w:val="auto"/>
                <w:szCs w:val="21"/>
                <w:highlight w:val="none"/>
              </w:rPr>
            </w:pPr>
            <w:r>
              <w:rPr>
                <w:rFonts w:hint="eastAsia" w:ascii="宋体" w:hAnsi="宋体" w:cs="宋体"/>
                <w:color w:val="auto"/>
                <w:szCs w:val="21"/>
                <w:highlight w:val="none"/>
              </w:rPr>
              <w:t>支持产地、剂量、用法用量、用药频率、包装单位等的维护</w:t>
            </w:r>
          </w:p>
          <w:p w14:paraId="210F9F97">
            <w:pPr>
              <w:numPr>
                <w:ilvl w:val="0"/>
                <w:numId w:val="16"/>
              </w:numPr>
              <w:tabs>
                <w:tab w:val="left" w:pos="525"/>
                <w:tab w:val="left" w:pos="630"/>
              </w:tabs>
              <w:spacing w:line="360" w:lineRule="auto"/>
              <w:rPr>
                <w:rFonts w:ascii="宋体" w:hAnsi="宋体" w:cs="宋体"/>
                <w:color w:val="auto"/>
                <w:szCs w:val="21"/>
                <w:highlight w:val="none"/>
              </w:rPr>
            </w:pPr>
            <w:r>
              <w:rPr>
                <w:rFonts w:hint="eastAsia" w:ascii="宋体" w:hAnsi="宋体" w:cs="宋体"/>
                <w:color w:val="auto"/>
                <w:szCs w:val="21"/>
                <w:highlight w:val="none"/>
              </w:rPr>
              <w:t>支持科室领用药品维护、组套药品维护、抗菌药物DDD值维护、皮试药品维护等</w:t>
            </w:r>
          </w:p>
          <w:p w14:paraId="317BA2C9">
            <w:pPr>
              <w:numPr>
                <w:ilvl w:val="0"/>
                <w:numId w:val="16"/>
              </w:numPr>
              <w:tabs>
                <w:tab w:val="left" w:pos="525"/>
                <w:tab w:val="left" w:pos="630"/>
              </w:tabs>
              <w:spacing w:line="360" w:lineRule="auto"/>
              <w:rPr>
                <w:rFonts w:ascii="宋体" w:hAnsi="宋体" w:cs="宋体"/>
                <w:color w:val="auto"/>
                <w:szCs w:val="21"/>
                <w:highlight w:val="none"/>
              </w:rPr>
            </w:pPr>
            <w:r>
              <w:rPr>
                <w:rFonts w:hint="eastAsia" w:ascii="宋体" w:hAnsi="宋体" w:cs="宋体"/>
                <w:color w:val="auto"/>
                <w:szCs w:val="21"/>
                <w:highlight w:val="none"/>
              </w:rPr>
              <w:t>支持用药交代维护，且与药房打印的用药交代说明书相关联</w:t>
            </w:r>
          </w:p>
          <w:p w14:paraId="49C31C37">
            <w:pPr>
              <w:numPr>
                <w:ilvl w:val="0"/>
                <w:numId w:val="16"/>
              </w:numPr>
              <w:tabs>
                <w:tab w:val="left" w:pos="525"/>
                <w:tab w:val="left" w:pos="630"/>
              </w:tabs>
              <w:spacing w:line="360" w:lineRule="auto"/>
              <w:rPr>
                <w:rFonts w:ascii="宋体" w:hAnsi="宋体" w:cs="宋体"/>
                <w:bCs/>
                <w:color w:val="auto"/>
                <w:szCs w:val="21"/>
                <w:highlight w:val="none"/>
              </w:rPr>
            </w:pPr>
            <w:r>
              <w:rPr>
                <w:rFonts w:hint="eastAsia" w:ascii="宋体" w:hAnsi="宋体" w:cs="宋体"/>
                <w:color w:val="auto"/>
                <w:szCs w:val="21"/>
                <w:highlight w:val="none"/>
              </w:rPr>
              <w:t>支持“双通道”、“深圳市电子处方”等处方流转平台的药品品种维护</w:t>
            </w:r>
          </w:p>
        </w:tc>
      </w:tr>
      <w:tr w14:paraId="4C139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jc w:val="center"/>
        </w:trPr>
        <w:tc>
          <w:tcPr>
            <w:tcW w:w="1069" w:type="dxa"/>
            <w:vAlign w:val="center"/>
          </w:tcPr>
          <w:p w14:paraId="5E625B79">
            <w:pPr>
              <w:rPr>
                <w:rFonts w:ascii="宋体" w:hAnsi="宋体" w:cs="宋体"/>
                <w:color w:val="auto"/>
                <w:szCs w:val="21"/>
                <w:highlight w:val="none"/>
              </w:rPr>
            </w:pPr>
          </w:p>
        </w:tc>
        <w:tc>
          <w:tcPr>
            <w:tcW w:w="12808" w:type="dxa"/>
            <w:gridSpan w:val="4"/>
            <w:vAlign w:val="center"/>
          </w:tcPr>
          <w:p w14:paraId="579D66CD">
            <w:pPr>
              <w:tabs>
                <w:tab w:val="left" w:pos="525"/>
                <w:tab w:val="left" w:pos="630"/>
              </w:tabs>
              <w:spacing w:line="360" w:lineRule="auto"/>
              <w:rPr>
                <w:rFonts w:ascii="宋体" w:hAnsi="宋体" w:cs="宋体"/>
                <w:color w:val="auto"/>
                <w:highlight w:val="none"/>
              </w:rPr>
            </w:pPr>
            <w:r>
              <w:rPr>
                <w:rFonts w:hint="eastAsia" w:ascii="宋体" w:hAnsi="宋体" w:cs="宋体"/>
                <w:color w:val="auto"/>
                <w:highlight w:val="none"/>
              </w:rPr>
              <w:t>5.14 药品招标信息维护</w:t>
            </w:r>
          </w:p>
        </w:tc>
      </w:tr>
      <w:tr w14:paraId="54847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 w:hRule="atLeast"/>
          <w:jc w:val="center"/>
        </w:trPr>
        <w:tc>
          <w:tcPr>
            <w:tcW w:w="1069" w:type="dxa"/>
            <w:vMerge w:val="restart"/>
            <w:vAlign w:val="center"/>
          </w:tcPr>
          <w:p w14:paraId="35A3DEAF">
            <w:pPr>
              <w:rPr>
                <w:rFonts w:ascii="宋体" w:hAnsi="宋体" w:cs="宋体"/>
                <w:color w:val="auto"/>
                <w:szCs w:val="21"/>
                <w:highlight w:val="none"/>
              </w:rPr>
            </w:pPr>
          </w:p>
        </w:tc>
        <w:tc>
          <w:tcPr>
            <w:tcW w:w="1367" w:type="dxa"/>
            <w:vAlign w:val="center"/>
          </w:tcPr>
          <w:p w14:paraId="579B5545">
            <w:pPr>
              <w:tabs>
                <w:tab w:val="left" w:pos="525"/>
                <w:tab w:val="left" w:pos="630"/>
              </w:tabs>
              <w:spacing w:line="360" w:lineRule="auto"/>
              <w:rPr>
                <w:rFonts w:ascii="宋体" w:hAnsi="宋体" w:cs="宋体"/>
                <w:color w:val="auto"/>
                <w:highlight w:val="none"/>
              </w:rPr>
            </w:pPr>
            <w:r>
              <w:rPr>
                <w:rFonts w:hint="eastAsia" w:ascii="宋体" w:hAnsi="宋体" w:cs="宋体"/>
                <w:color w:val="auto"/>
                <w:highlight w:val="none"/>
              </w:rPr>
              <w:t>5.14.1 招标信息维护</w:t>
            </w:r>
          </w:p>
        </w:tc>
        <w:tc>
          <w:tcPr>
            <w:tcW w:w="11441" w:type="dxa"/>
            <w:gridSpan w:val="3"/>
            <w:vAlign w:val="center"/>
          </w:tcPr>
          <w:p w14:paraId="114110BC">
            <w:pPr>
              <w:numPr>
                <w:ilvl w:val="0"/>
                <w:numId w:val="16"/>
              </w:numPr>
              <w:tabs>
                <w:tab w:val="left" w:pos="525"/>
                <w:tab w:val="left" w:pos="630"/>
              </w:tabs>
              <w:spacing w:line="360" w:lineRule="auto"/>
              <w:rPr>
                <w:rFonts w:ascii="宋体" w:hAnsi="宋体" w:cs="宋体"/>
                <w:color w:val="auto"/>
                <w:highlight w:val="none"/>
              </w:rPr>
            </w:pPr>
            <w:r>
              <w:rPr>
                <w:rFonts w:hint="eastAsia" w:ascii="宋体" w:hAnsi="宋体" w:cs="宋体"/>
                <w:color w:val="auto"/>
                <w:highlight w:val="none"/>
              </w:rPr>
              <w:t>支持维护药品进价、售价、产地、来源、开始时间、终止时间、包装量</w:t>
            </w:r>
          </w:p>
        </w:tc>
      </w:tr>
      <w:tr w14:paraId="34ED0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7" w:hRule="atLeast"/>
          <w:jc w:val="center"/>
        </w:trPr>
        <w:tc>
          <w:tcPr>
            <w:tcW w:w="1069" w:type="dxa"/>
            <w:vMerge w:val="continue"/>
            <w:vAlign w:val="center"/>
          </w:tcPr>
          <w:p w14:paraId="043520B5">
            <w:pPr>
              <w:rPr>
                <w:rFonts w:ascii="宋体" w:hAnsi="宋体" w:cs="宋体"/>
                <w:color w:val="auto"/>
                <w:szCs w:val="21"/>
                <w:highlight w:val="none"/>
              </w:rPr>
            </w:pPr>
          </w:p>
        </w:tc>
        <w:tc>
          <w:tcPr>
            <w:tcW w:w="12808" w:type="dxa"/>
            <w:gridSpan w:val="4"/>
            <w:vAlign w:val="center"/>
          </w:tcPr>
          <w:p w14:paraId="53A37E90">
            <w:pPr>
              <w:tabs>
                <w:tab w:val="left" w:pos="525"/>
                <w:tab w:val="left" w:pos="630"/>
              </w:tabs>
              <w:spacing w:line="360" w:lineRule="auto"/>
              <w:rPr>
                <w:rFonts w:ascii="宋体" w:hAnsi="宋体" w:cs="宋体"/>
                <w:color w:val="auto"/>
                <w:highlight w:val="none"/>
              </w:rPr>
            </w:pPr>
            <w:r>
              <w:rPr>
                <w:rFonts w:hint="eastAsia" w:ascii="宋体" w:hAnsi="宋体" w:cs="宋体"/>
                <w:color w:val="auto"/>
                <w:highlight w:val="none"/>
              </w:rPr>
              <w:t>5.15 药品停用维护</w:t>
            </w:r>
          </w:p>
        </w:tc>
      </w:tr>
      <w:tr w14:paraId="24568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2" w:hRule="atLeast"/>
          <w:jc w:val="center"/>
        </w:trPr>
        <w:tc>
          <w:tcPr>
            <w:tcW w:w="1069" w:type="dxa"/>
            <w:vMerge w:val="continue"/>
            <w:vAlign w:val="center"/>
          </w:tcPr>
          <w:p w14:paraId="65C21177">
            <w:pPr>
              <w:rPr>
                <w:rFonts w:ascii="宋体" w:hAnsi="宋体" w:cs="宋体"/>
                <w:color w:val="auto"/>
                <w:szCs w:val="21"/>
                <w:highlight w:val="none"/>
              </w:rPr>
            </w:pPr>
          </w:p>
        </w:tc>
        <w:tc>
          <w:tcPr>
            <w:tcW w:w="1367" w:type="dxa"/>
            <w:vAlign w:val="center"/>
          </w:tcPr>
          <w:p w14:paraId="5BF3DF24">
            <w:pPr>
              <w:tabs>
                <w:tab w:val="left" w:pos="525"/>
                <w:tab w:val="left" w:pos="630"/>
              </w:tabs>
              <w:spacing w:line="360" w:lineRule="auto"/>
              <w:rPr>
                <w:rFonts w:ascii="宋体" w:hAnsi="宋体" w:cs="宋体"/>
                <w:color w:val="auto"/>
                <w:highlight w:val="none"/>
              </w:rPr>
            </w:pPr>
            <w:r>
              <w:rPr>
                <w:rFonts w:hint="eastAsia" w:ascii="宋体" w:hAnsi="宋体" w:cs="宋体"/>
                <w:color w:val="auto"/>
                <w:highlight w:val="none"/>
              </w:rPr>
              <w:t>5.15.1 药品停用功能维护</w:t>
            </w:r>
          </w:p>
        </w:tc>
        <w:tc>
          <w:tcPr>
            <w:tcW w:w="11441" w:type="dxa"/>
            <w:gridSpan w:val="3"/>
            <w:vAlign w:val="center"/>
          </w:tcPr>
          <w:p w14:paraId="41D60839">
            <w:pPr>
              <w:numPr>
                <w:ilvl w:val="0"/>
                <w:numId w:val="16"/>
              </w:numPr>
              <w:tabs>
                <w:tab w:val="left" w:pos="525"/>
                <w:tab w:val="left" w:pos="630"/>
              </w:tabs>
              <w:spacing w:line="360" w:lineRule="auto"/>
              <w:rPr>
                <w:rFonts w:ascii="宋体" w:hAnsi="宋体" w:cs="宋体"/>
                <w:color w:val="auto"/>
                <w:highlight w:val="none"/>
              </w:rPr>
            </w:pPr>
            <w:r>
              <w:rPr>
                <w:rFonts w:hint="eastAsia" w:ascii="宋体" w:hAnsi="宋体" w:cs="宋体"/>
                <w:color w:val="auto"/>
                <w:highlight w:val="none"/>
              </w:rPr>
              <w:t>支持修改药品状态，设置为“停用”后，相当于作废状态，不可执行出库、入库等操作，医师端不可开具</w:t>
            </w:r>
          </w:p>
        </w:tc>
      </w:tr>
      <w:tr w14:paraId="5D7EB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069" w:type="dxa"/>
            <w:vMerge w:val="continue"/>
            <w:vAlign w:val="center"/>
          </w:tcPr>
          <w:p w14:paraId="65D563B1">
            <w:pPr>
              <w:rPr>
                <w:rFonts w:ascii="宋体" w:hAnsi="宋体" w:cs="宋体"/>
                <w:color w:val="auto"/>
                <w:szCs w:val="21"/>
                <w:highlight w:val="none"/>
              </w:rPr>
            </w:pPr>
          </w:p>
        </w:tc>
        <w:tc>
          <w:tcPr>
            <w:tcW w:w="12808" w:type="dxa"/>
            <w:gridSpan w:val="4"/>
            <w:vAlign w:val="center"/>
          </w:tcPr>
          <w:p w14:paraId="1B88B59E">
            <w:pPr>
              <w:tabs>
                <w:tab w:val="left" w:pos="525"/>
                <w:tab w:val="left" w:pos="630"/>
              </w:tabs>
              <w:spacing w:line="360" w:lineRule="auto"/>
              <w:rPr>
                <w:rFonts w:ascii="宋体" w:hAnsi="宋体" w:cs="宋体"/>
                <w:color w:val="auto"/>
                <w:highlight w:val="none"/>
              </w:rPr>
            </w:pPr>
            <w:r>
              <w:rPr>
                <w:rFonts w:hint="eastAsia" w:ascii="宋体" w:hAnsi="宋体" w:cs="宋体"/>
                <w:color w:val="auto"/>
                <w:highlight w:val="none"/>
              </w:rPr>
              <w:t>5.16 报表查询</w:t>
            </w:r>
          </w:p>
        </w:tc>
      </w:tr>
      <w:tr w14:paraId="2B965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7" w:hRule="atLeast"/>
          <w:jc w:val="center"/>
        </w:trPr>
        <w:tc>
          <w:tcPr>
            <w:tcW w:w="1069" w:type="dxa"/>
            <w:vMerge w:val="continue"/>
            <w:vAlign w:val="center"/>
          </w:tcPr>
          <w:p w14:paraId="0318ECC5">
            <w:pPr>
              <w:rPr>
                <w:rFonts w:ascii="宋体" w:hAnsi="宋体" w:cs="宋体"/>
                <w:color w:val="auto"/>
                <w:szCs w:val="21"/>
                <w:highlight w:val="none"/>
              </w:rPr>
            </w:pPr>
          </w:p>
        </w:tc>
        <w:tc>
          <w:tcPr>
            <w:tcW w:w="1367" w:type="dxa"/>
            <w:vAlign w:val="center"/>
          </w:tcPr>
          <w:p w14:paraId="460E4199">
            <w:pPr>
              <w:tabs>
                <w:tab w:val="left" w:pos="525"/>
                <w:tab w:val="left" w:pos="630"/>
              </w:tabs>
              <w:spacing w:line="360" w:lineRule="auto"/>
              <w:rPr>
                <w:rFonts w:ascii="宋体" w:hAnsi="宋体" w:cs="宋体"/>
                <w:color w:val="auto"/>
                <w:highlight w:val="none"/>
              </w:rPr>
            </w:pPr>
            <w:r>
              <w:rPr>
                <w:rFonts w:hint="eastAsia" w:ascii="宋体" w:hAnsi="宋体" w:cs="宋体"/>
                <w:color w:val="auto"/>
                <w:highlight w:val="none"/>
              </w:rPr>
              <w:t>5.16.1 报表统计</w:t>
            </w:r>
          </w:p>
        </w:tc>
        <w:tc>
          <w:tcPr>
            <w:tcW w:w="11441" w:type="dxa"/>
            <w:gridSpan w:val="3"/>
            <w:vAlign w:val="center"/>
          </w:tcPr>
          <w:p w14:paraId="3A4A0C5C">
            <w:pPr>
              <w:numPr>
                <w:ilvl w:val="0"/>
                <w:numId w:val="16"/>
              </w:numPr>
              <w:rPr>
                <w:rFonts w:ascii="宋体" w:hAnsi="宋体" w:cs="宋体"/>
                <w:color w:val="auto"/>
                <w:highlight w:val="none"/>
              </w:rPr>
            </w:pPr>
            <w:r>
              <w:rPr>
                <w:rFonts w:hint="eastAsia" w:ascii="宋体" w:hAnsi="宋体" w:cs="宋体"/>
                <w:color w:val="auto"/>
                <w:highlight w:val="none"/>
              </w:rPr>
              <w:t>支持统计出入库明细按金额查询、药库按时间查询、药库入出库按分类查询、药库入出库按金额查询、药库出库按部门分类报表、按部门查询出库记录、药库药品金额支付明细表、入库各类明细报表、出库各类明细报表、支出各类明细报表、调价各类明细报表等，且报表均可导出、打印。</w:t>
            </w:r>
          </w:p>
          <w:p w14:paraId="27F61617">
            <w:pPr>
              <w:tabs>
                <w:tab w:val="left" w:pos="525"/>
                <w:tab w:val="left" w:pos="630"/>
              </w:tabs>
              <w:spacing w:line="360" w:lineRule="auto"/>
              <w:rPr>
                <w:rFonts w:ascii="宋体" w:hAnsi="宋体" w:cs="宋体"/>
                <w:color w:val="auto"/>
                <w:highlight w:val="none"/>
              </w:rPr>
            </w:pPr>
            <w:r>
              <w:rPr>
                <w:rFonts w:hint="eastAsia" w:ascii="宋体" w:hAnsi="宋体" w:cs="宋体"/>
                <w:color w:val="auto"/>
                <w:highlight w:val="none"/>
              </w:rPr>
              <w:t>按时间查询</w:t>
            </w:r>
          </w:p>
          <w:p w14:paraId="338BC887">
            <w:pPr>
              <w:tabs>
                <w:tab w:val="left" w:pos="525"/>
                <w:tab w:val="left" w:pos="630"/>
              </w:tabs>
              <w:spacing w:line="360" w:lineRule="auto"/>
              <w:rPr>
                <w:rFonts w:ascii="宋体" w:hAnsi="宋体" w:cs="宋体"/>
                <w:color w:val="auto"/>
                <w:highlight w:val="none"/>
              </w:rPr>
            </w:pPr>
            <w:r>
              <w:rPr>
                <w:rFonts w:hint="eastAsia" w:ascii="宋体" w:hAnsi="宋体" w:cs="宋体"/>
                <w:color w:val="auto"/>
                <w:highlight w:val="none"/>
              </w:rPr>
              <w:t>出入库按金额查询</w:t>
            </w:r>
          </w:p>
          <w:p w14:paraId="3C6AA438">
            <w:pPr>
              <w:tabs>
                <w:tab w:val="left" w:pos="525"/>
                <w:tab w:val="left" w:pos="630"/>
              </w:tabs>
              <w:spacing w:line="360" w:lineRule="auto"/>
              <w:rPr>
                <w:rFonts w:ascii="宋体" w:hAnsi="宋体" w:cs="宋体"/>
                <w:color w:val="auto"/>
                <w:highlight w:val="none"/>
              </w:rPr>
            </w:pPr>
            <w:r>
              <w:rPr>
                <w:rFonts w:hint="eastAsia" w:ascii="宋体" w:hAnsi="宋体" w:cs="宋体"/>
                <w:color w:val="auto"/>
                <w:highlight w:val="none"/>
              </w:rPr>
              <w:t>按部门查询出入库记录</w:t>
            </w:r>
          </w:p>
          <w:p w14:paraId="5BCB71D9">
            <w:pPr>
              <w:tabs>
                <w:tab w:val="left" w:pos="525"/>
                <w:tab w:val="left" w:pos="630"/>
              </w:tabs>
              <w:spacing w:line="360" w:lineRule="auto"/>
              <w:rPr>
                <w:rFonts w:ascii="宋体" w:hAnsi="宋体" w:cs="宋体"/>
                <w:color w:val="auto"/>
                <w:highlight w:val="none"/>
              </w:rPr>
            </w:pPr>
            <w:r>
              <w:rPr>
                <w:rFonts w:hint="eastAsia" w:ascii="宋体" w:hAnsi="宋体" w:cs="宋体"/>
                <w:color w:val="auto"/>
                <w:highlight w:val="none"/>
              </w:rPr>
              <w:t>入出库各类明细报表</w:t>
            </w:r>
          </w:p>
        </w:tc>
      </w:tr>
      <w:tr w14:paraId="4272F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8" w:hRule="atLeast"/>
          <w:jc w:val="center"/>
        </w:trPr>
        <w:tc>
          <w:tcPr>
            <w:tcW w:w="1069" w:type="dxa"/>
            <w:vMerge w:val="continue"/>
            <w:vAlign w:val="center"/>
          </w:tcPr>
          <w:p w14:paraId="61EA7279">
            <w:pPr>
              <w:rPr>
                <w:rFonts w:ascii="宋体" w:hAnsi="宋体" w:cs="宋体"/>
                <w:color w:val="auto"/>
                <w:szCs w:val="21"/>
                <w:highlight w:val="none"/>
              </w:rPr>
            </w:pPr>
          </w:p>
        </w:tc>
        <w:tc>
          <w:tcPr>
            <w:tcW w:w="1367" w:type="dxa"/>
            <w:vAlign w:val="center"/>
          </w:tcPr>
          <w:p w14:paraId="3AC63C5F">
            <w:pPr>
              <w:tabs>
                <w:tab w:val="left" w:pos="525"/>
                <w:tab w:val="left" w:pos="630"/>
              </w:tabs>
              <w:spacing w:line="360" w:lineRule="auto"/>
              <w:rPr>
                <w:rFonts w:ascii="宋体" w:hAnsi="宋体" w:cs="宋体"/>
                <w:color w:val="auto"/>
                <w:highlight w:val="none"/>
              </w:rPr>
            </w:pPr>
            <w:r>
              <w:rPr>
                <w:rFonts w:hint="eastAsia" w:ascii="宋体" w:hAnsi="宋体" w:cs="宋体"/>
                <w:color w:val="auto"/>
                <w:highlight w:val="none"/>
              </w:rPr>
              <w:t>5.16.2 药品库存量查询</w:t>
            </w:r>
          </w:p>
        </w:tc>
        <w:tc>
          <w:tcPr>
            <w:tcW w:w="11441" w:type="dxa"/>
            <w:gridSpan w:val="3"/>
            <w:vAlign w:val="center"/>
          </w:tcPr>
          <w:p w14:paraId="6527445D">
            <w:pPr>
              <w:numPr>
                <w:ilvl w:val="0"/>
                <w:numId w:val="16"/>
              </w:numPr>
              <w:tabs>
                <w:tab w:val="left" w:pos="525"/>
                <w:tab w:val="left" w:pos="630"/>
              </w:tabs>
              <w:spacing w:line="360" w:lineRule="auto"/>
              <w:rPr>
                <w:rFonts w:ascii="宋体" w:hAnsi="宋体" w:cs="宋体"/>
                <w:color w:val="auto"/>
                <w:highlight w:val="none"/>
              </w:rPr>
            </w:pPr>
            <w:r>
              <w:rPr>
                <w:rFonts w:hint="eastAsia" w:ascii="宋体" w:hAnsi="宋体" w:cs="宋体"/>
                <w:color w:val="auto"/>
                <w:highlight w:val="none"/>
              </w:rPr>
              <w:t>可按照药品类型（西药、中成药、饮片、配方颗粒、破壁饮片）统计实时库存量</w:t>
            </w:r>
          </w:p>
        </w:tc>
      </w:tr>
      <w:tr w14:paraId="758ED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1069" w:type="dxa"/>
            <w:vAlign w:val="center"/>
          </w:tcPr>
          <w:p w14:paraId="58D14E88">
            <w:pPr>
              <w:rPr>
                <w:rFonts w:ascii="宋体" w:hAnsi="宋体" w:cs="宋体"/>
                <w:color w:val="auto"/>
                <w:szCs w:val="21"/>
                <w:highlight w:val="none"/>
              </w:rPr>
            </w:pPr>
          </w:p>
        </w:tc>
        <w:tc>
          <w:tcPr>
            <w:tcW w:w="12808" w:type="dxa"/>
            <w:gridSpan w:val="4"/>
            <w:vAlign w:val="center"/>
          </w:tcPr>
          <w:p w14:paraId="24F7ABBA">
            <w:pPr>
              <w:tabs>
                <w:tab w:val="left" w:pos="525"/>
                <w:tab w:val="left" w:pos="630"/>
              </w:tabs>
              <w:spacing w:line="360" w:lineRule="auto"/>
              <w:rPr>
                <w:rFonts w:ascii="宋体" w:hAnsi="宋体" w:cs="宋体"/>
                <w:color w:val="auto"/>
                <w:highlight w:val="none"/>
              </w:rPr>
            </w:pPr>
            <w:r>
              <w:rPr>
                <w:rFonts w:hint="eastAsia" w:ascii="宋体" w:hAnsi="宋体" w:cs="宋体"/>
                <w:color w:val="auto"/>
                <w:highlight w:val="none"/>
              </w:rPr>
              <w:t>5.17 临购药品使用限制维护功能</w:t>
            </w:r>
          </w:p>
        </w:tc>
      </w:tr>
      <w:tr w14:paraId="051F4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8" w:hRule="atLeast"/>
          <w:jc w:val="center"/>
        </w:trPr>
        <w:tc>
          <w:tcPr>
            <w:tcW w:w="1069" w:type="dxa"/>
            <w:vAlign w:val="center"/>
          </w:tcPr>
          <w:p w14:paraId="1A49D4B3">
            <w:pPr>
              <w:rPr>
                <w:rFonts w:ascii="宋体" w:hAnsi="宋体" w:cs="宋体"/>
                <w:color w:val="auto"/>
                <w:szCs w:val="21"/>
                <w:highlight w:val="none"/>
              </w:rPr>
            </w:pPr>
          </w:p>
        </w:tc>
        <w:tc>
          <w:tcPr>
            <w:tcW w:w="1367" w:type="dxa"/>
            <w:vAlign w:val="center"/>
          </w:tcPr>
          <w:p w14:paraId="641FD21F">
            <w:pPr>
              <w:tabs>
                <w:tab w:val="left" w:pos="525"/>
                <w:tab w:val="left" w:pos="630"/>
              </w:tabs>
              <w:spacing w:line="360" w:lineRule="auto"/>
              <w:rPr>
                <w:rFonts w:ascii="宋体" w:hAnsi="宋体" w:cs="宋体"/>
                <w:color w:val="auto"/>
                <w:highlight w:val="none"/>
              </w:rPr>
            </w:pPr>
            <w:r>
              <w:rPr>
                <w:rFonts w:hint="eastAsia" w:ascii="宋体" w:hAnsi="宋体" w:cs="宋体"/>
                <w:color w:val="auto"/>
                <w:highlight w:val="none"/>
              </w:rPr>
              <w:t>5.17.1 临购药品使用限制维护</w:t>
            </w:r>
          </w:p>
        </w:tc>
        <w:tc>
          <w:tcPr>
            <w:tcW w:w="11441" w:type="dxa"/>
            <w:gridSpan w:val="3"/>
            <w:vAlign w:val="center"/>
          </w:tcPr>
          <w:p w14:paraId="5CAAE241">
            <w:pPr>
              <w:tabs>
                <w:tab w:val="left" w:pos="525"/>
                <w:tab w:val="left" w:pos="630"/>
              </w:tabs>
              <w:spacing w:line="360" w:lineRule="auto"/>
              <w:rPr>
                <w:rFonts w:ascii="宋体" w:hAnsi="宋体" w:cs="宋体"/>
                <w:color w:val="auto"/>
                <w:highlight w:val="none"/>
              </w:rPr>
            </w:pPr>
            <w:r>
              <w:rPr>
                <w:rFonts w:hint="eastAsia" w:ascii="宋体" w:hAnsi="宋体" w:cs="宋体"/>
                <w:color w:val="auto"/>
                <w:szCs w:val="21"/>
                <w:highlight w:val="none"/>
              </w:rPr>
              <w:t>1、提供可维护界面并可导出成EXECL表格。包含：门诊卡号/住院号（手输）、YPID（手输）、通用名（自动显示）、厂家（自动显示）、规格（自动显示）、使用区域（选择框：门诊/病区/全院）、可使用最小单位数量（手输，整数）、已使用最小单位数量（系统实时自动计算）、状态（选择框：正常/停用）</w:t>
            </w:r>
            <w:r>
              <w:rPr>
                <w:rFonts w:hint="eastAsia" w:ascii="宋体" w:hAnsi="宋体" w:cs="宋体"/>
                <w:color w:val="auto"/>
                <w:szCs w:val="21"/>
                <w:highlight w:val="none"/>
              </w:rPr>
              <w:br w:type="textWrapping"/>
            </w:r>
            <w:r>
              <w:rPr>
                <w:rFonts w:hint="eastAsia" w:ascii="宋体" w:hAnsi="宋体" w:cs="宋体"/>
                <w:color w:val="auto"/>
                <w:szCs w:val="21"/>
                <w:highlight w:val="none"/>
              </w:rPr>
              <w:t>2、设置停用键，可停用1中的整条信息。设置搜索框，包括搜索门诊卡号/住院号、YPID、通用名、使用区域、状态。</w:t>
            </w:r>
            <w:r>
              <w:rPr>
                <w:rFonts w:hint="eastAsia" w:ascii="宋体" w:hAnsi="宋体" w:cs="宋体"/>
                <w:color w:val="auto"/>
                <w:szCs w:val="21"/>
                <w:highlight w:val="none"/>
              </w:rPr>
              <w:br w:type="textWrapping"/>
            </w:r>
            <w:r>
              <w:rPr>
                <w:rFonts w:hint="eastAsia" w:ascii="宋体" w:hAnsi="宋体" w:cs="宋体"/>
                <w:color w:val="auto"/>
                <w:szCs w:val="21"/>
                <w:highlight w:val="none"/>
              </w:rPr>
              <w:t>3、当某药品的YPID在open-his中维护且状态为正常时，该药品仅能由维护的门诊卡号或住院号开具。其他患者选择该药时提示：XX药品属于临购药品，专人专用，如需使用，请走OA-药品临时采购申请。</w:t>
            </w:r>
            <w:r>
              <w:rPr>
                <w:rFonts w:hint="eastAsia" w:ascii="宋体" w:hAnsi="宋体" w:cs="宋体"/>
                <w:color w:val="auto"/>
                <w:szCs w:val="21"/>
                <w:highlight w:val="none"/>
              </w:rPr>
              <w:br w:type="textWrapping"/>
            </w:r>
            <w:r>
              <w:rPr>
                <w:rFonts w:hint="eastAsia" w:ascii="宋体" w:hAnsi="宋体" w:cs="宋体"/>
                <w:color w:val="auto"/>
                <w:szCs w:val="21"/>
                <w:highlight w:val="none"/>
              </w:rPr>
              <w:t>4、当申请患者的可使用最小单位数量＜已使用最小单位数量，该患者再次收费时，不可收费并提示：该患者已使用完申请数量，请医生再次申请临购。</w:t>
            </w:r>
          </w:p>
        </w:tc>
      </w:tr>
    </w:tbl>
    <w:p w14:paraId="51BA8989">
      <w:pPr>
        <w:rPr>
          <w:color w:val="auto"/>
          <w:highlight w:val="none"/>
        </w:rPr>
      </w:pPr>
    </w:p>
    <w:p w14:paraId="4D9F5BAC">
      <w:pPr>
        <w:rPr>
          <w:color w:val="auto"/>
          <w:highlight w:val="none"/>
        </w:rPr>
      </w:pPr>
    </w:p>
    <w:p w14:paraId="758CA3C8">
      <w:pPr>
        <w:pStyle w:val="4"/>
        <w:numPr>
          <w:ilvl w:val="2"/>
          <w:numId w:val="9"/>
        </w:numPr>
        <w:spacing w:before="0" w:after="0" w:line="360" w:lineRule="auto"/>
        <w:ind w:left="567" w:hanging="567"/>
        <w:rPr>
          <w:color w:val="auto"/>
          <w:sz w:val="24"/>
          <w:highlight w:val="none"/>
        </w:rPr>
      </w:pPr>
      <w:r>
        <w:rPr>
          <w:rFonts w:hint="eastAsia" w:eastAsia="宋体"/>
          <w:color w:val="auto"/>
          <w:kern w:val="2"/>
          <w:sz w:val="24"/>
          <w:szCs w:val="24"/>
          <w:highlight w:val="none"/>
        </w:rPr>
        <w:t>门诊药房系统建设需求</w:t>
      </w:r>
    </w:p>
    <w:tbl>
      <w:tblPr>
        <w:tblStyle w:val="43"/>
        <w:tblW w:w="14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668"/>
        <w:gridCol w:w="46"/>
        <w:gridCol w:w="11609"/>
      </w:tblGrid>
      <w:tr w14:paraId="05E51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vAlign w:val="center"/>
          </w:tcPr>
          <w:p w14:paraId="6F4B6DD9">
            <w:pPr>
              <w:jc w:val="center"/>
              <w:rPr>
                <w:rFonts w:ascii="宋体" w:hAnsi="宋体" w:cs="宋体"/>
                <w:color w:val="auto"/>
                <w:szCs w:val="21"/>
                <w:highlight w:val="none"/>
              </w:rPr>
            </w:pPr>
            <w:r>
              <w:rPr>
                <w:rFonts w:hint="eastAsia" w:ascii="宋体" w:hAnsi="宋体" w:cs="宋体"/>
                <w:color w:val="auto"/>
                <w:kern w:val="0"/>
                <w:szCs w:val="21"/>
                <w:highlight w:val="none"/>
              </w:rPr>
              <w:t>需求名称</w:t>
            </w:r>
          </w:p>
        </w:tc>
        <w:tc>
          <w:tcPr>
            <w:tcW w:w="1238" w:type="dxa"/>
            <w:vAlign w:val="center"/>
          </w:tcPr>
          <w:p w14:paraId="5C77B9DD">
            <w:pPr>
              <w:jc w:val="center"/>
              <w:rPr>
                <w:rFonts w:ascii="宋体" w:hAnsi="宋体" w:cs="宋体"/>
                <w:color w:val="auto"/>
                <w:sz w:val="22"/>
                <w:szCs w:val="22"/>
                <w:highlight w:val="none"/>
              </w:rPr>
            </w:pPr>
            <w:r>
              <w:rPr>
                <w:rFonts w:hint="eastAsia" w:ascii="宋体" w:hAnsi="宋体" w:cs="宋体"/>
                <w:color w:val="auto"/>
                <w:kern w:val="0"/>
                <w:szCs w:val="21"/>
                <w:highlight w:val="none"/>
              </w:rPr>
              <w:t>序号</w:t>
            </w:r>
          </w:p>
        </w:tc>
        <w:tc>
          <w:tcPr>
            <w:tcW w:w="12085" w:type="dxa"/>
            <w:gridSpan w:val="2"/>
            <w:vAlign w:val="center"/>
          </w:tcPr>
          <w:p w14:paraId="57C5EF88">
            <w:pPr>
              <w:jc w:val="center"/>
              <w:rPr>
                <w:rFonts w:ascii="宋体" w:hAnsi="宋体" w:cs="宋体"/>
                <w:color w:val="auto"/>
                <w:sz w:val="22"/>
                <w:szCs w:val="22"/>
                <w:highlight w:val="none"/>
              </w:rPr>
            </w:pPr>
            <w:r>
              <w:rPr>
                <w:rFonts w:hint="eastAsia" w:ascii="宋体" w:hAnsi="宋体" w:cs="宋体"/>
                <w:color w:val="auto"/>
                <w:kern w:val="0"/>
                <w:szCs w:val="21"/>
                <w:highlight w:val="none"/>
              </w:rPr>
              <w:t>需求描述</w:t>
            </w:r>
          </w:p>
        </w:tc>
      </w:tr>
      <w:tr w14:paraId="12688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174" w:type="dxa"/>
            <w:gridSpan w:val="4"/>
            <w:vAlign w:val="center"/>
          </w:tcPr>
          <w:p w14:paraId="2DD1CFFE">
            <w:pPr>
              <w:rPr>
                <w:rFonts w:ascii="宋体" w:hAnsi="宋体" w:cs="宋体"/>
                <w:color w:val="auto"/>
                <w:sz w:val="22"/>
                <w:szCs w:val="22"/>
                <w:highlight w:val="none"/>
              </w:rPr>
            </w:pPr>
            <w:r>
              <w:rPr>
                <w:rFonts w:hint="eastAsia" w:ascii="宋体" w:hAnsi="宋体" w:cs="宋体"/>
                <w:color w:val="auto"/>
                <w:sz w:val="22"/>
                <w:szCs w:val="22"/>
                <w:highlight w:val="none"/>
              </w:rPr>
              <w:t>门诊药房系统需满足以下日常业务工作：发药、退药、药品出入库、药品盘点、库存禁用、药品日月结、库房查询、麻精电子病历、各类药品统计报表、药品属性维护，相应的信息系统需求包括但不限于以下内容。</w:t>
            </w:r>
          </w:p>
        </w:tc>
      </w:tr>
      <w:tr w14:paraId="1E91D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1" w:type="dxa"/>
            <w:vMerge w:val="restart"/>
            <w:vAlign w:val="center"/>
          </w:tcPr>
          <w:p w14:paraId="5E3FDFF3">
            <w:pPr>
              <w:ind w:left="425" w:hanging="425"/>
              <w:rPr>
                <w:rFonts w:ascii="宋体" w:hAnsi="宋体" w:cs="宋体"/>
                <w:color w:val="auto"/>
                <w:szCs w:val="21"/>
                <w:highlight w:val="none"/>
              </w:rPr>
            </w:pPr>
            <w:r>
              <w:rPr>
                <w:rFonts w:hint="eastAsia" w:ascii="宋体" w:hAnsi="宋体" w:cs="宋体"/>
                <w:color w:val="auto"/>
                <w:szCs w:val="21"/>
                <w:highlight w:val="none"/>
              </w:rPr>
              <w:t>6门诊药房系统</w:t>
            </w:r>
          </w:p>
        </w:tc>
        <w:tc>
          <w:tcPr>
            <w:tcW w:w="13323" w:type="dxa"/>
            <w:gridSpan w:val="3"/>
            <w:vAlign w:val="center"/>
          </w:tcPr>
          <w:p w14:paraId="5C6BFF27">
            <w:pPr>
              <w:numPr>
                <w:ilvl w:val="1"/>
                <w:numId w:val="0"/>
              </w:numPr>
              <w:rPr>
                <w:rFonts w:ascii="宋体" w:hAnsi="宋体" w:cs="宋体"/>
                <w:color w:val="auto"/>
                <w:kern w:val="0"/>
                <w:szCs w:val="21"/>
                <w:highlight w:val="none"/>
              </w:rPr>
            </w:pPr>
            <w:r>
              <w:rPr>
                <w:rFonts w:hint="eastAsia" w:ascii="宋体" w:hAnsi="宋体" w:cs="宋体"/>
                <w:color w:val="auto"/>
                <w:kern w:val="0"/>
                <w:szCs w:val="21"/>
                <w:highlight w:val="none"/>
              </w:rPr>
              <w:t>6.1</w:t>
            </w:r>
            <w:r>
              <w:rPr>
                <w:rFonts w:hint="eastAsia" w:ascii="宋体" w:hAnsi="宋体" w:cs="宋体"/>
                <w:color w:val="auto"/>
                <w:sz w:val="22"/>
                <w:szCs w:val="22"/>
                <w:highlight w:val="none"/>
              </w:rPr>
              <w:t>门诊药房系统</w:t>
            </w:r>
          </w:p>
        </w:tc>
      </w:tr>
      <w:tr w14:paraId="448FC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0" w:hRule="atLeast"/>
          <w:jc w:val="center"/>
        </w:trPr>
        <w:tc>
          <w:tcPr>
            <w:tcW w:w="851" w:type="dxa"/>
            <w:vMerge w:val="continue"/>
            <w:vAlign w:val="center"/>
          </w:tcPr>
          <w:p w14:paraId="1A8964C8">
            <w:pPr>
              <w:numPr>
                <w:ilvl w:val="0"/>
                <w:numId w:val="11"/>
              </w:numPr>
              <w:rPr>
                <w:rFonts w:ascii="宋体" w:hAnsi="宋体" w:cs="宋体"/>
                <w:color w:val="auto"/>
                <w:szCs w:val="21"/>
                <w:highlight w:val="none"/>
              </w:rPr>
            </w:pPr>
          </w:p>
        </w:tc>
        <w:tc>
          <w:tcPr>
            <w:tcW w:w="1244" w:type="dxa"/>
            <w:vAlign w:val="center"/>
          </w:tcPr>
          <w:p w14:paraId="433DE254">
            <w:pPr>
              <w:numPr>
                <w:ilvl w:val="2"/>
                <w:numId w:val="0"/>
              </w:numPr>
              <w:rPr>
                <w:rFonts w:ascii="宋体" w:hAnsi="宋体" w:cs="宋体"/>
                <w:color w:val="auto"/>
                <w:kern w:val="0"/>
                <w:szCs w:val="21"/>
                <w:highlight w:val="none"/>
              </w:rPr>
            </w:pPr>
            <w:r>
              <w:rPr>
                <w:rFonts w:hint="eastAsia" w:ascii="宋体" w:hAnsi="宋体" w:cs="宋体"/>
                <w:color w:val="auto"/>
                <w:kern w:val="0"/>
                <w:szCs w:val="21"/>
                <w:highlight w:val="none"/>
              </w:rPr>
              <w:t>6.1.1</w:t>
            </w:r>
            <w:r>
              <w:rPr>
                <w:rFonts w:hint="eastAsia" w:ascii="宋体" w:hAnsi="宋体" w:cs="宋体"/>
                <w:color w:val="auto"/>
                <w:sz w:val="22"/>
                <w:szCs w:val="22"/>
                <w:highlight w:val="none"/>
              </w:rPr>
              <w:t>门诊药房系统</w:t>
            </w:r>
          </w:p>
        </w:tc>
        <w:tc>
          <w:tcPr>
            <w:tcW w:w="12079" w:type="dxa"/>
            <w:gridSpan w:val="2"/>
            <w:vAlign w:val="center"/>
          </w:tcPr>
          <w:p w14:paraId="2491B47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支持智能分窗策略，按照指定药房下开启的窗口，进行剩余量最小分配或者平均分配策略；</w:t>
            </w:r>
          </w:p>
          <w:p w14:paraId="1B298A4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支持特殊处方灵活分配到指定窗口，如代煎处方、快递处方、精麻处方、毒性处方可以分配到配置的指定窗口；支持根据处方中药品数量分配窗口，例如处方中药品总数量小于5，可分配至自助取药机窗口。</w:t>
            </w:r>
          </w:p>
          <w:p w14:paraId="21C26DF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支持特定开单科室开立的处方分配到指定窗口，如急诊科开立、发热门诊开立等，分配到药房下的特定窗口；</w:t>
            </w:r>
          </w:p>
          <w:p w14:paraId="2FD51EE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支持设置药房下的默认窗口，如药房下所有窗口都已关闭，可以分配到默认窗口；</w:t>
            </w:r>
          </w:p>
          <w:p w14:paraId="039F071E">
            <w:pPr>
              <w:numPr>
                <w:ilvl w:val="0"/>
                <w:numId w:val="12"/>
              </w:numPr>
              <w:tabs>
                <w:tab w:val="left" w:pos="525"/>
                <w:tab w:val="left" w:pos="630"/>
              </w:tabs>
              <w:spacing w:line="360" w:lineRule="auto"/>
              <w:rPr>
                <w:rFonts w:ascii="宋体" w:hAnsi="宋体" w:cs="宋体"/>
                <w:bCs/>
                <w:color w:val="auto"/>
                <w:szCs w:val="21"/>
                <w:highlight w:val="none"/>
              </w:rPr>
            </w:pPr>
            <w:bookmarkStart w:id="1" w:name="RANGE!E8"/>
            <w:r>
              <w:rPr>
                <w:rFonts w:hint="eastAsia" w:ascii="宋体" w:hAnsi="宋体" w:cs="宋体"/>
                <w:bCs/>
                <w:color w:val="auto"/>
                <w:szCs w:val="21"/>
                <w:highlight w:val="none"/>
              </w:rPr>
              <w:t>支持基于多院区多机构管理，提供跨院区、跨药房发药模式；</w:t>
            </w:r>
          </w:p>
          <w:bookmarkEnd w:id="1"/>
          <w:p w14:paraId="76B2A01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支持在药房发药管理中，对西药、成药、草药分药房发药或者在一个药房内发药；</w:t>
            </w:r>
          </w:p>
          <w:p w14:paraId="194631C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支持发药工作站和发药窗口关联功能，智能化、规则化管理当前发药窗口；</w:t>
            </w:r>
          </w:p>
          <w:p w14:paraId="171FC8F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支持按药房设置是否需要患者签到后再进行发药处理；</w:t>
            </w:r>
          </w:p>
          <w:p w14:paraId="32B4E4F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直接发药、配药发药、配药核对三种基础模式，对于中医药等特殊发药流程，提供草药自煎药、医院加工（医院代煎或制膏）、外部加工（外部公司进行煎药或制膏）三种取药流程，以满足医院特殊流程需求；</w:t>
            </w:r>
          </w:p>
          <w:p w14:paraId="37D9511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支持对处方分计划发药或者一起发药，如多次输液类处方，支持按次发药或者一起发药；</w:t>
            </w:r>
          </w:p>
          <w:p w14:paraId="1A109F5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支持门诊配送药品集中处理功能，对可能在多个药房的患者药品进行统一配送管理；</w:t>
            </w:r>
          </w:p>
          <w:p w14:paraId="24A4C70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支持与外部代煎或物流公司对接，做到待煎药或制膏的批量发药、批量配送功能，如在在外部公司来取处方时批量发药、对接第三方物流进行处方配送；</w:t>
            </w:r>
          </w:p>
          <w:p w14:paraId="0741060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支持在发药核对管理中，通过扫描病人的条形码发药处理、支持账户病人刷卡定位发药处理、支持按发票号码对一整张发票的所有处方进行发药处理；</w:t>
            </w:r>
          </w:p>
          <w:p w14:paraId="48BBC4D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支持在发药票据打印中，发药前打印、发药后打印、不打印三种处方打印方式、支持口服卡、输液单、处方笺的自动打印；</w:t>
            </w:r>
          </w:p>
          <w:p w14:paraId="0D55BD8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支持扫药品码发药；</w:t>
            </w:r>
          </w:p>
          <w:p w14:paraId="194C7C8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在发药流程质管环节中，通过与合理用药系统对接，对用药审查对用药禁忌、并发症、不良反应药物情况等用药安全情况进行质控。并基于过敏药物管理制度，对未皮试或皮试阳性、缺药等异常处方发药进行额外控制；</w:t>
            </w:r>
          </w:p>
          <w:p w14:paraId="3BAFE8A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支持发药前校验患者是否存在待收费处方，如果存在给出对应的提醒。</w:t>
            </w:r>
          </w:p>
          <w:p w14:paraId="5F06EE22">
            <w:pPr>
              <w:numPr>
                <w:ilvl w:val="0"/>
                <w:numId w:val="12"/>
              </w:numPr>
              <w:tabs>
                <w:tab w:val="left" w:pos="525"/>
                <w:tab w:val="left" w:pos="630"/>
              </w:tabs>
              <w:spacing w:line="360" w:lineRule="auto"/>
              <w:rPr>
                <w:rFonts w:ascii="宋体" w:hAnsi="宋体" w:cs="宋体"/>
                <w:color w:val="auto"/>
                <w:szCs w:val="21"/>
                <w:highlight w:val="none"/>
              </w:rPr>
            </w:pPr>
            <w:r>
              <w:rPr>
                <w:rFonts w:hint="eastAsia" w:ascii="宋体" w:hAnsi="宋体" w:cs="宋体"/>
                <w:bCs/>
                <w:color w:val="auto"/>
                <w:szCs w:val="21"/>
                <w:highlight w:val="none"/>
              </w:rPr>
              <w:t>配方窗口维护功能（仅针对中药房）：</w:t>
            </w:r>
            <w:r>
              <w:rPr>
                <w:rFonts w:hint="eastAsia" w:ascii="宋体" w:hAnsi="宋体" w:cs="宋体"/>
                <w:color w:val="auto"/>
                <w:highlight w:val="none"/>
              </w:rPr>
              <w:t>点击【新增】增加一条窗口记录，填写窗口代码、窗口门窗、窗口打印名称、窗口开放时间，【单元名称】选择窗口对应的单元，【状态标志】选择窗口的配药模式，【班次】选择窗口开放的班次信息。“打印”勾选表示配方发药时要打印处方、说明书、条码，“打印**提示”勾选表示在打印前会弹窗提示是否要打印。【配方与发药是否相同】勾选表示配方发药为同一个人。</w:t>
            </w:r>
          </w:p>
        </w:tc>
      </w:tr>
      <w:tr w14:paraId="7CCC0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1" w:type="dxa"/>
            <w:vMerge w:val="continue"/>
            <w:vAlign w:val="center"/>
          </w:tcPr>
          <w:p w14:paraId="7CD9E534">
            <w:pPr>
              <w:numPr>
                <w:ilvl w:val="0"/>
                <w:numId w:val="11"/>
              </w:numPr>
              <w:rPr>
                <w:rFonts w:ascii="宋体" w:hAnsi="宋体" w:cs="宋体"/>
                <w:color w:val="auto"/>
                <w:szCs w:val="21"/>
                <w:highlight w:val="none"/>
              </w:rPr>
            </w:pPr>
          </w:p>
        </w:tc>
        <w:tc>
          <w:tcPr>
            <w:tcW w:w="13323" w:type="dxa"/>
            <w:gridSpan w:val="3"/>
            <w:vAlign w:val="center"/>
          </w:tcPr>
          <w:p w14:paraId="2CABCBBD">
            <w:pPr>
              <w:numPr>
                <w:ilvl w:val="1"/>
                <w:numId w:val="0"/>
              </w:numPr>
              <w:rPr>
                <w:rFonts w:ascii="宋体" w:hAnsi="宋体" w:cs="宋体"/>
                <w:color w:val="auto"/>
                <w:kern w:val="0"/>
                <w:szCs w:val="21"/>
                <w:highlight w:val="none"/>
              </w:rPr>
            </w:pPr>
            <w:r>
              <w:rPr>
                <w:rFonts w:hint="eastAsia" w:ascii="宋体" w:hAnsi="宋体" w:cs="宋体"/>
                <w:color w:val="auto"/>
                <w:kern w:val="0"/>
                <w:szCs w:val="21"/>
                <w:highlight w:val="none"/>
              </w:rPr>
              <w:t>6.2</w:t>
            </w:r>
            <w:r>
              <w:rPr>
                <w:rFonts w:hint="eastAsia" w:ascii="宋体" w:hAnsi="宋体" w:cs="宋体"/>
                <w:color w:val="auto"/>
                <w:sz w:val="22"/>
                <w:szCs w:val="22"/>
                <w:highlight w:val="none"/>
              </w:rPr>
              <w:t>门诊配药</w:t>
            </w:r>
          </w:p>
        </w:tc>
      </w:tr>
      <w:tr w14:paraId="2F7F2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851" w:type="dxa"/>
            <w:vMerge w:val="continue"/>
            <w:vAlign w:val="center"/>
          </w:tcPr>
          <w:p w14:paraId="52FCD654">
            <w:pPr>
              <w:numPr>
                <w:ilvl w:val="0"/>
                <w:numId w:val="11"/>
              </w:numPr>
              <w:rPr>
                <w:rFonts w:ascii="宋体" w:hAnsi="宋体" w:cs="宋体"/>
                <w:color w:val="auto"/>
                <w:szCs w:val="21"/>
                <w:highlight w:val="none"/>
              </w:rPr>
            </w:pPr>
          </w:p>
        </w:tc>
        <w:tc>
          <w:tcPr>
            <w:tcW w:w="1244" w:type="dxa"/>
            <w:vAlign w:val="center"/>
          </w:tcPr>
          <w:p w14:paraId="0D73D86E">
            <w:pPr>
              <w:numPr>
                <w:ilvl w:val="2"/>
                <w:numId w:val="0"/>
              </w:numPr>
              <w:rPr>
                <w:rFonts w:ascii="宋体" w:hAnsi="宋体" w:cs="宋体"/>
                <w:color w:val="auto"/>
                <w:kern w:val="0"/>
                <w:szCs w:val="21"/>
                <w:highlight w:val="none"/>
              </w:rPr>
            </w:pPr>
            <w:r>
              <w:rPr>
                <w:rFonts w:hint="eastAsia" w:ascii="宋体" w:hAnsi="宋体" w:cs="宋体"/>
                <w:color w:val="auto"/>
                <w:kern w:val="0"/>
                <w:szCs w:val="21"/>
                <w:highlight w:val="none"/>
              </w:rPr>
              <w:t>6.2.1</w:t>
            </w:r>
            <w:r>
              <w:rPr>
                <w:rFonts w:hint="eastAsia" w:ascii="宋体" w:hAnsi="宋体" w:cs="宋体"/>
                <w:color w:val="auto"/>
                <w:sz w:val="22"/>
                <w:szCs w:val="22"/>
                <w:highlight w:val="none"/>
              </w:rPr>
              <w:t>门诊配药</w:t>
            </w:r>
          </w:p>
        </w:tc>
        <w:tc>
          <w:tcPr>
            <w:tcW w:w="12079" w:type="dxa"/>
            <w:gridSpan w:val="2"/>
            <w:vAlign w:val="center"/>
          </w:tcPr>
          <w:p w14:paraId="3660E61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基于多院区多机构管理，提供跨院区、跨药房配药模式，其中跨药房配药应支持门诊代配住院药房药品，消耗的库存计入发药药房；支持与玉塘医院HIS系统做对接，实现门诊中药房代配玉塘医院中药饮片处方，消耗的库存计入门诊中药房。</w:t>
            </w:r>
          </w:p>
          <w:p w14:paraId="0601AD6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在门诊配药模式中，支持无系统管理配药、系统管理配药两种配药模式；在配药流程中，支持配药核对功能，配药核对后才算配药完成；</w:t>
            </w:r>
          </w:p>
          <w:p w14:paraId="06D7D72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在配药队列管理中，支持多人配药，收费后智能化分配配药策略（如平均分配，剩余量较小等分配规则）；支持配药员设置工作/休息状态以应对突发状况；</w:t>
            </w:r>
          </w:p>
          <w:p w14:paraId="1CB51B2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支持取消配药，未配药处方可以转移到其他工作中的配药人；</w:t>
            </w:r>
          </w:p>
          <w:p w14:paraId="64E4EFE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在配药核对管理中，支持账户病人刷卡定位配药及通过扫描病人的条形码进行定位配药；</w:t>
            </w:r>
          </w:p>
          <w:p w14:paraId="32ED8BC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在配药质管中，支持基于药品使用准则，对未皮试或皮试阳性等异常处方配药的额外控制功能。</w:t>
            </w:r>
          </w:p>
          <w:p w14:paraId="621DF49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门诊配药界面增加“配药状态”查询条件，选择“已配药”，可查询显示已配处方，选择“未配药”，可查询未配处方。</w:t>
            </w:r>
          </w:p>
          <w:p w14:paraId="6E0EDCC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配药界面增加“打印处方”功能，处方模板可自定义设置。</w:t>
            </w:r>
          </w:p>
          <w:p w14:paraId="0598EF4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配药界面扫描药品追溯码（支持同时采集</w:t>
            </w:r>
            <w:r>
              <w:rPr>
                <w:rFonts w:hint="eastAsia" w:ascii="宋体" w:hAnsi="宋体" w:cs="宋体"/>
                <w:color w:val="auto"/>
                <w:kern w:val="0"/>
                <w:sz w:val="22"/>
                <w:szCs w:val="22"/>
                <w:highlight w:val="none"/>
              </w:rPr>
              <w:t>≥</w:t>
            </w:r>
            <w:r>
              <w:rPr>
                <w:rFonts w:hint="eastAsia" w:ascii="宋体" w:hAnsi="宋体" w:cs="宋体"/>
                <w:color w:val="auto"/>
                <w:kern w:val="0"/>
                <w:szCs w:val="21"/>
                <w:highlight w:val="none"/>
              </w:rPr>
              <w:t>30盒药品</w:t>
            </w:r>
            <w:r>
              <w:rPr>
                <w:rFonts w:hint="eastAsia" w:ascii="宋体" w:hAnsi="宋体" w:cs="宋体"/>
                <w:bCs/>
                <w:color w:val="auto"/>
                <w:szCs w:val="21"/>
                <w:highlight w:val="none"/>
              </w:rPr>
              <w:t>），采集后自动校验：包括药品品种、数量是否准确，药品是否在有效期内，校验结果以不同颜色区分，如绿色为准确。若采集的追溯码无法与药品对应，可由人工选择追溯码对应的药品</w:t>
            </w:r>
            <w:r>
              <w:rPr>
                <w:rFonts w:hint="eastAsia"/>
                <w:color w:val="auto"/>
                <w:highlight w:val="none"/>
              </w:rPr>
              <w:t>（定制化开发）</w:t>
            </w:r>
          </w:p>
          <w:p w14:paraId="4D64E2A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发药采集的追溯码需在发药当日上传医保平台（医保平台3505接口）。</w:t>
            </w:r>
          </w:p>
          <w:p w14:paraId="02CE11A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拆零药品追溯码发药随机赋码：支持提前采集保存拆零药品追溯码，发药时拆零药品的追溯码由系统随机从保存的追溯码获取，无需手动扫码。</w:t>
            </w:r>
          </w:p>
          <w:p w14:paraId="07707CB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支持通过PDA采集发药追溯码。（定制化开发）</w:t>
            </w:r>
          </w:p>
          <w:p w14:paraId="4151FBC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配药界面显示审方系统审核结果，审核结果嵌入配方界面集成显示，不以弹框形式显示，审核的结果需要包含：</w:t>
            </w:r>
            <w:r>
              <w:rPr>
                <w:rFonts w:hint="eastAsia" w:ascii="宋体" w:hAnsi="宋体" w:cs="宋体"/>
                <w:color w:val="auto"/>
                <w:highlight w:val="none"/>
              </w:rPr>
              <w:t>具体问题、问题药品、不合理用药类型、审方药师干预结果。</w:t>
            </w:r>
          </w:p>
          <w:p w14:paraId="6424AFB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color w:val="auto"/>
                <w:highlight w:val="none"/>
              </w:rPr>
              <w:t>草药处方登记功能：刷就诊卡/医保卡选择需要登记的处方——勾选【是否代煎】（若医生收取了煎药费则右边信息栏会用红字标出收取了几次煎药费）——系统显示出登记时间——点击【保存】自动打印条码给病人。（定制化开发）</w:t>
            </w:r>
          </w:p>
          <w:p w14:paraId="7AEFC0C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color w:val="auto"/>
                <w:highlight w:val="none"/>
              </w:rPr>
              <w:t>草药处方发药：已登记的草药处方，显示在已登记草药处方界面，首次进入需要填写配方人员工号，点击【刷新】或者按【F12】按配药时间先后弹出处方——点击【发药确认】进行配方确认——点击【打印条码】打印贴在药袋上的条码。勾选了代煎的处方，可扫描条码进行煎药确认。有“窗口确认”功能，扫描条码，病人名字可出现在显示屏，播报“请xx到xx窗口取药”，同时发送短信给患者。有“取药确认”功能，扫描条码后，视为取药完成，显示屏名字消失。</w:t>
            </w:r>
          </w:p>
          <w:p w14:paraId="426A831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color w:val="auto"/>
                <w:highlight w:val="none"/>
              </w:rPr>
              <w:t>门诊中药房代配住院中药处方：支持输入处方号进行单张处方配方；支持显示代配处方列表，多选进行配方，代配处方列表可有“已配方”、“未配方”进行快速筛选。</w:t>
            </w:r>
          </w:p>
          <w:p w14:paraId="198A4F4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color w:val="auto"/>
                <w:highlight w:val="none"/>
              </w:rPr>
              <w:t>草药处方配方界面增加“代煎标签”打印功能，每张处方包括内标签、外标签，模板见下图。</w:t>
            </w:r>
          </w:p>
          <w:p w14:paraId="350BCABD">
            <w:pPr>
              <w:numPr>
                <w:ilvl w:val="0"/>
                <w:numId w:val="12"/>
              </w:numPr>
              <w:tabs>
                <w:tab w:val="left" w:pos="525"/>
                <w:tab w:val="left" w:pos="630"/>
              </w:tabs>
              <w:spacing w:line="360" w:lineRule="auto"/>
              <w:rPr>
                <w:rFonts w:ascii="宋体" w:hAnsi="宋体" w:cs="宋体"/>
                <w:color w:val="auto"/>
                <w:highlight w:val="none"/>
              </w:rPr>
            </w:pPr>
            <w:r>
              <w:rPr>
                <w:rFonts w:hint="eastAsia" w:ascii="宋体" w:hAnsi="宋体" w:cs="宋体"/>
                <w:color w:val="auto"/>
                <w:highlight w:val="none"/>
              </w:rPr>
              <w:t>医师开具医嘱时填写的备注需在发药界面显示，打印出的纸质处方也需显示。</w:t>
            </w:r>
          </w:p>
          <w:p w14:paraId="71CEDBCE">
            <w:pPr>
              <w:tabs>
                <w:tab w:val="left" w:pos="525"/>
                <w:tab w:val="left" w:pos="630"/>
              </w:tabs>
              <w:spacing w:line="360" w:lineRule="auto"/>
              <w:rPr>
                <w:rFonts w:ascii="宋体" w:hAnsi="宋体" w:cs="宋体"/>
                <w:color w:val="auto"/>
                <w:highlight w:val="none"/>
              </w:rPr>
            </w:pPr>
            <w:r>
              <w:rPr>
                <w:rFonts w:hint="eastAsia" w:ascii="宋体" w:hAnsi="宋体" w:cs="宋体"/>
                <w:color w:val="auto"/>
                <w:highlight w:val="none"/>
              </w:rPr>
              <w:t>草药处方登记</w:t>
            </w:r>
          </w:p>
          <w:p w14:paraId="404FFC3A">
            <w:pPr>
              <w:tabs>
                <w:tab w:val="left" w:pos="525"/>
                <w:tab w:val="left" w:pos="630"/>
              </w:tabs>
              <w:spacing w:line="360" w:lineRule="auto"/>
              <w:rPr>
                <w:rFonts w:ascii="宋体" w:hAnsi="宋体" w:cs="宋体"/>
                <w:color w:val="auto"/>
                <w:highlight w:val="none"/>
              </w:rPr>
            </w:pPr>
            <w:r>
              <w:rPr>
                <w:rFonts w:hint="eastAsia" w:ascii="宋体" w:hAnsi="宋体" w:cs="宋体"/>
                <w:color w:val="auto"/>
                <w:highlight w:val="none"/>
              </w:rPr>
              <w:t>草药处方配方</w:t>
            </w:r>
          </w:p>
          <w:p w14:paraId="6F941283">
            <w:pPr>
              <w:tabs>
                <w:tab w:val="left" w:pos="525"/>
                <w:tab w:val="left" w:pos="630"/>
              </w:tabs>
              <w:spacing w:line="360" w:lineRule="auto"/>
              <w:rPr>
                <w:rFonts w:ascii="宋体" w:hAnsi="宋体" w:cs="宋体"/>
                <w:color w:val="auto"/>
                <w:sz w:val="28"/>
                <w:szCs w:val="28"/>
                <w:highlight w:val="none"/>
              </w:rPr>
            </w:pPr>
            <w:r>
              <w:rPr>
                <w:rFonts w:hint="eastAsia" w:ascii="宋体" w:hAnsi="宋体" w:cs="宋体"/>
                <w:color w:val="auto"/>
                <w:highlight w:val="none"/>
              </w:rPr>
              <w:t>门诊代配住院中药处方</w:t>
            </w:r>
          </w:p>
          <w:p w14:paraId="7D5E2058">
            <w:pPr>
              <w:tabs>
                <w:tab w:val="left" w:pos="525"/>
                <w:tab w:val="left" w:pos="630"/>
              </w:tabs>
              <w:spacing w:line="360" w:lineRule="auto"/>
              <w:rPr>
                <w:rFonts w:ascii="宋体" w:hAnsi="宋体" w:cs="宋体"/>
                <w:color w:val="auto"/>
                <w:sz w:val="28"/>
                <w:szCs w:val="28"/>
                <w:highlight w:val="none"/>
              </w:rPr>
            </w:pPr>
            <w:r>
              <w:rPr>
                <w:rFonts w:hint="eastAsia" w:ascii="宋体" w:hAnsi="宋体" w:cs="宋体"/>
                <w:color w:val="auto"/>
                <w:szCs w:val="21"/>
                <w:highlight w:val="none"/>
              </w:rPr>
              <w:t>草药处方标签</w:t>
            </w:r>
          </w:p>
        </w:tc>
      </w:tr>
      <w:tr w14:paraId="5FA68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1" w:type="dxa"/>
            <w:vMerge w:val="continue"/>
            <w:vAlign w:val="center"/>
          </w:tcPr>
          <w:p w14:paraId="56DF8236">
            <w:pPr>
              <w:numPr>
                <w:ilvl w:val="0"/>
                <w:numId w:val="11"/>
              </w:numPr>
              <w:rPr>
                <w:rFonts w:ascii="宋体" w:hAnsi="宋体" w:cs="宋体"/>
                <w:color w:val="auto"/>
                <w:szCs w:val="21"/>
                <w:highlight w:val="none"/>
              </w:rPr>
            </w:pPr>
          </w:p>
        </w:tc>
        <w:tc>
          <w:tcPr>
            <w:tcW w:w="13323" w:type="dxa"/>
            <w:gridSpan w:val="3"/>
            <w:vAlign w:val="center"/>
          </w:tcPr>
          <w:p w14:paraId="668C26C9">
            <w:pPr>
              <w:numPr>
                <w:ilvl w:val="1"/>
                <w:numId w:val="0"/>
              </w:numPr>
              <w:rPr>
                <w:rFonts w:ascii="宋体" w:hAnsi="宋体" w:cs="宋体"/>
                <w:color w:val="auto"/>
                <w:kern w:val="0"/>
                <w:szCs w:val="21"/>
                <w:highlight w:val="none"/>
              </w:rPr>
            </w:pPr>
            <w:r>
              <w:rPr>
                <w:rFonts w:hint="eastAsia" w:ascii="宋体" w:hAnsi="宋体" w:cs="宋体"/>
                <w:color w:val="auto"/>
                <w:kern w:val="0"/>
                <w:szCs w:val="21"/>
                <w:highlight w:val="none"/>
              </w:rPr>
              <w:t>6.3</w:t>
            </w:r>
            <w:r>
              <w:rPr>
                <w:rFonts w:hint="eastAsia" w:ascii="宋体" w:hAnsi="宋体" w:cs="宋体"/>
                <w:color w:val="auto"/>
                <w:sz w:val="22"/>
                <w:szCs w:val="22"/>
                <w:highlight w:val="none"/>
              </w:rPr>
              <w:t>门诊退药</w:t>
            </w:r>
          </w:p>
        </w:tc>
      </w:tr>
      <w:tr w14:paraId="0DF81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7" w:hRule="atLeast"/>
          <w:jc w:val="center"/>
        </w:trPr>
        <w:tc>
          <w:tcPr>
            <w:tcW w:w="851" w:type="dxa"/>
            <w:vMerge w:val="continue"/>
            <w:vAlign w:val="center"/>
          </w:tcPr>
          <w:p w14:paraId="6F0AE6CC">
            <w:pPr>
              <w:numPr>
                <w:ilvl w:val="0"/>
                <w:numId w:val="11"/>
              </w:numPr>
              <w:rPr>
                <w:rFonts w:ascii="宋体" w:hAnsi="宋体" w:cs="宋体"/>
                <w:color w:val="auto"/>
                <w:szCs w:val="21"/>
                <w:highlight w:val="none"/>
              </w:rPr>
            </w:pPr>
          </w:p>
        </w:tc>
        <w:tc>
          <w:tcPr>
            <w:tcW w:w="1244" w:type="dxa"/>
            <w:vAlign w:val="center"/>
          </w:tcPr>
          <w:p w14:paraId="50FCB996">
            <w:pPr>
              <w:numPr>
                <w:ilvl w:val="2"/>
                <w:numId w:val="0"/>
              </w:numPr>
              <w:rPr>
                <w:rFonts w:ascii="宋体" w:hAnsi="宋体" w:cs="宋体"/>
                <w:color w:val="auto"/>
                <w:kern w:val="0"/>
                <w:szCs w:val="21"/>
                <w:highlight w:val="none"/>
              </w:rPr>
            </w:pPr>
            <w:r>
              <w:rPr>
                <w:rFonts w:hint="eastAsia" w:ascii="宋体" w:hAnsi="宋体" w:cs="宋体"/>
                <w:color w:val="auto"/>
                <w:kern w:val="0"/>
                <w:szCs w:val="21"/>
                <w:highlight w:val="none"/>
              </w:rPr>
              <w:t>6.3.1</w:t>
            </w:r>
            <w:r>
              <w:rPr>
                <w:rFonts w:hint="eastAsia" w:ascii="宋体" w:hAnsi="宋体" w:cs="宋体"/>
                <w:color w:val="auto"/>
                <w:sz w:val="22"/>
                <w:szCs w:val="22"/>
                <w:highlight w:val="none"/>
              </w:rPr>
              <w:t>门诊退药</w:t>
            </w:r>
          </w:p>
        </w:tc>
        <w:tc>
          <w:tcPr>
            <w:tcW w:w="12079" w:type="dxa"/>
            <w:gridSpan w:val="2"/>
            <w:vAlign w:val="center"/>
          </w:tcPr>
          <w:p w14:paraId="0AD8C55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按照退药的数量和种类，支持部分退药或全部退药，部分退药后作废原已发药数据并生成新发药数据，作废的已发药数据系统需自动获取原来发药时采集的追溯码，上传医保平台销售退货接口（3506接口）；生成的新发药数据系统需自动获取原来发药时采集的追溯码，由人工选择需要重新上传医保平台销售接口的追溯码（3505接口）；全部退药后作废原发药数据，系统需自动获取原来发药时采集的追溯码，上传医保平台销售退货接口（3506接口）；</w:t>
            </w:r>
          </w:p>
          <w:p w14:paraId="6201589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在退药核对中，支持通过扫描病人的条形码查找病人的退药数据，进行退药处理；</w:t>
            </w:r>
          </w:p>
          <w:p w14:paraId="05EEDB3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支持一卡通账户病人刷卡定位退药操作；</w:t>
            </w:r>
          </w:p>
          <w:p w14:paraId="0FC3229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支持通过扫描病人的条形码查找病人未退费的退药数据，并进行取消退药处理；</w:t>
            </w:r>
          </w:p>
          <w:p w14:paraId="4267FDB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支持多次退药后的取消退药操作；</w:t>
            </w:r>
          </w:p>
          <w:p w14:paraId="6F05F91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系统支持取消发药操作，取消发药后的处方再进入发药窗口，可继续发药；</w:t>
            </w:r>
          </w:p>
          <w:p w14:paraId="6653155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支持通过扫描病人的条形码查找病人的取消发药数据，并进行取消发药处理。</w:t>
            </w:r>
          </w:p>
          <w:p w14:paraId="0F1D7105">
            <w:pPr>
              <w:numPr>
                <w:ilvl w:val="0"/>
                <w:numId w:val="12"/>
              </w:numPr>
              <w:tabs>
                <w:tab w:val="left" w:pos="525"/>
                <w:tab w:val="left" w:pos="630"/>
              </w:tabs>
              <w:spacing w:line="360" w:lineRule="auto"/>
              <w:rPr>
                <w:rFonts w:ascii="宋体" w:hAnsi="宋体" w:cs="宋体"/>
                <w:color w:val="auto"/>
                <w:szCs w:val="21"/>
                <w:highlight w:val="none"/>
              </w:rPr>
            </w:pPr>
            <w:r>
              <w:rPr>
                <w:rFonts w:hint="eastAsia" w:ascii="宋体" w:hAnsi="宋体" w:cs="宋体"/>
                <w:bCs/>
                <w:color w:val="auto"/>
                <w:szCs w:val="21"/>
                <w:highlight w:val="none"/>
              </w:rPr>
              <w:t>增加“退药原因”选项，选项可事先设置常用原因后供选择，也可人工输入原因，需选择“退药原因”后才可完成退药操作。</w:t>
            </w:r>
          </w:p>
        </w:tc>
      </w:tr>
      <w:tr w14:paraId="4F820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1" w:type="dxa"/>
            <w:vMerge w:val="continue"/>
            <w:vAlign w:val="center"/>
          </w:tcPr>
          <w:p w14:paraId="6A116506">
            <w:pPr>
              <w:numPr>
                <w:ilvl w:val="0"/>
                <w:numId w:val="11"/>
              </w:numPr>
              <w:rPr>
                <w:rFonts w:ascii="宋体" w:hAnsi="宋体" w:cs="宋体"/>
                <w:color w:val="auto"/>
                <w:szCs w:val="21"/>
                <w:highlight w:val="none"/>
              </w:rPr>
            </w:pPr>
          </w:p>
        </w:tc>
        <w:tc>
          <w:tcPr>
            <w:tcW w:w="13323" w:type="dxa"/>
            <w:gridSpan w:val="3"/>
            <w:vAlign w:val="center"/>
          </w:tcPr>
          <w:p w14:paraId="5435CCAF">
            <w:pPr>
              <w:numPr>
                <w:ilvl w:val="1"/>
                <w:numId w:val="0"/>
              </w:numPr>
              <w:rPr>
                <w:rFonts w:ascii="宋体" w:hAnsi="宋体" w:cs="宋体"/>
                <w:color w:val="auto"/>
                <w:kern w:val="0"/>
                <w:szCs w:val="21"/>
                <w:highlight w:val="none"/>
              </w:rPr>
            </w:pPr>
            <w:r>
              <w:rPr>
                <w:rFonts w:hint="eastAsia" w:ascii="宋体" w:hAnsi="宋体" w:cs="宋体"/>
                <w:color w:val="auto"/>
                <w:kern w:val="0"/>
                <w:szCs w:val="21"/>
                <w:highlight w:val="none"/>
              </w:rPr>
              <w:t>6.4</w:t>
            </w:r>
            <w:r>
              <w:rPr>
                <w:rFonts w:hint="eastAsia" w:ascii="宋体" w:hAnsi="宋体" w:cs="宋体"/>
                <w:color w:val="auto"/>
                <w:sz w:val="22"/>
                <w:szCs w:val="22"/>
                <w:highlight w:val="none"/>
              </w:rPr>
              <w:t>处方审核</w:t>
            </w:r>
          </w:p>
        </w:tc>
      </w:tr>
      <w:tr w14:paraId="70B0C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1" w:type="dxa"/>
            <w:vMerge w:val="continue"/>
            <w:vAlign w:val="center"/>
          </w:tcPr>
          <w:p w14:paraId="4F23D1D3">
            <w:pPr>
              <w:numPr>
                <w:ilvl w:val="0"/>
                <w:numId w:val="11"/>
              </w:numPr>
              <w:rPr>
                <w:rFonts w:ascii="宋体" w:hAnsi="宋体" w:cs="宋体"/>
                <w:color w:val="auto"/>
                <w:szCs w:val="21"/>
                <w:highlight w:val="none"/>
              </w:rPr>
            </w:pPr>
          </w:p>
        </w:tc>
        <w:tc>
          <w:tcPr>
            <w:tcW w:w="1244" w:type="dxa"/>
            <w:vMerge w:val="restart"/>
            <w:vAlign w:val="center"/>
          </w:tcPr>
          <w:p w14:paraId="0F79F6E8">
            <w:pPr>
              <w:numPr>
                <w:ilvl w:val="2"/>
                <w:numId w:val="0"/>
              </w:numPr>
              <w:rPr>
                <w:rFonts w:ascii="宋体" w:hAnsi="宋体" w:cs="宋体"/>
                <w:color w:val="auto"/>
                <w:kern w:val="0"/>
                <w:szCs w:val="21"/>
                <w:highlight w:val="none"/>
              </w:rPr>
            </w:pPr>
            <w:r>
              <w:rPr>
                <w:rFonts w:hint="eastAsia" w:ascii="宋体" w:hAnsi="宋体" w:cs="宋体"/>
                <w:color w:val="auto"/>
                <w:kern w:val="0"/>
                <w:szCs w:val="21"/>
                <w:highlight w:val="none"/>
              </w:rPr>
              <w:t>6.4.1</w:t>
            </w:r>
            <w:r>
              <w:rPr>
                <w:rFonts w:hint="eastAsia" w:ascii="宋体" w:hAnsi="宋体" w:cs="宋体"/>
                <w:color w:val="auto"/>
                <w:sz w:val="22"/>
                <w:szCs w:val="22"/>
                <w:highlight w:val="none"/>
              </w:rPr>
              <w:t>处方审核</w:t>
            </w:r>
          </w:p>
        </w:tc>
        <w:tc>
          <w:tcPr>
            <w:tcW w:w="12079" w:type="dxa"/>
            <w:gridSpan w:val="2"/>
            <w:vAlign w:val="center"/>
          </w:tcPr>
          <w:p w14:paraId="75D173E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支持人工审核和自动审核两种模式。人工审核由药师审核，自动审核通过合理用药接口由系统自动完成。</w:t>
            </w:r>
          </w:p>
        </w:tc>
      </w:tr>
      <w:tr w14:paraId="430FC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1" w:type="dxa"/>
            <w:vMerge w:val="continue"/>
            <w:vAlign w:val="center"/>
          </w:tcPr>
          <w:p w14:paraId="277CDF98">
            <w:pPr>
              <w:numPr>
                <w:ilvl w:val="0"/>
                <w:numId w:val="11"/>
              </w:numPr>
              <w:rPr>
                <w:rFonts w:ascii="宋体" w:hAnsi="宋体" w:cs="宋体"/>
                <w:color w:val="auto"/>
                <w:szCs w:val="21"/>
                <w:highlight w:val="none"/>
              </w:rPr>
            </w:pPr>
          </w:p>
        </w:tc>
        <w:tc>
          <w:tcPr>
            <w:tcW w:w="1244" w:type="dxa"/>
            <w:vMerge w:val="continue"/>
            <w:vAlign w:val="center"/>
          </w:tcPr>
          <w:p w14:paraId="09D7A673">
            <w:pPr>
              <w:widowControl/>
              <w:jc w:val="center"/>
              <w:rPr>
                <w:rFonts w:ascii="宋体" w:hAnsi="宋体" w:cs="宋体"/>
                <w:color w:val="auto"/>
                <w:kern w:val="0"/>
                <w:szCs w:val="21"/>
                <w:highlight w:val="none"/>
              </w:rPr>
            </w:pPr>
          </w:p>
        </w:tc>
        <w:tc>
          <w:tcPr>
            <w:tcW w:w="12079" w:type="dxa"/>
            <w:gridSpan w:val="2"/>
            <w:vAlign w:val="center"/>
          </w:tcPr>
          <w:p w14:paraId="109D875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支持批量审核操作，一键通过所有待审核处方，并提供审核未通过常见原因，便于医师选择，最后支持审核通过、审核未通过处方重新审核功能。</w:t>
            </w:r>
          </w:p>
        </w:tc>
      </w:tr>
      <w:tr w14:paraId="006F5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1" w:type="dxa"/>
            <w:vMerge w:val="continue"/>
            <w:vAlign w:val="center"/>
          </w:tcPr>
          <w:p w14:paraId="16821F89">
            <w:pPr>
              <w:numPr>
                <w:ilvl w:val="0"/>
                <w:numId w:val="11"/>
              </w:numPr>
              <w:rPr>
                <w:rFonts w:ascii="宋体" w:hAnsi="宋体" w:cs="宋体"/>
                <w:color w:val="auto"/>
                <w:szCs w:val="21"/>
                <w:highlight w:val="none"/>
              </w:rPr>
            </w:pPr>
          </w:p>
        </w:tc>
        <w:tc>
          <w:tcPr>
            <w:tcW w:w="13323" w:type="dxa"/>
            <w:gridSpan w:val="3"/>
            <w:vAlign w:val="center"/>
          </w:tcPr>
          <w:p w14:paraId="3F5B94D0">
            <w:pPr>
              <w:numPr>
                <w:ilvl w:val="1"/>
                <w:numId w:val="0"/>
              </w:numPr>
              <w:rPr>
                <w:rFonts w:ascii="宋体" w:hAnsi="宋体" w:cs="宋体"/>
                <w:color w:val="auto"/>
                <w:kern w:val="0"/>
                <w:szCs w:val="21"/>
                <w:highlight w:val="none"/>
              </w:rPr>
            </w:pPr>
            <w:r>
              <w:rPr>
                <w:rFonts w:hint="eastAsia" w:ascii="宋体" w:hAnsi="宋体" w:cs="宋体"/>
                <w:color w:val="auto"/>
                <w:kern w:val="0"/>
                <w:szCs w:val="21"/>
                <w:highlight w:val="none"/>
              </w:rPr>
              <w:t>6.5</w:t>
            </w:r>
            <w:r>
              <w:rPr>
                <w:rFonts w:hint="eastAsia" w:ascii="宋体" w:hAnsi="宋体" w:cs="宋体"/>
                <w:color w:val="auto"/>
                <w:sz w:val="22"/>
                <w:szCs w:val="22"/>
                <w:highlight w:val="none"/>
              </w:rPr>
              <w:t>费用管理（收费权限需关闭，药房不执行收费操作）</w:t>
            </w:r>
          </w:p>
        </w:tc>
      </w:tr>
      <w:tr w14:paraId="4CA6E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1" w:type="dxa"/>
            <w:vMerge w:val="continue"/>
            <w:vAlign w:val="center"/>
          </w:tcPr>
          <w:p w14:paraId="18495D3D">
            <w:pPr>
              <w:numPr>
                <w:ilvl w:val="0"/>
                <w:numId w:val="11"/>
              </w:numPr>
              <w:rPr>
                <w:rFonts w:ascii="宋体" w:hAnsi="宋体" w:cs="宋体"/>
                <w:color w:val="auto"/>
                <w:szCs w:val="21"/>
                <w:highlight w:val="none"/>
              </w:rPr>
            </w:pPr>
          </w:p>
        </w:tc>
        <w:tc>
          <w:tcPr>
            <w:tcW w:w="1244" w:type="dxa"/>
            <w:vMerge w:val="restart"/>
            <w:vAlign w:val="center"/>
          </w:tcPr>
          <w:p w14:paraId="21915A07">
            <w:pPr>
              <w:numPr>
                <w:ilvl w:val="2"/>
                <w:numId w:val="0"/>
              </w:numPr>
              <w:rPr>
                <w:rFonts w:ascii="宋体" w:hAnsi="宋体" w:cs="宋体"/>
                <w:color w:val="auto"/>
                <w:kern w:val="0"/>
                <w:szCs w:val="21"/>
                <w:highlight w:val="none"/>
              </w:rPr>
            </w:pPr>
            <w:r>
              <w:rPr>
                <w:rFonts w:hint="eastAsia" w:ascii="宋体" w:hAnsi="宋体" w:cs="宋体"/>
                <w:color w:val="auto"/>
                <w:kern w:val="0"/>
                <w:szCs w:val="21"/>
                <w:highlight w:val="none"/>
              </w:rPr>
              <w:t>6.5.1</w:t>
            </w:r>
            <w:r>
              <w:rPr>
                <w:rFonts w:hint="eastAsia" w:ascii="宋体" w:hAnsi="宋体" w:cs="宋体"/>
                <w:color w:val="auto"/>
                <w:sz w:val="22"/>
                <w:szCs w:val="22"/>
                <w:highlight w:val="none"/>
              </w:rPr>
              <w:t>费用管理</w:t>
            </w:r>
          </w:p>
        </w:tc>
        <w:tc>
          <w:tcPr>
            <w:tcW w:w="12079" w:type="dxa"/>
            <w:gridSpan w:val="2"/>
            <w:vAlign w:val="center"/>
          </w:tcPr>
          <w:p w14:paraId="52B8A0C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支持在药房下对未付费的患者进行结算处理；</w:t>
            </w:r>
          </w:p>
        </w:tc>
      </w:tr>
      <w:tr w14:paraId="7F94A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1" w:type="dxa"/>
            <w:vMerge w:val="continue"/>
            <w:vAlign w:val="center"/>
          </w:tcPr>
          <w:p w14:paraId="219A6903">
            <w:pPr>
              <w:numPr>
                <w:ilvl w:val="0"/>
                <w:numId w:val="11"/>
              </w:numPr>
              <w:rPr>
                <w:rFonts w:ascii="宋体" w:hAnsi="宋体" w:cs="宋体"/>
                <w:color w:val="auto"/>
                <w:szCs w:val="21"/>
                <w:highlight w:val="none"/>
              </w:rPr>
            </w:pPr>
          </w:p>
        </w:tc>
        <w:tc>
          <w:tcPr>
            <w:tcW w:w="1244" w:type="dxa"/>
            <w:vMerge w:val="continue"/>
            <w:vAlign w:val="center"/>
          </w:tcPr>
          <w:p w14:paraId="4B9055B8">
            <w:pPr>
              <w:widowControl/>
              <w:jc w:val="center"/>
              <w:rPr>
                <w:rFonts w:ascii="宋体" w:hAnsi="宋体" w:cs="宋体"/>
                <w:color w:val="auto"/>
                <w:kern w:val="0"/>
                <w:szCs w:val="21"/>
                <w:highlight w:val="none"/>
              </w:rPr>
            </w:pPr>
          </w:p>
        </w:tc>
        <w:tc>
          <w:tcPr>
            <w:tcW w:w="12079" w:type="dxa"/>
            <w:gridSpan w:val="2"/>
            <w:vAlign w:val="center"/>
          </w:tcPr>
          <w:p w14:paraId="6ECA598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支持对草药的代煎费在药房进行补收费或者退费。</w:t>
            </w:r>
          </w:p>
        </w:tc>
      </w:tr>
      <w:tr w14:paraId="7BCCF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1" w:type="dxa"/>
            <w:vMerge w:val="continue"/>
            <w:vAlign w:val="center"/>
          </w:tcPr>
          <w:p w14:paraId="67691DD4">
            <w:pPr>
              <w:numPr>
                <w:ilvl w:val="0"/>
                <w:numId w:val="11"/>
              </w:numPr>
              <w:rPr>
                <w:rFonts w:ascii="宋体" w:hAnsi="宋体" w:cs="宋体"/>
                <w:color w:val="auto"/>
                <w:szCs w:val="21"/>
                <w:highlight w:val="none"/>
              </w:rPr>
            </w:pPr>
          </w:p>
        </w:tc>
        <w:tc>
          <w:tcPr>
            <w:tcW w:w="13323" w:type="dxa"/>
            <w:gridSpan w:val="3"/>
            <w:vAlign w:val="center"/>
          </w:tcPr>
          <w:p w14:paraId="1FA445F4">
            <w:pPr>
              <w:numPr>
                <w:ilvl w:val="1"/>
                <w:numId w:val="0"/>
              </w:numPr>
              <w:rPr>
                <w:rFonts w:ascii="宋体" w:hAnsi="宋体" w:cs="宋体"/>
                <w:color w:val="auto"/>
                <w:kern w:val="0"/>
                <w:szCs w:val="21"/>
                <w:highlight w:val="none"/>
              </w:rPr>
            </w:pPr>
            <w:r>
              <w:rPr>
                <w:rFonts w:hint="eastAsia" w:ascii="宋体" w:hAnsi="宋体" w:cs="宋体"/>
                <w:color w:val="auto"/>
                <w:kern w:val="0"/>
                <w:szCs w:val="21"/>
                <w:highlight w:val="none"/>
              </w:rPr>
              <w:t>6.6</w:t>
            </w:r>
            <w:r>
              <w:rPr>
                <w:rFonts w:hint="eastAsia" w:ascii="宋体" w:hAnsi="宋体" w:cs="宋体"/>
                <w:color w:val="auto"/>
                <w:sz w:val="22"/>
                <w:szCs w:val="22"/>
                <w:highlight w:val="none"/>
              </w:rPr>
              <w:t>药品申领</w:t>
            </w:r>
          </w:p>
        </w:tc>
      </w:tr>
      <w:tr w14:paraId="5B4C4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9" w:hRule="atLeast"/>
          <w:jc w:val="center"/>
        </w:trPr>
        <w:tc>
          <w:tcPr>
            <w:tcW w:w="851" w:type="dxa"/>
            <w:vMerge w:val="continue"/>
            <w:vAlign w:val="center"/>
          </w:tcPr>
          <w:p w14:paraId="3D6878CA">
            <w:pPr>
              <w:numPr>
                <w:ilvl w:val="0"/>
                <w:numId w:val="11"/>
              </w:numPr>
              <w:rPr>
                <w:rFonts w:ascii="宋体" w:hAnsi="宋体" w:cs="宋体"/>
                <w:color w:val="auto"/>
                <w:szCs w:val="21"/>
                <w:highlight w:val="none"/>
              </w:rPr>
            </w:pPr>
          </w:p>
        </w:tc>
        <w:tc>
          <w:tcPr>
            <w:tcW w:w="1244" w:type="dxa"/>
            <w:vAlign w:val="center"/>
          </w:tcPr>
          <w:p w14:paraId="2814A5A1">
            <w:pPr>
              <w:numPr>
                <w:ilvl w:val="2"/>
                <w:numId w:val="0"/>
              </w:numPr>
              <w:rPr>
                <w:rFonts w:ascii="宋体" w:hAnsi="宋体" w:cs="宋体"/>
                <w:color w:val="auto"/>
                <w:kern w:val="0"/>
                <w:szCs w:val="21"/>
                <w:highlight w:val="none"/>
              </w:rPr>
            </w:pPr>
            <w:r>
              <w:rPr>
                <w:rFonts w:hint="eastAsia" w:ascii="宋体" w:hAnsi="宋体" w:cs="宋体"/>
                <w:color w:val="auto"/>
                <w:kern w:val="0"/>
                <w:szCs w:val="21"/>
                <w:highlight w:val="none"/>
              </w:rPr>
              <w:t>6.6.1</w:t>
            </w:r>
            <w:r>
              <w:rPr>
                <w:rFonts w:hint="eastAsia" w:ascii="宋体" w:hAnsi="宋体" w:cs="宋体"/>
                <w:color w:val="auto"/>
                <w:sz w:val="22"/>
                <w:szCs w:val="22"/>
                <w:highlight w:val="none"/>
              </w:rPr>
              <w:t>药品申领</w:t>
            </w:r>
          </w:p>
        </w:tc>
        <w:tc>
          <w:tcPr>
            <w:tcW w:w="12079" w:type="dxa"/>
            <w:gridSpan w:val="2"/>
            <w:vAlign w:val="center"/>
          </w:tcPr>
          <w:p w14:paraId="42AA9BD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支持库存调拨、科室领用、主动出库三种药品申领业务。不同药房间的库存调拨，需要目标库房确认同意后方可完成入库。</w:t>
            </w:r>
          </w:p>
          <w:p w14:paraId="529A1E9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提供库房申领、库房退药、库房出库的集中处理界面，集中处理当前库房的主动申领入库、申领退药入库和被动出库入库业务，及当前库房的被动申领出库、申领退药出库和主动出库业务。</w:t>
            </w:r>
          </w:p>
          <w:p w14:paraId="6BB4704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支持通过引入当前库房药品信息、低储药品自动生成库房申领信息；</w:t>
            </w:r>
          </w:p>
          <w:p w14:paraId="6C55EDD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支持通过引入目标库房的入库单据自动生成库房申领信息；</w:t>
            </w:r>
          </w:p>
          <w:p w14:paraId="3C1C3FD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支持通过选择当前库房某段时间的药品消耗自动生成库房申领信息，药品消耗包括发药、其它出库、调拨出库、申领退库；</w:t>
            </w:r>
          </w:p>
          <w:p w14:paraId="37D9AEF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支持通过引入目标库房的申领单自动生成库房申领退库信息；</w:t>
            </w:r>
          </w:p>
          <w:p w14:paraId="1D8D0BD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支持通过申请库房的入库单据自动生成库房出库信息。</w:t>
            </w:r>
          </w:p>
          <w:p w14:paraId="46962AD0">
            <w:pPr>
              <w:numPr>
                <w:ilvl w:val="0"/>
                <w:numId w:val="17"/>
              </w:numPr>
              <w:spacing w:line="360" w:lineRule="auto"/>
              <w:rPr>
                <w:rFonts w:ascii="宋体" w:hAnsi="宋体" w:cs="宋体"/>
                <w:color w:val="auto"/>
                <w:highlight w:val="none"/>
              </w:rPr>
            </w:pPr>
            <w:r>
              <w:rPr>
                <w:rFonts w:hint="eastAsia" w:ascii="宋体" w:hAnsi="宋体" w:cs="宋体"/>
                <w:bCs/>
                <w:color w:val="auto"/>
                <w:szCs w:val="21"/>
                <w:highlight w:val="none"/>
              </w:rPr>
              <w:t>仅针对中药房：请领药品：</w:t>
            </w:r>
            <w:r>
              <w:rPr>
                <w:rFonts w:hint="eastAsia" w:ascii="宋体" w:hAnsi="宋体" w:cs="宋体"/>
                <w:color w:val="auto"/>
                <w:highlight w:val="none"/>
              </w:rPr>
              <w:t>点击【</w:t>
            </w:r>
            <w:r>
              <w:rPr>
                <w:rFonts w:hint="eastAsia" w:ascii="宋体" w:hAnsi="宋体" w:cs="宋体"/>
                <w:color w:val="auto"/>
                <w:highlight w:val="none"/>
                <w:u w:val="single"/>
              </w:rPr>
              <w:t>G</w:t>
            </w:r>
            <w:r>
              <w:rPr>
                <w:rFonts w:hint="eastAsia" w:ascii="宋体" w:hAnsi="宋体" w:cs="宋体"/>
                <w:color w:val="auto"/>
                <w:highlight w:val="none"/>
              </w:rPr>
              <w:t>.常规管理】—【</w:t>
            </w:r>
            <w:r>
              <w:rPr>
                <w:rFonts w:hint="eastAsia" w:ascii="宋体" w:hAnsi="宋体" w:cs="宋体"/>
                <w:color w:val="auto"/>
                <w:highlight w:val="none"/>
                <w:u w:val="single"/>
              </w:rPr>
              <w:t>1</w:t>
            </w:r>
            <w:r>
              <w:rPr>
                <w:rFonts w:hint="eastAsia" w:ascii="宋体" w:hAnsi="宋体" w:cs="宋体"/>
                <w:color w:val="auto"/>
                <w:highlight w:val="none"/>
              </w:rPr>
              <w:t>.开写申请单】—【新增】—【输入药品简码】—【双击或确定选择药品】—【输入“请领数”】—【保存】</w:t>
            </w:r>
          </w:p>
          <w:p w14:paraId="6FCA6A34">
            <w:pPr>
              <w:numPr>
                <w:ilvl w:val="0"/>
                <w:numId w:val="17"/>
              </w:numPr>
              <w:spacing w:line="360" w:lineRule="auto"/>
              <w:rPr>
                <w:rFonts w:ascii="宋体" w:hAnsi="宋体" w:cs="宋体"/>
                <w:color w:val="auto"/>
                <w:highlight w:val="none"/>
              </w:rPr>
            </w:pPr>
            <w:r>
              <w:rPr>
                <w:rFonts w:hint="eastAsia" w:ascii="宋体" w:hAnsi="宋体" w:cs="宋体"/>
                <w:color w:val="auto"/>
                <w:highlight w:val="none"/>
              </w:rPr>
              <w:t>仅针对中药房：药房间调拨：点击【</w:t>
            </w:r>
            <w:r>
              <w:rPr>
                <w:rFonts w:hint="eastAsia" w:ascii="宋体" w:hAnsi="宋体" w:cs="宋体"/>
                <w:color w:val="auto"/>
                <w:highlight w:val="none"/>
                <w:u w:val="single"/>
              </w:rPr>
              <w:t>G</w:t>
            </w:r>
            <w:r>
              <w:rPr>
                <w:rFonts w:hint="eastAsia" w:ascii="宋体" w:hAnsi="宋体" w:cs="宋体"/>
                <w:color w:val="auto"/>
                <w:highlight w:val="none"/>
              </w:rPr>
              <w:t>.常规管理】—【</w:t>
            </w:r>
            <w:r>
              <w:rPr>
                <w:rFonts w:hint="eastAsia" w:ascii="宋体" w:hAnsi="宋体" w:cs="宋体"/>
                <w:color w:val="auto"/>
                <w:highlight w:val="none"/>
                <w:u w:val="single"/>
              </w:rPr>
              <w:t>8</w:t>
            </w:r>
            <w:r>
              <w:rPr>
                <w:rFonts w:hint="eastAsia" w:ascii="宋体" w:hAnsi="宋体" w:cs="宋体"/>
                <w:color w:val="auto"/>
                <w:highlight w:val="none"/>
              </w:rPr>
              <w:t>.药房调拨在用药品出库】—【选择药房】选择要调拨的药房—【新增】调拨的药品—填写实发数量—【保存】出库成功。</w:t>
            </w:r>
          </w:p>
          <w:p w14:paraId="021A2A24">
            <w:pPr>
              <w:numPr>
                <w:ilvl w:val="0"/>
                <w:numId w:val="17"/>
              </w:numPr>
              <w:rPr>
                <w:rFonts w:ascii="宋体" w:hAnsi="宋体" w:cs="宋体"/>
                <w:color w:val="auto"/>
                <w:highlight w:val="none"/>
              </w:rPr>
            </w:pPr>
            <w:r>
              <w:rPr>
                <w:rFonts w:hint="eastAsia" w:ascii="宋体" w:hAnsi="宋体" w:cs="宋体"/>
                <w:color w:val="auto"/>
                <w:highlight w:val="none"/>
              </w:rPr>
              <w:t>仅针对中药房不同药房单元：单元间请领：点击【</w:t>
            </w:r>
            <w:r>
              <w:rPr>
                <w:rFonts w:hint="eastAsia" w:ascii="宋体" w:hAnsi="宋体" w:cs="宋体"/>
                <w:color w:val="auto"/>
                <w:highlight w:val="none"/>
                <w:u w:val="single"/>
              </w:rPr>
              <w:t>G</w:t>
            </w:r>
            <w:r>
              <w:rPr>
                <w:rFonts w:hint="eastAsia" w:ascii="宋体" w:hAnsi="宋体" w:cs="宋体"/>
                <w:color w:val="auto"/>
                <w:highlight w:val="none"/>
              </w:rPr>
              <w:t>.常规管理】—【</w:t>
            </w:r>
            <w:r>
              <w:rPr>
                <w:rFonts w:hint="eastAsia" w:ascii="宋体" w:hAnsi="宋体" w:cs="宋体"/>
                <w:color w:val="auto"/>
                <w:highlight w:val="none"/>
                <w:u w:val="single"/>
              </w:rPr>
              <w:t>C</w:t>
            </w:r>
            <w:r>
              <w:rPr>
                <w:rFonts w:hint="eastAsia" w:ascii="宋体" w:hAnsi="宋体" w:cs="宋体"/>
                <w:color w:val="auto"/>
                <w:highlight w:val="none"/>
              </w:rPr>
              <w:t>.单元间请领】—选择给药的药房—【新增】需要请领的药品—填写申请数量—【保存】后药品入库成功，药房库存量增加，同时给药药房的库存量直接减少。</w:t>
            </w:r>
          </w:p>
          <w:p w14:paraId="70ECA486">
            <w:pPr>
              <w:tabs>
                <w:tab w:val="left" w:pos="525"/>
                <w:tab w:val="left" w:pos="630"/>
              </w:tabs>
              <w:spacing w:line="360" w:lineRule="auto"/>
              <w:rPr>
                <w:rFonts w:ascii="宋体" w:hAnsi="宋体" w:cs="宋体"/>
                <w:color w:val="auto"/>
                <w:highlight w:val="none"/>
              </w:rPr>
            </w:pPr>
            <w:r>
              <w:rPr>
                <w:rFonts w:hint="eastAsia" w:ascii="宋体" w:hAnsi="宋体" w:cs="宋体"/>
                <w:color w:val="auto"/>
                <w:highlight w:val="none"/>
              </w:rPr>
              <w:t>请领药品</w:t>
            </w:r>
          </w:p>
          <w:p w14:paraId="5974A797">
            <w:pPr>
              <w:tabs>
                <w:tab w:val="left" w:pos="525"/>
                <w:tab w:val="left" w:pos="630"/>
              </w:tabs>
              <w:spacing w:line="360" w:lineRule="auto"/>
              <w:rPr>
                <w:rFonts w:ascii="宋体" w:hAnsi="宋体" w:cs="宋体"/>
                <w:color w:val="auto"/>
                <w:highlight w:val="none"/>
              </w:rPr>
            </w:pPr>
            <w:r>
              <w:rPr>
                <w:rFonts w:hint="eastAsia" w:ascii="宋体" w:hAnsi="宋体" w:cs="宋体"/>
                <w:color w:val="auto"/>
                <w:highlight w:val="none"/>
              </w:rPr>
              <w:t>药房间调拨</w:t>
            </w:r>
          </w:p>
          <w:p w14:paraId="485A262E">
            <w:pPr>
              <w:tabs>
                <w:tab w:val="left" w:pos="525"/>
                <w:tab w:val="left" w:pos="630"/>
              </w:tabs>
              <w:spacing w:line="360" w:lineRule="auto"/>
              <w:rPr>
                <w:rFonts w:ascii="宋体" w:hAnsi="宋体" w:cs="宋体"/>
                <w:bCs/>
                <w:color w:val="auto"/>
                <w:szCs w:val="21"/>
                <w:highlight w:val="none"/>
              </w:rPr>
            </w:pPr>
            <w:r>
              <w:rPr>
                <w:rFonts w:hint="eastAsia" w:ascii="宋体" w:hAnsi="宋体" w:cs="宋体"/>
                <w:color w:val="auto"/>
                <w:highlight w:val="none"/>
              </w:rPr>
              <w:t>单元间请领</w:t>
            </w:r>
          </w:p>
        </w:tc>
      </w:tr>
      <w:tr w14:paraId="2DE1B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1" w:type="dxa"/>
            <w:vMerge w:val="continue"/>
            <w:vAlign w:val="center"/>
          </w:tcPr>
          <w:p w14:paraId="0DA7BEF5">
            <w:pPr>
              <w:numPr>
                <w:ilvl w:val="0"/>
                <w:numId w:val="11"/>
              </w:numPr>
              <w:rPr>
                <w:rFonts w:ascii="宋体" w:hAnsi="宋体" w:cs="宋体"/>
                <w:color w:val="auto"/>
                <w:szCs w:val="21"/>
                <w:highlight w:val="none"/>
              </w:rPr>
            </w:pPr>
          </w:p>
        </w:tc>
        <w:tc>
          <w:tcPr>
            <w:tcW w:w="13323" w:type="dxa"/>
            <w:gridSpan w:val="3"/>
            <w:vAlign w:val="center"/>
          </w:tcPr>
          <w:p w14:paraId="78E0ECB6">
            <w:pPr>
              <w:numPr>
                <w:ilvl w:val="1"/>
                <w:numId w:val="0"/>
              </w:numPr>
              <w:rPr>
                <w:rFonts w:ascii="宋体" w:hAnsi="宋体" w:cs="宋体"/>
                <w:color w:val="auto"/>
                <w:kern w:val="0"/>
                <w:szCs w:val="21"/>
                <w:highlight w:val="none"/>
              </w:rPr>
            </w:pPr>
            <w:bookmarkStart w:id="2" w:name="OLE_LINK5"/>
            <w:r>
              <w:rPr>
                <w:rFonts w:hint="eastAsia" w:ascii="宋体" w:hAnsi="宋体" w:cs="宋体"/>
                <w:color w:val="auto"/>
                <w:kern w:val="0"/>
                <w:szCs w:val="21"/>
                <w:highlight w:val="none"/>
              </w:rPr>
              <w:t>6.7</w:t>
            </w:r>
            <w:r>
              <w:rPr>
                <w:rFonts w:hint="eastAsia" w:ascii="宋体" w:hAnsi="宋体" w:cs="宋体"/>
                <w:color w:val="auto"/>
                <w:sz w:val="22"/>
                <w:szCs w:val="22"/>
                <w:highlight w:val="none"/>
              </w:rPr>
              <w:t>药品入库</w:t>
            </w:r>
            <w:bookmarkEnd w:id="2"/>
          </w:p>
        </w:tc>
      </w:tr>
      <w:tr w14:paraId="404B2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0" w:hRule="atLeast"/>
          <w:jc w:val="center"/>
        </w:trPr>
        <w:tc>
          <w:tcPr>
            <w:tcW w:w="851" w:type="dxa"/>
            <w:vMerge w:val="continue"/>
            <w:vAlign w:val="center"/>
          </w:tcPr>
          <w:p w14:paraId="799480D5">
            <w:pPr>
              <w:numPr>
                <w:ilvl w:val="0"/>
                <w:numId w:val="11"/>
              </w:numPr>
              <w:rPr>
                <w:rFonts w:ascii="宋体" w:hAnsi="宋体" w:cs="宋体"/>
                <w:color w:val="auto"/>
                <w:szCs w:val="21"/>
                <w:highlight w:val="none"/>
              </w:rPr>
            </w:pPr>
          </w:p>
        </w:tc>
        <w:tc>
          <w:tcPr>
            <w:tcW w:w="1244" w:type="dxa"/>
            <w:vAlign w:val="center"/>
          </w:tcPr>
          <w:p w14:paraId="486F7096">
            <w:pPr>
              <w:numPr>
                <w:ilvl w:val="2"/>
                <w:numId w:val="0"/>
              </w:numPr>
              <w:rPr>
                <w:rFonts w:ascii="宋体" w:hAnsi="宋体" w:cs="宋体"/>
                <w:color w:val="auto"/>
                <w:kern w:val="0"/>
                <w:szCs w:val="21"/>
                <w:highlight w:val="none"/>
              </w:rPr>
            </w:pPr>
            <w:r>
              <w:rPr>
                <w:rFonts w:hint="eastAsia" w:ascii="宋体" w:hAnsi="宋体" w:cs="宋体"/>
                <w:color w:val="auto"/>
                <w:kern w:val="0"/>
                <w:szCs w:val="21"/>
                <w:highlight w:val="none"/>
              </w:rPr>
              <w:t>6.7.1</w:t>
            </w:r>
            <w:r>
              <w:rPr>
                <w:rFonts w:hint="eastAsia" w:ascii="宋体" w:hAnsi="宋体" w:cs="宋体"/>
                <w:color w:val="auto"/>
                <w:sz w:val="22"/>
                <w:szCs w:val="22"/>
                <w:highlight w:val="none"/>
              </w:rPr>
              <w:t>药品入库</w:t>
            </w:r>
          </w:p>
        </w:tc>
        <w:tc>
          <w:tcPr>
            <w:tcW w:w="12079" w:type="dxa"/>
            <w:gridSpan w:val="2"/>
            <w:vAlign w:val="center"/>
          </w:tcPr>
          <w:p w14:paraId="3A6C923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支持如加工、自制、盘盈等除药品领用外的其它入库业务；</w:t>
            </w:r>
          </w:p>
          <w:p w14:paraId="619D687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支持同厂家药品按批号、按价格、按效期分批次入库管理业务；</w:t>
            </w:r>
          </w:p>
          <w:p w14:paraId="3E1F2E1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支持药品出库后退库操作，退库时可支持手工输入价格；</w:t>
            </w:r>
          </w:p>
          <w:p w14:paraId="16FF0D2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支持根据库房盘盈数据自动生成盘盈入库单；</w:t>
            </w:r>
          </w:p>
          <w:p w14:paraId="5294A46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支持其它入库时同时按照多种包装单位进行入库。</w:t>
            </w:r>
          </w:p>
          <w:p w14:paraId="6485D320">
            <w:pPr>
              <w:numPr>
                <w:ilvl w:val="0"/>
                <w:numId w:val="18"/>
              </w:numPr>
              <w:spacing w:line="360" w:lineRule="auto"/>
              <w:rPr>
                <w:rFonts w:ascii="宋体" w:hAnsi="宋体" w:cs="宋体"/>
                <w:color w:val="auto"/>
                <w:highlight w:val="none"/>
              </w:rPr>
            </w:pPr>
            <w:r>
              <w:rPr>
                <w:rFonts w:hint="eastAsia" w:ascii="宋体" w:hAnsi="宋体" w:cs="宋体"/>
                <w:bCs/>
                <w:color w:val="auto"/>
                <w:szCs w:val="21"/>
                <w:highlight w:val="none"/>
              </w:rPr>
              <w:t>仅针对中药房：</w:t>
            </w:r>
            <w:r>
              <w:rPr>
                <w:rFonts w:hint="eastAsia" w:ascii="宋体" w:hAnsi="宋体" w:cs="宋体"/>
                <w:color w:val="auto"/>
                <w:highlight w:val="none"/>
              </w:rPr>
              <w:t>点击【</w:t>
            </w:r>
            <w:r>
              <w:rPr>
                <w:rFonts w:hint="eastAsia" w:ascii="宋体" w:hAnsi="宋体" w:cs="宋体"/>
                <w:color w:val="auto"/>
                <w:highlight w:val="none"/>
                <w:u w:val="single"/>
              </w:rPr>
              <w:t>G</w:t>
            </w:r>
            <w:r>
              <w:rPr>
                <w:rFonts w:hint="eastAsia" w:ascii="宋体" w:hAnsi="宋体" w:cs="宋体"/>
                <w:color w:val="auto"/>
                <w:highlight w:val="none"/>
              </w:rPr>
              <w:t>.常规管理】—【</w:t>
            </w:r>
            <w:r>
              <w:rPr>
                <w:rFonts w:hint="eastAsia" w:ascii="宋体" w:hAnsi="宋体" w:cs="宋体"/>
                <w:color w:val="auto"/>
                <w:highlight w:val="none"/>
                <w:u w:val="single"/>
              </w:rPr>
              <w:t>2</w:t>
            </w:r>
            <w:r>
              <w:rPr>
                <w:rFonts w:hint="eastAsia" w:ascii="宋体" w:hAnsi="宋体" w:cs="宋体"/>
                <w:color w:val="auto"/>
                <w:highlight w:val="none"/>
              </w:rPr>
              <w:t>.药房入库确认】—勾选要入库的记录—【入库】—【是】—【确定】</w:t>
            </w:r>
          </w:p>
          <w:p w14:paraId="20BD0B0A">
            <w:pPr>
              <w:rPr>
                <w:rFonts w:ascii="宋体" w:hAnsi="宋体" w:cs="宋体"/>
                <w:bCs/>
                <w:color w:val="auto"/>
                <w:szCs w:val="21"/>
                <w:highlight w:val="none"/>
              </w:rPr>
            </w:pPr>
            <w:r>
              <w:rPr>
                <w:rFonts w:hint="eastAsia" w:ascii="宋体" w:hAnsi="宋体" w:cs="宋体"/>
                <w:color w:val="auto"/>
                <w:highlight w:val="none"/>
              </w:rPr>
              <w:t>注：药品入库确认界面会有四种颜色，绿色：该药品从未入库；红色：药房售价与药库价格不一样；蓝色：今天以前的请领记录；黑色：今天的请领记录</w:t>
            </w:r>
            <w:r>
              <w:rPr>
                <w:rFonts w:hint="eastAsia"/>
                <w:color w:val="auto"/>
                <w:highlight w:val="none"/>
              </w:rPr>
              <w:t>（定制化开发）</w:t>
            </w:r>
          </w:p>
        </w:tc>
      </w:tr>
      <w:tr w14:paraId="487C7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1" w:type="dxa"/>
            <w:vMerge w:val="continue"/>
            <w:vAlign w:val="center"/>
          </w:tcPr>
          <w:p w14:paraId="5244103F">
            <w:pPr>
              <w:numPr>
                <w:ilvl w:val="0"/>
                <w:numId w:val="11"/>
              </w:numPr>
              <w:rPr>
                <w:rFonts w:ascii="宋体" w:hAnsi="宋体" w:cs="宋体"/>
                <w:color w:val="auto"/>
                <w:szCs w:val="21"/>
                <w:highlight w:val="none"/>
              </w:rPr>
            </w:pPr>
          </w:p>
        </w:tc>
        <w:tc>
          <w:tcPr>
            <w:tcW w:w="13323" w:type="dxa"/>
            <w:gridSpan w:val="3"/>
            <w:vAlign w:val="center"/>
          </w:tcPr>
          <w:p w14:paraId="44F39345">
            <w:pPr>
              <w:numPr>
                <w:ilvl w:val="1"/>
                <w:numId w:val="0"/>
              </w:numPr>
              <w:rPr>
                <w:rFonts w:ascii="宋体" w:hAnsi="宋体" w:cs="宋体"/>
                <w:color w:val="auto"/>
                <w:kern w:val="0"/>
                <w:szCs w:val="21"/>
                <w:highlight w:val="none"/>
              </w:rPr>
            </w:pPr>
            <w:r>
              <w:rPr>
                <w:rFonts w:hint="eastAsia" w:ascii="宋体" w:hAnsi="宋体" w:cs="宋体"/>
                <w:color w:val="auto"/>
                <w:kern w:val="0"/>
                <w:szCs w:val="21"/>
                <w:highlight w:val="none"/>
              </w:rPr>
              <w:t>6.8</w:t>
            </w:r>
            <w:r>
              <w:rPr>
                <w:rFonts w:hint="eastAsia" w:ascii="宋体" w:hAnsi="宋体" w:cs="宋体"/>
                <w:color w:val="auto"/>
                <w:sz w:val="22"/>
                <w:szCs w:val="22"/>
                <w:highlight w:val="none"/>
              </w:rPr>
              <w:t>药品出库</w:t>
            </w:r>
          </w:p>
        </w:tc>
      </w:tr>
      <w:tr w14:paraId="302D4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7" w:hRule="atLeast"/>
          <w:jc w:val="center"/>
        </w:trPr>
        <w:tc>
          <w:tcPr>
            <w:tcW w:w="851" w:type="dxa"/>
            <w:vMerge w:val="continue"/>
            <w:vAlign w:val="center"/>
          </w:tcPr>
          <w:p w14:paraId="2B16167B">
            <w:pPr>
              <w:numPr>
                <w:ilvl w:val="0"/>
                <w:numId w:val="11"/>
              </w:numPr>
              <w:rPr>
                <w:rFonts w:ascii="宋体" w:hAnsi="宋体" w:cs="宋体"/>
                <w:color w:val="auto"/>
                <w:szCs w:val="21"/>
                <w:highlight w:val="none"/>
              </w:rPr>
            </w:pPr>
          </w:p>
        </w:tc>
        <w:tc>
          <w:tcPr>
            <w:tcW w:w="1244" w:type="dxa"/>
            <w:vAlign w:val="center"/>
          </w:tcPr>
          <w:p w14:paraId="7DC041B0">
            <w:pPr>
              <w:numPr>
                <w:ilvl w:val="2"/>
                <w:numId w:val="0"/>
              </w:numPr>
              <w:rPr>
                <w:rFonts w:ascii="宋体" w:hAnsi="宋体" w:cs="宋体"/>
                <w:color w:val="auto"/>
                <w:kern w:val="0"/>
                <w:szCs w:val="21"/>
                <w:highlight w:val="none"/>
              </w:rPr>
            </w:pPr>
            <w:r>
              <w:rPr>
                <w:rFonts w:hint="eastAsia" w:ascii="宋体" w:hAnsi="宋体" w:cs="宋体"/>
                <w:color w:val="auto"/>
                <w:kern w:val="0"/>
                <w:szCs w:val="21"/>
                <w:highlight w:val="none"/>
              </w:rPr>
              <w:t>6.8.1</w:t>
            </w:r>
            <w:r>
              <w:rPr>
                <w:rFonts w:hint="eastAsia" w:ascii="宋体" w:hAnsi="宋体" w:cs="宋体"/>
                <w:color w:val="auto"/>
                <w:sz w:val="22"/>
                <w:szCs w:val="22"/>
                <w:highlight w:val="none"/>
              </w:rPr>
              <w:t>药品出库</w:t>
            </w:r>
          </w:p>
        </w:tc>
        <w:tc>
          <w:tcPr>
            <w:tcW w:w="12079" w:type="dxa"/>
            <w:gridSpan w:val="2"/>
            <w:vAlign w:val="center"/>
          </w:tcPr>
          <w:p w14:paraId="4E0D941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支持药品报损、盘亏出库等其它出库业务。</w:t>
            </w:r>
          </w:p>
          <w:p w14:paraId="0B2203F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智能出库方式维护，例如按同一厂家不同批次的药品按效期/库存数量出库，按效期分为早先出、迟先出，按库存数量分为大先出、小先出等，也支持手工选择批次、库存性质进行出库，支持统计代配其他院区、其他药房的药品数量进行出库。</w:t>
            </w:r>
          </w:p>
          <w:p w14:paraId="54DFE4B8">
            <w:pPr>
              <w:numPr>
                <w:ilvl w:val="0"/>
                <w:numId w:val="19"/>
              </w:numPr>
              <w:rPr>
                <w:rFonts w:ascii="宋体" w:hAnsi="宋体" w:cs="宋体"/>
                <w:bCs/>
                <w:color w:val="auto"/>
                <w:szCs w:val="21"/>
                <w:highlight w:val="none"/>
              </w:rPr>
            </w:pPr>
            <w:r>
              <w:rPr>
                <w:rFonts w:hint="eastAsia" w:ascii="宋体" w:hAnsi="宋体" w:cs="宋体"/>
                <w:bCs/>
                <w:color w:val="auto"/>
                <w:szCs w:val="21"/>
                <w:highlight w:val="none"/>
              </w:rPr>
              <w:t>仅针对中药房：</w:t>
            </w:r>
            <w:r>
              <w:rPr>
                <w:rFonts w:hint="eastAsia" w:ascii="宋体" w:hAnsi="宋体" w:cs="宋体"/>
                <w:color w:val="auto"/>
                <w:highlight w:val="none"/>
              </w:rPr>
              <w:t>点击【</w:t>
            </w:r>
            <w:r>
              <w:rPr>
                <w:rFonts w:hint="eastAsia" w:ascii="宋体" w:hAnsi="宋体" w:cs="宋体"/>
                <w:color w:val="auto"/>
                <w:highlight w:val="none"/>
                <w:u w:val="single"/>
              </w:rPr>
              <w:t>G</w:t>
            </w:r>
            <w:r>
              <w:rPr>
                <w:rFonts w:hint="eastAsia" w:ascii="宋体" w:hAnsi="宋体" w:cs="宋体"/>
                <w:color w:val="auto"/>
                <w:highlight w:val="none"/>
              </w:rPr>
              <w:t>.常规管理】—【</w:t>
            </w:r>
            <w:r>
              <w:rPr>
                <w:rFonts w:hint="eastAsia" w:ascii="宋体" w:hAnsi="宋体" w:cs="宋体"/>
                <w:color w:val="auto"/>
                <w:highlight w:val="none"/>
                <w:u w:val="single"/>
              </w:rPr>
              <w:t>5</w:t>
            </w:r>
            <w:r>
              <w:rPr>
                <w:rFonts w:hint="eastAsia" w:ascii="宋体" w:hAnsi="宋体" w:cs="宋体"/>
                <w:color w:val="auto"/>
                <w:highlight w:val="none"/>
              </w:rPr>
              <w:t>.药房出库给单元】—选择要出库的单元—【新增】出库药品—填写出库数量—【保存】出库成功。【生成贵重药品】所有贵重药品批量生成，【批量生成药品】所有药品批量生成。</w:t>
            </w:r>
          </w:p>
        </w:tc>
      </w:tr>
      <w:tr w14:paraId="22172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1" w:type="dxa"/>
            <w:vMerge w:val="continue"/>
            <w:vAlign w:val="center"/>
          </w:tcPr>
          <w:p w14:paraId="4F656258">
            <w:pPr>
              <w:numPr>
                <w:ilvl w:val="0"/>
                <w:numId w:val="11"/>
              </w:numPr>
              <w:rPr>
                <w:rFonts w:ascii="宋体" w:hAnsi="宋体" w:cs="宋体"/>
                <w:color w:val="auto"/>
                <w:szCs w:val="21"/>
                <w:highlight w:val="none"/>
              </w:rPr>
            </w:pPr>
          </w:p>
        </w:tc>
        <w:tc>
          <w:tcPr>
            <w:tcW w:w="13323" w:type="dxa"/>
            <w:gridSpan w:val="3"/>
            <w:vAlign w:val="center"/>
          </w:tcPr>
          <w:p w14:paraId="53546DF1">
            <w:pPr>
              <w:numPr>
                <w:ilvl w:val="1"/>
                <w:numId w:val="0"/>
              </w:numPr>
              <w:rPr>
                <w:rFonts w:ascii="宋体" w:hAnsi="宋体" w:cs="宋体"/>
                <w:color w:val="auto"/>
                <w:kern w:val="0"/>
                <w:szCs w:val="21"/>
                <w:highlight w:val="none"/>
              </w:rPr>
            </w:pPr>
            <w:r>
              <w:rPr>
                <w:rFonts w:hint="eastAsia" w:ascii="宋体" w:hAnsi="宋体" w:cs="宋体"/>
                <w:color w:val="auto"/>
                <w:kern w:val="0"/>
                <w:szCs w:val="21"/>
                <w:highlight w:val="none"/>
              </w:rPr>
              <w:t>6.9</w:t>
            </w:r>
            <w:r>
              <w:rPr>
                <w:rFonts w:hint="eastAsia" w:ascii="宋体" w:hAnsi="宋体" w:cs="宋体"/>
                <w:color w:val="auto"/>
                <w:sz w:val="22"/>
                <w:szCs w:val="22"/>
                <w:highlight w:val="none"/>
              </w:rPr>
              <w:t>药品盘点</w:t>
            </w:r>
          </w:p>
        </w:tc>
      </w:tr>
      <w:tr w14:paraId="39A12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9" w:hRule="atLeast"/>
          <w:jc w:val="center"/>
        </w:trPr>
        <w:tc>
          <w:tcPr>
            <w:tcW w:w="851" w:type="dxa"/>
            <w:vMerge w:val="continue"/>
            <w:vAlign w:val="center"/>
          </w:tcPr>
          <w:p w14:paraId="6111C4F0">
            <w:pPr>
              <w:numPr>
                <w:ilvl w:val="0"/>
                <w:numId w:val="11"/>
              </w:numPr>
              <w:rPr>
                <w:rFonts w:ascii="宋体" w:hAnsi="宋体" w:cs="宋体"/>
                <w:color w:val="auto"/>
                <w:szCs w:val="21"/>
                <w:highlight w:val="none"/>
              </w:rPr>
            </w:pPr>
          </w:p>
        </w:tc>
        <w:tc>
          <w:tcPr>
            <w:tcW w:w="1244" w:type="dxa"/>
            <w:vAlign w:val="center"/>
          </w:tcPr>
          <w:p w14:paraId="77B11157">
            <w:pPr>
              <w:numPr>
                <w:ilvl w:val="2"/>
                <w:numId w:val="0"/>
              </w:numPr>
              <w:rPr>
                <w:rFonts w:ascii="宋体" w:hAnsi="宋体" w:cs="宋体"/>
                <w:color w:val="auto"/>
                <w:kern w:val="0"/>
                <w:szCs w:val="21"/>
                <w:highlight w:val="none"/>
              </w:rPr>
            </w:pPr>
            <w:r>
              <w:rPr>
                <w:rFonts w:hint="eastAsia" w:ascii="宋体" w:hAnsi="宋体" w:cs="宋体"/>
                <w:color w:val="auto"/>
                <w:kern w:val="0"/>
                <w:szCs w:val="21"/>
                <w:highlight w:val="none"/>
              </w:rPr>
              <w:t>6.9.1</w:t>
            </w:r>
            <w:r>
              <w:rPr>
                <w:rFonts w:hint="eastAsia" w:ascii="宋体" w:hAnsi="宋体" w:cs="宋体"/>
                <w:color w:val="auto"/>
                <w:sz w:val="22"/>
                <w:szCs w:val="22"/>
                <w:highlight w:val="none"/>
              </w:rPr>
              <w:t>药品盘点</w:t>
            </w:r>
          </w:p>
        </w:tc>
        <w:tc>
          <w:tcPr>
            <w:tcW w:w="12079" w:type="dxa"/>
            <w:gridSpan w:val="2"/>
            <w:vAlign w:val="center"/>
          </w:tcPr>
          <w:p w14:paraId="1F833A2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支持分类、分库位、分批次、分包装进行盘点；</w:t>
            </w:r>
          </w:p>
          <w:p w14:paraId="3D1141D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支持按最小包装进行盘点；</w:t>
            </w:r>
          </w:p>
          <w:p w14:paraId="4EAFE32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支持当前库房无库存药品盘点，对盘点单中没有的药品，盘点员可以加入药品信息进行数量录入；</w:t>
            </w:r>
          </w:p>
          <w:p w14:paraId="6212698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支持多人盘点，盘点后需要统一盘点汇总；</w:t>
            </w:r>
          </w:p>
          <w:p w14:paraId="36E0554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支持抽样盘点，可按种类筛选；</w:t>
            </w:r>
          </w:p>
          <w:p w14:paraId="080F0D9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支持自动产生盘盈入库单、盘亏出库单；</w:t>
            </w:r>
          </w:p>
          <w:p w14:paraId="1E07DBC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支持盘点录入时实盘库存直接复制账面库存功能。</w:t>
            </w:r>
          </w:p>
          <w:p w14:paraId="1CC705A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盘点单可自定义打印：可选择是否包含通用名、商品名、规格、药品位置、药品库存量，可选择是否按位置排序、按数量排序。</w:t>
            </w:r>
          </w:p>
          <w:p w14:paraId="3868213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可选择日期、药品类型（西药、中成药、中草药）、药房单元统计盘点结果，并可导出打印。</w:t>
            </w:r>
          </w:p>
        </w:tc>
      </w:tr>
      <w:tr w14:paraId="00799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1" w:type="dxa"/>
            <w:vMerge w:val="continue"/>
            <w:vAlign w:val="center"/>
          </w:tcPr>
          <w:p w14:paraId="31D669BB">
            <w:pPr>
              <w:numPr>
                <w:ilvl w:val="0"/>
                <w:numId w:val="11"/>
              </w:numPr>
              <w:rPr>
                <w:rFonts w:ascii="宋体" w:hAnsi="宋体" w:cs="宋体"/>
                <w:color w:val="auto"/>
                <w:szCs w:val="21"/>
                <w:highlight w:val="none"/>
              </w:rPr>
            </w:pPr>
          </w:p>
        </w:tc>
        <w:tc>
          <w:tcPr>
            <w:tcW w:w="13323" w:type="dxa"/>
            <w:gridSpan w:val="3"/>
            <w:vAlign w:val="center"/>
          </w:tcPr>
          <w:p w14:paraId="17C6305A">
            <w:pPr>
              <w:numPr>
                <w:ilvl w:val="1"/>
                <w:numId w:val="0"/>
              </w:numPr>
              <w:rPr>
                <w:rFonts w:ascii="宋体" w:hAnsi="宋体" w:cs="宋体"/>
                <w:color w:val="auto"/>
                <w:kern w:val="0"/>
                <w:szCs w:val="21"/>
                <w:highlight w:val="none"/>
              </w:rPr>
            </w:pPr>
            <w:r>
              <w:rPr>
                <w:rFonts w:hint="eastAsia" w:ascii="宋体" w:hAnsi="宋体" w:cs="宋体"/>
                <w:color w:val="auto"/>
                <w:kern w:val="0"/>
                <w:szCs w:val="21"/>
                <w:highlight w:val="none"/>
              </w:rPr>
              <w:t>6.10</w:t>
            </w:r>
            <w:r>
              <w:rPr>
                <w:rFonts w:hint="eastAsia" w:ascii="宋体" w:hAnsi="宋体" w:cs="宋体"/>
                <w:color w:val="auto"/>
                <w:sz w:val="22"/>
                <w:szCs w:val="22"/>
                <w:highlight w:val="none"/>
              </w:rPr>
              <w:t>库存禁用</w:t>
            </w:r>
          </w:p>
        </w:tc>
      </w:tr>
      <w:tr w14:paraId="307D7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 w:hRule="atLeast"/>
          <w:jc w:val="center"/>
        </w:trPr>
        <w:tc>
          <w:tcPr>
            <w:tcW w:w="851" w:type="dxa"/>
            <w:vMerge w:val="continue"/>
            <w:vAlign w:val="center"/>
          </w:tcPr>
          <w:p w14:paraId="4FFC5AC8">
            <w:pPr>
              <w:numPr>
                <w:ilvl w:val="0"/>
                <w:numId w:val="11"/>
              </w:numPr>
              <w:rPr>
                <w:rFonts w:ascii="宋体" w:hAnsi="宋体" w:cs="宋体"/>
                <w:color w:val="auto"/>
                <w:szCs w:val="21"/>
                <w:highlight w:val="none"/>
              </w:rPr>
            </w:pPr>
          </w:p>
        </w:tc>
        <w:tc>
          <w:tcPr>
            <w:tcW w:w="1244" w:type="dxa"/>
            <w:vAlign w:val="center"/>
          </w:tcPr>
          <w:p w14:paraId="01904F0D">
            <w:pPr>
              <w:numPr>
                <w:ilvl w:val="2"/>
                <w:numId w:val="0"/>
              </w:numPr>
              <w:rPr>
                <w:rFonts w:ascii="宋体" w:hAnsi="宋体" w:cs="宋体"/>
                <w:color w:val="auto"/>
                <w:kern w:val="0"/>
                <w:szCs w:val="21"/>
                <w:highlight w:val="none"/>
              </w:rPr>
            </w:pPr>
            <w:r>
              <w:rPr>
                <w:rFonts w:hint="eastAsia" w:ascii="宋体" w:hAnsi="宋体" w:cs="宋体"/>
                <w:color w:val="auto"/>
                <w:kern w:val="0"/>
                <w:szCs w:val="21"/>
                <w:highlight w:val="none"/>
              </w:rPr>
              <w:t>6.10.1</w:t>
            </w:r>
            <w:r>
              <w:rPr>
                <w:rFonts w:hint="eastAsia" w:ascii="宋体" w:hAnsi="宋体" w:cs="宋体"/>
                <w:color w:val="auto"/>
                <w:sz w:val="22"/>
                <w:szCs w:val="22"/>
                <w:highlight w:val="none"/>
              </w:rPr>
              <w:t>库存禁用</w:t>
            </w:r>
          </w:p>
        </w:tc>
        <w:tc>
          <w:tcPr>
            <w:tcW w:w="12079" w:type="dxa"/>
            <w:gridSpan w:val="2"/>
            <w:vAlign w:val="center"/>
          </w:tcPr>
          <w:p w14:paraId="65DDE10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支持批次禁用、产地禁用、单一药品禁用等多种禁用模式，并提供取消禁用功能，便于流程管理。</w:t>
            </w:r>
          </w:p>
          <w:p w14:paraId="7B99663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支持允许使用某批次禁用药品功能。</w:t>
            </w:r>
          </w:p>
        </w:tc>
      </w:tr>
      <w:tr w14:paraId="2C978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1" w:type="dxa"/>
            <w:vMerge w:val="continue"/>
            <w:vAlign w:val="center"/>
          </w:tcPr>
          <w:p w14:paraId="09C36E9E">
            <w:pPr>
              <w:numPr>
                <w:ilvl w:val="0"/>
                <w:numId w:val="11"/>
              </w:numPr>
              <w:rPr>
                <w:rFonts w:ascii="宋体" w:hAnsi="宋体" w:cs="宋体"/>
                <w:color w:val="auto"/>
                <w:szCs w:val="21"/>
                <w:highlight w:val="none"/>
              </w:rPr>
            </w:pPr>
          </w:p>
        </w:tc>
        <w:tc>
          <w:tcPr>
            <w:tcW w:w="13323" w:type="dxa"/>
            <w:gridSpan w:val="3"/>
            <w:vAlign w:val="center"/>
          </w:tcPr>
          <w:p w14:paraId="018DA843">
            <w:pPr>
              <w:numPr>
                <w:ilvl w:val="1"/>
                <w:numId w:val="0"/>
              </w:numPr>
              <w:rPr>
                <w:rFonts w:ascii="宋体" w:hAnsi="宋体" w:cs="宋体"/>
                <w:color w:val="auto"/>
                <w:kern w:val="0"/>
                <w:szCs w:val="21"/>
                <w:highlight w:val="none"/>
              </w:rPr>
            </w:pPr>
            <w:r>
              <w:rPr>
                <w:rFonts w:hint="eastAsia" w:ascii="宋体" w:hAnsi="宋体" w:cs="宋体"/>
                <w:color w:val="auto"/>
                <w:kern w:val="0"/>
                <w:szCs w:val="21"/>
                <w:highlight w:val="none"/>
              </w:rPr>
              <w:t>6.11</w:t>
            </w:r>
            <w:r>
              <w:rPr>
                <w:rFonts w:hint="eastAsia" w:ascii="宋体" w:hAnsi="宋体" w:cs="宋体"/>
                <w:color w:val="auto"/>
                <w:sz w:val="22"/>
                <w:szCs w:val="22"/>
                <w:highlight w:val="none"/>
              </w:rPr>
              <w:t>员工借还药</w:t>
            </w:r>
          </w:p>
        </w:tc>
      </w:tr>
      <w:tr w14:paraId="44D90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1" w:type="dxa"/>
            <w:vMerge w:val="continue"/>
            <w:vAlign w:val="center"/>
          </w:tcPr>
          <w:p w14:paraId="48BD8BF3">
            <w:pPr>
              <w:numPr>
                <w:ilvl w:val="0"/>
                <w:numId w:val="11"/>
              </w:numPr>
              <w:rPr>
                <w:rFonts w:ascii="宋体" w:hAnsi="宋体" w:cs="宋体"/>
                <w:color w:val="auto"/>
                <w:szCs w:val="21"/>
                <w:highlight w:val="none"/>
              </w:rPr>
            </w:pPr>
          </w:p>
        </w:tc>
        <w:tc>
          <w:tcPr>
            <w:tcW w:w="1244" w:type="dxa"/>
            <w:vAlign w:val="center"/>
          </w:tcPr>
          <w:p w14:paraId="1A3204A7">
            <w:pPr>
              <w:numPr>
                <w:ilvl w:val="2"/>
                <w:numId w:val="0"/>
              </w:numPr>
              <w:rPr>
                <w:rFonts w:ascii="宋体" w:hAnsi="宋体" w:cs="宋体"/>
                <w:color w:val="auto"/>
                <w:kern w:val="0"/>
                <w:szCs w:val="21"/>
                <w:highlight w:val="none"/>
              </w:rPr>
            </w:pPr>
            <w:r>
              <w:rPr>
                <w:rFonts w:hint="eastAsia" w:ascii="宋体" w:hAnsi="宋体" w:cs="宋体"/>
                <w:color w:val="auto"/>
                <w:kern w:val="0"/>
                <w:szCs w:val="21"/>
                <w:highlight w:val="none"/>
              </w:rPr>
              <w:t>6.11.1</w:t>
            </w:r>
            <w:r>
              <w:rPr>
                <w:rFonts w:hint="eastAsia" w:ascii="宋体" w:hAnsi="宋体" w:cs="宋体"/>
                <w:color w:val="auto"/>
                <w:sz w:val="22"/>
                <w:szCs w:val="22"/>
                <w:highlight w:val="none"/>
              </w:rPr>
              <w:t>员工借还药</w:t>
            </w:r>
          </w:p>
        </w:tc>
        <w:tc>
          <w:tcPr>
            <w:tcW w:w="12079" w:type="dxa"/>
            <w:gridSpan w:val="2"/>
            <w:vAlign w:val="bottom"/>
          </w:tcPr>
          <w:p w14:paraId="094476E6">
            <w:pPr>
              <w:numPr>
                <w:ilvl w:val="0"/>
                <w:numId w:val="12"/>
              </w:numPr>
              <w:tabs>
                <w:tab w:val="left" w:pos="525"/>
                <w:tab w:val="left" w:pos="630"/>
              </w:tabs>
              <w:spacing w:line="360" w:lineRule="auto"/>
              <w:rPr>
                <w:rFonts w:ascii="宋体" w:hAnsi="宋体" w:cs="宋体"/>
                <w:color w:val="auto"/>
                <w:kern w:val="0"/>
                <w:szCs w:val="21"/>
                <w:highlight w:val="none"/>
              </w:rPr>
            </w:pPr>
            <w:r>
              <w:rPr>
                <w:rFonts w:hint="eastAsia" w:ascii="宋体" w:hAnsi="宋体" w:cs="宋体"/>
                <w:color w:val="auto"/>
                <w:highlight w:val="none"/>
              </w:rPr>
              <w:t>支持员工借药、员工还药管理功能。</w:t>
            </w:r>
          </w:p>
        </w:tc>
      </w:tr>
      <w:tr w14:paraId="6A828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1" w:type="dxa"/>
            <w:vMerge w:val="continue"/>
            <w:vAlign w:val="center"/>
          </w:tcPr>
          <w:p w14:paraId="24F72E35">
            <w:pPr>
              <w:numPr>
                <w:ilvl w:val="0"/>
                <w:numId w:val="11"/>
              </w:numPr>
              <w:rPr>
                <w:rFonts w:ascii="宋体" w:hAnsi="宋体" w:cs="宋体"/>
                <w:color w:val="auto"/>
                <w:szCs w:val="21"/>
                <w:highlight w:val="none"/>
              </w:rPr>
            </w:pPr>
          </w:p>
        </w:tc>
        <w:tc>
          <w:tcPr>
            <w:tcW w:w="13323" w:type="dxa"/>
            <w:gridSpan w:val="3"/>
            <w:vAlign w:val="center"/>
          </w:tcPr>
          <w:p w14:paraId="1F0F96A9">
            <w:pPr>
              <w:numPr>
                <w:ilvl w:val="1"/>
                <w:numId w:val="0"/>
              </w:numPr>
              <w:rPr>
                <w:rFonts w:ascii="宋体" w:hAnsi="宋体" w:cs="宋体"/>
                <w:color w:val="auto"/>
                <w:kern w:val="0"/>
                <w:szCs w:val="21"/>
                <w:highlight w:val="none"/>
              </w:rPr>
            </w:pPr>
            <w:r>
              <w:rPr>
                <w:rFonts w:hint="eastAsia" w:ascii="宋体" w:hAnsi="宋体" w:cs="宋体"/>
                <w:color w:val="auto"/>
                <w:kern w:val="0"/>
                <w:szCs w:val="21"/>
                <w:highlight w:val="none"/>
              </w:rPr>
              <w:t>6.12</w:t>
            </w:r>
            <w:r>
              <w:rPr>
                <w:rFonts w:hint="eastAsia" w:ascii="宋体" w:hAnsi="宋体" w:cs="宋体"/>
                <w:color w:val="auto"/>
                <w:sz w:val="22"/>
                <w:szCs w:val="22"/>
                <w:highlight w:val="none"/>
              </w:rPr>
              <w:t>药品日结月结</w:t>
            </w:r>
          </w:p>
        </w:tc>
      </w:tr>
      <w:tr w14:paraId="12BA9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851" w:type="dxa"/>
            <w:vMerge w:val="continue"/>
            <w:vAlign w:val="center"/>
          </w:tcPr>
          <w:p w14:paraId="451FD6BB">
            <w:pPr>
              <w:numPr>
                <w:ilvl w:val="0"/>
                <w:numId w:val="11"/>
              </w:numPr>
              <w:rPr>
                <w:rFonts w:ascii="宋体" w:hAnsi="宋体" w:cs="宋体"/>
                <w:color w:val="auto"/>
                <w:szCs w:val="21"/>
                <w:highlight w:val="none"/>
              </w:rPr>
            </w:pPr>
          </w:p>
        </w:tc>
        <w:tc>
          <w:tcPr>
            <w:tcW w:w="1244" w:type="dxa"/>
            <w:vAlign w:val="center"/>
          </w:tcPr>
          <w:p w14:paraId="72CB6D15">
            <w:pPr>
              <w:numPr>
                <w:ilvl w:val="2"/>
                <w:numId w:val="0"/>
              </w:numPr>
              <w:rPr>
                <w:rFonts w:ascii="宋体" w:hAnsi="宋体" w:cs="宋体"/>
                <w:color w:val="auto"/>
                <w:kern w:val="0"/>
                <w:szCs w:val="21"/>
                <w:highlight w:val="none"/>
              </w:rPr>
            </w:pPr>
            <w:r>
              <w:rPr>
                <w:rFonts w:hint="eastAsia" w:ascii="宋体" w:hAnsi="宋体" w:cs="宋体"/>
                <w:color w:val="auto"/>
                <w:kern w:val="0"/>
                <w:szCs w:val="21"/>
                <w:highlight w:val="none"/>
              </w:rPr>
              <w:t>6.12.1</w:t>
            </w:r>
            <w:r>
              <w:rPr>
                <w:rFonts w:hint="eastAsia" w:ascii="宋体" w:hAnsi="宋体" w:cs="宋体"/>
                <w:color w:val="auto"/>
                <w:sz w:val="22"/>
                <w:szCs w:val="22"/>
                <w:highlight w:val="none"/>
              </w:rPr>
              <w:t>药品日结月结</w:t>
            </w:r>
          </w:p>
        </w:tc>
        <w:tc>
          <w:tcPr>
            <w:tcW w:w="12079" w:type="dxa"/>
            <w:gridSpan w:val="2"/>
            <w:vAlign w:val="center"/>
          </w:tcPr>
          <w:p w14:paraId="43F938D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提供药品每天库存变化查询，以显示某个药品在某段时间内每天的动态库存。</w:t>
            </w:r>
          </w:p>
          <w:p w14:paraId="7D3E404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提供每天计算库存和实际库存不符合的药品的查询，并能查询相应的台账。</w:t>
            </w:r>
          </w:p>
          <w:p w14:paraId="7666563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支持特殊药品单独日结月结统计功能，如提供贵重药品、精麻毒等特殊药品日结日报功能。</w:t>
            </w:r>
          </w:p>
          <w:p w14:paraId="7A51B44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支持自定义月结日功能，初次月结日未初始建账日期，以后每月的月结起始时间就是上次月结的月结终止时间；</w:t>
            </w:r>
          </w:p>
          <w:p w14:paraId="339E2C8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支持月结前自动判断库房业务是否完成功能，如领药单、退药单、调拨入库单、调拨出库单以及出入库单是否确认；</w:t>
            </w:r>
          </w:p>
          <w:p w14:paraId="41CEE24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支持取消月结，取消月结必须从最后一个月结月份逐月取消，不能跳月取消月结。</w:t>
            </w:r>
          </w:p>
        </w:tc>
      </w:tr>
      <w:tr w14:paraId="7983F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1" w:type="dxa"/>
            <w:vMerge w:val="continue"/>
            <w:vAlign w:val="center"/>
          </w:tcPr>
          <w:p w14:paraId="2D6A7000">
            <w:pPr>
              <w:numPr>
                <w:ilvl w:val="0"/>
                <w:numId w:val="11"/>
              </w:numPr>
              <w:rPr>
                <w:rFonts w:ascii="宋体" w:hAnsi="宋体" w:cs="宋体"/>
                <w:color w:val="auto"/>
                <w:szCs w:val="21"/>
                <w:highlight w:val="none"/>
              </w:rPr>
            </w:pPr>
          </w:p>
        </w:tc>
        <w:tc>
          <w:tcPr>
            <w:tcW w:w="13323" w:type="dxa"/>
            <w:gridSpan w:val="3"/>
            <w:vAlign w:val="center"/>
          </w:tcPr>
          <w:p w14:paraId="79A95060">
            <w:pPr>
              <w:numPr>
                <w:ilvl w:val="1"/>
                <w:numId w:val="0"/>
              </w:numPr>
              <w:rPr>
                <w:rFonts w:ascii="宋体" w:hAnsi="宋体" w:cs="宋体"/>
                <w:color w:val="auto"/>
                <w:kern w:val="0"/>
                <w:szCs w:val="21"/>
                <w:highlight w:val="none"/>
              </w:rPr>
            </w:pPr>
            <w:bookmarkStart w:id="3" w:name="OLE_LINK4"/>
            <w:r>
              <w:rPr>
                <w:rFonts w:hint="eastAsia" w:ascii="宋体" w:hAnsi="宋体" w:cs="宋体"/>
                <w:color w:val="auto"/>
                <w:kern w:val="0"/>
                <w:szCs w:val="21"/>
                <w:highlight w:val="none"/>
              </w:rPr>
              <w:t>6.13</w:t>
            </w:r>
            <w:r>
              <w:rPr>
                <w:rFonts w:hint="eastAsia" w:ascii="宋体" w:hAnsi="宋体" w:cs="宋体"/>
                <w:color w:val="auto"/>
                <w:sz w:val="22"/>
                <w:szCs w:val="22"/>
                <w:highlight w:val="none"/>
              </w:rPr>
              <w:t>库房查询</w:t>
            </w:r>
            <w:bookmarkEnd w:id="3"/>
          </w:p>
        </w:tc>
      </w:tr>
      <w:tr w14:paraId="2A8E7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vMerge w:val="continue"/>
            <w:vAlign w:val="center"/>
          </w:tcPr>
          <w:p w14:paraId="40BCB4DE">
            <w:pPr>
              <w:numPr>
                <w:ilvl w:val="0"/>
                <w:numId w:val="11"/>
              </w:numPr>
              <w:rPr>
                <w:rFonts w:ascii="宋体" w:hAnsi="宋体" w:cs="宋体"/>
                <w:color w:val="auto"/>
                <w:szCs w:val="21"/>
                <w:highlight w:val="none"/>
              </w:rPr>
            </w:pPr>
          </w:p>
        </w:tc>
        <w:tc>
          <w:tcPr>
            <w:tcW w:w="1244" w:type="dxa"/>
            <w:vAlign w:val="center"/>
          </w:tcPr>
          <w:p w14:paraId="7C421610">
            <w:pPr>
              <w:numPr>
                <w:ilvl w:val="2"/>
                <w:numId w:val="0"/>
              </w:numPr>
              <w:rPr>
                <w:rFonts w:ascii="宋体" w:hAnsi="宋体" w:cs="宋体"/>
                <w:color w:val="auto"/>
                <w:kern w:val="0"/>
                <w:szCs w:val="21"/>
                <w:highlight w:val="none"/>
              </w:rPr>
            </w:pPr>
            <w:r>
              <w:rPr>
                <w:rFonts w:hint="eastAsia" w:ascii="宋体" w:hAnsi="宋体" w:cs="宋体"/>
                <w:color w:val="auto"/>
                <w:kern w:val="0"/>
                <w:szCs w:val="21"/>
                <w:highlight w:val="none"/>
              </w:rPr>
              <w:t>6.13.1</w:t>
            </w:r>
            <w:r>
              <w:rPr>
                <w:rFonts w:hint="eastAsia" w:ascii="宋体" w:hAnsi="宋体" w:cs="宋体"/>
                <w:color w:val="auto"/>
                <w:sz w:val="22"/>
                <w:szCs w:val="22"/>
                <w:highlight w:val="none"/>
              </w:rPr>
              <w:t>库房查询</w:t>
            </w:r>
          </w:p>
        </w:tc>
        <w:tc>
          <w:tcPr>
            <w:tcW w:w="12079" w:type="dxa"/>
            <w:gridSpan w:val="2"/>
            <w:vAlign w:val="bottom"/>
          </w:tcPr>
          <w:p w14:paraId="21417EC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提供药房库存、药品价格信息、门诊发药、申领历史、药房账簿，汇总月报、库存日报、失效报警、代煎药发药等基本统计查询。</w:t>
            </w:r>
          </w:p>
          <w:p w14:paraId="343DA42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提供药品有效期自动报警功能</w:t>
            </w:r>
          </w:p>
          <w:p w14:paraId="1C67A61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支持统计过期药品的品种数和金额，提供库存量提示功能</w:t>
            </w:r>
          </w:p>
        </w:tc>
      </w:tr>
      <w:tr w14:paraId="1E9C6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vMerge w:val="restart"/>
            <w:vAlign w:val="center"/>
          </w:tcPr>
          <w:p w14:paraId="36FBE065">
            <w:pPr>
              <w:rPr>
                <w:rFonts w:ascii="宋体" w:hAnsi="宋体" w:cs="宋体"/>
                <w:color w:val="auto"/>
                <w:szCs w:val="21"/>
                <w:highlight w:val="none"/>
              </w:rPr>
            </w:pPr>
          </w:p>
        </w:tc>
        <w:tc>
          <w:tcPr>
            <w:tcW w:w="13323" w:type="dxa"/>
            <w:gridSpan w:val="3"/>
            <w:vAlign w:val="center"/>
          </w:tcPr>
          <w:p w14:paraId="270CDF8F">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6.14  退药调价损益报表</w:t>
            </w:r>
          </w:p>
        </w:tc>
      </w:tr>
      <w:tr w14:paraId="42982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vMerge w:val="continue"/>
            <w:vAlign w:val="center"/>
          </w:tcPr>
          <w:p w14:paraId="007DDD47">
            <w:pPr>
              <w:rPr>
                <w:rFonts w:ascii="宋体" w:hAnsi="宋体" w:cs="宋体"/>
                <w:color w:val="auto"/>
                <w:szCs w:val="21"/>
                <w:highlight w:val="none"/>
              </w:rPr>
            </w:pPr>
          </w:p>
        </w:tc>
        <w:tc>
          <w:tcPr>
            <w:tcW w:w="1244" w:type="dxa"/>
            <w:vAlign w:val="center"/>
          </w:tcPr>
          <w:p w14:paraId="412F56A6">
            <w:pPr>
              <w:rPr>
                <w:rFonts w:ascii="宋体" w:hAnsi="宋体" w:cs="宋体"/>
                <w:color w:val="auto"/>
                <w:sz w:val="22"/>
                <w:szCs w:val="22"/>
                <w:highlight w:val="none"/>
              </w:rPr>
            </w:pPr>
            <w:r>
              <w:rPr>
                <w:rFonts w:hint="eastAsia" w:ascii="宋体" w:hAnsi="宋体" w:cs="宋体"/>
                <w:color w:val="auto"/>
                <w:sz w:val="22"/>
                <w:szCs w:val="22"/>
                <w:highlight w:val="none"/>
              </w:rPr>
              <w:t>6.14.1</w:t>
            </w:r>
          </w:p>
        </w:tc>
        <w:tc>
          <w:tcPr>
            <w:tcW w:w="12079" w:type="dxa"/>
            <w:gridSpan w:val="2"/>
            <w:vAlign w:val="bottom"/>
          </w:tcPr>
          <w:p w14:paraId="6C305A5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报表包含：药品通用名、药品商品名、药品规格、包装量、调前进价、调后进价、调前库存量、调价增益、调价时间，报表支持按日期、药房单元、药品类型（西药、中成药、中草药）进行统计</w:t>
            </w:r>
          </w:p>
        </w:tc>
      </w:tr>
      <w:tr w14:paraId="3FA73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vMerge w:val="restart"/>
            <w:vAlign w:val="center"/>
          </w:tcPr>
          <w:p w14:paraId="6AF3C84A">
            <w:pPr>
              <w:rPr>
                <w:rFonts w:ascii="宋体" w:hAnsi="宋体" w:cs="宋体"/>
                <w:color w:val="auto"/>
                <w:szCs w:val="21"/>
                <w:highlight w:val="none"/>
              </w:rPr>
            </w:pPr>
          </w:p>
        </w:tc>
        <w:tc>
          <w:tcPr>
            <w:tcW w:w="13323" w:type="dxa"/>
            <w:gridSpan w:val="3"/>
            <w:vAlign w:val="center"/>
          </w:tcPr>
          <w:p w14:paraId="2B10FCD1">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6.15 麻精电子病历</w:t>
            </w:r>
          </w:p>
        </w:tc>
      </w:tr>
      <w:tr w14:paraId="4438F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vMerge w:val="continue"/>
            <w:vAlign w:val="center"/>
          </w:tcPr>
          <w:p w14:paraId="3A5C50E8">
            <w:pPr>
              <w:rPr>
                <w:rFonts w:ascii="宋体" w:hAnsi="宋体" w:cs="宋体"/>
                <w:color w:val="auto"/>
                <w:szCs w:val="21"/>
                <w:highlight w:val="none"/>
              </w:rPr>
            </w:pPr>
          </w:p>
        </w:tc>
        <w:tc>
          <w:tcPr>
            <w:tcW w:w="1244" w:type="dxa"/>
            <w:vAlign w:val="center"/>
          </w:tcPr>
          <w:p w14:paraId="287D1837">
            <w:pPr>
              <w:rPr>
                <w:rFonts w:ascii="宋体" w:hAnsi="宋体" w:cs="宋体"/>
                <w:color w:val="auto"/>
                <w:szCs w:val="21"/>
                <w:highlight w:val="none"/>
              </w:rPr>
            </w:pPr>
            <w:r>
              <w:rPr>
                <w:rFonts w:hint="eastAsia" w:ascii="宋体" w:hAnsi="宋体" w:cs="宋体"/>
                <w:color w:val="auto"/>
                <w:szCs w:val="21"/>
                <w:highlight w:val="none"/>
              </w:rPr>
              <w:t xml:space="preserve">6.15.1 </w:t>
            </w:r>
          </w:p>
        </w:tc>
        <w:tc>
          <w:tcPr>
            <w:tcW w:w="12079" w:type="dxa"/>
            <w:gridSpan w:val="2"/>
            <w:vAlign w:val="bottom"/>
          </w:tcPr>
          <w:p w14:paraId="1F61AB0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支持门诊药房可查看“麻精电子病历”（见需求2.1.1），并可在病历文书药师签名处点击签名。</w:t>
            </w:r>
          </w:p>
        </w:tc>
      </w:tr>
      <w:tr w14:paraId="482DC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vMerge w:val="continue"/>
            <w:vAlign w:val="center"/>
          </w:tcPr>
          <w:p w14:paraId="7FF2FD03">
            <w:pPr>
              <w:rPr>
                <w:rFonts w:ascii="宋体" w:hAnsi="宋体" w:cs="宋体"/>
                <w:color w:val="auto"/>
                <w:szCs w:val="21"/>
                <w:highlight w:val="none"/>
              </w:rPr>
            </w:pPr>
          </w:p>
        </w:tc>
        <w:tc>
          <w:tcPr>
            <w:tcW w:w="13323" w:type="dxa"/>
            <w:gridSpan w:val="3"/>
            <w:vAlign w:val="center"/>
          </w:tcPr>
          <w:p w14:paraId="6E782B69">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6.16 药房统计报表</w:t>
            </w:r>
          </w:p>
        </w:tc>
      </w:tr>
      <w:tr w14:paraId="4F54E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vMerge w:val="continue"/>
            <w:vAlign w:val="center"/>
          </w:tcPr>
          <w:p w14:paraId="57DE9993">
            <w:pPr>
              <w:rPr>
                <w:rFonts w:ascii="宋体" w:hAnsi="宋体" w:cs="宋体"/>
                <w:color w:val="auto"/>
                <w:szCs w:val="21"/>
                <w:highlight w:val="none"/>
              </w:rPr>
            </w:pPr>
          </w:p>
        </w:tc>
        <w:tc>
          <w:tcPr>
            <w:tcW w:w="13323" w:type="dxa"/>
            <w:gridSpan w:val="3"/>
            <w:vAlign w:val="center"/>
          </w:tcPr>
          <w:p w14:paraId="4E49F20C">
            <w:pPr>
              <w:numPr>
                <w:ilvl w:val="0"/>
                <w:numId w:val="20"/>
              </w:numPr>
              <w:tabs>
                <w:tab w:val="left" w:pos="525"/>
                <w:tab w:val="left" w:pos="630"/>
              </w:tabs>
              <w:spacing w:line="360" w:lineRule="auto"/>
              <w:rPr>
                <w:rFonts w:ascii="宋体" w:hAnsi="宋体" w:cs="宋体"/>
                <w:color w:val="auto"/>
                <w:szCs w:val="21"/>
                <w:highlight w:val="none"/>
              </w:rPr>
            </w:pPr>
            <w:r>
              <w:rPr>
                <w:rFonts w:hint="eastAsia" w:ascii="宋体" w:hAnsi="宋体" w:cs="宋体"/>
                <w:color w:val="auto"/>
                <w:szCs w:val="21"/>
                <w:highlight w:val="none"/>
              </w:rPr>
              <w:t>西药房工作量报表：按时间查询工作量，包含药师姓名、工号、配药处方数、配药药品数、发药处方数、发药药品数</w:t>
            </w:r>
          </w:p>
          <w:p w14:paraId="2CDA176A">
            <w:pPr>
              <w:numPr>
                <w:ilvl w:val="0"/>
                <w:numId w:val="20"/>
              </w:numPr>
              <w:tabs>
                <w:tab w:val="left" w:pos="525"/>
                <w:tab w:val="left" w:pos="630"/>
              </w:tabs>
              <w:spacing w:line="360" w:lineRule="auto"/>
              <w:rPr>
                <w:rFonts w:ascii="宋体" w:hAnsi="宋体" w:cs="宋体"/>
                <w:color w:val="auto"/>
                <w:szCs w:val="21"/>
                <w:highlight w:val="none"/>
              </w:rPr>
            </w:pPr>
            <w:r>
              <w:rPr>
                <w:rFonts w:hint="eastAsia" w:ascii="宋体" w:hAnsi="宋体" w:cs="宋体"/>
                <w:color w:val="auto"/>
                <w:szCs w:val="21"/>
                <w:highlight w:val="none"/>
              </w:rPr>
              <w:t>中药房工作量报表：按时间查询工作量，包含</w:t>
            </w:r>
            <w:r>
              <w:rPr>
                <w:rFonts w:hint="eastAsia" w:ascii="宋体" w:hAnsi="宋体" w:cs="宋体"/>
                <w:color w:val="auto"/>
                <w:highlight w:val="none"/>
              </w:rPr>
              <w:t>配方人员、配方味数、配方张数、配方贴数、平均配方味数、平均配方张数、发药味数、发药张数、发药贴数、平均发药味数、平均发药张数、煎药味数、煎药张数、煎药贴数。</w:t>
            </w:r>
          </w:p>
        </w:tc>
      </w:tr>
      <w:tr w14:paraId="01120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vMerge w:val="continue"/>
            <w:vAlign w:val="center"/>
          </w:tcPr>
          <w:p w14:paraId="4C45FA74">
            <w:pPr>
              <w:rPr>
                <w:rFonts w:ascii="宋体" w:hAnsi="宋体" w:cs="宋体"/>
                <w:color w:val="auto"/>
                <w:szCs w:val="21"/>
                <w:highlight w:val="none"/>
              </w:rPr>
            </w:pPr>
          </w:p>
        </w:tc>
        <w:tc>
          <w:tcPr>
            <w:tcW w:w="13323" w:type="dxa"/>
            <w:gridSpan w:val="3"/>
            <w:vAlign w:val="center"/>
          </w:tcPr>
          <w:p w14:paraId="31BB1985">
            <w:pPr>
              <w:numPr>
                <w:ilvl w:val="0"/>
                <w:numId w:val="20"/>
              </w:numPr>
              <w:tabs>
                <w:tab w:val="left" w:pos="525"/>
                <w:tab w:val="left" w:pos="630"/>
              </w:tabs>
              <w:spacing w:line="360" w:lineRule="auto"/>
              <w:rPr>
                <w:rFonts w:ascii="宋体" w:hAnsi="宋体" w:cs="宋体"/>
                <w:color w:val="auto"/>
                <w:szCs w:val="21"/>
                <w:highlight w:val="none"/>
              </w:rPr>
            </w:pPr>
            <w:r>
              <w:rPr>
                <w:rFonts w:hint="eastAsia" w:ascii="宋体" w:hAnsi="宋体" w:cs="宋体"/>
                <w:color w:val="auto"/>
                <w:szCs w:val="21"/>
                <w:highlight w:val="none"/>
              </w:rPr>
              <w:t>单一药品使用查询报表：支持查询某一药品使用情况，查询结果包含处方号、开单科室、患者姓名、药品数量、开单医生、发药时间、发药状态（已发药、未发药）、收费时间、报到时间、发药药师</w:t>
            </w:r>
          </w:p>
        </w:tc>
      </w:tr>
      <w:tr w14:paraId="0D007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vMerge w:val="continue"/>
          </w:tcPr>
          <w:p w14:paraId="4E880BA8">
            <w:pPr>
              <w:rPr>
                <w:rFonts w:ascii="宋体" w:hAnsi="宋体" w:cs="宋体"/>
                <w:color w:val="auto"/>
                <w:szCs w:val="21"/>
                <w:highlight w:val="none"/>
              </w:rPr>
            </w:pPr>
          </w:p>
        </w:tc>
        <w:tc>
          <w:tcPr>
            <w:tcW w:w="0" w:type="auto"/>
            <w:gridSpan w:val="3"/>
            <w:vAlign w:val="center"/>
          </w:tcPr>
          <w:p w14:paraId="306201F5">
            <w:pPr>
              <w:numPr>
                <w:ilvl w:val="0"/>
                <w:numId w:val="20"/>
              </w:numPr>
              <w:tabs>
                <w:tab w:val="left" w:pos="525"/>
                <w:tab w:val="left" w:pos="630"/>
              </w:tabs>
              <w:spacing w:line="360" w:lineRule="auto"/>
              <w:rPr>
                <w:rFonts w:ascii="宋体" w:hAnsi="宋体" w:cs="宋体"/>
                <w:color w:val="auto"/>
                <w:szCs w:val="21"/>
                <w:highlight w:val="none"/>
              </w:rPr>
            </w:pPr>
            <w:r>
              <w:rPr>
                <w:rFonts w:hint="eastAsia" w:ascii="宋体" w:hAnsi="宋体" w:cs="宋体"/>
                <w:color w:val="auto"/>
                <w:szCs w:val="21"/>
                <w:highlight w:val="none"/>
              </w:rPr>
              <w:t>药房财务月报表：需包含上月结余、出库、入库、配方、报废、盘盈、盘亏、本月结余、调整金额，可根据时间、药品类型（西药、中成药、中草药）进行统计，可导出打印。</w:t>
            </w:r>
          </w:p>
        </w:tc>
      </w:tr>
      <w:tr w14:paraId="46763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vMerge w:val="restart"/>
          </w:tcPr>
          <w:p w14:paraId="6289382D">
            <w:pPr>
              <w:rPr>
                <w:rFonts w:ascii="宋体" w:hAnsi="宋体" w:cs="宋体"/>
                <w:color w:val="auto"/>
                <w:szCs w:val="21"/>
                <w:highlight w:val="none"/>
              </w:rPr>
            </w:pPr>
          </w:p>
        </w:tc>
        <w:tc>
          <w:tcPr>
            <w:tcW w:w="0" w:type="auto"/>
            <w:gridSpan w:val="3"/>
            <w:vAlign w:val="center"/>
          </w:tcPr>
          <w:p w14:paraId="6D88A872">
            <w:pPr>
              <w:numPr>
                <w:ilvl w:val="0"/>
                <w:numId w:val="20"/>
              </w:numPr>
              <w:tabs>
                <w:tab w:val="left" w:pos="525"/>
                <w:tab w:val="left" w:pos="630"/>
              </w:tabs>
              <w:spacing w:line="360" w:lineRule="auto"/>
              <w:rPr>
                <w:rFonts w:ascii="宋体" w:hAnsi="宋体" w:cs="宋体"/>
                <w:color w:val="auto"/>
                <w:szCs w:val="21"/>
                <w:highlight w:val="none"/>
              </w:rPr>
            </w:pPr>
            <w:r>
              <w:rPr>
                <w:rFonts w:hint="eastAsia" w:ascii="宋体" w:hAnsi="宋体" w:cs="宋体"/>
                <w:color w:val="auto"/>
                <w:szCs w:val="21"/>
                <w:highlight w:val="none"/>
              </w:rPr>
              <w:t>单一药品退药查询报表：支持查询某一药品退药情况，查询结果包含：处方号、开单科室、患者姓名、药品数量、开单医生、发药时间、退药时间、发药药师、退药药师</w:t>
            </w:r>
          </w:p>
        </w:tc>
      </w:tr>
      <w:tr w14:paraId="2E79C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vMerge w:val="continue"/>
          </w:tcPr>
          <w:p w14:paraId="3873CA6C">
            <w:pPr>
              <w:rPr>
                <w:rFonts w:ascii="宋体" w:hAnsi="宋体" w:cs="宋体"/>
                <w:color w:val="auto"/>
                <w:szCs w:val="21"/>
                <w:highlight w:val="none"/>
              </w:rPr>
            </w:pPr>
          </w:p>
        </w:tc>
        <w:tc>
          <w:tcPr>
            <w:tcW w:w="0" w:type="auto"/>
            <w:gridSpan w:val="3"/>
            <w:vAlign w:val="center"/>
          </w:tcPr>
          <w:p w14:paraId="0D7FD6D2">
            <w:pPr>
              <w:numPr>
                <w:ilvl w:val="0"/>
                <w:numId w:val="20"/>
              </w:numPr>
              <w:tabs>
                <w:tab w:val="left" w:pos="525"/>
                <w:tab w:val="left" w:pos="630"/>
              </w:tabs>
              <w:spacing w:line="360" w:lineRule="auto"/>
              <w:rPr>
                <w:rFonts w:ascii="宋体" w:hAnsi="宋体" w:cs="宋体"/>
                <w:color w:val="auto"/>
                <w:szCs w:val="21"/>
                <w:highlight w:val="none"/>
              </w:rPr>
            </w:pPr>
            <w:r>
              <w:rPr>
                <w:rFonts w:hint="eastAsia" w:ascii="宋体" w:hAnsi="宋体" w:cs="宋体"/>
                <w:color w:val="auto"/>
                <w:szCs w:val="21"/>
                <w:highlight w:val="none"/>
              </w:rPr>
              <w:t>药品使用查询报表：支持查询所有药品使用情况，查询结果包括药品ID、药品通用名、药品商品名、药品规格、药品发药量、药品退药量、药品销售金额、药品退药金额，可根据以下查询条件单独或联合进行统计：日期、开单科室、发药药房、药品类型（全部、西药、中成药、配方颗粒、中药饮片）、药品属性（全部、抗肿瘤药、抗菌药、麻醉药品、第一类精神药品、第二类精神药品、计生药品、大输液、毒性药品、贵重药品、普通药品、高警示药品）</w:t>
            </w:r>
          </w:p>
        </w:tc>
      </w:tr>
      <w:tr w14:paraId="3829C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vMerge w:val="continue"/>
          </w:tcPr>
          <w:p w14:paraId="714575E5">
            <w:pPr>
              <w:rPr>
                <w:rFonts w:ascii="宋体" w:hAnsi="宋体" w:cs="宋体"/>
                <w:color w:val="auto"/>
                <w:szCs w:val="21"/>
                <w:highlight w:val="none"/>
              </w:rPr>
            </w:pPr>
          </w:p>
        </w:tc>
        <w:tc>
          <w:tcPr>
            <w:tcW w:w="0" w:type="auto"/>
            <w:gridSpan w:val="3"/>
            <w:vAlign w:val="center"/>
          </w:tcPr>
          <w:p w14:paraId="67A93070">
            <w:pPr>
              <w:numPr>
                <w:ilvl w:val="0"/>
                <w:numId w:val="20"/>
              </w:numPr>
              <w:tabs>
                <w:tab w:val="left" w:pos="525"/>
                <w:tab w:val="left" w:pos="630"/>
              </w:tabs>
              <w:spacing w:line="360" w:lineRule="auto"/>
              <w:rPr>
                <w:rFonts w:ascii="宋体" w:hAnsi="宋体" w:cs="宋体"/>
                <w:color w:val="auto"/>
                <w:szCs w:val="21"/>
                <w:highlight w:val="none"/>
              </w:rPr>
            </w:pPr>
            <w:r>
              <w:rPr>
                <w:rFonts w:hint="eastAsia" w:ascii="宋体" w:hAnsi="宋体" w:cs="宋体"/>
                <w:color w:val="auto"/>
                <w:szCs w:val="21"/>
                <w:highlight w:val="none"/>
              </w:rPr>
              <w:t>处方查询报表：支持按以下条件单独或联合查询处方，患者姓名、收费时间、处方号、发药状态（全部、已发药、未发药、退药；中草药处方状态还包括：已煎药、已到窗口）、代煎情况（代煎、非代煎、全部；此条件仅针对中药饮片处方），处方查询界面有处方单、用药标签打印功能。</w:t>
            </w:r>
          </w:p>
        </w:tc>
      </w:tr>
      <w:tr w14:paraId="40440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vMerge w:val="continue"/>
          </w:tcPr>
          <w:p w14:paraId="7E8C6EEF">
            <w:pPr>
              <w:rPr>
                <w:rFonts w:ascii="宋体" w:hAnsi="宋体" w:cs="宋体"/>
                <w:color w:val="auto"/>
                <w:szCs w:val="21"/>
                <w:highlight w:val="none"/>
              </w:rPr>
            </w:pPr>
          </w:p>
        </w:tc>
        <w:tc>
          <w:tcPr>
            <w:tcW w:w="0" w:type="auto"/>
            <w:gridSpan w:val="3"/>
            <w:vAlign w:val="center"/>
          </w:tcPr>
          <w:p w14:paraId="7F1C518C">
            <w:pPr>
              <w:numPr>
                <w:ilvl w:val="0"/>
                <w:numId w:val="20"/>
              </w:numPr>
              <w:tabs>
                <w:tab w:val="left" w:pos="525"/>
                <w:tab w:val="left" w:pos="630"/>
              </w:tabs>
              <w:spacing w:line="360" w:lineRule="auto"/>
              <w:rPr>
                <w:rFonts w:ascii="宋体" w:hAnsi="宋体" w:cs="宋体"/>
                <w:color w:val="auto"/>
                <w:sz w:val="22"/>
                <w:szCs w:val="22"/>
                <w:highlight w:val="none"/>
              </w:rPr>
            </w:pPr>
            <w:r>
              <w:rPr>
                <w:rFonts w:hint="eastAsia" w:ascii="宋体" w:hAnsi="宋体" w:cs="宋体"/>
                <w:color w:val="auto"/>
                <w:sz w:val="22"/>
                <w:szCs w:val="22"/>
                <w:highlight w:val="none"/>
              </w:rPr>
              <w:t>代配处方查询：可根据以下查询条件单独或联合统计代配处方，日期、患者姓名、住院号、处方号、门诊号、药品</w:t>
            </w:r>
          </w:p>
        </w:tc>
      </w:tr>
      <w:tr w14:paraId="79A4A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vMerge w:val="continue"/>
          </w:tcPr>
          <w:p w14:paraId="649C4FB1">
            <w:pPr>
              <w:rPr>
                <w:rFonts w:ascii="宋体" w:hAnsi="宋体" w:cs="宋体"/>
                <w:color w:val="auto"/>
                <w:szCs w:val="21"/>
                <w:highlight w:val="none"/>
              </w:rPr>
            </w:pPr>
          </w:p>
        </w:tc>
        <w:tc>
          <w:tcPr>
            <w:tcW w:w="0" w:type="auto"/>
            <w:gridSpan w:val="3"/>
            <w:vAlign w:val="center"/>
          </w:tcPr>
          <w:p w14:paraId="45CE7B9E">
            <w:pPr>
              <w:numPr>
                <w:ilvl w:val="0"/>
                <w:numId w:val="20"/>
              </w:numPr>
              <w:tabs>
                <w:tab w:val="left" w:pos="525"/>
                <w:tab w:val="left" w:pos="630"/>
              </w:tabs>
              <w:spacing w:line="360" w:lineRule="auto"/>
              <w:rPr>
                <w:rFonts w:ascii="宋体" w:hAnsi="宋体" w:cs="宋体"/>
                <w:color w:val="auto"/>
                <w:sz w:val="22"/>
                <w:szCs w:val="22"/>
                <w:highlight w:val="none"/>
              </w:rPr>
            </w:pPr>
            <w:r>
              <w:rPr>
                <w:rFonts w:hint="eastAsia" w:ascii="宋体" w:hAnsi="宋体" w:cs="宋体"/>
                <w:color w:val="auto"/>
                <w:szCs w:val="21"/>
                <w:highlight w:val="none"/>
              </w:rPr>
              <w:t>中药代煎操作记录表：可按照日期进行统计并打印，日期、姓名、年龄、科别、剂数、门诊/住院、床号由系统自动读取，剩余字段空白。</w:t>
            </w:r>
          </w:p>
        </w:tc>
      </w:tr>
      <w:tr w14:paraId="43BEC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vMerge w:val="continue"/>
          </w:tcPr>
          <w:p w14:paraId="784A8B56">
            <w:pPr>
              <w:rPr>
                <w:rFonts w:ascii="宋体" w:hAnsi="宋体" w:cs="宋体"/>
                <w:color w:val="auto"/>
                <w:szCs w:val="21"/>
                <w:highlight w:val="none"/>
              </w:rPr>
            </w:pPr>
          </w:p>
        </w:tc>
        <w:tc>
          <w:tcPr>
            <w:tcW w:w="0" w:type="auto"/>
            <w:gridSpan w:val="3"/>
            <w:vAlign w:val="center"/>
          </w:tcPr>
          <w:p w14:paraId="4680ECDE">
            <w:pPr>
              <w:tabs>
                <w:tab w:val="left" w:pos="525"/>
                <w:tab w:val="left" w:pos="630"/>
              </w:tabs>
              <w:spacing w:line="360" w:lineRule="auto"/>
              <w:rPr>
                <w:rFonts w:ascii="宋体" w:hAnsi="宋体" w:cs="宋体"/>
                <w:color w:val="auto"/>
                <w:sz w:val="22"/>
                <w:szCs w:val="22"/>
                <w:highlight w:val="none"/>
              </w:rPr>
            </w:pPr>
            <w:r>
              <w:rPr>
                <w:rFonts w:hint="eastAsia" w:ascii="宋体" w:hAnsi="宋体" w:cs="宋体"/>
                <w:color w:val="auto"/>
                <w:sz w:val="22"/>
                <w:szCs w:val="22"/>
                <w:highlight w:val="none"/>
              </w:rPr>
              <w:t>6.17 药品维护功能（仅针对中药房）</w:t>
            </w:r>
          </w:p>
        </w:tc>
      </w:tr>
      <w:tr w14:paraId="3290C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vMerge w:val="continue"/>
          </w:tcPr>
          <w:p w14:paraId="1FF3D163">
            <w:pPr>
              <w:rPr>
                <w:rFonts w:ascii="宋体" w:hAnsi="宋体" w:cs="宋体"/>
                <w:color w:val="auto"/>
                <w:szCs w:val="21"/>
                <w:highlight w:val="none"/>
              </w:rPr>
            </w:pPr>
          </w:p>
        </w:tc>
        <w:tc>
          <w:tcPr>
            <w:tcW w:w="1294" w:type="dxa"/>
            <w:gridSpan w:val="2"/>
            <w:vAlign w:val="center"/>
          </w:tcPr>
          <w:p w14:paraId="17AD5E25">
            <w:pPr>
              <w:rPr>
                <w:rFonts w:ascii="宋体" w:hAnsi="宋体" w:cs="宋体"/>
                <w:color w:val="auto"/>
                <w:sz w:val="22"/>
                <w:szCs w:val="22"/>
                <w:highlight w:val="none"/>
              </w:rPr>
            </w:pPr>
            <w:r>
              <w:rPr>
                <w:rFonts w:hint="eastAsia" w:ascii="宋体" w:hAnsi="宋体" w:cs="宋体"/>
                <w:color w:val="auto"/>
                <w:sz w:val="22"/>
                <w:szCs w:val="22"/>
                <w:highlight w:val="none"/>
              </w:rPr>
              <w:t>6.17.1</w:t>
            </w:r>
          </w:p>
        </w:tc>
        <w:tc>
          <w:tcPr>
            <w:tcW w:w="12029" w:type="dxa"/>
            <w:vAlign w:val="center"/>
          </w:tcPr>
          <w:p w14:paraId="496E8B9B">
            <w:pPr>
              <w:numPr>
                <w:ilvl w:val="0"/>
                <w:numId w:val="20"/>
              </w:numPr>
              <w:rPr>
                <w:rFonts w:ascii="宋体" w:hAnsi="宋体" w:cs="宋体"/>
                <w:color w:val="auto"/>
                <w:highlight w:val="none"/>
              </w:rPr>
            </w:pPr>
            <w:r>
              <w:rPr>
                <w:rFonts w:hint="eastAsia" w:ascii="宋体" w:hAnsi="宋体" w:cs="宋体"/>
                <w:color w:val="auto"/>
                <w:szCs w:val="21"/>
                <w:highlight w:val="none"/>
              </w:rPr>
              <w:t>可维护药品可收费量（医师开药减扣的划价量）、用法用量（维护给医师开药使用的默认用法用量，其中【复用】勾选后表示该药品可由医生随意开出剂量）、【剂量维护】是医生开药时使用的最小剂量单位，必须维护。点击【新增】，填写药品常用【剂量】、【剂量值】和【剂量单位】，点击【保存】记录由红色变为黑色表示保存成功。</w:t>
            </w:r>
            <w:r>
              <w:rPr>
                <w:rFonts w:hint="eastAsia" w:ascii="宋体" w:hAnsi="宋体" w:cs="宋体"/>
                <w:color w:val="auto"/>
                <w:highlight w:val="none"/>
              </w:rPr>
              <w:t>【限量设置】门诊和住院医生可开出的最大数量，勾选“药房审批”医生开出此药品需要药品审批同意。</w:t>
            </w:r>
          </w:p>
          <w:p w14:paraId="058C9F76">
            <w:pPr>
              <w:numPr>
                <w:ilvl w:val="0"/>
                <w:numId w:val="20"/>
              </w:numPr>
              <w:rPr>
                <w:rFonts w:ascii="宋体" w:hAnsi="宋体" w:cs="宋体"/>
                <w:color w:val="auto"/>
                <w:highlight w:val="none"/>
              </w:rPr>
            </w:pPr>
            <w:r>
              <w:rPr>
                <w:rFonts w:hint="eastAsia" w:ascii="宋体" w:hAnsi="宋体" w:cs="宋体"/>
                <w:color w:val="auto"/>
                <w:highlight w:val="none"/>
              </w:rPr>
              <w:t>可维护某些药品对指定医师禁用</w:t>
            </w:r>
          </w:p>
        </w:tc>
      </w:tr>
      <w:tr w14:paraId="6BCF7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tcPr>
          <w:p w14:paraId="0AFF874D">
            <w:pPr>
              <w:rPr>
                <w:rFonts w:ascii="宋体" w:hAnsi="宋体" w:cs="宋体"/>
                <w:color w:val="auto"/>
                <w:szCs w:val="21"/>
                <w:highlight w:val="none"/>
              </w:rPr>
            </w:pPr>
          </w:p>
        </w:tc>
        <w:tc>
          <w:tcPr>
            <w:tcW w:w="1294" w:type="dxa"/>
            <w:gridSpan w:val="2"/>
            <w:vAlign w:val="center"/>
          </w:tcPr>
          <w:p w14:paraId="4A1BC85A">
            <w:pPr>
              <w:rPr>
                <w:rFonts w:ascii="宋体" w:hAnsi="宋体" w:cs="宋体"/>
                <w:color w:val="auto"/>
                <w:sz w:val="22"/>
                <w:szCs w:val="22"/>
                <w:highlight w:val="none"/>
              </w:rPr>
            </w:pPr>
            <w:r>
              <w:rPr>
                <w:rFonts w:hint="eastAsia" w:ascii="宋体" w:hAnsi="宋体" w:cs="宋体"/>
                <w:color w:val="auto"/>
                <w:sz w:val="22"/>
                <w:szCs w:val="22"/>
                <w:highlight w:val="none"/>
              </w:rPr>
              <w:t>6.17.2 饮片规格维护</w:t>
            </w:r>
          </w:p>
        </w:tc>
        <w:tc>
          <w:tcPr>
            <w:tcW w:w="12029" w:type="dxa"/>
            <w:vAlign w:val="center"/>
          </w:tcPr>
          <w:p w14:paraId="4BBC99F9">
            <w:pPr>
              <w:numPr>
                <w:ilvl w:val="0"/>
                <w:numId w:val="20"/>
              </w:numPr>
              <w:rPr>
                <w:rFonts w:ascii="宋体" w:hAnsi="宋体" w:cs="宋体"/>
                <w:color w:val="auto"/>
                <w:highlight w:val="none"/>
              </w:rPr>
            </w:pPr>
            <w:r>
              <w:rPr>
                <w:rFonts w:hint="eastAsia" w:ascii="宋体" w:hAnsi="宋体" w:cs="宋体"/>
                <w:color w:val="auto"/>
                <w:highlight w:val="none"/>
              </w:rPr>
              <w:t>针对某一药品条目，可维护剂量值、剂量单位、包装量、状态（普通：医师正常开具；暂停：医师不可开具）</w:t>
            </w:r>
          </w:p>
        </w:tc>
      </w:tr>
      <w:tr w14:paraId="17550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tcPr>
          <w:p w14:paraId="3D22B795">
            <w:pPr>
              <w:rPr>
                <w:rFonts w:ascii="宋体" w:hAnsi="宋体" w:cs="宋体"/>
                <w:color w:val="auto"/>
                <w:szCs w:val="21"/>
                <w:highlight w:val="none"/>
              </w:rPr>
            </w:pPr>
          </w:p>
        </w:tc>
        <w:tc>
          <w:tcPr>
            <w:tcW w:w="1294" w:type="dxa"/>
            <w:gridSpan w:val="2"/>
            <w:vAlign w:val="center"/>
          </w:tcPr>
          <w:p w14:paraId="3E1765BF">
            <w:pPr>
              <w:rPr>
                <w:rFonts w:ascii="宋体" w:hAnsi="宋体" w:cs="宋体"/>
                <w:color w:val="auto"/>
                <w:sz w:val="22"/>
                <w:szCs w:val="22"/>
                <w:highlight w:val="none"/>
              </w:rPr>
            </w:pPr>
            <w:r>
              <w:rPr>
                <w:rFonts w:hint="eastAsia" w:ascii="宋体" w:hAnsi="宋体" w:cs="宋体"/>
                <w:color w:val="auto"/>
                <w:sz w:val="22"/>
                <w:szCs w:val="22"/>
                <w:highlight w:val="none"/>
              </w:rPr>
              <w:t>6.17.3 药品位置维护</w:t>
            </w:r>
          </w:p>
        </w:tc>
        <w:tc>
          <w:tcPr>
            <w:tcW w:w="12029" w:type="dxa"/>
            <w:vAlign w:val="center"/>
          </w:tcPr>
          <w:p w14:paraId="6766C1D8">
            <w:pPr>
              <w:numPr>
                <w:ilvl w:val="0"/>
                <w:numId w:val="20"/>
              </w:numPr>
              <w:rPr>
                <w:rFonts w:ascii="宋体" w:hAnsi="宋体" w:cs="宋体"/>
                <w:color w:val="auto"/>
                <w:highlight w:val="none"/>
              </w:rPr>
            </w:pPr>
            <w:r>
              <w:rPr>
                <w:rFonts w:hint="eastAsia" w:ascii="宋体" w:hAnsi="宋体" w:cs="宋体"/>
                <w:color w:val="auto"/>
                <w:highlight w:val="none"/>
              </w:rPr>
              <w:t>可输入多个位置信息，打印时药品按照位置信息的首位字符顺序依次打印。</w:t>
            </w:r>
            <w:r>
              <w:rPr>
                <w:rFonts w:hint="eastAsia"/>
                <w:color w:val="auto"/>
                <w:highlight w:val="none"/>
              </w:rPr>
              <w:t>（增加字段，定制开发）</w:t>
            </w:r>
          </w:p>
        </w:tc>
      </w:tr>
      <w:tr w14:paraId="46182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vMerge w:val="restart"/>
          </w:tcPr>
          <w:p w14:paraId="58396F2B">
            <w:pPr>
              <w:rPr>
                <w:rFonts w:ascii="宋体" w:hAnsi="宋体" w:cs="宋体"/>
                <w:color w:val="auto"/>
                <w:szCs w:val="21"/>
                <w:highlight w:val="none"/>
              </w:rPr>
            </w:pPr>
          </w:p>
        </w:tc>
        <w:tc>
          <w:tcPr>
            <w:tcW w:w="13323" w:type="dxa"/>
            <w:gridSpan w:val="3"/>
            <w:vAlign w:val="center"/>
          </w:tcPr>
          <w:p w14:paraId="6F10D64B">
            <w:pPr>
              <w:rPr>
                <w:rFonts w:ascii="宋体" w:hAnsi="宋体" w:cs="宋体"/>
                <w:color w:val="auto"/>
                <w:highlight w:val="none"/>
              </w:rPr>
            </w:pPr>
            <w:r>
              <w:rPr>
                <w:rFonts w:hint="eastAsia" w:ascii="宋体" w:hAnsi="宋体" w:cs="宋体"/>
                <w:color w:val="auto"/>
                <w:highlight w:val="none"/>
              </w:rPr>
              <w:t>6.18 药房班次维护功能</w:t>
            </w:r>
            <w:r>
              <w:rPr>
                <w:rFonts w:hint="eastAsia"/>
                <w:color w:val="auto"/>
                <w:highlight w:val="none"/>
              </w:rPr>
              <w:t>（参考温医功能定制化开发）</w:t>
            </w:r>
          </w:p>
        </w:tc>
      </w:tr>
      <w:tr w14:paraId="07BE4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vMerge w:val="continue"/>
          </w:tcPr>
          <w:p w14:paraId="438ACD8F">
            <w:pPr>
              <w:rPr>
                <w:rFonts w:ascii="宋体" w:hAnsi="宋体" w:cs="宋体"/>
                <w:color w:val="auto"/>
                <w:szCs w:val="21"/>
                <w:highlight w:val="none"/>
              </w:rPr>
            </w:pPr>
          </w:p>
        </w:tc>
        <w:tc>
          <w:tcPr>
            <w:tcW w:w="1294" w:type="dxa"/>
            <w:gridSpan w:val="2"/>
            <w:vAlign w:val="center"/>
          </w:tcPr>
          <w:p w14:paraId="5593042D">
            <w:pPr>
              <w:rPr>
                <w:rFonts w:ascii="宋体" w:hAnsi="宋体" w:cs="宋体"/>
                <w:color w:val="auto"/>
                <w:sz w:val="22"/>
                <w:szCs w:val="22"/>
                <w:highlight w:val="none"/>
              </w:rPr>
            </w:pPr>
            <w:r>
              <w:rPr>
                <w:rFonts w:hint="eastAsia" w:ascii="宋体" w:hAnsi="宋体" w:cs="宋体"/>
                <w:color w:val="auto"/>
                <w:sz w:val="22"/>
                <w:szCs w:val="22"/>
                <w:highlight w:val="none"/>
              </w:rPr>
              <w:t>6.18.1 药房班次维护功能</w:t>
            </w:r>
          </w:p>
        </w:tc>
        <w:tc>
          <w:tcPr>
            <w:tcW w:w="12029" w:type="dxa"/>
            <w:vAlign w:val="center"/>
          </w:tcPr>
          <w:p w14:paraId="10AE2D31">
            <w:pPr>
              <w:numPr>
                <w:ilvl w:val="0"/>
                <w:numId w:val="20"/>
              </w:numPr>
              <w:rPr>
                <w:rFonts w:ascii="宋体" w:hAnsi="宋体" w:cs="宋体"/>
                <w:color w:val="auto"/>
                <w:highlight w:val="none"/>
              </w:rPr>
            </w:pPr>
            <w:r>
              <w:rPr>
                <w:rFonts w:hint="eastAsia" w:ascii="宋体" w:hAnsi="宋体" w:cs="宋体"/>
                <w:color w:val="auto"/>
                <w:highlight w:val="none"/>
              </w:rPr>
              <w:t>用于配方发药时选择工作班次来计算工作量。</w:t>
            </w:r>
          </w:p>
        </w:tc>
      </w:tr>
      <w:tr w14:paraId="74706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vMerge w:val="restart"/>
          </w:tcPr>
          <w:p w14:paraId="2165E1E9">
            <w:pPr>
              <w:rPr>
                <w:rFonts w:ascii="宋体" w:hAnsi="宋体" w:cs="宋体"/>
                <w:color w:val="auto"/>
                <w:szCs w:val="21"/>
                <w:highlight w:val="none"/>
              </w:rPr>
            </w:pPr>
          </w:p>
        </w:tc>
        <w:tc>
          <w:tcPr>
            <w:tcW w:w="13323" w:type="dxa"/>
            <w:gridSpan w:val="3"/>
            <w:vAlign w:val="center"/>
          </w:tcPr>
          <w:p w14:paraId="579CE63A">
            <w:pPr>
              <w:rPr>
                <w:rFonts w:ascii="宋体" w:hAnsi="宋体" w:cs="宋体"/>
                <w:color w:val="auto"/>
                <w:highlight w:val="none"/>
              </w:rPr>
            </w:pPr>
            <w:r>
              <w:rPr>
                <w:rFonts w:hint="eastAsia" w:ascii="宋体" w:hAnsi="宋体" w:cs="宋体"/>
                <w:color w:val="auto"/>
                <w:sz w:val="22"/>
                <w:szCs w:val="22"/>
                <w:highlight w:val="none"/>
              </w:rPr>
              <w:t>6.19 药品查询功能</w:t>
            </w:r>
          </w:p>
        </w:tc>
      </w:tr>
      <w:tr w14:paraId="6FD3F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vMerge w:val="continue"/>
          </w:tcPr>
          <w:p w14:paraId="09A85EE3">
            <w:pPr>
              <w:rPr>
                <w:rFonts w:ascii="宋体" w:hAnsi="宋体" w:cs="宋体"/>
                <w:color w:val="auto"/>
                <w:szCs w:val="21"/>
                <w:highlight w:val="none"/>
              </w:rPr>
            </w:pPr>
          </w:p>
        </w:tc>
        <w:tc>
          <w:tcPr>
            <w:tcW w:w="1294" w:type="dxa"/>
            <w:gridSpan w:val="2"/>
            <w:vAlign w:val="center"/>
          </w:tcPr>
          <w:p w14:paraId="3DF9FF4B">
            <w:pPr>
              <w:rPr>
                <w:rFonts w:ascii="宋体" w:hAnsi="宋体" w:cs="宋体"/>
                <w:color w:val="auto"/>
                <w:sz w:val="22"/>
                <w:szCs w:val="22"/>
                <w:highlight w:val="none"/>
              </w:rPr>
            </w:pPr>
            <w:r>
              <w:rPr>
                <w:rFonts w:hint="eastAsia" w:ascii="宋体" w:hAnsi="宋体" w:cs="宋体"/>
                <w:color w:val="auto"/>
                <w:sz w:val="22"/>
                <w:szCs w:val="22"/>
                <w:highlight w:val="none"/>
              </w:rPr>
              <w:t>6.19.1 药品查询</w:t>
            </w:r>
          </w:p>
        </w:tc>
        <w:tc>
          <w:tcPr>
            <w:tcW w:w="12029" w:type="dxa"/>
            <w:vAlign w:val="center"/>
          </w:tcPr>
          <w:p w14:paraId="3D625598">
            <w:pPr>
              <w:numPr>
                <w:ilvl w:val="0"/>
                <w:numId w:val="20"/>
              </w:numPr>
              <w:rPr>
                <w:rFonts w:ascii="宋体" w:hAnsi="宋体" w:cs="宋体"/>
                <w:color w:val="auto"/>
                <w:highlight w:val="none"/>
              </w:rPr>
            </w:pPr>
            <w:r>
              <w:rPr>
                <w:rFonts w:hint="eastAsia" w:ascii="宋体" w:hAnsi="宋体" w:cs="宋体"/>
                <w:color w:val="auto"/>
                <w:highlight w:val="none"/>
              </w:rPr>
              <w:t>支持输入药品简码或通用名或商品名后，可查询药品入库信息、出库信息、药房信息、药库信息、调价信息、招标信息</w:t>
            </w:r>
          </w:p>
        </w:tc>
      </w:tr>
      <w:tr w14:paraId="0F90A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vMerge w:val="restart"/>
          </w:tcPr>
          <w:p w14:paraId="77B24C82">
            <w:pPr>
              <w:rPr>
                <w:rFonts w:ascii="宋体" w:hAnsi="宋体" w:cs="宋体"/>
                <w:color w:val="auto"/>
                <w:szCs w:val="21"/>
                <w:highlight w:val="none"/>
              </w:rPr>
            </w:pPr>
          </w:p>
        </w:tc>
        <w:tc>
          <w:tcPr>
            <w:tcW w:w="13323" w:type="dxa"/>
            <w:gridSpan w:val="3"/>
            <w:vAlign w:val="center"/>
          </w:tcPr>
          <w:p w14:paraId="6B2F6EF1">
            <w:pPr>
              <w:rPr>
                <w:rFonts w:ascii="宋体" w:hAnsi="宋体" w:cs="宋体"/>
                <w:color w:val="auto"/>
                <w:highlight w:val="none"/>
              </w:rPr>
            </w:pPr>
            <w:r>
              <w:rPr>
                <w:rFonts w:hint="eastAsia" w:ascii="宋体" w:hAnsi="宋体" w:cs="宋体"/>
                <w:color w:val="auto"/>
                <w:sz w:val="22"/>
                <w:szCs w:val="22"/>
                <w:highlight w:val="none"/>
              </w:rPr>
              <w:t>6.20  中药饮片集采监测</w:t>
            </w:r>
            <w:r>
              <w:rPr>
                <w:rFonts w:hint="eastAsia"/>
                <w:color w:val="auto"/>
                <w:highlight w:val="none"/>
              </w:rPr>
              <w:t>（做数据服务里，提OA需求）</w:t>
            </w:r>
          </w:p>
        </w:tc>
      </w:tr>
      <w:tr w14:paraId="79317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vMerge w:val="continue"/>
          </w:tcPr>
          <w:p w14:paraId="4A273FED">
            <w:pPr>
              <w:rPr>
                <w:rFonts w:ascii="宋体" w:hAnsi="宋体" w:cs="宋体"/>
                <w:color w:val="auto"/>
                <w:szCs w:val="21"/>
                <w:highlight w:val="none"/>
              </w:rPr>
            </w:pPr>
          </w:p>
        </w:tc>
        <w:tc>
          <w:tcPr>
            <w:tcW w:w="1294" w:type="dxa"/>
            <w:gridSpan w:val="2"/>
            <w:vAlign w:val="center"/>
          </w:tcPr>
          <w:p w14:paraId="2D970EAA">
            <w:pPr>
              <w:rPr>
                <w:rFonts w:ascii="宋体" w:hAnsi="宋体" w:cs="宋体"/>
                <w:color w:val="auto"/>
                <w:sz w:val="22"/>
                <w:szCs w:val="22"/>
                <w:highlight w:val="none"/>
              </w:rPr>
            </w:pPr>
            <w:r>
              <w:rPr>
                <w:rFonts w:hint="eastAsia" w:ascii="宋体" w:hAnsi="宋体" w:cs="宋体"/>
                <w:color w:val="auto"/>
                <w:sz w:val="22"/>
                <w:szCs w:val="22"/>
                <w:highlight w:val="none"/>
              </w:rPr>
              <w:t>6.20.1 中药饮片用量实时监测</w:t>
            </w:r>
          </w:p>
        </w:tc>
        <w:tc>
          <w:tcPr>
            <w:tcW w:w="12029" w:type="dxa"/>
            <w:vAlign w:val="center"/>
          </w:tcPr>
          <w:p w14:paraId="1466BD6F">
            <w:pPr>
              <w:numPr>
                <w:ilvl w:val="0"/>
                <w:numId w:val="20"/>
              </w:numPr>
              <w:rPr>
                <w:rFonts w:ascii="宋体" w:hAnsi="宋体" w:cs="宋体"/>
                <w:color w:val="auto"/>
                <w:highlight w:val="none"/>
              </w:rPr>
            </w:pPr>
            <w:r>
              <w:rPr>
                <w:rFonts w:hint="eastAsia" w:ascii="宋体" w:hAnsi="宋体" w:cs="宋体"/>
                <w:color w:val="auto"/>
                <w:highlight w:val="none"/>
              </w:rPr>
              <w:t>单个或全部集采中药饮片品种用量实时查看报表，报表包括：药品名称、临床科室、科室任务量、科室任务量占全院百分比、科室使用量、科室未完成用量、科室使用序时进度（使用量除以任务量）。</w:t>
            </w:r>
          </w:p>
        </w:tc>
      </w:tr>
      <w:tr w14:paraId="009E3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vMerge w:val="continue"/>
          </w:tcPr>
          <w:p w14:paraId="503A10EF">
            <w:pPr>
              <w:rPr>
                <w:rFonts w:ascii="宋体" w:hAnsi="宋体" w:cs="宋体"/>
                <w:color w:val="auto"/>
                <w:szCs w:val="21"/>
                <w:highlight w:val="none"/>
              </w:rPr>
            </w:pPr>
          </w:p>
        </w:tc>
        <w:tc>
          <w:tcPr>
            <w:tcW w:w="1294" w:type="dxa"/>
            <w:gridSpan w:val="2"/>
            <w:vAlign w:val="center"/>
          </w:tcPr>
          <w:p w14:paraId="43C9BA69">
            <w:pPr>
              <w:rPr>
                <w:rFonts w:ascii="宋体" w:hAnsi="宋体" w:cs="宋体"/>
                <w:color w:val="auto"/>
                <w:sz w:val="22"/>
                <w:szCs w:val="22"/>
                <w:highlight w:val="none"/>
              </w:rPr>
            </w:pPr>
            <w:r>
              <w:rPr>
                <w:rFonts w:hint="eastAsia" w:ascii="宋体" w:hAnsi="宋体" w:cs="宋体"/>
                <w:color w:val="auto"/>
                <w:sz w:val="22"/>
                <w:szCs w:val="22"/>
                <w:highlight w:val="none"/>
              </w:rPr>
              <w:t>6.20.2 医师用量实时监测</w:t>
            </w:r>
          </w:p>
        </w:tc>
        <w:tc>
          <w:tcPr>
            <w:tcW w:w="12029" w:type="dxa"/>
            <w:vAlign w:val="center"/>
          </w:tcPr>
          <w:p w14:paraId="0DACD6C8">
            <w:pPr>
              <w:numPr>
                <w:ilvl w:val="0"/>
                <w:numId w:val="20"/>
              </w:numPr>
              <w:rPr>
                <w:rFonts w:ascii="宋体" w:hAnsi="宋体" w:cs="宋体"/>
                <w:color w:val="auto"/>
                <w:highlight w:val="none"/>
              </w:rPr>
            </w:pPr>
            <w:r>
              <w:rPr>
                <w:rFonts w:hint="eastAsia" w:ascii="宋体" w:hAnsi="宋体" w:cs="宋体"/>
                <w:color w:val="auto"/>
                <w:highlight w:val="none"/>
              </w:rPr>
              <w:t>单个或全院医生集采中药饮片用量实时查看报表，报表包括：药品名称、医生名称、医生任务量、医生任务量占全院百分比、医生使用量、医生未完成用量、医师使用序时进度（使用量除以任务量）。</w:t>
            </w:r>
          </w:p>
        </w:tc>
      </w:tr>
      <w:tr w14:paraId="16AD9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vMerge w:val="continue"/>
          </w:tcPr>
          <w:p w14:paraId="6F704812">
            <w:pPr>
              <w:rPr>
                <w:rFonts w:ascii="宋体" w:hAnsi="宋体" w:cs="宋体"/>
                <w:color w:val="auto"/>
                <w:szCs w:val="21"/>
                <w:highlight w:val="none"/>
              </w:rPr>
            </w:pPr>
          </w:p>
        </w:tc>
        <w:tc>
          <w:tcPr>
            <w:tcW w:w="1294" w:type="dxa"/>
            <w:gridSpan w:val="2"/>
            <w:vAlign w:val="center"/>
          </w:tcPr>
          <w:p w14:paraId="128D6640">
            <w:pPr>
              <w:rPr>
                <w:rFonts w:ascii="宋体" w:hAnsi="宋体" w:cs="宋体"/>
                <w:color w:val="auto"/>
                <w:sz w:val="22"/>
                <w:szCs w:val="22"/>
                <w:highlight w:val="none"/>
              </w:rPr>
            </w:pPr>
            <w:r>
              <w:rPr>
                <w:rFonts w:hint="eastAsia" w:ascii="宋体" w:hAnsi="宋体" w:cs="宋体"/>
                <w:color w:val="auto"/>
                <w:sz w:val="22"/>
                <w:szCs w:val="22"/>
                <w:highlight w:val="none"/>
              </w:rPr>
              <w:t>6.20.3 预警提醒</w:t>
            </w:r>
          </w:p>
        </w:tc>
        <w:tc>
          <w:tcPr>
            <w:tcW w:w="12029" w:type="dxa"/>
            <w:vAlign w:val="center"/>
          </w:tcPr>
          <w:p w14:paraId="24EFCB7B">
            <w:pPr>
              <w:numPr>
                <w:ilvl w:val="0"/>
                <w:numId w:val="20"/>
              </w:numPr>
              <w:rPr>
                <w:rFonts w:ascii="宋体" w:hAnsi="宋体" w:cs="宋体"/>
                <w:color w:val="auto"/>
                <w:highlight w:val="none"/>
              </w:rPr>
            </w:pPr>
            <w:r>
              <w:rPr>
                <w:rFonts w:hint="eastAsia" w:ascii="宋体" w:hAnsi="宋体" w:cs="宋体"/>
                <w:color w:val="auto"/>
                <w:highlight w:val="none"/>
              </w:rPr>
              <w:t>支持设置序时进度预警值，当科室序时进度或医师序时进度低于设置值时，系统可定时（具体时间支持自定义设置，如每周一8点等）向科主任（仅针对科室进度）、医师HIS账号推送消息。</w:t>
            </w:r>
          </w:p>
        </w:tc>
      </w:tr>
      <w:tr w14:paraId="71A78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vMerge w:val="continue"/>
          </w:tcPr>
          <w:p w14:paraId="1BB45C28">
            <w:pPr>
              <w:rPr>
                <w:rFonts w:ascii="宋体" w:hAnsi="宋体" w:cs="宋体"/>
                <w:color w:val="auto"/>
                <w:szCs w:val="21"/>
                <w:highlight w:val="none"/>
              </w:rPr>
            </w:pPr>
          </w:p>
        </w:tc>
        <w:tc>
          <w:tcPr>
            <w:tcW w:w="13323" w:type="dxa"/>
            <w:gridSpan w:val="3"/>
            <w:vAlign w:val="center"/>
          </w:tcPr>
          <w:p w14:paraId="666E306F">
            <w:pPr>
              <w:numPr>
                <w:ilvl w:val="0"/>
                <w:numId w:val="20"/>
              </w:numPr>
              <w:rPr>
                <w:rFonts w:ascii="宋体" w:hAnsi="宋体" w:cs="宋体"/>
                <w:color w:val="auto"/>
                <w:highlight w:val="none"/>
              </w:rPr>
            </w:pPr>
            <w:r>
              <w:rPr>
                <w:rFonts w:hint="eastAsia" w:ascii="宋体" w:hAnsi="宋体" w:cs="宋体"/>
                <w:color w:val="auto"/>
                <w:sz w:val="22"/>
                <w:szCs w:val="22"/>
                <w:highlight w:val="none"/>
              </w:rPr>
              <w:t>6.21 中药代煎管理</w:t>
            </w:r>
            <w:r>
              <w:rPr>
                <w:rFonts w:hint="eastAsia"/>
                <w:color w:val="auto"/>
                <w:highlight w:val="none"/>
              </w:rPr>
              <w:t>（预留对接功能，定制开发或外购单独的子系统）</w:t>
            </w:r>
          </w:p>
        </w:tc>
      </w:tr>
      <w:tr w14:paraId="04308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vMerge w:val="continue"/>
          </w:tcPr>
          <w:p w14:paraId="0B9E587B">
            <w:pPr>
              <w:rPr>
                <w:rFonts w:ascii="宋体" w:hAnsi="宋体" w:cs="宋体"/>
                <w:color w:val="auto"/>
                <w:szCs w:val="21"/>
                <w:highlight w:val="none"/>
              </w:rPr>
            </w:pPr>
          </w:p>
        </w:tc>
        <w:tc>
          <w:tcPr>
            <w:tcW w:w="1294" w:type="dxa"/>
            <w:gridSpan w:val="2"/>
            <w:vAlign w:val="center"/>
          </w:tcPr>
          <w:p w14:paraId="58E259EB">
            <w:pPr>
              <w:rPr>
                <w:rFonts w:ascii="宋体" w:hAnsi="宋体" w:cs="宋体"/>
                <w:color w:val="auto"/>
                <w:sz w:val="22"/>
                <w:szCs w:val="22"/>
                <w:highlight w:val="none"/>
              </w:rPr>
            </w:pPr>
            <w:r>
              <w:rPr>
                <w:rFonts w:hint="eastAsia" w:ascii="宋体" w:hAnsi="宋体" w:cs="宋体"/>
                <w:color w:val="auto"/>
                <w:sz w:val="22"/>
                <w:szCs w:val="22"/>
                <w:highlight w:val="none"/>
              </w:rPr>
              <w:t>6.21.1 代煎订单接收</w:t>
            </w:r>
          </w:p>
        </w:tc>
        <w:tc>
          <w:tcPr>
            <w:tcW w:w="12029" w:type="dxa"/>
            <w:vAlign w:val="center"/>
          </w:tcPr>
          <w:p w14:paraId="09A1DA17">
            <w:pPr>
              <w:numPr>
                <w:ilvl w:val="0"/>
                <w:numId w:val="20"/>
              </w:numPr>
              <w:rPr>
                <w:rFonts w:ascii="宋体" w:hAnsi="宋体" w:cs="宋体"/>
                <w:color w:val="auto"/>
                <w:highlight w:val="none"/>
              </w:rPr>
            </w:pPr>
            <w:r>
              <w:rPr>
                <w:rFonts w:hint="eastAsia" w:ascii="宋体" w:hAnsi="宋体" w:cs="宋体"/>
                <w:color w:val="auto"/>
                <w:highlight w:val="none"/>
              </w:rPr>
              <w:t>与医院门诊挂号、收费系统无缝对接，自动获取患者的代煎需求信息，生成代煎订单。订单信息包括患者姓名、联系方式、就诊科室、处方信息、代煎要求（如煎药次数、包装规格等）。</w:t>
            </w:r>
          </w:p>
        </w:tc>
      </w:tr>
      <w:tr w14:paraId="381AE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vMerge w:val="continue"/>
          </w:tcPr>
          <w:p w14:paraId="193924E1">
            <w:pPr>
              <w:rPr>
                <w:rFonts w:ascii="宋体" w:hAnsi="宋体" w:cs="宋体"/>
                <w:color w:val="auto"/>
                <w:szCs w:val="21"/>
                <w:highlight w:val="none"/>
              </w:rPr>
            </w:pPr>
          </w:p>
        </w:tc>
        <w:tc>
          <w:tcPr>
            <w:tcW w:w="1294" w:type="dxa"/>
            <w:gridSpan w:val="2"/>
            <w:vAlign w:val="center"/>
          </w:tcPr>
          <w:p w14:paraId="0B4BC196">
            <w:pPr>
              <w:rPr>
                <w:rFonts w:ascii="宋体" w:hAnsi="宋体" w:cs="宋体"/>
                <w:color w:val="auto"/>
                <w:sz w:val="22"/>
                <w:szCs w:val="22"/>
                <w:highlight w:val="none"/>
              </w:rPr>
            </w:pPr>
            <w:r>
              <w:rPr>
                <w:rFonts w:hint="eastAsia" w:ascii="宋体" w:hAnsi="宋体" w:cs="宋体"/>
                <w:color w:val="auto"/>
                <w:sz w:val="22"/>
                <w:szCs w:val="22"/>
                <w:highlight w:val="none"/>
              </w:rPr>
              <w:t>6.21.2 代煎流程跟踪</w:t>
            </w:r>
          </w:p>
        </w:tc>
        <w:tc>
          <w:tcPr>
            <w:tcW w:w="12029" w:type="dxa"/>
            <w:vAlign w:val="center"/>
          </w:tcPr>
          <w:p w14:paraId="729D4093">
            <w:pPr>
              <w:numPr>
                <w:ilvl w:val="0"/>
                <w:numId w:val="20"/>
              </w:numPr>
              <w:rPr>
                <w:rFonts w:ascii="宋体" w:hAnsi="宋体" w:cs="宋体"/>
                <w:color w:val="auto"/>
                <w:highlight w:val="none"/>
              </w:rPr>
            </w:pPr>
            <w:r>
              <w:rPr>
                <w:rFonts w:hint="eastAsia" w:ascii="宋体" w:hAnsi="宋体" w:cs="宋体"/>
                <w:color w:val="auto"/>
                <w:highlight w:val="none"/>
              </w:rPr>
              <w:t>从接收处方开始，对中药代煎的每一个环节进行实时跟踪记录，包括药材浸泡、煎煮、包装、配送等步骤。患者可通过医院官方网站、微信公众号或手机APP查询代煎进度，系统推送代煎状态更新通知（如开始煎药、煎药完成、配送中、已送达等） ，让患者随时了解自己药品的情况。</w:t>
            </w:r>
          </w:p>
        </w:tc>
      </w:tr>
      <w:tr w14:paraId="279CC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vMerge w:val="continue"/>
          </w:tcPr>
          <w:p w14:paraId="3FDD9A1F">
            <w:pPr>
              <w:rPr>
                <w:rFonts w:ascii="宋体" w:hAnsi="宋体" w:cs="宋体"/>
                <w:color w:val="auto"/>
                <w:szCs w:val="21"/>
                <w:highlight w:val="none"/>
              </w:rPr>
            </w:pPr>
          </w:p>
        </w:tc>
        <w:tc>
          <w:tcPr>
            <w:tcW w:w="1294" w:type="dxa"/>
            <w:gridSpan w:val="2"/>
            <w:vAlign w:val="center"/>
          </w:tcPr>
          <w:p w14:paraId="3321EC24">
            <w:pPr>
              <w:rPr>
                <w:rFonts w:ascii="宋体" w:hAnsi="宋体" w:cs="宋体"/>
                <w:color w:val="auto"/>
                <w:sz w:val="22"/>
                <w:szCs w:val="22"/>
                <w:highlight w:val="none"/>
              </w:rPr>
            </w:pPr>
            <w:r>
              <w:rPr>
                <w:rFonts w:hint="eastAsia" w:ascii="宋体" w:hAnsi="宋体" w:cs="宋体"/>
                <w:color w:val="auto"/>
                <w:sz w:val="22"/>
                <w:szCs w:val="22"/>
                <w:highlight w:val="none"/>
              </w:rPr>
              <w:t>6.21.3 质量控制</w:t>
            </w:r>
          </w:p>
        </w:tc>
        <w:tc>
          <w:tcPr>
            <w:tcW w:w="12029" w:type="dxa"/>
            <w:vAlign w:val="center"/>
          </w:tcPr>
          <w:p w14:paraId="7680288F">
            <w:pPr>
              <w:numPr>
                <w:ilvl w:val="0"/>
                <w:numId w:val="20"/>
              </w:numPr>
              <w:rPr>
                <w:rFonts w:ascii="宋体" w:hAnsi="宋体" w:cs="宋体"/>
                <w:color w:val="auto"/>
                <w:highlight w:val="none"/>
              </w:rPr>
            </w:pPr>
            <w:r>
              <w:rPr>
                <w:rFonts w:hint="eastAsia" w:ascii="宋体" w:hAnsi="宋体" w:cs="宋体"/>
                <w:color w:val="auto"/>
                <w:highlight w:val="none"/>
              </w:rPr>
              <w:t>在代煎过程中，系统记录煎药设备的运行参数（如温度、时间、压力等），确保煎药质量符合相关标准和规范。对每一批次的代煎药品进行质量抽检，抽检结果录入系统，对于不合格的药品，系统自动触发召回和重新煎制流程，并记录相关处理情况。</w:t>
            </w:r>
          </w:p>
        </w:tc>
      </w:tr>
      <w:tr w14:paraId="5F544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vMerge w:val="continue"/>
          </w:tcPr>
          <w:p w14:paraId="0D0833D8">
            <w:pPr>
              <w:rPr>
                <w:rFonts w:ascii="宋体" w:hAnsi="宋体" w:cs="宋体"/>
                <w:color w:val="auto"/>
                <w:szCs w:val="21"/>
                <w:highlight w:val="none"/>
              </w:rPr>
            </w:pPr>
          </w:p>
        </w:tc>
        <w:tc>
          <w:tcPr>
            <w:tcW w:w="1294" w:type="dxa"/>
            <w:gridSpan w:val="2"/>
            <w:vAlign w:val="center"/>
          </w:tcPr>
          <w:p w14:paraId="090A6BE9">
            <w:pPr>
              <w:rPr>
                <w:rFonts w:ascii="宋体" w:hAnsi="宋体" w:cs="宋体"/>
                <w:color w:val="auto"/>
                <w:sz w:val="22"/>
                <w:szCs w:val="22"/>
                <w:highlight w:val="none"/>
              </w:rPr>
            </w:pPr>
            <w:r>
              <w:rPr>
                <w:rFonts w:hint="eastAsia" w:ascii="宋体" w:hAnsi="宋体" w:cs="宋体"/>
                <w:color w:val="auto"/>
                <w:sz w:val="22"/>
                <w:szCs w:val="22"/>
                <w:highlight w:val="none"/>
              </w:rPr>
              <w:t>6.21.4 配送管理</w:t>
            </w:r>
          </w:p>
        </w:tc>
        <w:tc>
          <w:tcPr>
            <w:tcW w:w="12029" w:type="dxa"/>
            <w:vAlign w:val="center"/>
          </w:tcPr>
          <w:p w14:paraId="05BC1CC2">
            <w:pPr>
              <w:numPr>
                <w:ilvl w:val="0"/>
                <w:numId w:val="20"/>
              </w:numPr>
              <w:rPr>
                <w:rFonts w:ascii="宋体" w:hAnsi="宋体" w:cs="宋体"/>
                <w:color w:val="auto"/>
                <w:highlight w:val="none"/>
              </w:rPr>
            </w:pPr>
            <w:r>
              <w:rPr>
                <w:rFonts w:hint="eastAsia" w:ascii="宋体" w:hAnsi="宋体" w:cs="宋体"/>
                <w:color w:val="auto"/>
                <w:highlight w:val="none"/>
              </w:rPr>
              <w:t>与专业的物流配送公司系统对接，根据患者的收货地址和要求安排配送服务。系统自动生成配送单，记录配送单号、配送时间、配送人员等信息。支持患者选择自提或配送上门服务，对于配送上门的患者，提供物流轨迹查询功能，确保药品安全、及时送达。</w:t>
            </w:r>
          </w:p>
        </w:tc>
      </w:tr>
      <w:tr w14:paraId="4B5B1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vMerge w:val="continue"/>
          </w:tcPr>
          <w:p w14:paraId="7FCC62A6">
            <w:pPr>
              <w:rPr>
                <w:rFonts w:ascii="宋体" w:hAnsi="宋体" w:cs="宋体"/>
                <w:color w:val="auto"/>
                <w:szCs w:val="21"/>
                <w:highlight w:val="none"/>
              </w:rPr>
            </w:pPr>
          </w:p>
        </w:tc>
        <w:tc>
          <w:tcPr>
            <w:tcW w:w="1294" w:type="dxa"/>
            <w:gridSpan w:val="2"/>
            <w:vAlign w:val="center"/>
          </w:tcPr>
          <w:p w14:paraId="14A46DA1">
            <w:pPr>
              <w:rPr>
                <w:rFonts w:ascii="宋体" w:hAnsi="宋体" w:cs="宋体"/>
                <w:color w:val="auto"/>
                <w:sz w:val="22"/>
                <w:szCs w:val="22"/>
                <w:highlight w:val="none"/>
              </w:rPr>
            </w:pPr>
            <w:r>
              <w:rPr>
                <w:rFonts w:hint="eastAsia" w:ascii="宋体" w:hAnsi="宋体" w:cs="宋体"/>
                <w:color w:val="auto"/>
                <w:sz w:val="22"/>
                <w:szCs w:val="22"/>
                <w:highlight w:val="none"/>
              </w:rPr>
              <w:t>6.21.5 代煎业务报表</w:t>
            </w:r>
          </w:p>
        </w:tc>
        <w:tc>
          <w:tcPr>
            <w:tcW w:w="12029" w:type="dxa"/>
            <w:vAlign w:val="center"/>
          </w:tcPr>
          <w:p w14:paraId="78FF443C">
            <w:pPr>
              <w:numPr>
                <w:ilvl w:val="0"/>
                <w:numId w:val="20"/>
              </w:numPr>
              <w:rPr>
                <w:rFonts w:ascii="宋体" w:hAnsi="宋体" w:cs="宋体"/>
                <w:color w:val="auto"/>
                <w:highlight w:val="none"/>
              </w:rPr>
            </w:pPr>
            <w:r>
              <w:rPr>
                <w:rFonts w:hint="eastAsia" w:ascii="宋体" w:hAnsi="宋体" w:cs="宋体"/>
                <w:color w:val="auto"/>
                <w:highlight w:val="none"/>
              </w:rPr>
              <w:t>统计中药代煎业务的相关数据，如代煎订单数量、代煎费用收入、各环节（浸泡、煎煮、包装、配送）的工作量和耗时等，评估代煎业务的运营效率和成本效益。</w:t>
            </w:r>
          </w:p>
        </w:tc>
      </w:tr>
      <w:tr w14:paraId="0537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vMerge w:val="continue"/>
          </w:tcPr>
          <w:p w14:paraId="65DBDB13">
            <w:pPr>
              <w:rPr>
                <w:rFonts w:ascii="宋体" w:hAnsi="宋体" w:cs="宋体"/>
                <w:color w:val="auto"/>
                <w:szCs w:val="21"/>
                <w:highlight w:val="none"/>
              </w:rPr>
            </w:pPr>
          </w:p>
        </w:tc>
        <w:tc>
          <w:tcPr>
            <w:tcW w:w="13323" w:type="dxa"/>
            <w:gridSpan w:val="3"/>
            <w:vAlign w:val="center"/>
          </w:tcPr>
          <w:p w14:paraId="2CCE497F">
            <w:pPr>
              <w:numPr>
                <w:ilvl w:val="255"/>
                <w:numId w:val="0"/>
              </w:numPr>
              <w:rPr>
                <w:rFonts w:ascii="宋体" w:hAnsi="宋体" w:cs="宋体"/>
                <w:color w:val="auto"/>
                <w:highlight w:val="none"/>
              </w:rPr>
            </w:pPr>
            <w:r>
              <w:rPr>
                <w:rFonts w:hint="eastAsia" w:ascii="宋体" w:hAnsi="宋体" w:cs="宋体"/>
                <w:color w:val="auto"/>
                <w:sz w:val="22"/>
                <w:szCs w:val="22"/>
                <w:highlight w:val="none"/>
              </w:rPr>
              <w:t>6.22 中药临方制剂室</w:t>
            </w:r>
          </w:p>
        </w:tc>
      </w:tr>
      <w:tr w14:paraId="2E49A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51" w:type="dxa"/>
            <w:vMerge w:val="continue"/>
          </w:tcPr>
          <w:p w14:paraId="0D932308">
            <w:pPr>
              <w:rPr>
                <w:rFonts w:ascii="宋体" w:hAnsi="宋体" w:cs="宋体"/>
                <w:color w:val="auto"/>
                <w:szCs w:val="21"/>
                <w:highlight w:val="none"/>
              </w:rPr>
            </w:pPr>
          </w:p>
        </w:tc>
        <w:tc>
          <w:tcPr>
            <w:tcW w:w="1294" w:type="dxa"/>
            <w:gridSpan w:val="2"/>
            <w:vAlign w:val="center"/>
          </w:tcPr>
          <w:p w14:paraId="6C081B89">
            <w:pPr>
              <w:rPr>
                <w:rFonts w:ascii="宋体" w:hAnsi="宋体" w:cs="宋体"/>
                <w:color w:val="auto"/>
                <w:sz w:val="22"/>
                <w:szCs w:val="22"/>
                <w:highlight w:val="none"/>
              </w:rPr>
            </w:pPr>
            <w:r>
              <w:rPr>
                <w:rFonts w:hint="eastAsia" w:ascii="宋体" w:hAnsi="宋体" w:cs="宋体"/>
                <w:color w:val="auto"/>
                <w:sz w:val="22"/>
                <w:szCs w:val="22"/>
                <w:highlight w:val="none"/>
              </w:rPr>
              <w:t>6.22.1 中药临方制剂单元</w:t>
            </w:r>
          </w:p>
        </w:tc>
        <w:tc>
          <w:tcPr>
            <w:tcW w:w="12029" w:type="dxa"/>
            <w:vAlign w:val="center"/>
          </w:tcPr>
          <w:p w14:paraId="1B8E62ED">
            <w:pPr>
              <w:numPr>
                <w:ilvl w:val="0"/>
                <w:numId w:val="20"/>
              </w:numPr>
              <w:rPr>
                <w:rFonts w:ascii="宋体" w:hAnsi="宋体" w:cs="宋体"/>
                <w:color w:val="auto"/>
                <w:highlight w:val="none"/>
              </w:rPr>
            </w:pPr>
            <w:r>
              <w:rPr>
                <w:rFonts w:hint="eastAsia" w:ascii="宋体" w:hAnsi="宋体" w:cs="宋体"/>
                <w:color w:val="auto"/>
                <w:highlight w:val="none"/>
              </w:rPr>
              <w:t>建设与中药房平级的中药临方制剂室，系统包含的模块、功能应该与中药房系统一致</w:t>
            </w:r>
          </w:p>
          <w:p w14:paraId="1F566B99">
            <w:pPr>
              <w:numPr>
                <w:ilvl w:val="0"/>
                <w:numId w:val="20"/>
              </w:numPr>
              <w:rPr>
                <w:rFonts w:ascii="宋体" w:hAnsi="宋体" w:cs="宋体"/>
                <w:color w:val="auto"/>
                <w:highlight w:val="none"/>
              </w:rPr>
            </w:pPr>
            <w:r>
              <w:rPr>
                <w:rFonts w:hint="eastAsia" w:ascii="宋体" w:hAnsi="宋体" w:cs="宋体"/>
                <w:color w:val="auto"/>
                <w:highlight w:val="none"/>
              </w:rPr>
              <w:t>有中药临方制剂模板维护功能，可自定义维护模板名称、药品名称、药品单次用量、用药方法、用药频率。维护的药品模板医师在医生站可搜索调用，无需逐一选择药品开具。</w:t>
            </w:r>
          </w:p>
        </w:tc>
      </w:tr>
    </w:tbl>
    <w:p w14:paraId="43C620EB">
      <w:pPr>
        <w:rPr>
          <w:color w:val="auto"/>
          <w:highlight w:val="none"/>
        </w:rPr>
      </w:pPr>
    </w:p>
    <w:p w14:paraId="318D6315">
      <w:pPr>
        <w:rPr>
          <w:color w:val="auto"/>
          <w:highlight w:val="none"/>
        </w:rPr>
      </w:pPr>
    </w:p>
    <w:p w14:paraId="181EDBB9">
      <w:pPr>
        <w:pStyle w:val="4"/>
        <w:numPr>
          <w:ilvl w:val="2"/>
          <w:numId w:val="9"/>
        </w:numPr>
        <w:spacing w:before="0" w:after="0" w:line="360" w:lineRule="auto"/>
        <w:ind w:left="567" w:hanging="567"/>
        <w:rPr>
          <w:color w:val="auto"/>
          <w:sz w:val="24"/>
          <w:highlight w:val="none"/>
        </w:rPr>
      </w:pPr>
      <w:r>
        <w:rPr>
          <w:rFonts w:hint="eastAsia" w:eastAsia="宋体"/>
          <w:color w:val="auto"/>
          <w:kern w:val="2"/>
          <w:sz w:val="24"/>
          <w:szCs w:val="24"/>
          <w:highlight w:val="none"/>
        </w:rPr>
        <w:t>住院药房系统建设需求</w:t>
      </w:r>
    </w:p>
    <w:tbl>
      <w:tblPr>
        <w:tblStyle w:val="43"/>
        <w:tblW w:w="141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689"/>
        <w:gridCol w:w="11624"/>
      </w:tblGrid>
      <w:tr w14:paraId="63315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846" w:type="dxa"/>
            <w:vAlign w:val="center"/>
          </w:tcPr>
          <w:p w14:paraId="0554349D">
            <w:pPr>
              <w:rPr>
                <w:rFonts w:ascii="宋体" w:hAnsi="宋体" w:cs="宋体"/>
                <w:color w:val="auto"/>
                <w:szCs w:val="21"/>
                <w:highlight w:val="none"/>
              </w:rPr>
            </w:pPr>
            <w:r>
              <w:rPr>
                <w:rFonts w:hint="eastAsia" w:ascii="宋体" w:hAnsi="宋体" w:cs="宋体"/>
                <w:color w:val="auto"/>
                <w:kern w:val="0"/>
                <w:szCs w:val="21"/>
                <w:highlight w:val="none"/>
              </w:rPr>
              <w:t>需求名称</w:t>
            </w:r>
          </w:p>
        </w:tc>
        <w:tc>
          <w:tcPr>
            <w:tcW w:w="1351" w:type="dxa"/>
            <w:vAlign w:val="center"/>
          </w:tcPr>
          <w:p w14:paraId="19601B49">
            <w:pPr>
              <w:rPr>
                <w:rFonts w:ascii="宋体" w:hAnsi="宋体" w:cs="宋体"/>
                <w:color w:val="auto"/>
                <w:sz w:val="22"/>
                <w:szCs w:val="22"/>
                <w:highlight w:val="none"/>
              </w:rPr>
            </w:pPr>
            <w:r>
              <w:rPr>
                <w:rFonts w:hint="eastAsia" w:ascii="宋体" w:hAnsi="宋体" w:cs="宋体"/>
                <w:color w:val="auto"/>
                <w:kern w:val="0"/>
                <w:szCs w:val="21"/>
                <w:highlight w:val="none"/>
              </w:rPr>
              <w:t>序号</w:t>
            </w:r>
          </w:p>
        </w:tc>
        <w:tc>
          <w:tcPr>
            <w:tcW w:w="11967" w:type="dxa"/>
            <w:vAlign w:val="center"/>
          </w:tcPr>
          <w:p w14:paraId="611AB2DE">
            <w:pPr>
              <w:rPr>
                <w:rFonts w:ascii="宋体" w:hAnsi="宋体" w:cs="宋体"/>
                <w:color w:val="auto"/>
                <w:sz w:val="22"/>
                <w:szCs w:val="22"/>
                <w:highlight w:val="none"/>
              </w:rPr>
            </w:pPr>
            <w:r>
              <w:rPr>
                <w:rFonts w:hint="eastAsia" w:ascii="宋体" w:hAnsi="宋体" w:cs="宋体"/>
                <w:color w:val="auto"/>
                <w:kern w:val="0"/>
                <w:szCs w:val="21"/>
                <w:highlight w:val="none"/>
              </w:rPr>
              <w:t>需求描述</w:t>
            </w:r>
          </w:p>
        </w:tc>
      </w:tr>
      <w:tr w14:paraId="7A976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14164" w:type="dxa"/>
            <w:gridSpan w:val="3"/>
            <w:vAlign w:val="center"/>
          </w:tcPr>
          <w:p w14:paraId="4B383241">
            <w:pPr>
              <w:rPr>
                <w:rFonts w:ascii="宋体" w:hAnsi="宋体" w:cs="宋体"/>
                <w:color w:val="auto"/>
                <w:kern w:val="0"/>
                <w:szCs w:val="21"/>
                <w:highlight w:val="none"/>
              </w:rPr>
            </w:pPr>
            <w:r>
              <w:rPr>
                <w:rFonts w:hint="eastAsia" w:ascii="宋体" w:hAnsi="宋体" w:cs="宋体"/>
                <w:color w:val="auto"/>
                <w:szCs w:val="21"/>
                <w:highlight w:val="none"/>
              </w:rPr>
              <w:t>住院药房系统需满足以下日常业务工作：发药、退药、药品出入库、药品盘点、库存禁用、药品日月结、库房查询、各类药品统计报表、药品属性维护，相应的信息系统需求包括但不限于以下内容。</w:t>
            </w:r>
          </w:p>
        </w:tc>
      </w:tr>
      <w:tr w14:paraId="68F6B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46" w:type="dxa"/>
            <w:vMerge w:val="restart"/>
            <w:vAlign w:val="center"/>
          </w:tcPr>
          <w:p w14:paraId="6A867A8C">
            <w:pPr>
              <w:ind w:left="425" w:hanging="425"/>
              <w:rPr>
                <w:rFonts w:ascii="宋体" w:hAnsi="宋体" w:cs="宋体"/>
                <w:color w:val="auto"/>
                <w:szCs w:val="21"/>
                <w:highlight w:val="none"/>
              </w:rPr>
            </w:pPr>
            <w:r>
              <w:rPr>
                <w:rFonts w:hint="eastAsia" w:ascii="宋体" w:hAnsi="宋体" w:cs="宋体"/>
                <w:color w:val="auto"/>
                <w:szCs w:val="21"/>
                <w:highlight w:val="none"/>
              </w:rPr>
              <w:t>7住院药房系统</w:t>
            </w:r>
          </w:p>
        </w:tc>
        <w:tc>
          <w:tcPr>
            <w:tcW w:w="13318" w:type="dxa"/>
            <w:gridSpan w:val="2"/>
            <w:vAlign w:val="center"/>
          </w:tcPr>
          <w:p w14:paraId="0D8A09F4">
            <w:pPr>
              <w:numPr>
                <w:ilvl w:val="1"/>
                <w:numId w:val="0"/>
              </w:numPr>
              <w:rPr>
                <w:rFonts w:ascii="宋体" w:hAnsi="宋体" w:cs="宋体"/>
                <w:color w:val="auto"/>
                <w:kern w:val="0"/>
                <w:szCs w:val="21"/>
                <w:highlight w:val="none"/>
              </w:rPr>
            </w:pPr>
            <w:r>
              <w:rPr>
                <w:rFonts w:hint="eastAsia" w:ascii="宋体" w:hAnsi="宋体" w:cs="宋体"/>
                <w:color w:val="auto"/>
                <w:kern w:val="0"/>
                <w:szCs w:val="21"/>
                <w:highlight w:val="none"/>
              </w:rPr>
              <w:t>7.1</w:t>
            </w:r>
            <w:r>
              <w:rPr>
                <w:rFonts w:hint="eastAsia" w:ascii="宋体" w:hAnsi="宋体" w:cs="宋体"/>
                <w:color w:val="auto"/>
                <w:sz w:val="22"/>
                <w:szCs w:val="22"/>
                <w:highlight w:val="none"/>
              </w:rPr>
              <w:t>住院发药</w:t>
            </w:r>
          </w:p>
        </w:tc>
      </w:tr>
      <w:tr w14:paraId="4761E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2" w:hRule="atLeast"/>
          <w:jc w:val="center"/>
        </w:trPr>
        <w:tc>
          <w:tcPr>
            <w:tcW w:w="846" w:type="dxa"/>
            <w:vMerge w:val="continue"/>
            <w:vAlign w:val="center"/>
          </w:tcPr>
          <w:p w14:paraId="61A70312">
            <w:pPr>
              <w:numPr>
                <w:ilvl w:val="0"/>
                <w:numId w:val="11"/>
              </w:numPr>
              <w:rPr>
                <w:rFonts w:ascii="宋体" w:hAnsi="宋体" w:cs="宋体"/>
                <w:color w:val="auto"/>
                <w:szCs w:val="21"/>
                <w:highlight w:val="none"/>
              </w:rPr>
            </w:pPr>
          </w:p>
        </w:tc>
        <w:tc>
          <w:tcPr>
            <w:tcW w:w="1352" w:type="dxa"/>
            <w:vAlign w:val="center"/>
          </w:tcPr>
          <w:p w14:paraId="491149F9">
            <w:pPr>
              <w:numPr>
                <w:ilvl w:val="2"/>
                <w:numId w:val="0"/>
              </w:numPr>
              <w:rPr>
                <w:rFonts w:ascii="宋体" w:hAnsi="宋体" w:cs="宋体"/>
                <w:color w:val="auto"/>
                <w:kern w:val="0"/>
                <w:szCs w:val="21"/>
                <w:highlight w:val="none"/>
              </w:rPr>
            </w:pPr>
            <w:r>
              <w:rPr>
                <w:rFonts w:hint="eastAsia" w:ascii="宋体" w:hAnsi="宋体" w:cs="宋体"/>
                <w:color w:val="auto"/>
                <w:kern w:val="0"/>
                <w:szCs w:val="21"/>
                <w:highlight w:val="none"/>
              </w:rPr>
              <w:t>7.1.1</w:t>
            </w:r>
            <w:r>
              <w:rPr>
                <w:rFonts w:hint="eastAsia" w:ascii="宋体" w:hAnsi="宋体" w:cs="宋体"/>
                <w:color w:val="auto"/>
                <w:sz w:val="22"/>
                <w:szCs w:val="22"/>
                <w:highlight w:val="none"/>
              </w:rPr>
              <w:t>住院发药</w:t>
            </w:r>
          </w:p>
        </w:tc>
        <w:tc>
          <w:tcPr>
            <w:tcW w:w="11966" w:type="dxa"/>
            <w:vAlign w:val="center"/>
          </w:tcPr>
          <w:p w14:paraId="0BA1680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支持普通医嘱、草药医嘱、出院带药医嘱、特殊药品医嘱发药模式，普通医嘱提供对病区普通医嘱发药、医技科室发药、手麻科室发药；</w:t>
            </w:r>
          </w:p>
          <w:p w14:paraId="71BC92A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提供西成草药品分药房发药或者在一个药房内发药；</w:t>
            </w:r>
          </w:p>
          <w:p w14:paraId="50D1531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支持缺药处理集成在发药处理界面上，根据发药明细单中的缺药药品生成缺药数据并支持打印；</w:t>
            </w:r>
          </w:p>
          <w:p w14:paraId="339E3A5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支持提交退回集成在发药处理界面上，药房根据实际情况可退回病区提交的发药记录，如停嘱退回；</w:t>
            </w:r>
          </w:p>
          <w:p w14:paraId="2D0A189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提供发药药品的缺药替换功能，缺药(禁用)药品可用不同规格，或不同产地的同种药品替换，有多种可替换药品时则默认用效期近的药品替换；</w:t>
            </w:r>
          </w:p>
          <w:p w14:paraId="5BB6E6D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提供出院带药取药功能，病区的出院带药医嘱药房直接发给护士站，病人结算后由护士交给病人；</w:t>
            </w:r>
          </w:p>
          <w:p w14:paraId="3624C8F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支持西成草药品分药房发药模式下出院带药取药允许查看所有未取药品情况；</w:t>
            </w:r>
          </w:p>
          <w:p w14:paraId="46B6E21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支持按医嘱明细发药，选择发药提交单中具体的医嘱明细记录发药；</w:t>
            </w:r>
          </w:p>
          <w:p w14:paraId="50D38CF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支持按药品汇总发药，所选择发药提交单按药品按数量汇总后发药；</w:t>
            </w:r>
          </w:p>
          <w:p w14:paraId="24A0CD9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支持按病人汇总发药，所选择发药提交单按病人进行汇总后再发药；</w:t>
            </w:r>
          </w:p>
          <w:p w14:paraId="1D9AE65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支持按病人集中发药，选择多个病人一键快速；</w:t>
            </w:r>
          </w:p>
          <w:p w14:paraId="67F2DD6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支持同一天药品根据医嘱执行时间可选择部分发药；</w:t>
            </w:r>
          </w:p>
          <w:p w14:paraId="6CDD14E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支持根据病区、发药方式来过滤提交记录，可以根据长期或者临时来过滤具体的药品记录；</w:t>
            </w:r>
          </w:p>
          <w:p w14:paraId="46D50CA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支持医嘱发药数量不取整、单条药品取整、每次发药取整三种发药取整策略；</w:t>
            </w:r>
          </w:p>
          <w:p w14:paraId="4E4D962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支持发药抵扣功能，勾选发药抵扣时，将住院退药实物未退的部分在发药时抵扣，同时在打印的单据上体现；</w:t>
            </w:r>
          </w:p>
          <w:p w14:paraId="6BD3476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支持自动发药功能，根据医嘱类型定义自动发药，设计自动发药后，将指定的医嘱类型进行自动发药；</w:t>
            </w:r>
          </w:p>
          <w:p w14:paraId="235CD03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支持直接发药、发药弹框配药和发药再配药三种发药方式；</w:t>
            </w:r>
          </w:p>
          <w:p w14:paraId="457C3A9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支持PDA端和PC端的住院发药后配药流程；</w:t>
            </w:r>
          </w:p>
          <w:p w14:paraId="2BDD611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支持PDA端和PC端的住院发药后配药核对流程；</w:t>
            </w:r>
          </w:p>
          <w:p w14:paraId="44D8F68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支持出院带药配药；</w:t>
            </w:r>
          </w:p>
          <w:p w14:paraId="1605C64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支持出院带药二次核发，扫描药品追溯码（支持同时采集</w:t>
            </w:r>
            <w:r>
              <w:rPr>
                <w:rFonts w:hint="eastAsia" w:ascii="宋体" w:hAnsi="宋体" w:cs="宋体"/>
                <w:color w:val="auto"/>
                <w:kern w:val="0"/>
                <w:sz w:val="22"/>
                <w:szCs w:val="22"/>
                <w:highlight w:val="none"/>
              </w:rPr>
              <w:t>≥30盒药品</w:t>
            </w:r>
            <w:r>
              <w:rPr>
                <w:rFonts w:hint="eastAsia" w:ascii="宋体" w:hAnsi="宋体" w:cs="宋体"/>
                <w:bCs/>
                <w:color w:val="auto"/>
                <w:szCs w:val="21"/>
                <w:highlight w:val="none"/>
              </w:rPr>
              <w:t>），采集后自动校验：包括药品品种、数量是否准确，药品是否在有效期内，校验结果以不同颜色区分，如绿色为准确。若采集的追溯码无法与药品对应，可由人工选择追溯码对应的药品（见图）；</w:t>
            </w:r>
          </w:p>
          <w:p w14:paraId="2BB58B8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发药采集的追溯码需在患者出院结算当日上传医保平台（医保平台3505接口）</w:t>
            </w:r>
          </w:p>
          <w:p w14:paraId="41113E4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提供历史发药（按病人姓名、住院号、处方号、药品名称、 药品商品名）查询功能，可查询历史发药信息。</w:t>
            </w:r>
          </w:p>
          <w:p w14:paraId="418558B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支持在打印的药品调配单上增加条形码或二维码，在医嘱的打印、调配、核对、运送、病区接收环节通过PDA扫码实现全流程闭环记录，显示护士接收药品、执行医嘱时间、状态、操作人员。（见图）</w:t>
            </w:r>
          </w:p>
          <w:p w14:paraId="095115F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在“住院发药配药”-“发药类型”，新增“大输液药品”选项（是否大输液药品支持通过药库药品属性进行自主维护），支持根据日期或自定义时间范围，按病区汇总发药。（见图）</w:t>
            </w:r>
          </w:p>
          <w:p w14:paraId="51DE6C7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配药界面显示审方系统审核结果，审核结果嵌入配方界面集成显示，不以弹框形式显示，审核的结果需要包含：</w:t>
            </w:r>
            <w:r>
              <w:rPr>
                <w:rFonts w:hint="eastAsia" w:ascii="宋体" w:hAnsi="宋体" w:cs="宋体"/>
                <w:color w:val="auto"/>
                <w:highlight w:val="none"/>
              </w:rPr>
              <w:t>具体问题、问题药品、不合理用药类型、审方药师干预结果。</w:t>
            </w:r>
          </w:p>
          <w:p w14:paraId="7952E9F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color w:val="auto"/>
                <w:highlight w:val="none"/>
              </w:rPr>
              <w:t>打印出的汇总调配单需显示药品位置，且按药品位置进行排序</w:t>
            </w:r>
          </w:p>
        </w:tc>
      </w:tr>
      <w:tr w14:paraId="7A857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46" w:type="dxa"/>
            <w:vMerge w:val="continue"/>
            <w:vAlign w:val="center"/>
          </w:tcPr>
          <w:p w14:paraId="75C73E06">
            <w:pPr>
              <w:numPr>
                <w:ilvl w:val="0"/>
                <w:numId w:val="11"/>
              </w:numPr>
              <w:rPr>
                <w:rFonts w:ascii="宋体" w:hAnsi="宋体" w:cs="宋体"/>
                <w:color w:val="auto"/>
                <w:szCs w:val="21"/>
                <w:highlight w:val="none"/>
              </w:rPr>
            </w:pPr>
          </w:p>
        </w:tc>
        <w:tc>
          <w:tcPr>
            <w:tcW w:w="13318" w:type="dxa"/>
            <w:gridSpan w:val="2"/>
            <w:vAlign w:val="center"/>
          </w:tcPr>
          <w:p w14:paraId="5A03CF1A">
            <w:pPr>
              <w:numPr>
                <w:ilvl w:val="1"/>
                <w:numId w:val="0"/>
              </w:numPr>
              <w:rPr>
                <w:rFonts w:ascii="宋体" w:hAnsi="宋体" w:cs="宋体"/>
                <w:color w:val="auto"/>
                <w:kern w:val="0"/>
                <w:szCs w:val="21"/>
                <w:highlight w:val="none"/>
              </w:rPr>
            </w:pPr>
            <w:r>
              <w:rPr>
                <w:rFonts w:hint="eastAsia" w:ascii="宋体" w:hAnsi="宋体" w:cs="宋体"/>
                <w:color w:val="auto"/>
                <w:kern w:val="0"/>
                <w:szCs w:val="21"/>
                <w:highlight w:val="none"/>
              </w:rPr>
              <w:t>7.2</w:t>
            </w:r>
            <w:r>
              <w:rPr>
                <w:rFonts w:hint="eastAsia" w:ascii="宋体" w:hAnsi="宋体" w:cs="宋体"/>
                <w:color w:val="auto"/>
                <w:sz w:val="22"/>
                <w:szCs w:val="22"/>
                <w:highlight w:val="none"/>
              </w:rPr>
              <w:t>住院退药</w:t>
            </w:r>
          </w:p>
        </w:tc>
      </w:tr>
      <w:tr w14:paraId="2FD7F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7" w:hRule="atLeast"/>
          <w:jc w:val="center"/>
        </w:trPr>
        <w:tc>
          <w:tcPr>
            <w:tcW w:w="846" w:type="dxa"/>
            <w:vMerge w:val="continue"/>
            <w:vAlign w:val="center"/>
          </w:tcPr>
          <w:p w14:paraId="7EAA3468">
            <w:pPr>
              <w:numPr>
                <w:ilvl w:val="0"/>
                <w:numId w:val="11"/>
              </w:numPr>
              <w:rPr>
                <w:rFonts w:ascii="宋体" w:hAnsi="宋体" w:cs="宋体"/>
                <w:color w:val="auto"/>
                <w:szCs w:val="21"/>
                <w:highlight w:val="none"/>
              </w:rPr>
            </w:pPr>
          </w:p>
        </w:tc>
        <w:tc>
          <w:tcPr>
            <w:tcW w:w="1352" w:type="dxa"/>
            <w:vAlign w:val="center"/>
          </w:tcPr>
          <w:p w14:paraId="4D94B97C">
            <w:pPr>
              <w:numPr>
                <w:ilvl w:val="2"/>
                <w:numId w:val="0"/>
              </w:numPr>
              <w:rPr>
                <w:rFonts w:ascii="宋体" w:hAnsi="宋体" w:cs="宋体"/>
                <w:color w:val="auto"/>
                <w:kern w:val="0"/>
                <w:szCs w:val="21"/>
                <w:highlight w:val="none"/>
              </w:rPr>
            </w:pPr>
            <w:r>
              <w:rPr>
                <w:rFonts w:hint="eastAsia" w:ascii="宋体" w:hAnsi="宋体" w:cs="宋体"/>
                <w:color w:val="auto"/>
                <w:kern w:val="0"/>
                <w:szCs w:val="21"/>
                <w:highlight w:val="none"/>
              </w:rPr>
              <w:t>7.2.1</w:t>
            </w:r>
            <w:r>
              <w:rPr>
                <w:rFonts w:hint="eastAsia" w:ascii="宋体" w:hAnsi="宋体" w:cs="宋体"/>
                <w:color w:val="auto"/>
                <w:sz w:val="22"/>
                <w:szCs w:val="22"/>
                <w:highlight w:val="none"/>
              </w:rPr>
              <w:t>住院退药</w:t>
            </w:r>
          </w:p>
        </w:tc>
        <w:tc>
          <w:tcPr>
            <w:tcW w:w="11966" w:type="dxa"/>
            <w:vAlign w:val="center"/>
          </w:tcPr>
          <w:p w14:paraId="41BC801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支持按病区、按病人进行退药，选择退药病区后按病人进行退药；</w:t>
            </w:r>
          </w:p>
          <w:p w14:paraId="4B625D6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支持退药报损功能，如果病区因药品报损退药，在退药时可以录入报损数量，退药后自动产生退药报损单；</w:t>
            </w:r>
          </w:p>
          <w:p w14:paraId="304F7E3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支持药品冲抵功能，药房在退药时记录所退药品而不直接退回，在病区下次发药时可以直接用退药药品冲抵；</w:t>
            </w:r>
          </w:p>
          <w:p w14:paraId="2F6C378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支持按医嘱明细退药，现在退药病人的具体退药明细记录进行退药；</w:t>
            </w:r>
          </w:p>
          <w:p w14:paraId="0BFD365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支持自动退药功能，针对与设定的医嘱类型，当前页面存在需要退药的数据时，自动完成退药，并打印对应的退药单；</w:t>
            </w:r>
          </w:p>
          <w:p w14:paraId="60CCE18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支持按药品汇总退药，所选择退药病人按药品按数量汇总后再退药。</w:t>
            </w:r>
          </w:p>
          <w:p w14:paraId="7D9F751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支持退药采集追溯码（支持同时采集</w:t>
            </w:r>
            <w:r>
              <w:rPr>
                <w:rFonts w:hint="eastAsia" w:ascii="宋体" w:hAnsi="宋体" w:cs="宋体"/>
                <w:color w:val="auto"/>
                <w:kern w:val="0"/>
                <w:sz w:val="22"/>
                <w:szCs w:val="22"/>
                <w:highlight w:val="none"/>
              </w:rPr>
              <w:t>≥30盒药品</w:t>
            </w:r>
            <w:r>
              <w:rPr>
                <w:rFonts w:hint="eastAsia" w:ascii="宋体" w:hAnsi="宋体" w:cs="宋体"/>
                <w:bCs/>
                <w:color w:val="auto"/>
                <w:szCs w:val="21"/>
                <w:highlight w:val="none"/>
              </w:rPr>
              <w:t>），采集后自动校验：包括药品品种、数量是否准确，药品是否在有效期内，校验结果以不同颜色区分，如绿色为准确。若采集的追溯码无法与药品对应，可由人工选择追溯码对应的药品。退药采集的追溯码在患者出院结算时不应再上传医保平台。</w:t>
            </w:r>
          </w:p>
          <w:p w14:paraId="7F405D2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已配发的药品需由临床医生在医生工作站填写理由提交退费申请，经临床科室负责人审批同意，经药房审批方可退费。</w:t>
            </w:r>
          </w:p>
        </w:tc>
      </w:tr>
      <w:tr w14:paraId="0365B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46" w:type="dxa"/>
            <w:vMerge w:val="continue"/>
            <w:vAlign w:val="center"/>
          </w:tcPr>
          <w:p w14:paraId="2FEBC1EE">
            <w:pPr>
              <w:numPr>
                <w:ilvl w:val="0"/>
                <w:numId w:val="11"/>
              </w:numPr>
              <w:rPr>
                <w:rFonts w:ascii="宋体" w:hAnsi="宋体" w:cs="宋体"/>
                <w:color w:val="auto"/>
                <w:szCs w:val="21"/>
                <w:highlight w:val="none"/>
              </w:rPr>
            </w:pPr>
          </w:p>
        </w:tc>
        <w:tc>
          <w:tcPr>
            <w:tcW w:w="13318" w:type="dxa"/>
            <w:gridSpan w:val="2"/>
            <w:vAlign w:val="center"/>
          </w:tcPr>
          <w:p w14:paraId="419AC46B">
            <w:pPr>
              <w:numPr>
                <w:ilvl w:val="1"/>
                <w:numId w:val="0"/>
              </w:numPr>
              <w:rPr>
                <w:rFonts w:ascii="宋体" w:hAnsi="宋体" w:cs="宋体"/>
                <w:color w:val="auto"/>
                <w:kern w:val="0"/>
                <w:szCs w:val="21"/>
                <w:highlight w:val="none"/>
              </w:rPr>
            </w:pPr>
            <w:r>
              <w:rPr>
                <w:rFonts w:hint="eastAsia" w:ascii="宋体" w:hAnsi="宋体" w:cs="宋体"/>
                <w:color w:val="auto"/>
                <w:kern w:val="0"/>
                <w:szCs w:val="21"/>
                <w:highlight w:val="none"/>
              </w:rPr>
              <w:t>7.3</w:t>
            </w:r>
            <w:r>
              <w:rPr>
                <w:rFonts w:hint="eastAsia" w:ascii="宋体" w:hAnsi="宋体" w:cs="宋体"/>
                <w:color w:val="auto"/>
                <w:sz w:val="22"/>
                <w:szCs w:val="22"/>
                <w:highlight w:val="none"/>
              </w:rPr>
              <w:t>药品申领</w:t>
            </w:r>
          </w:p>
        </w:tc>
      </w:tr>
      <w:tr w14:paraId="6CF93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7" w:hRule="atLeast"/>
          <w:jc w:val="center"/>
        </w:trPr>
        <w:tc>
          <w:tcPr>
            <w:tcW w:w="846" w:type="dxa"/>
            <w:vMerge w:val="continue"/>
            <w:vAlign w:val="center"/>
          </w:tcPr>
          <w:p w14:paraId="740C088F">
            <w:pPr>
              <w:numPr>
                <w:ilvl w:val="0"/>
                <w:numId w:val="11"/>
              </w:numPr>
              <w:rPr>
                <w:rFonts w:ascii="宋体" w:hAnsi="宋体" w:cs="宋体"/>
                <w:color w:val="auto"/>
                <w:szCs w:val="21"/>
                <w:highlight w:val="none"/>
              </w:rPr>
            </w:pPr>
          </w:p>
        </w:tc>
        <w:tc>
          <w:tcPr>
            <w:tcW w:w="1352" w:type="dxa"/>
            <w:vAlign w:val="center"/>
          </w:tcPr>
          <w:p w14:paraId="309F6F09">
            <w:pPr>
              <w:numPr>
                <w:ilvl w:val="2"/>
                <w:numId w:val="0"/>
              </w:numPr>
              <w:rPr>
                <w:rFonts w:ascii="宋体" w:hAnsi="宋体" w:cs="宋体"/>
                <w:color w:val="auto"/>
                <w:kern w:val="0"/>
                <w:szCs w:val="21"/>
                <w:highlight w:val="none"/>
              </w:rPr>
            </w:pPr>
            <w:r>
              <w:rPr>
                <w:rFonts w:hint="eastAsia" w:ascii="宋体" w:hAnsi="宋体" w:cs="宋体"/>
                <w:color w:val="auto"/>
                <w:kern w:val="0"/>
                <w:szCs w:val="21"/>
                <w:highlight w:val="none"/>
              </w:rPr>
              <w:t>7.3.1</w:t>
            </w:r>
            <w:r>
              <w:rPr>
                <w:rFonts w:hint="eastAsia" w:ascii="宋体" w:hAnsi="宋体" w:cs="宋体"/>
                <w:color w:val="auto"/>
                <w:sz w:val="22"/>
                <w:szCs w:val="22"/>
                <w:highlight w:val="none"/>
              </w:rPr>
              <w:t>药品申领</w:t>
            </w:r>
          </w:p>
        </w:tc>
        <w:tc>
          <w:tcPr>
            <w:tcW w:w="11966" w:type="dxa"/>
            <w:vAlign w:val="center"/>
          </w:tcPr>
          <w:p w14:paraId="096748A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支持库存调拨、科室领用、主动出库三种药品申领业务。</w:t>
            </w:r>
          </w:p>
          <w:p w14:paraId="15DF746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提供库房申领、库房退药、库房出库的集中处理界面，集中处理当前库房的主动申领入库、申领退药入库和被动出库入库业务，及当前库房的被动申领出库、申领退药出库和主动出库业务；</w:t>
            </w:r>
          </w:p>
          <w:p w14:paraId="627BE8A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支持通过引入当前库房药品信息、高低储药品自动生成库房申领信息；</w:t>
            </w:r>
          </w:p>
          <w:p w14:paraId="557B905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支持通过引入目标库房的入库单据自动生成库房申领信息；</w:t>
            </w:r>
          </w:p>
          <w:p w14:paraId="44C8AD4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支持通过选择当前库房某段时间的药品消耗自动生成库房申领信息，药品消耗包括发药、其它出库、调拨出库、申领退库，退库时支持手工输入价格；</w:t>
            </w:r>
          </w:p>
          <w:p w14:paraId="331F6B2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支持通过引入目标库房的申领单自动生成库房申领退库信息；</w:t>
            </w:r>
          </w:p>
          <w:p w14:paraId="739AE68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支持通过申请库房的入库单据自动生成库房出库信息；</w:t>
            </w:r>
          </w:p>
          <w:p w14:paraId="183020A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支持审批日期结合高低储天数进行申领数量的生成。</w:t>
            </w:r>
          </w:p>
        </w:tc>
      </w:tr>
      <w:tr w14:paraId="3BAD0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46" w:type="dxa"/>
            <w:vMerge w:val="continue"/>
            <w:vAlign w:val="center"/>
          </w:tcPr>
          <w:p w14:paraId="471A6B2C">
            <w:pPr>
              <w:numPr>
                <w:ilvl w:val="0"/>
                <w:numId w:val="11"/>
              </w:numPr>
              <w:rPr>
                <w:rFonts w:ascii="宋体" w:hAnsi="宋体" w:cs="宋体"/>
                <w:color w:val="auto"/>
                <w:szCs w:val="21"/>
                <w:highlight w:val="none"/>
              </w:rPr>
            </w:pPr>
          </w:p>
        </w:tc>
        <w:tc>
          <w:tcPr>
            <w:tcW w:w="13318" w:type="dxa"/>
            <w:gridSpan w:val="2"/>
            <w:vAlign w:val="center"/>
          </w:tcPr>
          <w:p w14:paraId="48F650E5">
            <w:pPr>
              <w:numPr>
                <w:ilvl w:val="1"/>
                <w:numId w:val="0"/>
              </w:numPr>
              <w:rPr>
                <w:rFonts w:ascii="宋体" w:hAnsi="宋体" w:cs="宋体"/>
                <w:color w:val="auto"/>
                <w:kern w:val="0"/>
                <w:szCs w:val="21"/>
                <w:highlight w:val="none"/>
              </w:rPr>
            </w:pPr>
            <w:r>
              <w:rPr>
                <w:rFonts w:hint="eastAsia" w:ascii="宋体" w:hAnsi="宋体" w:cs="宋体"/>
                <w:color w:val="auto"/>
                <w:kern w:val="0"/>
                <w:szCs w:val="21"/>
                <w:highlight w:val="none"/>
              </w:rPr>
              <w:t>7.4</w:t>
            </w:r>
            <w:r>
              <w:rPr>
                <w:rFonts w:hint="eastAsia" w:ascii="宋体" w:hAnsi="宋体" w:cs="宋体"/>
                <w:color w:val="auto"/>
                <w:sz w:val="22"/>
                <w:szCs w:val="22"/>
                <w:highlight w:val="none"/>
              </w:rPr>
              <w:t>药品入库</w:t>
            </w:r>
          </w:p>
        </w:tc>
      </w:tr>
      <w:tr w14:paraId="31673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jc w:val="center"/>
        </w:trPr>
        <w:tc>
          <w:tcPr>
            <w:tcW w:w="846" w:type="dxa"/>
            <w:vMerge w:val="continue"/>
            <w:vAlign w:val="center"/>
          </w:tcPr>
          <w:p w14:paraId="7DD7AAFD">
            <w:pPr>
              <w:numPr>
                <w:ilvl w:val="0"/>
                <w:numId w:val="11"/>
              </w:numPr>
              <w:rPr>
                <w:rFonts w:ascii="宋体" w:hAnsi="宋体" w:cs="宋体"/>
                <w:color w:val="auto"/>
                <w:szCs w:val="21"/>
                <w:highlight w:val="none"/>
              </w:rPr>
            </w:pPr>
          </w:p>
        </w:tc>
        <w:tc>
          <w:tcPr>
            <w:tcW w:w="1352" w:type="dxa"/>
            <w:vAlign w:val="center"/>
          </w:tcPr>
          <w:p w14:paraId="7C4B3898">
            <w:pPr>
              <w:numPr>
                <w:ilvl w:val="2"/>
                <w:numId w:val="0"/>
              </w:numPr>
              <w:rPr>
                <w:rFonts w:ascii="宋体" w:hAnsi="宋体" w:cs="宋体"/>
                <w:color w:val="auto"/>
                <w:kern w:val="0"/>
                <w:szCs w:val="21"/>
                <w:highlight w:val="none"/>
              </w:rPr>
            </w:pPr>
            <w:r>
              <w:rPr>
                <w:rFonts w:hint="eastAsia" w:ascii="宋体" w:hAnsi="宋体" w:cs="宋体"/>
                <w:color w:val="auto"/>
                <w:kern w:val="0"/>
                <w:szCs w:val="21"/>
                <w:highlight w:val="none"/>
              </w:rPr>
              <w:t>7.4.1</w:t>
            </w:r>
            <w:r>
              <w:rPr>
                <w:rFonts w:hint="eastAsia" w:ascii="宋体" w:hAnsi="宋体" w:cs="宋体"/>
                <w:color w:val="auto"/>
                <w:sz w:val="22"/>
                <w:szCs w:val="22"/>
                <w:highlight w:val="none"/>
              </w:rPr>
              <w:t>药品入库</w:t>
            </w:r>
          </w:p>
        </w:tc>
        <w:tc>
          <w:tcPr>
            <w:tcW w:w="11966" w:type="dxa"/>
            <w:vAlign w:val="center"/>
          </w:tcPr>
          <w:p w14:paraId="1E86748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支持如加工、自制、盘盈等除药品领用外的其它入库业务；</w:t>
            </w:r>
          </w:p>
          <w:p w14:paraId="3A3C7B8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支持根据库房盘盈数据自动生成盘盈入库单；</w:t>
            </w:r>
          </w:p>
          <w:p w14:paraId="3C0B63A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支持同厂家药品按批号、按价格、按效期分批次入库管理业务；</w:t>
            </w:r>
          </w:p>
          <w:p w14:paraId="2B100B2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支持药品出库后退库操作；</w:t>
            </w:r>
          </w:p>
          <w:p w14:paraId="1A53973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支持根据库房盘盈数据自动生成盘盈入库单；</w:t>
            </w:r>
          </w:p>
          <w:p w14:paraId="2B201AC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支持其它入库时同时按照多种单位进行入库。</w:t>
            </w:r>
          </w:p>
          <w:p w14:paraId="5A3972FF">
            <w:pPr>
              <w:numPr>
                <w:ilvl w:val="0"/>
                <w:numId w:val="12"/>
              </w:numPr>
              <w:tabs>
                <w:tab w:val="left" w:pos="525"/>
                <w:tab w:val="left" w:pos="630"/>
              </w:tabs>
              <w:spacing w:line="360" w:lineRule="auto"/>
              <w:rPr>
                <w:rFonts w:ascii="宋体" w:hAnsi="宋体" w:cs="宋体"/>
                <w:color w:val="auto"/>
                <w:szCs w:val="21"/>
                <w:highlight w:val="none"/>
              </w:rPr>
            </w:pPr>
            <w:r>
              <w:rPr>
                <w:rFonts w:hint="eastAsia" w:ascii="宋体" w:hAnsi="宋体" w:cs="宋体"/>
                <w:bCs/>
                <w:color w:val="auto"/>
                <w:szCs w:val="21"/>
                <w:highlight w:val="none"/>
              </w:rPr>
              <w:t>支持单选或全选多个药品一键入库。</w:t>
            </w:r>
          </w:p>
        </w:tc>
      </w:tr>
      <w:tr w14:paraId="074E6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46" w:type="dxa"/>
            <w:vMerge w:val="continue"/>
            <w:vAlign w:val="center"/>
          </w:tcPr>
          <w:p w14:paraId="30C39365">
            <w:pPr>
              <w:numPr>
                <w:ilvl w:val="0"/>
                <w:numId w:val="11"/>
              </w:numPr>
              <w:rPr>
                <w:rFonts w:ascii="宋体" w:hAnsi="宋体" w:cs="宋体"/>
                <w:color w:val="auto"/>
                <w:szCs w:val="21"/>
                <w:highlight w:val="none"/>
              </w:rPr>
            </w:pPr>
          </w:p>
        </w:tc>
        <w:tc>
          <w:tcPr>
            <w:tcW w:w="13318" w:type="dxa"/>
            <w:gridSpan w:val="2"/>
            <w:vAlign w:val="center"/>
          </w:tcPr>
          <w:p w14:paraId="2AB88F23">
            <w:pPr>
              <w:numPr>
                <w:ilvl w:val="1"/>
                <w:numId w:val="0"/>
              </w:numPr>
              <w:rPr>
                <w:rFonts w:ascii="宋体" w:hAnsi="宋体" w:cs="宋体"/>
                <w:color w:val="auto"/>
                <w:kern w:val="0"/>
                <w:szCs w:val="21"/>
                <w:highlight w:val="none"/>
              </w:rPr>
            </w:pPr>
            <w:r>
              <w:rPr>
                <w:rFonts w:hint="eastAsia" w:ascii="宋体" w:hAnsi="宋体" w:cs="宋体"/>
                <w:color w:val="auto"/>
                <w:kern w:val="0"/>
                <w:szCs w:val="21"/>
                <w:highlight w:val="none"/>
              </w:rPr>
              <w:t>7.5</w:t>
            </w:r>
            <w:r>
              <w:rPr>
                <w:rFonts w:hint="eastAsia" w:ascii="宋体" w:hAnsi="宋体" w:cs="宋体"/>
                <w:color w:val="auto"/>
                <w:sz w:val="22"/>
                <w:szCs w:val="22"/>
                <w:highlight w:val="none"/>
              </w:rPr>
              <w:t>药品出库</w:t>
            </w:r>
          </w:p>
        </w:tc>
      </w:tr>
      <w:tr w14:paraId="1A475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jc w:val="center"/>
        </w:trPr>
        <w:tc>
          <w:tcPr>
            <w:tcW w:w="846" w:type="dxa"/>
            <w:vMerge w:val="continue"/>
            <w:vAlign w:val="center"/>
          </w:tcPr>
          <w:p w14:paraId="33CDC622">
            <w:pPr>
              <w:numPr>
                <w:ilvl w:val="0"/>
                <w:numId w:val="11"/>
              </w:numPr>
              <w:rPr>
                <w:rFonts w:ascii="宋体" w:hAnsi="宋体" w:cs="宋体"/>
                <w:color w:val="auto"/>
                <w:szCs w:val="21"/>
                <w:highlight w:val="none"/>
              </w:rPr>
            </w:pPr>
          </w:p>
        </w:tc>
        <w:tc>
          <w:tcPr>
            <w:tcW w:w="1352" w:type="dxa"/>
            <w:vAlign w:val="center"/>
          </w:tcPr>
          <w:p w14:paraId="2AEA0DEC">
            <w:pPr>
              <w:numPr>
                <w:ilvl w:val="2"/>
                <w:numId w:val="0"/>
              </w:numPr>
              <w:rPr>
                <w:rFonts w:ascii="宋体" w:hAnsi="宋体" w:cs="宋体"/>
                <w:color w:val="auto"/>
                <w:kern w:val="0"/>
                <w:szCs w:val="21"/>
                <w:highlight w:val="none"/>
              </w:rPr>
            </w:pPr>
            <w:r>
              <w:rPr>
                <w:rFonts w:hint="eastAsia" w:ascii="宋体" w:hAnsi="宋体" w:cs="宋体"/>
                <w:color w:val="auto"/>
                <w:kern w:val="0"/>
                <w:szCs w:val="21"/>
                <w:highlight w:val="none"/>
              </w:rPr>
              <w:t>7.5.1</w:t>
            </w:r>
            <w:r>
              <w:rPr>
                <w:rFonts w:hint="eastAsia" w:ascii="宋体" w:hAnsi="宋体" w:cs="宋体"/>
                <w:color w:val="auto"/>
                <w:sz w:val="22"/>
                <w:szCs w:val="22"/>
                <w:highlight w:val="none"/>
              </w:rPr>
              <w:t>药品出库</w:t>
            </w:r>
          </w:p>
        </w:tc>
        <w:tc>
          <w:tcPr>
            <w:tcW w:w="11966" w:type="dxa"/>
            <w:vAlign w:val="center"/>
          </w:tcPr>
          <w:p w14:paraId="5DDBE67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支持药品报损、盘亏出库、部门领用等其它出库业务；</w:t>
            </w:r>
          </w:p>
          <w:p w14:paraId="7885074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支持智能出库方式维护，例如按同一厂家不同批次的药品按效期/库存数量/入库时间出库，按效期分为早先出、迟先出，按库存数量分为大先出、小先出，按入库时间先进先出</w:t>
            </w:r>
          </w:p>
          <w:p w14:paraId="5005759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支持手工选择批次、库存性质进行出库</w:t>
            </w:r>
          </w:p>
          <w:p w14:paraId="6EBE9F0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支持部门申领后，药房出库给到临床科室。</w:t>
            </w:r>
          </w:p>
        </w:tc>
      </w:tr>
      <w:tr w14:paraId="05EBA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46" w:type="dxa"/>
            <w:vMerge w:val="continue"/>
            <w:vAlign w:val="center"/>
          </w:tcPr>
          <w:p w14:paraId="340230B4">
            <w:pPr>
              <w:numPr>
                <w:ilvl w:val="0"/>
                <w:numId w:val="11"/>
              </w:numPr>
              <w:rPr>
                <w:rFonts w:ascii="宋体" w:hAnsi="宋体" w:cs="宋体"/>
                <w:color w:val="auto"/>
                <w:szCs w:val="21"/>
                <w:highlight w:val="none"/>
              </w:rPr>
            </w:pPr>
          </w:p>
        </w:tc>
        <w:tc>
          <w:tcPr>
            <w:tcW w:w="13318" w:type="dxa"/>
            <w:gridSpan w:val="2"/>
            <w:vAlign w:val="center"/>
          </w:tcPr>
          <w:p w14:paraId="2ECDED6E">
            <w:pPr>
              <w:numPr>
                <w:ilvl w:val="1"/>
                <w:numId w:val="0"/>
              </w:numPr>
              <w:rPr>
                <w:rFonts w:ascii="宋体" w:hAnsi="宋体" w:cs="宋体"/>
                <w:color w:val="auto"/>
                <w:kern w:val="0"/>
                <w:szCs w:val="21"/>
                <w:highlight w:val="none"/>
              </w:rPr>
            </w:pPr>
            <w:r>
              <w:rPr>
                <w:rFonts w:hint="eastAsia" w:ascii="宋体" w:hAnsi="宋体" w:cs="宋体"/>
                <w:color w:val="auto"/>
                <w:kern w:val="0"/>
                <w:szCs w:val="21"/>
                <w:highlight w:val="none"/>
              </w:rPr>
              <w:t>7.6</w:t>
            </w:r>
            <w:r>
              <w:rPr>
                <w:rFonts w:hint="eastAsia" w:ascii="宋体" w:hAnsi="宋体" w:cs="宋体"/>
                <w:color w:val="auto"/>
                <w:sz w:val="22"/>
                <w:szCs w:val="22"/>
                <w:highlight w:val="none"/>
              </w:rPr>
              <w:t>药品盘点</w:t>
            </w:r>
          </w:p>
        </w:tc>
      </w:tr>
      <w:tr w14:paraId="6C51E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46" w:type="dxa"/>
            <w:vMerge w:val="continue"/>
            <w:vAlign w:val="center"/>
          </w:tcPr>
          <w:p w14:paraId="216172E1">
            <w:pPr>
              <w:numPr>
                <w:ilvl w:val="0"/>
                <w:numId w:val="11"/>
              </w:numPr>
              <w:rPr>
                <w:rFonts w:ascii="宋体" w:hAnsi="宋体" w:cs="宋体"/>
                <w:color w:val="auto"/>
                <w:szCs w:val="21"/>
                <w:highlight w:val="none"/>
              </w:rPr>
            </w:pPr>
          </w:p>
        </w:tc>
        <w:tc>
          <w:tcPr>
            <w:tcW w:w="1352" w:type="dxa"/>
            <w:vAlign w:val="center"/>
          </w:tcPr>
          <w:p w14:paraId="11278644">
            <w:pPr>
              <w:numPr>
                <w:ilvl w:val="2"/>
                <w:numId w:val="0"/>
              </w:numPr>
              <w:rPr>
                <w:rFonts w:ascii="宋体" w:hAnsi="宋体" w:cs="宋体"/>
                <w:color w:val="auto"/>
                <w:kern w:val="0"/>
                <w:szCs w:val="21"/>
                <w:highlight w:val="none"/>
              </w:rPr>
            </w:pPr>
            <w:r>
              <w:rPr>
                <w:rFonts w:hint="eastAsia" w:ascii="宋体" w:hAnsi="宋体" w:cs="宋体"/>
                <w:color w:val="auto"/>
                <w:kern w:val="0"/>
                <w:szCs w:val="21"/>
                <w:highlight w:val="none"/>
              </w:rPr>
              <w:t>7.6.1</w:t>
            </w:r>
            <w:r>
              <w:rPr>
                <w:rFonts w:hint="eastAsia" w:ascii="宋体" w:hAnsi="宋体" w:cs="宋体"/>
                <w:color w:val="auto"/>
                <w:sz w:val="22"/>
                <w:szCs w:val="22"/>
                <w:highlight w:val="none"/>
              </w:rPr>
              <w:t>药品盘点</w:t>
            </w:r>
          </w:p>
        </w:tc>
        <w:tc>
          <w:tcPr>
            <w:tcW w:w="11966" w:type="dxa"/>
            <w:vAlign w:val="center"/>
          </w:tcPr>
          <w:p w14:paraId="79754AB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支持分类、分库位、分包装进行盘点；</w:t>
            </w:r>
          </w:p>
          <w:p w14:paraId="73045AC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支持按最小包装进行盘点，如实盘数量为1000盒100片；</w:t>
            </w:r>
          </w:p>
          <w:p w14:paraId="28D2EB4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支持当前库房无库存药品盘点，盘点单中没有的药品，盘点员可以加入药品信息进行数量录入；</w:t>
            </w:r>
          </w:p>
          <w:p w14:paraId="6851474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支持当前库房无库存药品盘点；</w:t>
            </w:r>
          </w:p>
          <w:p w14:paraId="0E54E44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支持当前库存禁用库存药品盘点；</w:t>
            </w:r>
          </w:p>
          <w:p w14:paraId="729B58E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支持多人盘点，盘点后需要统一盘点汇总；</w:t>
            </w:r>
          </w:p>
          <w:p w14:paraId="10FCC1E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支持抽样盘点，可按种类筛选；</w:t>
            </w:r>
          </w:p>
          <w:p w14:paraId="3E2888A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支持自动产生盘盈入库单、盘亏出库单；</w:t>
            </w:r>
          </w:p>
          <w:p w14:paraId="124483C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支持盘点录入时，实盘库存直接复制账面库存。在盘点完成之后，支持自动产生盘盈入库单、盘亏出库单；</w:t>
            </w:r>
          </w:p>
          <w:p w14:paraId="7A8830D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支持盘点过程中进行发退药，并在最终的汇总单上体现出发退药的数量；</w:t>
            </w:r>
          </w:p>
          <w:p w14:paraId="7A921AD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支持PDA端进行盘点录入，多人或单人在PDA端同时盘点录入。</w:t>
            </w:r>
          </w:p>
          <w:p w14:paraId="4853438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可选择多个药房单元药品盘亏盘盈数据、既往盘亏盘盈数据汇总在一张表中。（提供报表明细字段）</w:t>
            </w:r>
          </w:p>
        </w:tc>
      </w:tr>
      <w:tr w14:paraId="6CB1A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46" w:type="dxa"/>
            <w:vMerge w:val="continue"/>
            <w:vAlign w:val="center"/>
          </w:tcPr>
          <w:p w14:paraId="4CF10A06">
            <w:pPr>
              <w:numPr>
                <w:ilvl w:val="0"/>
                <w:numId w:val="11"/>
              </w:numPr>
              <w:rPr>
                <w:rFonts w:ascii="宋体" w:hAnsi="宋体" w:cs="宋体"/>
                <w:color w:val="auto"/>
                <w:szCs w:val="21"/>
                <w:highlight w:val="none"/>
              </w:rPr>
            </w:pPr>
          </w:p>
        </w:tc>
        <w:tc>
          <w:tcPr>
            <w:tcW w:w="13318" w:type="dxa"/>
            <w:gridSpan w:val="2"/>
            <w:vAlign w:val="center"/>
          </w:tcPr>
          <w:p w14:paraId="19FEBA23">
            <w:pPr>
              <w:numPr>
                <w:ilvl w:val="1"/>
                <w:numId w:val="0"/>
              </w:numPr>
              <w:rPr>
                <w:rFonts w:ascii="宋体" w:hAnsi="宋体" w:cs="宋体"/>
                <w:color w:val="auto"/>
                <w:kern w:val="0"/>
                <w:szCs w:val="21"/>
                <w:highlight w:val="none"/>
              </w:rPr>
            </w:pPr>
            <w:r>
              <w:rPr>
                <w:rFonts w:hint="eastAsia" w:ascii="宋体" w:hAnsi="宋体" w:cs="宋体"/>
                <w:color w:val="auto"/>
                <w:kern w:val="0"/>
                <w:szCs w:val="21"/>
                <w:highlight w:val="none"/>
              </w:rPr>
              <w:t>7.7</w:t>
            </w:r>
            <w:r>
              <w:rPr>
                <w:rFonts w:hint="eastAsia" w:ascii="宋体" w:hAnsi="宋体" w:cs="宋体"/>
                <w:color w:val="auto"/>
                <w:sz w:val="22"/>
                <w:szCs w:val="22"/>
                <w:highlight w:val="none"/>
              </w:rPr>
              <w:t>库存禁用</w:t>
            </w:r>
          </w:p>
        </w:tc>
      </w:tr>
      <w:tr w14:paraId="2B3F2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0" w:hRule="atLeast"/>
          <w:jc w:val="center"/>
        </w:trPr>
        <w:tc>
          <w:tcPr>
            <w:tcW w:w="846" w:type="dxa"/>
            <w:vMerge w:val="continue"/>
            <w:vAlign w:val="center"/>
          </w:tcPr>
          <w:p w14:paraId="731FAB49">
            <w:pPr>
              <w:numPr>
                <w:ilvl w:val="0"/>
                <w:numId w:val="11"/>
              </w:numPr>
              <w:rPr>
                <w:rFonts w:ascii="宋体" w:hAnsi="宋体" w:cs="宋体"/>
                <w:color w:val="auto"/>
                <w:szCs w:val="21"/>
                <w:highlight w:val="none"/>
              </w:rPr>
            </w:pPr>
          </w:p>
        </w:tc>
        <w:tc>
          <w:tcPr>
            <w:tcW w:w="1352" w:type="dxa"/>
            <w:vAlign w:val="center"/>
          </w:tcPr>
          <w:p w14:paraId="2C2074CD">
            <w:pPr>
              <w:numPr>
                <w:ilvl w:val="2"/>
                <w:numId w:val="0"/>
              </w:numPr>
              <w:rPr>
                <w:rFonts w:ascii="宋体" w:hAnsi="宋体" w:cs="宋体"/>
                <w:color w:val="auto"/>
                <w:kern w:val="0"/>
                <w:szCs w:val="21"/>
                <w:highlight w:val="none"/>
              </w:rPr>
            </w:pPr>
            <w:r>
              <w:rPr>
                <w:rFonts w:hint="eastAsia" w:ascii="宋体" w:hAnsi="宋体" w:cs="宋体"/>
                <w:color w:val="auto"/>
                <w:kern w:val="0"/>
                <w:szCs w:val="21"/>
                <w:highlight w:val="none"/>
              </w:rPr>
              <w:t>7.7.1</w:t>
            </w:r>
            <w:r>
              <w:rPr>
                <w:rFonts w:hint="eastAsia" w:ascii="宋体" w:hAnsi="宋体" w:cs="宋体"/>
                <w:color w:val="auto"/>
                <w:sz w:val="22"/>
                <w:szCs w:val="22"/>
                <w:highlight w:val="none"/>
              </w:rPr>
              <w:t>库存禁用</w:t>
            </w:r>
          </w:p>
        </w:tc>
        <w:tc>
          <w:tcPr>
            <w:tcW w:w="11966" w:type="dxa"/>
            <w:vAlign w:val="center"/>
          </w:tcPr>
          <w:p w14:paraId="25B8578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支持批次禁用功能，将同一批次的某类药品全部禁用；</w:t>
            </w:r>
          </w:p>
          <w:p w14:paraId="7313A6C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提供缺药时允许使用某批次禁用药品功能；同时发布缺药动态通知临床科室调整可替代医嘱药品。</w:t>
            </w:r>
          </w:p>
          <w:p w14:paraId="0B42E93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支持产地禁用，将某一产地的药品全部禁用；</w:t>
            </w:r>
          </w:p>
          <w:p w14:paraId="4B84F1F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支持药品禁用，将同一药品信息的药品全部禁用；</w:t>
            </w:r>
          </w:p>
          <w:p w14:paraId="5A1249E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支持取消禁用功能，提供取消禁用常见原因，便于药师选择；</w:t>
            </w:r>
          </w:p>
        </w:tc>
      </w:tr>
      <w:tr w14:paraId="321F0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46" w:type="dxa"/>
            <w:vMerge w:val="continue"/>
            <w:vAlign w:val="center"/>
          </w:tcPr>
          <w:p w14:paraId="1F562936">
            <w:pPr>
              <w:numPr>
                <w:ilvl w:val="0"/>
                <w:numId w:val="11"/>
              </w:numPr>
              <w:rPr>
                <w:rFonts w:ascii="宋体" w:hAnsi="宋体" w:cs="宋体"/>
                <w:color w:val="auto"/>
                <w:szCs w:val="21"/>
                <w:highlight w:val="none"/>
              </w:rPr>
            </w:pPr>
          </w:p>
        </w:tc>
        <w:tc>
          <w:tcPr>
            <w:tcW w:w="13318" w:type="dxa"/>
            <w:gridSpan w:val="2"/>
            <w:vAlign w:val="center"/>
          </w:tcPr>
          <w:p w14:paraId="06DF3E3E">
            <w:pPr>
              <w:numPr>
                <w:ilvl w:val="1"/>
                <w:numId w:val="0"/>
              </w:numPr>
              <w:rPr>
                <w:rFonts w:ascii="宋体" w:hAnsi="宋体" w:cs="宋体"/>
                <w:color w:val="auto"/>
                <w:kern w:val="0"/>
                <w:szCs w:val="21"/>
                <w:highlight w:val="none"/>
              </w:rPr>
            </w:pPr>
            <w:r>
              <w:rPr>
                <w:rFonts w:hint="eastAsia" w:ascii="宋体" w:hAnsi="宋体" w:cs="宋体"/>
                <w:color w:val="auto"/>
                <w:kern w:val="0"/>
                <w:szCs w:val="21"/>
                <w:highlight w:val="none"/>
              </w:rPr>
              <w:t>7.8</w:t>
            </w:r>
            <w:r>
              <w:rPr>
                <w:rFonts w:hint="eastAsia" w:ascii="宋体" w:hAnsi="宋体" w:cs="宋体"/>
                <w:color w:val="auto"/>
                <w:sz w:val="22"/>
                <w:szCs w:val="22"/>
                <w:highlight w:val="none"/>
              </w:rPr>
              <w:t>药品日结月结</w:t>
            </w:r>
          </w:p>
        </w:tc>
      </w:tr>
      <w:tr w14:paraId="07DD8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7" w:hRule="atLeast"/>
          <w:jc w:val="center"/>
        </w:trPr>
        <w:tc>
          <w:tcPr>
            <w:tcW w:w="846" w:type="dxa"/>
            <w:vMerge w:val="continue"/>
            <w:vAlign w:val="center"/>
          </w:tcPr>
          <w:p w14:paraId="58321652">
            <w:pPr>
              <w:numPr>
                <w:ilvl w:val="0"/>
                <w:numId w:val="11"/>
              </w:numPr>
              <w:rPr>
                <w:rFonts w:ascii="宋体" w:hAnsi="宋体" w:cs="宋体"/>
                <w:color w:val="auto"/>
                <w:szCs w:val="21"/>
                <w:highlight w:val="none"/>
              </w:rPr>
            </w:pPr>
          </w:p>
        </w:tc>
        <w:tc>
          <w:tcPr>
            <w:tcW w:w="1352" w:type="dxa"/>
            <w:vAlign w:val="center"/>
          </w:tcPr>
          <w:p w14:paraId="3B334F6F">
            <w:pPr>
              <w:numPr>
                <w:ilvl w:val="2"/>
                <w:numId w:val="0"/>
              </w:numPr>
              <w:rPr>
                <w:rFonts w:ascii="宋体" w:hAnsi="宋体" w:cs="宋体"/>
                <w:color w:val="auto"/>
                <w:kern w:val="0"/>
                <w:szCs w:val="21"/>
                <w:highlight w:val="none"/>
              </w:rPr>
            </w:pPr>
            <w:r>
              <w:rPr>
                <w:rFonts w:hint="eastAsia" w:ascii="宋体" w:hAnsi="宋体" w:cs="宋体"/>
                <w:color w:val="auto"/>
                <w:kern w:val="0"/>
                <w:szCs w:val="21"/>
                <w:highlight w:val="none"/>
              </w:rPr>
              <w:t>7.8.1</w:t>
            </w:r>
            <w:r>
              <w:rPr>
                <w:rFonts w:hint="eastAsia" w:ascii="宋体" w:hAnsi="宋体" w:cs="宋体"/>
                <w:color w:val="auto"/>
                <w:sz w:val="22"/>
                <w:szCs w:val="22"/>
                <w:highlight w:val="none"/>
              </w:rPr>
              <w:t>药品日结月结</w:t>
            </w:r>
          </w:p>
        </w:tc>
        <w:tc>
          <w:tcPr>
            <w:tcW w:w="11966" w:type="dxa"/>
            <w:vAlign w:val="center"/>
          </w:tcPr>
          <w:p w14:paraId="29A298B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支持药品每天库存变化查询（显示某个药品在某段时间内每天的库存）。</w:t>
            </w:r>
          </w:p>
          <w:p w14:paraId="2E7DCDF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支持每天计算库存和实际库存不符合的药品的查询，并能查询相应的台账。</w:t>
            </w:r>
          </w:p>
          <w:p w14:paraId="5F308D6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贵重药品、精麻毒、终止妊娠药品等特殊药品日结日报功能，日结表新增“实际库存”、“库存差异”，“实际库存”默认等于“期末结余”，支持人工修改，库存差异等于期末结余减去实际库存，日结表可打印；</w:t>
            </w:r>
          </w:p>
          <w:p w14:paraId="5879F8E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打印的日结表增加条形码，PDA扫描后显示该表包含的药品通用名、商品名、规格、药品位置、期末结余、实际库存，实际库存默认等于期末结余，可人工修改，PDA端点击确认后，HIS端日结表可同步更新。</w:t>
            </w:r>
            <w:r>
              <w:rPr>
                <w:rFonts w:hint="eastAsia"/>
                <w:color w:val="auto"/>
                <w:highlight w:val="none"/>
              </w:rPr>
              <w:t>（药房PDA移动盘点，盘点数据回传给HIS，改成接口对接描述）</w:t>
            </w:r>
          </w:p>
          <w:p w14:paraId="3C3F9EA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支持自定义月结日功能，初次月结日未初始建账日期，以后每月的月结起始时间就是上次月结的月结终止时间；</w:t>
            </w:r>
          </w:p>
          <w:p w14:paraId="6FE48F3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支持月结前自动判断库房业务是否完成功能，如领药单、退药单、调拨入库单、调拨出库单以及出入库单是否确认；</w:t>
            </w:r>
          </w:p>
          <w:p w14:paraId="6F2DFED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支持取消月结，取消月结必须从最后一个月结月份逐月取消，不能跳月取消月结。</w:t>
            </w:r>
          </w:p>
        </w:tc>
      </w:tr>
      <w:tr w14:paraId="5FAE2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46" w:type="dxa"/>
            <w:vMerge w:val="continue"/>
            <w:vAlign w:val="center"/>
          </w:tcPr>
          <w:p w14:paraId="3AEEEC31">
            <w:pPr>
              <w:numPr>
                <w:ilvl w:val="0"/>
                <w:numId w:val="11"/>
              </w:numPr>
              <w:rPr>
                <w:rFonts w:ascii="宋体" w:hAnsi="宋体" w:cs="宋体"/>
                <w:color w:val="auto"/>
                <w:szCs w:val="21"/>
                <w:highlight w:val="none"/>
              </w:rPr>
            </w:pPr>
          </w:p>
        </w:tc>
        <w:tc>
          <w:tcPr>
            <w:tcW w:w="13318" w:type="dxa"/>
            <w:gridSpan w:val="2"/>
            <w:vAlign w:val="center"/>
          </w:tcPr>
          <w:p w14:paraId="5183C751">
            <w:pPr>
              <w:numPr>
                <w:ilvl w:val="1"/>
                <w:numId w:val="0"/>
              </w:numPr>
              <w:rPr>
                <w:rFonts w:ascii="宋体" w:hAnsi="宋体" w:cs="宋体"/>
                <w:color w:val="auto"/>
                <w:kern w:val="0"/>
                <w:szCs w:val="21"/>
                <w:highlight w:val="none"/>
              </w:rPr>
            </w:pPr>
            <w:r>
              <w:rPr>
                <w:rFonts w:hint="eastAsia" w:ascii="宋体" w:hAnsi="宋体" w:cs="宋体"/>
                <w:color w:val="auto"/>
                <w:kern w:val="0"/>
                <w:szCs w:val="21"/>
                <w:highlight w:val="none"/>
              </w:rPr>
              <w:t>7.9</w:t>
            </w:r>
            <w:r>
              <w:rPr>
                <w:rFonts w:hint="eastAsia" w:ascii="宋体" w:hAnsi="宋体" w:cs="宋体"/>
                <w:color w:val="auto"/>
                <w:sz w:val="22"/>
                <w:szCs w:val="22"/>
                <w:highlight w:val="none"/>
              </w:rPr>
              <w:t>库房查询</w:t>
            </w:r>
          </w:p>
        </w:tc>
      </w:tr>
      <w:tr w14:paraId="659D8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jc w:val="center"/>
        </w:trPr>
        <w:tc>
          <w:tcPr>
            <w:tcW w:w="846" w:type="dxa"/>
            <w:vMerge w:val="continue"/>
            <w:vAlign w:val="center"/>
          </w:tcPr>
          <w:p w14:paraId="20834759">
            <w:pPr>
              <w:numPr>
                <w:ilvl w:val="0"/>
                <w:numId w:val="11"/>
              </w:numPr>
              <w:rPr>
                <w:rFonts w:ascii="宋体" w:hAnsi="宋体" w:cs="宋体"/>
                <w:color w:val="auto"/>
                <w:szCs w:val="21"/>
                <w:highlight w:val="none"/>
              </w:rPr>
            </w:pPr>
          </w:p>
        </w:tc>
        <w:tc>
          <w:tcPr>
            <w:tcW w:w="1352" w:type="dxa"/>
            <w:vAlign w:val="center"/>
          </w:tcPr>
          <w:p w14:paraId="1296B16C">
            <w:pPr>
              <w:numPr>
                <w:ilvl w:val="2"/>
                <w:numId w:val="0"/>
              </w:numPr>
              <w:rPr>
                <w:rFonts w:ascii="宋体" w:hAnsi="宋体" w:cs="宋体"/>
                <w:color w:val="auto"/>
                <w:kern w:val="0"/>
                <w:szCs w:val="21"/>
                <w:highlight w:val="none"/>
              </w:rPr>
            </w:pPr>
            <w:r>
              <w:rPr>
                <w:rFonts w:hint="eastAsia" w:ascii="宋体" w:hAnsi="宋体" w:cs="宋体"/>
                <w:color w:val="auto"/>
                <w:kern w:val="0"/>
                <w:szCs w:val="21"/>
                <w:highlight w:val="none"/>
              </w:rPr>
              <w:t>7.9.1</w:t>
            </w:r>
            <w:r>
              <w:rPr>
                <w:rFonts w:hint="eastAsia" w:ascii="宋体" w:hAnsi="宋体" w:cs="宋体"/>
                <w:color w:val="auto"/>
                <w:sz w:val="22"/>
                <w:szCs w:val="22"/>
                <w:highlight w:val="none"/>
              </w:rPr>
              <w:t>库房查询</w:t>
            </w:r>
          </w:p>
        </w:tc>
        <w:tc>
          <w:tcPr>
            <w:tcW w:w="11966" w:type="dxa"/>
            <w:vAlign w:val="center"/>
          </w:tcPr>
          <w:p w14:paraId="6757DAE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提供病区发药统计、病区发药查询、病区退药查询、历史发药查询、病区药房库存查询、药品最新价格查询、调价历史查询、高/低储报警、失效报警、药房账册查询、药房汇总月报表等功能。</w:t>
            </w:r>
          </w:p>
          <w:p w14:paraId="3E63C42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支持药品批次管理；</w:t>
            </w:r>
          </w:p>
          <w:p w14:paraId="10B1EDC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提供药品有效期自动报警功能，支持统计过期药品的品种数和金额，提供库存量提示功能；</w:t>
            </w:r>
          </w:p>
          <w:p w14:paraId="3FA62A1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支持多个住院药房的管理；</w:t>
            </w:r>
          </w:p>
          <w:p w14:paraId="38ACBDC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支持病区三级库房管理。</w:t>
            </w:r>
          </w:p>
          <w:p w14:paraId="0980D7B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支持同时显示其他药房的库存数量。（见图）</w:t>
            </w:r>
          </w:p>
        </w:tc>
      </w:tr>
      <w:tr w14:paraId="78413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846" w:type="dxa"/>
            <w:vAlign w:val="center"/>
          </w:tcPr>
          <w:p w14:paraId="4A1735D9">
            <w:pPr>
              <w:rPr>
                <w:rFonts w:ascii="宋体" w:hAnsi="宋体" w:cs="宋体"/>
                <w:color w:val="auto"/>
                <w:szCs w:val="21"/>
                <w:highlight w:val="none"/>
              </w:rPr>
            </w:pPr>
          </w:p>
        </w:tc>
        <w:tc>
          <w:tcPr>
            <w:tcW w:w="13318" w:type="dxa"/>
            <w:gridSpan w:val="2"/>
            <w:vAlign w:val="center"/>
          </w:tcPr>
          <w:p w14:paraId="1ED7D0A0">
            <w:pPr>
              <w:tabs>
                <w:tab w:val="left" w:pos="525"/>
                <w:tab w:val="left" w:pos="630"/>
              </w:tabs>
              <w:spacing w:line="360" w:lineRule="auto"/>
              <w:rPr>
                <w:rFonts w:ascii="宋体" w:hAnsi="宋体" w:cs="宋体"/>
                <w:color w:val="auto"/>
                <w:szCs w:val="21"/>
                <w:highlight w:val="none"/>
              </w:rPr>
            </w:pPr>
            <w:r>
              <w:rPr>
                <w:rFonts w:hint="eastAsia" w:ascii="宋体" w:hAnsi="宋体" w:cs="宋体"/>
                <w:color w:val="auto"/>
                <w:szCs w:val="21"/>
                <w:highlight w:val="none"/>
              </w:rPr>
              <w:t>7.10 对接轨道物流系统</w:t>
            </w:r>
          </w:p>
        </w:tc>
      </w:tr>
      <w:tr w14:paraId="304BC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846" w:type="dxa"/>
            <w:vAlign w:val="center"/>
          </w:tcPr>
          <w:p w14:paraId="6DC4B359">
            <w:pPr>
              <w:rPr>
                <w:rFonts w:ascii="宋体" w:hAnsi="宋体" w:cs="宋体"/>
                <w:color w:val="auto"/>
                <w:szCs w:val="21"/>
                <w:highlight w:val="none"/>
              </w:rPr>
            </w:pPr>
          </w:p>
        </w:tc>
        <w:tc>
          <w:tcPr>
            <w:tcW w:w="13318" w:type="dxa"/>
            <w:gridSpan w:val="2"/>
            <w:vAlign w:val="center"/>
          </w:tcPr>
          <w:p w14:paraId="45EF551C">
            <w:pPr>
              <w:numPr>
                <w:ilvl w:val="0"/>
                <w:numId w:val="21"/>
              </w:numPr>
              <w:tabs>
                <w:tab w:val="left" w:pos="525"/>
                <w:tab w:val="left" w:pos="630"/>
              </w:tabs>
              <w:spacing w:line="360" w:lineRule="auto"/>
              <w:rPr>
                <w:rFonts w:ascii="宋体" w:hAnsi="宋体" w:cs="宋体"/>
                <w:color w:val="auto"/>
                <w:szCs w:val="21"/>
                <w:highlight w:val="none"/>
              </w:rPr>
            </w:pPr>
            <w:r>
              <w:rPr>
                <w:rFonts w:hint="eastAsia" w:ascii="宋体" w:hAnsi="宋体" w:cs="宋体"/>
                <w:color w:val="auto"/>
                <w:szCs w:val="21"/>
                <w:highlight w:val="none"/>
              </w:rPr>
              <w:t>对接轨道物流系统，扫描调配单条形码（见7.1.1需求）后，轨道发车站点可识别相应病区并自动输入站点号，无需人工手动输入站点号。</w:t>
            </w:r>
          </w:p>
        </w:tc>
      </w:tr>
      <w:tr w14:paraId="2C659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846" w:type="dxa"/>
            <w:vAlign w:val="center"/>
          </w:tcPr>
          <w:p w14:paraId="752973BE">
            <w:pPr>
              <w:rPr>
                <w:rFonts w:ascii="宋体" w:hAnsi="宋体" w:cs="宋体"/>
                <w:color w:val="auto"/>
                <w:szCs w:val="21"/>
                <w:highlight w:val="none"/>
              </w:rPr>
            </w:pPr>
          </w:p>
        </w:tc>
        <w:tc>
          <w:tcPr>
            <w:tcW w:w="13318" w:type="dxa"/>
            <w:gridSpan w:val="2"/>
            <w:vAlign w:val="center"/>
          </w:tcPr>
          <w:p w14:paraId="3A915EA4">
            <w:pPr>
              <w:tabs>
                <w:tab w:val="left" w:pos="525"/>
                <w:tab w:val="left" w:pos="630"/>
              </w:tabs>
              <w:spacing w:line="360" w:lineRule="auto"/>
              <w:rPr>
                <w:rFonts w:ascii="宋体" w:hAnsi="宋体" w:cs="宋体"/>
                <w:color w:val="auto"/>
                <w:szCs w:val="21"/>
                <w:highlight w:val="none"/>
              </w:rPr>
            </w:pPr>
            <w:r>
              <w:rPr>
                <w:rFonts w:hint="eastAsia" w:ascii="宋体" w:hAnsi="宋体" w:cs="宋体"/>
                <w:color w:val="auto"/>
                <w:szCs w:val="21"/>
                <w:highlight w:val="none"/>
              </w:rPr>
              <w:t>7.11 各类统计报表</w:t>
            </w:r>
          </w:p>
        </w:tc>
      </w:tr>
      <w:tr w14:paraId="6877E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jc w:val="center"/>
        </w:trPr>
        <w:tc>
          <w:tcPr>
            <w:tcW w:w="0" w:type="auto"/>
          </w:tcPr>
          <w:p w14:paraId="768CD58F">
            <w:pPr>
              <w:rPr>
                <w:rFonts w:ascii="宋体" w:hAnsi="宋体" w:cs="宋体"/>
                <w:color w:val="auto"/>
                <w:szCs w:val="21"/>
                <w:highlight w:val="none"/>
              </w:rPr>
            </w:pPr>
          </w:p>
        </w:tc>
        <w:tc>
          <w:tcPr>
            <w:tcW w:w="0" w:type="auto"/>
            <w:gridSpan w:val="2"/>
            <w:vAlign w:val="center"/>
          </w:tcPr>
          <w:p w14:paraId="59B3C4A5">
            <w:pPr>
              <w:numPr>
                <w:ilvl w:val="0"/>
                <w:numId w:val="20"/>
              </w:numPr>
              <w:tabs>
                <w:tab w:val="left" w:pos="525"/>
                <w:tab w:val="left" w:pos="630"/>
              </w:tabs>
              <w:spacing w:line="360" w:lineRule="auto"/>
              <w:rPr>
                <w:rFonts w:ascii="宋体" w:hAnsi="宋体" w:cs="宋体"/>
                <w:color w:val="auto"/>
                <w:szCs w:val="21"/>
                <w:highlight w:val="none"/>
              </w:rPr>
            </w:pPr>
            <w:r>
              <w:rPr>
                <w:rFonts w:hint="eastAsia" w:ascii="宋体" w:hAnsi="宋体" w:cs="宋体"/>
                <w:color w:val="auto"/>
                <w:szCs w:val="21"/>
                <w:highlight w:val="none"/>
              </w:rPr>
              <w:t>单一药品使用查询报表：支持查询某一药品使用情况，查询结果包含住院号、处方号、开单科室、患者姓名、药品数量、开单医生、发药时间、发药状态（已发药、未发药）、收费时间、发药药师</w:t>
            </w:r>
          </w:p>
        </w:tc>
      </w:tr>
      <w:tr w14:paraId="0630F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jc w:val="center"/>
        </w:trPr>
        <w:tc>
          <w:tcPr>
            <w:tcW w:w="0" w:type="auto"/>
          </w:tcPr>
          <w:p w14:paraId="5246F282">
            <w:pPr>
              <w:rPr>
                <w:rFonts w:ascii="宋体" w:hAnsi="宋体" w:cs="宋体"/>
                <w:color w:val="auto"/>
                <w:szCs w:val="21"/>
                <w:highlight w:val="none"/>
              </w:rPr>
            </w:pPr>
          </w:p>
        </w:tc>
        <w:tc>
          <w:tcPr>
            <w:tcW w:w="0" w:type="auto"/>
            <w:gridSpan w:val="2"/>
            <w:vAlign w:val="center"/>
          </w:tcPr>
          <w:p w14:paraId="020E5F1B">
            <w:pPr>
              <w:numPr>
                <w:ilvl w:val="0"/>
                <w:numId w:val="20"/>
              </w:numPr>
              <w:tabs>
                <w:tab w:val="left" w:pos="525"/>
                <w:tab w:val="left" w:pos="630"/>
              </w:tabs>
              <w:spacing w:line="360" w:lineRule="auto"/>
              <w:rPr>
                <w:rFonts w:ascii="宋体" w:hAnsi="宋体" w:cs="宋体"/>
                <w:color w:val="auto"/>
                <w:szCs w:val="21"/>
                <w:highlight w:val="none"/>
              </w:rPr>
            </w:pPr>
            <w:r>
              <w:rPr>
                <w:rFonts w:hint="eastAsia" w:ascii="宋体" w:hAnsi="宋体" w:cs="宋体"/>
                <w:color w:val="auto"/>
                <w:szCs w:val="21"/>
                <w:highlight w:val="none"/>
              </w:rPr>
              <w:t>药房财务月报表：需包含上月结余、出库、入库、配方、报废、盘盈、盘亏、本月结余、调整金额，可根据时间、药品类型（西药、中成药、中草药）进行统计，可导出打印。</w:t>
            </w:r>
          </w:p>
        </w:tc>
      </w:tr>
      <w:tr w14:paraId="64A8B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jc w:val="center"/>
        </w:trPr>
        <w:tc>
          <w:tcPr>
            <w:tcW w:w="846" w:type="dxa"/>
            <w:vMerge w:val="restart"/>
          </w:tcPr>
          <w:p w14:paraId="0EBCF537">
            <w:pPr>
              <w:rPr>
                <w:rFonts w:ascii="宋体" w:hAnsi="宋体" w:cs="宋体"/>
                <w:color w:val="auto"/>
                <w:szCs w:val="21"/>
                <w:highlight w:val="none"/>
              </w:rPr>
            </w:pPr>
          </w:p>
        </w:tc>
        <w:tc>
          <w:tcPr>
            <w:tcW w:w="0" w:type="auto"/>
            <w:gridSpan w:val="2"/>
            <w:vAlign w:val="center"/>
          </w:tcPr>
          <w:p w14:paraId="14B28FF8">
            <w:pPr>
              <w:numPr>
                <w:ilvl w:val="0"/>
                <w:numId w:val="20"/>
              </w:numPr>
              <w:tabs>
                <w:tab w:val="left" w:pos="525"/>
                <w:tab w:val="left" w:pos="630"/>
              </w:tabs>
              <w:spacing w:line="360" w:lineRule="auto"/>
              <w:rPr>
                <w:rFonts w:ascii="宋体" w:hAnsi="宋体" w:cs="宋体"/>
                <w:color w:val="auto"/>
                <w:szCs w:val="21"/>
                <w:highlight w:val="none"/>
              </w:rPr>
            </w:pPr>
            <w:r>
              <w:rPr>
                <w:rFonts w:hint="eastAsia" w:ascii="宋体" w:hAnsi="宋体" w:cs="宋体"/>
                <w:color w:val="auto"/>
                <w:szCs w:val="21"/>
                <w:highlight w:val="none"/>
              </w:rPr>
              <w:t>单一药品退药查询报表：支持查询某一药品退药情况，查询结果包含：住院号、处方号、开单科室、患者姓名、药品数量、开单医生、发药时间、退药时间、发药药师、退药药师</w:t>
            </w:r>
          </w:p>
        </w:tc>
      </w:tr>
      <w:tr w14:paraId="2832D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jc w:val="center"/>
        </w:trPr>
        <w:tc>
          <w:tcPr>
            <w:tcW w:w="846" w:type="dxa"/>
            <w:vMerge w:val="continue"/>
          </w:tcPr>
          <w:p w14:paraId="731F25A1">
            <w:pPr>
              <w:rPr>
                <w:rFonts w:ascii="宋体" w:hAnsi="宋体" w:cs="宋体"/>
                <w:color w:val="auto"/>
                <w:szCs w:val="21"/>
                <w:highlight w:val="none"/>
              </w:rPr>
            </w:pPr>
          </w:p>
        </w:tc>
        <w:tc>
          <w:tcPr>
            <w:tcW w:w="0" w:type="auto"/>
            <w:gridSpan w:val="2"/>
            <w:vAlign w:val="center"/>
          </w:tcPr>
          <w:p w14:paraId="3E0359EE">
            <w:pPr>
              <w:numPr>
                <w:ilvl w:val="0"/>
                <w:numId w:val="20"/>
              </w:numPr>
              <w:tabs>
                <w:tab w:val="left" w:pos="525"/>
                <w:tab w:val="left" w:pos="630"/>
              </w:tabs>
              <w:spacing w:line="360" w:lineRule="auto"/>
              <w:rPr>
                <w:rFonts w:ascii="宋体" w:hAnsi="宋体" w:cs="宋体"/>
                <w:color w:val="auto"/>
                <w:szCs w:val="21"/>
                <w:highlight w:val="none"/>
              </w:rPr>
            </w:pPr>
            <w:r>
              <w:rPr>
                <w:rFonts w:hint="eastAsia" w:ascii="宋体" w:hAnsi="宋体" w:cs="宋体"/>
                <w:color w:val="auto"/>
                <w:szCs w:val="21"/>
                <w:highlight w:val="none"/>
              </w:rPr>
              <w:t>药品使用查询报表：支持查询所有药品使用情况，查询结果包括药品ID、药品通用名、药品商品名、药品规格、药品发药量、药品退药量、药品销售金额、药品退药金额，可根据以下查询条件单独或联合进行统计：日期、开单科室、发药药房、药品类型（全部、西药、中成药、配方颗粒、中药饮片）、药品属性（全部、抗肿瘤药、抗菌药、麻醉药品、第一类精神药品、第二类精神药品、计生药品、大输液、毒性药品、贵重药品、普通药品、高警示药品）</w:t>
            </w:r>
          </w:p>
        </w:tc>
      </w:tr>
      <w:tr w14:paraId="6E621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jc w:val="center"/>
        </w:trPr>
        <w:tc>
          <w:tcPr>
            <w:tcW w:w="846" w:type="dxa"/>
            <w:vMerge w:val="continue"/>
          </w:tcPr>
          <w:p w14:paraId="626F6D4C">
            <w:pPr>
              <w:rPr>
                <w:rFonts w:ascii="宋体" w:hAnsi="宋体" w:cs="宋体"/>
                <w:color w:val="auto"/>
                <w:szCs w:val="21"/>
                <w:highlight w:val="none"/>
              </w:rPr>
            </w:pPr>
          </w:p>
        </w:tc>
        <w:tc>
          <w:tcPr>
            <w:tcW w:w="0" w:type="auto"/>
            <w:gridSpan w:val="2"/>
            <w:vAlign w:val="center"/>
          </w:tcPr>
          <w:p w14:paraId="14F6AE84">
            <w:pPr>
              <w:numPr>
                <w:ilvl w:val="0"/>
                <w:numId w:val="20"/>
              </w:numPr>
              <w:tabs>
                <w:tab w:val="left" w:pos="525"/>
                <w:tab w:val="left" w:pos="630"/>
              </w:tabs>
              <w:spacing w:line="360" w:lineRule="auto"/>
              <w:rPr>
                <w:rFonts w:ascii="宋体" w:hAnsi="宋体" w:cs="宋体"/>
                <w:color w:val="auto"/>
                <w:szCs w:val="21"/>
                <w:highlight w:val="none"/>
              </w:rPr>
            </w:pPr>
            <w:r>
              <w:rPr>
                <w:rFonts w:hint="eastAsia" w:ascii="宋体" w:hAnsi="宋体" w:cs="宋体"/>
                <w:color w:val="auto"/>
                <w:szCs w:val="21"/>
                <w:highlight w:val="none"/>
              </w:rPr>
              <w:t>处方/医嘱查询报表：支持按以下条件单独或联合查询处方/医嘱，患者姓名、收费时间、处方号、住院号、发药状态（全部、已发药、未发药、退药）</w:t>
            </w:r>
          </w:p>
        </w:tc>
      </w:tr>
      <w:tr w14:paraId="5640B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jc w:val="center"/>
        </w:trPr>
        <w:tc>
          <w:tcPr>
            <w:tcW w:w="846" w:type="dxa"/>
            <w:vMerge w:val="continue"/>
          </w:tcPr>
          <w:p w14:paraId="1ACEB5B7">
            <w:pPr>
              <w:rPr>
                <w:rFonts w:ascii="宋体" w:hAnsi="宋体" w:cs="宋体"/>
                <w:color w:val="auto"/>
                <w:szCs w:val="21"/>
                <w:highlight w:val="none"/>
              </w:rPr>
            </w:pPr>
          </w:p>
        </w:tc>
        <w:tc>
          <w:tcPr>
            <w:tcW w:w="0" w:type="auto"/>
            <w:gridSpan w:val="2"/>
            <w:vAlign w:val="center"/>
          </w:tcPr>
          <w:p w14:paraId="5131994E">
            <w:pPr>
              <w:numPr>
                <w:ilvl w:val="0"/>
                <w:numId w:val="20"/>
              </w:numPr>
              <w:tabs>
                <w:tab w:val="left" w:pos="525"/>
                <w:tab w:val="left" w:pos="630"/>
              </w:tabs>
              <w:spacing w:line="360" w:lineRule="auto"/>
              <w:rPr>
                <w:rFonts w:ascii="宋体" w:hAnsi="宋体" w:cs="宋体"/>
                <w:color w:val="auto"/>
                <w:sz w:val="22"/>
                <w:szCs w:val="22"/>
                <w:highlight w:val="none"/>
              </w:rPr>
            </w:pPr>
            <w:r>
              <w:rPr>
                <w:rFonts w:hint="eastAsia" w:ascii="宋体" w:hAnsi="宋体" w:cs="宋体"/>
                <w:color w:val="auto"/>
                <w:sz w:val="22"/>
                <w:szCs w:val="22"/>
                <w:highlight w:val="none"/>
              </w:rPr>
              <w:t>代配处方/医嘱查询：可根据以下查询条件单独或联合统计代配处方/医嘱，日期、患者姓名、住院号、处方号、药品</w:t>
            </w:r>
          </w:p>
        </w:tc>
      </w:tr>
      <w:tr w14:paraId="1DDB9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jc w:val="center"/>
        </w:trPr>
        <w:tc>
          <w:tcPr>
            <w:tcW w:w="846" w:type="dxa"/>
            <w:vMerge w:val="continue"/>
          </w:tcPr>
          <w:p w14:paraId="7A70FC17">
            <w:pPr>
              <w:rPr>
                <w:rFonts w:ascii="宋体" w:hAnsi="宋体" w:cs="宋体"/>
                <w:color w:val="auto"/>
                <w:szCs w:val="21"/>
                <w:highlight w:val="none"/>
              </w:rPr>
            </w:pPr>
          </w:p>
        </w:tc>
        <w:tc>
          <w:tcPr>
            <w:tcW w:w="0" w:type="auto"/>
            <w:gridSpan w:val="2"/>
            <w:vAlign w:val="center"/>
          </w:tcPr>
          <w:p w14:paraId="751C4A98">
            <w:pPr>
              <w:numPr>
                <w:ilvl w:val="0"/>
                <w:numId w:val="12"/>
              </w:numPr>
              <w:tabs>
                <w:tab w:val="left" w:pos="525"/>
                <w:tab w:val="left" w:pos="630"/>
              </w:tabs>
              <w:spacing w:line="360" w:lineRule="auto"/>
              <w:ind w:left="0" w:firstLine="0"/>
              <w:rPr>
                <w:rFonts w:ascii="宋体" w:hAnsi="宋体" w:cs="宋体"/>
                <w:color w:val="auto"/>
                <w:sz w:val="22"/>
                <w:szCs w:val="22"/>
                <w:highlight w:val="none"/>
              </w:rPr>
            </w:pPr>
            <w:r>
              <w:rPr>
                <w:rFonts w:hint="eastAsia" w:ascii="宋体" w:hAnsi="宋体" w:cs="宋体"/>
                <w:color w:val="auto"/>
                <w:sz w:val="22"/>
                <w:szCs w:val="22"/>
                <w:highlight w:val="none"/>
              </w:rPr>
              <w:t>退药调价损益报表，</w:t>
            </w:r>
            <w:r>
              <w:rPr>
                <w:rFonts w:hint="eastAsia" w:ascii="宋体" w:hAnsi="宋体" w:cs="宋体"/>
                <w:bCs/>
                <w:color w:val="auto"/>
                <w:szCs w:val="21"/>
                <w:highlight w:val="none"/>
              </w:rPr>
              <w:t>包含：药品通用名、药品商品名、药品规格、包装量、调前进价、调后进价、调前库存量、调价增益、调价时间，报表支持按日期、药房单元、药品类型（西药、中成药、中草药）进行统计</w:t>
            </w:r>
          </w:p>
        </w:tc>
      </w:tr>
    </w:tbl>
    <w:p w14:paraId="099E74F8">
      <w:pPr>
        <w:rPr>
          <w:color w:val="auto"/>
          <w:highlight w:val="none"/>
        </w:rPr>
      </w:pPr>
    </w:p>
    <w:p w14:paraId="0AB349FB">
      <w:pPr>
        <w:pStyle w:val="4"/>
        <w:numPr>
          <w:ilvl w:val="2"/>
          <w:numId w:val="9"/>
        </w:numPr>
        <w:spacing w:before="0" w:after="0" w:line="360" w:lineRule="auto"/>
        <w:ind w:left="567" w:hanging="567"/>
        <w:rPr>
          <w:color w:val="auto"/>
          <w:sz w:val="24"/>
          <w:highlight w:val="none"/>
        </w:rPr>
      </w:pPr>
      <w:r>
        <w:rPr>
          <w:rFonts w:hint="eastAsia" w:eastAsia="宋体"/>
          <w:color w:val="auto"/>
          <w:kern w:val="2"/>
          <w:sz w:val="24"/>
          <w:szCs w:val="24"/>
          <w:highlight w:val="none"/>
        </w:rPr>
        <w:t>手术室管理系统建设需求</w:t>
      </w:r>
    </w:p>
    <w:tbl>
      <w:tblPr>
        <w:tblStyle w:val="4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5"/>
        <w:gridCol w:w="1559"/>
        <w:gridCol w:w="11083"/>
      </w:tblGrid>
      <w:tr w14:paraId="66497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Align w:val="center"/>
          </w:tcPr>
          <w:p w14:paraId="1B29DA75">
            <w:pPr>
              <w:jc w:val="center"/>
              <w:rPr>
                <w:rFonts w:ascii="宋体" w:hAnsi="宋体" w:cs="宋体"/>
                <w:color w:val="auto"/>
                <w:szCs w:val="21"/>
                <w:highlight w:val="none"/>
              </w:rPr>
            </w:pPr>
            <w:r>
              <w:rPr>
                <w:rFonts w:hint="eastAsia" w:ascii="宋体" w:hAnsi="宋体" w:cs="宋体"/>
                <w:color w:val="auto"/>
                <w:kern w:val="0"/>
                <w:szCs w:val="21"/>
                <w:highlight w:val="none"/>
              </w:rPr>
              <w:t>需求名称</w:t>
            </w:r>
          </w:p>
        </w:tc>
        <w:tc>
          <w:tcPr>
            <w:tcW w:w="1559" w:type="dxa"/>
            <w:vAlign w:val="center"/>
          </w:tcPr>
          <w:p w14:paraId="2FAE7DCA">
            <w:pPr>
              <w:jc w:val="center"/>
              <w:rPr>
                <w:rFonts w:ascii="Times New Roman" w:hAnsi="Times New Roman"/>
                <w:color w:val="auto"/>
                <w:highlight w:val="none"/>
              </w:rPr>
            </w:pPr>
            <w:r>
              <w:rPr>
                <w:rFonts w:hint="eastAsia" w:ascii="宋体" w:hAnsi="宋体" w:cs="宋体"/>
                <w:color w:val="auto"/>
                <w:kern w:val="0"/>
                <w:szCs w:val="21"/>
                <w:highlight w:val="none"/>
              </w:rPr>
              <w:t>序号</w:t>
            </w:r>
          </w:p>
        </w:tc>
        <w:tc>
          <w:tcPr>
            <w:tcW w:w="11083" w:type="dxa"/>
            <w:vAlign w:val="center"/>
          </w:tcPr>
          <w:p w14:paraId="541C8C91">
            <w:pPr>
              <w:tabs>
                <w:tab w:val="left" w:pos="525"/>
                <w:tab w:val="left" w:pos="630"/>
              </w:tabs>
              <w:spacing w:line="360" w:lineRule="auto"/>
              <w:jc w:val="center"/>
              <w:rPr>
                <w:rFonts w:ascii="宋体" w:hAnsi="宋体" w:cs="宋体"/>
                <w:bCs/>
                <w:color w:val="auto"/>
                <w:szCs w:val="21"/>
                <w:highlight w:val="none"/>
              </w:rPr>
            </w:pPr>
            <w:r>
              <w:rPr>
                <w:rFonts w:hint="eastAsia" w:ascii="宋体" w:hAnsi="宋体" w:cs="宋体"/>
                <w:color w:val="auto"/>
                <w:kern w:val="0"/>
                <w:szCs w:val="21"/>
                <w:highlight w:val="none"/>
              </w:rPr>
              <w:t>需求描述</w:t>
            </w:r>
          </w:p>
        </w:tc>
      </w:tr>
      <w:tr w14:paraId="259E0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restart"/>
            <w:vAlign w:val="center"/>
          </w:tcPr>
          <w:p w14:paraId="2C48944A">
            <w:pPr>
              <w:numPr>
                <w:ilvl w:val="0"/>
                <w:numId w:val="11"/>
              </w:numPr>
              <w:rPr>
                <w:rFonts w:ascii="宋体" w:hAnsi="宋体" w:cs="宋体"/>
                <w:color w:val="auto"/>
                <w:szCs w:val="21"/>
                <w:highlight w:val="none"/>
              </w:rPr>
            </w:pPr>
            <w:r>
              <w:rPr>
                <w:rFonts w:hint="eastAsia" w:ascii="宋体" w:hAnsi="宋体" w:cs="宋体"/>
                <w:color w:val="auto"/>
                <w:szCs w:val="21"/>
                <w:highlight w:val="none"/>
              </w:rPr>
              <w:t>手术室管理系统</w:t>
            </w:r>
          </w:p>
        </w:tc>
        <w:tc>
          <w:tcPr>
            <w:tcW w:w="1559" w:type="dxa"/>
            <w:vAlign w:val="center"/>
          </w:tcPr>
          <w:p w14:paraId="776D9879">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手术一体化集成管理</w:t>
            </w:r>
          </w:p>
        </w:tc>
        <w:tc>
          <w:tcPr>
            <w:tcW w:w="11083" w:type="dxa"/>
            <w:vAlign w:val="center"/>
          </w:tcPr>
          <w:p w14:paraId="427F3FA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对住院手术室、DSA（介入手术）、产科分娩、内镜检查、麻醉治疗进行一体化集成。支持由医院管理人员对手术室进行统一管理，支持新增、删除手术室，支持修改手术室名称、编号，支持标记手术室位置、手术室类型。</w:t>
            </w:r>
          </w:p>
          <w:p w14:paraId="26B9166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可以实现手麻系统和手术管理系统数据状态的互通同步。</w:t>
            </w:r>
          </w:p>
        </w:tc>
      </w:tr>
      <w:tr w14:paraId="3C85B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3BA48883">
            <w:pPr>
              <w:rPr>
                <w:rFonts w:ascii="宋体" w:hAnsi="宋体" w:cs="宋体"/>
                <w:color w:val="auto"/>
                <w:szCs w:val="21"/>
                <w:highlight w:val="none"/>
              </w:rPr>
            </w:pPr>
          </w:p>
        </w:tc>
        <w:tc>
          <w:tcPr>
            <w:tcW w:w="1559" w:type="dxa"/>
            <w:vAlign w:val="center"/>
          </w:tcPr>
          <w:p w14:paraId="3215E8C0">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新生儿辅助管理</w:t>
            </w:r>
          </w:p>
        </w:tc>
        <w:tc>
          <w:tcPr>
            <w:tcW w:w="11083" w:type="dxa"/>
            <w:vAlign w:val="center"/>
          </w:tcPr>
          <w:p w14:paraId="0D8EDB7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支持住院剖宫产手术后新生儿的建档及新生儿医嘱开立、复核、执行、记费等全流程的管理。</w:t>
            </w:r>
          </w:p>
        </w:tc>
      </w:tr>
      <w:tr w14:paraId="114DF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701CDB24">
            <w:pPr>
              <w:rPr>
                <w:rFonts w:ascii="宋体" w:hAnsi="宋体" w:cs="宋体"/>
                <w:color w:val="auto"/>
                <w:szCs w:val="21"/>
                <w:highlight w:val="none"/>
              </w:rPr>
            </w:pPr>
          </w:p>
        </w:tc>
        <w:tc>
          <w:tcPr>
            <w:tcW w:w="1559" w:type="dxa"/>
            <w:vAlign w:val="center"/>
          </w:tcPr>
          <w:p w14:paraId="1E0FF8B4">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手术列表管理</w:t>
            </w:r>
          </w:p>
        </w:tc>
        <w:tc>
          <w:tcPr>
            <w:tcW w:w="11083" w:type="dxa"/>
            <w:vAlign w:val="center"/>
          </w:tcPr>
          <w:p w14:paraId="65C4D85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支持在手术室、麻醉室可提前查看手术申请详情，对其进行手术安排，补充手术申请信息，调整手术时间、参与人员或退回。</w:t>
            </w:r>
          </w:p>
          <w:p w14:paraId="4BACA8B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支持按类型（门诊/住院/日间）、状态（未安排/已安排/已完成）等多维度分别查看列表。</w:t>
            </w:r>
          </w:p>
          <w:p w14:paraId="39D090C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支持对不同状态下的手术申请列表，和人员角色，配置显示不同的功能权限。</w:t>
            </w:r>
          </w:p>
        </w:tc>
      </w:tr>
      <w:tr w14:paraId="24C63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774915E0">
            <w:pPr>
              <w:rPr>
                <w:rFonts w:ascii="宋体" w:hAnsi="宋体" w:cs="宋体"/>
                <w:color w:val="auto"/>
                <w:szCs w:val="21"/>
                <w:highlight w:val="none"/>
              </w:rPr>
            </w:pPr>
          </w:p>
        </w:tc>
        <w:tc>
          <w:tcPr>
            <w:tcW w:w="1559" w:type="dxa"/>
            <w:vAlign w:val="center"/>
          </w:tcPr>
          <w:p w14:paraId="49D93234">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手术操作权限</w:t>
            </w:r>
          </w:p>
        </w:tc>
        <w:tc>
          <w:tcPr>
            <w:tcW w:w="11083" w:type="dxa"/>
            <w:vAlign w:val="center"/>
          </w:tcPr>
          <w:p w14:paraId="2C67CA3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支持“按手术等级”、“按手术服务项目自定义分类”两种模式配置手术操作权限控制规则，在医生开单时限制可选的主刀操作人员范围，适用于不同颗粒度的院内手术分级管理流程。</w:t>
            </w:r>
          </w:p>
        </w:tc>
      </w:tr>
      <w:tr w14:paraId="40135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62FA1B42">
            <w:pPr>
              <w:rPr>
                <w:rFonts w:ascii="宋体" w:hAnsi="宋体" w:cs="宋体"/>
                <w:color w:val="auto"/>
                <w:szCs w:val="21"/>
                <w:highlight w:val="none"/>
              </w:rPr>
            </w:pPr>
          </w:p>
        </w:tc>
        <w:tc>
          <w:tcPr>
            <w:tcW w:w="1559" w:type="dxa"/>
            <w:vAlign w:val="center"/>
          </w:tcPr>
          <w:p w14:paraId="2FF49116">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手术申请</w:t>
            </w:r>
          </w:p>
        </w:tc>
        <w:tc>
          <w:tcPr>
            <w:tcW w:w="11083" w:type="dxa"/>
            <w:vAlign w:val="center"/>
          </w:tcPr>
          <w:p w14:paraId="546ED83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提供手术申请单支持手术麻醉、手术不麻醉、麻醉不手术三种业务模式的手术申请。</w:t>
            </w:r>
          </w:p>
          <w:p w14:paraId="3B69FDB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在开立手术时选择流向手术室。选择手术室时不对手术类别（手术、介入治疗、诊断性操作、治疗性操作）做限制。系统自动识别手术类别和手术室类型不匹配的情况，并弹窗提醒避免医生选错手术室。举例：如科室开具介入手术，手术室选择中心手术室（开放性手术手术室），择需弹框提醒。反之亦然。</w:t>
            </w:r>
          </w:p>
          <w:p w14:paraId="6C381F3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支持在手术申请单根据患者病情选择急诊、择期手术。</w:t>
            </w:r>
          </w:p>
        </w:tc>
      </w:tr>
      <w:tr w14:paraId="67224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jc w:val="center"/>
        </w:trPr>
        <w:tc>
          <w:tcPr>
            <w:tcW w:w="1235" w:type="dxa"/>
            <w:vMerge w:val="continue"/>
            <w:vAlign w:val="center"/>
          </w:tcPr>
          <w:p w14:paraId="3FFEB429">
            <w:pPr>
              <w:rPr>
                <w:rFonts w:ascii="宋体" w:hAnsi="宋体" w:cs="宋体"/>
                <w:color w:val="auto"/>
                <w:szCs w:val="21"/>
                <w:highlight w:val="none"/>
              </w:rPr>
            </w:pPr>
          </w:p>
        </w:tc>
        <w:tc>
          <w:tcPr>
            <w:tcW w:w="1559" w:type="dxa"/>
            <w:vAlign w:val="center"/>
          </w:tcPr>
          <w:p w14:paraId="29526176">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门诊手术预约</w:t>
            </w:r>
          </w:p>
        </w:tc>
        <w:tc>
          <w:tcPr>
            <w:tcW w:w="11083" w:type="dxa"/>
            <w:shd w:val="clear" w:color="auto" w:fill="auto"/>
            <w:vAlign w:val="center"/>
          </w:tcPr>
          <w:p w14:paraId="5871BA2B">
            <w:pPr>
              <w:numPr>
                <w:ilvl w:val="0"/>
                <w:numId w:val="12"/>
              </w:numPr>
              <w:shd w:val="clear"/>
              <w:tabs>
                <w:tab w:val="left" w:pos="525"/>
                <w:tab w:val="left" w:pos="630"/>
              </w:tabs>
              <w:spacing w:line="360" w:lineRule="auto"/>
              <w:rPr>
                <w:rFonts w:ascii="宋体" w:hAnsi="宋体" w:cs="宋体"/>
                <w:bCs/>
                <w:color w:val="auto"/>
                <w:szCs w:val="21"/>
                <w:highlight w:val="none"/>
                <w:shd w:val="clear" w:color="auto" w:fill="FFFF00"/>
              </w:rPr>
            </w:pPr>
            <w:r>
              <w:rPr>
                <w:rFonts w:hint="eastAsia" w:ascii="宋体" w:hAnsi="宋体" w:cs="宋体"/>
                <w:bCs/>
                <w:color w:val="auto"/>
                <w:szCs w:val="21"/>
                <w:highlight w:val="none"/>
                <w:shd w:val="clear" w:color="auto"/>
              </w:rPr>
              <w:t>支持诊间预约，人工窗口预约，自助机终端</w:t>
            </w:r>
            <w:r>
              <w:rPr>
                <w:rFonts w:ascii="宋体" w:hAnsi="宋体" w:cs="宋体"/>
                <w:bCs/>
                <w:color w:val="auto"/>
                <w:szCs w:val="21"/>
                <w:highlight w:val="none"/>
                <w:shd w:val="clear" w:color="auto"/>
              </w:rPr>
              <w:t>、</w:t>
            </w:r>
            <w:r>
              <w:rPr>
                <w:rFonts w:hint="eastAsia" w:ascii="宋体" w:hAnsi="宋体" w:cs="宋体"/>
                <w:bCs/>
                <w:color w:val="auto"/>
                <w:szCs w:val="21"/>
                <w:highlight w:val="none"/>
                <w:shd w:val="clear" w:color="auto"/>
              </w:rPr>
              <w:t>微信公众号等预约途径（有院方协调第三方自助机厂商与微信公众号厂商接口实现）</w:t>
            </w:r>
          </w:p>
          <w:p w14:paraId="1DFFD658">
            <w:pPr>
              <w:numPr>
                <w:ilvl w:val="0"/>
                <w:numId w:val="12"/>
              </w:numPr>
              <w:shd w:val="clear"/>
              <w:tabs>
                <w:tab w:val="left" w:pos="525"/>
                <w:tab w:val="left" w:pos="630"/>
              </w:tabs>
              <w:spacing w:line="360" w:lineRule="auto"/>
              <w:rPr>
                <w:rFonts w:ascii="宋体" w:hAnsi="宋体" w:cs="宋体"/>
                <w:bCs/>
                <w:color w:val="auto"/>
                <w:szCs w:val="21"/>
                <w:highlight w:val="none"/>
                <w:shd w:val="clear" w:color="auto" w:fill="FFFF00"/>
              </w:rPr>
            </w:pPr>
            <w:r>
              <w:rPr>
                <w:rFonts w:hint="eastAsia" w:ascii="宋体" w:hAnsi="宋体" w:cs="宋体"/>
                <w:bCs/>
                <w:color w:val="auto"/>
                <w:szCs w:val="21"/>
                <w:highlight w:val="none"/>
                <w:shd w:val="clear" w:color="auto"/>
              </w:rPr>
              <w:t>支持自动预约、手工预约，预约手术时间精确到分钟；</w:t>
            </w:r>
          </w:p>
          <w:p w14:paraId="7ACEB5D2">
            <w:pPr>
              <w:numPr>
                <w:ilvl w:val="0"/>
                <w:numId w:val="12"/>
              </w:numPr>
              <w:shd w:val="clear"/>
              <w:tabs>
                <w:tab w:val="left" w:pos="525"/>
                <w:tab w:val="left" w:pos="630"/>
              </w:tabs>
              <w:spacing w:line="360" w:lineRule="auto"/>
              <w:rPr>
                <w:rFonts w:ascii="宋体" w:hAnsi="宋体" w:cs="宋体"/>
                <w:bCs/>
                <w:color w:val="auto"/>
                <w:szCs w:val="21"/>
                <w:highlight w:val="none"/>
                <w:shd w:val="clear" w:color="auto" w:fill="FFFF00"/>
              </w:rPr>
            </w:pPr>
            <w:r>
              <w:rPr>
                <w:rFonts w:hint="eastAsia" w:ascii="宋体" w:hAnsi="宋体" w:cs="宋体"/>
                <w:bCs/>
                <w:color w:val="auto"/>
                <w:szCs w:val="21"/>
                <w:highlight w:val="none"/>
                <w:shd w:val="clear" w:color="auto"/>
              </w:rPr>
              <w:t>提供门诊手术视图，可预览所有手术室的手术已安排情况，供手术护士安排手术时参考。</w:t>
            </w:r>
          </w:p>
        </w:tc>
      </w:tr>
      <w:tr w14:paraId="18B54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2820FBCB">
            <w:pPr>
              <w:rPr>
                <w:rFonts w:ascii="宋体" w:hAnsi="宋体" w:cs="宋体"/>
                <w:color w:val="auto"/>
                <w:szCs w:val="21"/>
                <w:highlight w:val="none"/>
              </w:rPr>
            </w:pPr>
          </w:p>
        </w:tc>
        <w:tc>
          <w:tcPr>
            <w:tcW w:w="1559" w:type="dxa"/>
            <w:vAlign w:val="center"/>
          </w:tcPr>
          <w:p w14:paraId="146869B9">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门诊预约通知</w:t>
            </w:r>
          </w:p>
        </w:tc>
        <w:tc>
          <w:tcPr>
            <w:tcW w:w="11083" w:type="dxa"/>
            <w:shd w:val="clear" w:color="auto" w:fill="auto"/>
            <w:vAlign w:val="center"/>
          </w:tcPr>
          <w:p w14:paraId="04ACA2EC">
            <w:pPr>
              <w:numPr>
                <w:ilvl w:val="0"/>
                <w:numId w:val="12"/>
              </w:numPr>
              <w:tabs>
                <w:tab w:val="left" w:pos="525"/>
                <w:tab w:val="left" w:pos="630"/>
              </w:tabs>
              <w:spacing w:line="360" w:lineRule="auto"/>
              <w:rPr>
                <w:rFonts w:ascii="宋体" w:hAnsi="宋体" w:cs="宋体"/>
                <w:bCs/>
                <w:color w:val="auto"/>
                <w:szCs w:val="21"/>
                <w:highlight w:val="none"/>
                <w:shd w:val="clear" w:color="auto" w:fill="FFFF00"/>
              </w:rPr>
            </w:pPr>
            <w:r>
              <w:rPr>
                <w:rFonts w:hint="eastAsia" w:ascii="宋体" w:hAnsi="宋体" w:cs="宋体"/>
                <w:bCs/>
                <w:color w:val="auto"/>
                <w:szCs w:val="21"/>
                <w:highlight w:val="none"/>
                <w:shd w:val="clear" w:color="auto"/>
              </w:rPr>
              <w:t>支持手术预约通知短信自动发送，默认在预约完成时发送</w:t>
            </w:r>
          </w:p>
          <w:p w14:paraId="6DF2DA80">
            <w:pPr>
              <w:numPr>
                <w:ilvl w:val="0"/>
                <w:numId w:val="12"/>
              </w:numPr>
              <w:tabs>
                <w:tab w:val="left" w:pos="525"/>
                <w:tab w:val="left" w:pos="630"/>
              </w:tabs>
              <w:spacing w:line="360" w:lineRule="auto"/>
              <w:rPr>
                <w:rFonts w:ascii="宋体" w:hAnsi="宋体" w:cs="宋体"/>
                <w:bCs/>
                <w:color w:val="auto"/>
                <w:szCs w:val="21"/>
                <w:highlight w:val="none"/>
                <w:shd w:val="clear" w:color="auto" w:fill="FFFF00"/>
              </w:rPr>
            </w:pPr>
            <w:r>
              <w:rPr>
                <w:rFonts w:hint="eastAsia" w:ascii="宋体" w:hAnsi="宋体" w:cs="宋体"/>
                <w:bCs/>
                <w:color w:val="auto"/>
                <w:szCs w:val="21"/>
                <w:highlight w:val="none"/>
                <w:shd w:val="clear" w:color="auto"/>
              </w:rPr>
              <w:t>提供手术预约通知集中管理，对未通知患者进行短信批量通知和电话通知，并与消息系统无缝衔接，可自动识别患者回复信息。</w:t>
            </w:r>
          </w:p>
        </w:tc>
      </w:tr>
      <w:tr w14:paraId="12ED2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7D29DABA">
            <w:pPr>
              <w:rPr>
                <w:rFonts w:ascii="宋体" w:hAnsi="宋体" w:cs="宋体"/>
                <w:color w:val="auto"/>
                <w:szCs w:val="21"/>
                <w:highlight w:val="none"/>
              </w:rPr>
            </w:pPr>
          </w:p>
        </w:tc>
        <w:tc>
          <w:tcPr>
            <w:tcW w:w="1559" w:type="dxa"/>
            <w:vAlign w:val="center"/>
          </w:tcPr>
          <w:p w14:paraId="49B9064F">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住院手术复核</w:t>
            </w:r>
          </w:p>
        </w:tc>
        <w:tc>
          <w:tcPr>
            <w:tcW w:w="11083" w:type="dxa"/>
            <w:vAlign w:val="center"/>
          </w:tcPr>
          <w:p w14:paraId="5A33DE8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支持病区护士复核住院医生提交的手术医嘱，也可退回手术医嘱给医生。</w:t>
            </w:r>
          </w:p>
        </w:tc>
      </w:tr>
      <w:tr w14:paraId="2B861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2ED0293A">
            <w:pPr>
              <w:rPr>
                <w:rFonts w:ascii="宋体" w:hAnsi="宋体" w:cs="宋体"/>
                <w:color w:val="auto"/>
                <w:szCs w:val="21"/>
                <w:highlight w:val="none"/>
              </w:rPr>
            </w:pPr>
          </w:p>
        </w:tc>
        <w:tc>
          <w:tcPr>
            <w:tcW w:w="1559" w:type="dxa"/>
            <w:vAlign w:val="center"/>
          </w:tcPr>
          <w:p w14:paraId="02CA644D">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手术安排</w:t>
            </w:r>
          </w:p>
        </w:tc>
        <w:tc>
          <w:tcPr>
            <w:tcW w:w="11083" w:type="dxa"/>
            <w:vAlign w:val="center"/>
          </w:tcPr>
          <w:p w14:paraId="2976835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对于门诊手术，支持对手术的手术时间、手术台进行安排；</w:t>
            </w:r>
          </w:p>
          <w:p w14:paraId="429A52C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支持急诊手术可跳过手术申请环节，直接进行手术安排；</w:t>
            </w:r>
          </w:p>
          <w:p w14:paraId="3565FAB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对于住院手术，支持查看待安排手术患者列表；支持对未安排的手术进行安排；</w:t>
            </w:r>
          </w:p>
          <w:p w14:paraId="24507D0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支持快速安排，无须必填项校验；支持手术室退回手术；</w:t>
            </w:r>
          </w:p>
          <w:p w14:paraId="3ED925A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提供手术安排变动通知，当患者手术安排信息与其手术预约信息不一致时需进行提醒。</w:t>
            </w:r>
          </w:p>
        </w:tc>
      </w:tr>
      <w:tr w14:paraId="694F5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52F8D5B8">
            <w:pPr>
              <w:rPr>
                <w:rFonts w:ascii="宋体" w:hAnsi="宋体" w:cs="宋体"/>
                <w:color w:val="auto"/>
                <w:szCs w:val="21"/>
                <w:highlight w:val="none"/>
              </w:rPr>
            </w:pPr>
          </w:p>
        </w:tc>
        <w:tc>
          <w:tcPr>
            <w:tcW w:w="1559" w:type="dxa"/>
            <w:vAlign w:val="center"/>
          </w:tcPr>
          <w:p w14:paraId="2F2BD793">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手术登记</w:t>
            </w:r>
          </w:p>
        </w:tc>
        <w:tc>
          <w:tcPr>
            <w:tcW w:w="11083" w:type="dxa"/>
            <w:vAlign w:val="center"/>
          </w:tcPr>
          <w:p w14:paraId="3FF9F32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支持通过扫申请单条码，刷医保卡/就诊卡/身份证，或者手工输入病历号、申请单号等方式进行报到登记；</w:t>
            </w:r>
          </w:p>
          <w:p w14:paraId="72F2D7D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支持报到登记时护士可查看患者术前检查、检验报告，术中药品并打印手术知情同意书。</w:t>
            </w:r>
          </w:p>
        </w:tc>
      </w:tr>
      <w:tr w14:paraId="4F963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2327B047">
            <w:pPr>
              <w:rPr>
                <w:rFonts w:ascii="宋体" w:hAnsi="宋体" w:cs="宋体"/>
                <w:color w:val="auto"/>
                <w:szCs w:val="21"/>
                <w:highlight w:val="none"/>
              </w:rPr>
            </w:pPr>
          </w:p>
        </w:tc>
        <w:tc>
          <w:tcPr>
            <w:tcW w:w="1559" w:type="dxa"/>
            <w:vAlign w:val="center"/>
          </w:tcPr>
          <w:p w14:paraId="44A263AB">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手术调配</w:t>
            </w:r>
          </w:p>
        </w:tc>
        <w:tc>
          <w:tcPr>
            <w:tcW w:w="11083" w:type="dxa"/>
            <w:vAlign w:val="center"/>
          </w:tcPr>
          <w:p w14:paraId="24D662B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提供手术调配功能，将病人从当前手术室调入到其它手术室。</w:t>
            </w:r>
          </w:p>
        </w:tc>
      </w:tr>
      <w:tr w14:paraId="37C10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50E044CC">
            <w:pPr>
              <w:rPr>
                <w:rFonts w:ascii="宋体" w:hAnsi="宋体" w:cs="宋体"/>
                <w:color w:val="auto"/>
                <w:szCs w:val="21"/>
                <w:highlight w:val="none"/>
              </w:rPr>
            </w:pPr>
          </w:p>
        </w:tc>
        <w:tc>
          <w:tcPr>
            <w:tcW w:w="1559" w:type="dxa"/>
            <w:vAlign w:val="center"/>
          </w:tcPr>
          <w:p w14:paraId="46BC19E1">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手术费用</w:t>
            </w:r>
          </w:p>
        </w:tc>
        <w:tc>
          <w:tcPr>
            <w:tcW w:w="11083" w:type="dxa"/>
            <w:vAlign w:val="center"/>
          </w:tcPr>
          <w:p w14:paraId="3939A96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对于门诊手术，支持手术护士补录手术费用，支持通过费用模板录入手术费用，支持手术护士补录费用可在手术室/麻醉室直接进行诊间结算，也可由患者自行到门诊收费处进行缴费；</w:t>
            </w:r>
          </w:p>
          <w:p w14:paraId="7425888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对于住院手术，支持手术室补录手术费用，支持手工录入手术费用，或调入手术费用常用组套录入手术费用；</w:t>
            </w:r>
          </w:p>
          <w:p w14:paraId="5EF352E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支持退费申请。</w:t>
            </w:r>
          </w:p>
        </w:tc>
      </w:tr>
      <w:tr w14:paraId="4EF03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02CDB16C">
            <w:pPr>
              <w:rPr>
                <w:rFonts w:ascii="宋体" w:hAnsi="宋体" w:cs="宋体"/>
                <w:color w:val="auto"/>
                <w:szCs w:val="21"/>
                <w:highlight w:val="none"/>
              </w:rPr>
            </w:pPr>
          </w:p>
        </w:tc>
        <w:tc>
          <w:tcPr>
            <w:tcW w:w="1559" w:type="dxa"/>
            <w:vAlign w:val="center"/>
          </w:tcPr>
          <w:p w14:paraId="281C345C">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手术医嘱</w:t>
            </w:r>
          </w:p>
        </w:tc>
        <w:tc>
          <w:tcPr>
            <w:tcW w:w="11083" w:type="dxa"/>
            <w:vAlign w:val="center"/>
          </w:tcPr>
          <w:p w14:paraId="5D1162C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支持门诊手术护士手工补录门诊的药品医嘱，或通过调入手术医嘱模板录入手术药品医嘱；</w:t>
            </w:r>
          </w:p>
          <w:p w14:paraId="7F071CF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支持住院手术/麻醉医生通过手术管理角色录入术中医嘱（含输血医嘱）；支持手术室护士通过代开医生功能代开术中医嘱；支持科室术中医嘱模板，支持个人医嘱临床执行。</w:t>
            </w:r>
          </w:p>
        </w:tc>
      </w:tr>
      <w:tr w14:paraId="174F4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71AEA1AB">
            <w:pPr>
              <w:rPr>
                <w:rFonts w:ascii="宋体" w:hAnsi="宋体" w:cs="宋体"/>
                <w:color w:val="auto"/>
                <w:szCs w:val="21"/>
                <w:highlight w:val="none"/>
              </w:rPr>
            </w:pPr>
          </w:p>
        </w:tc>
        <w:tc>
          <w:tcPr>
            <w:tcW w:w="1559" w:type="dxa"/>
            <w:vAlign w:val="center"/>
          </w:tcPr>
          <w:p w14:paraId="537D0AD1">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手术管理</w:t>
            </w:r>
          </w:p>
        </w:tc>
        <w:tc>
          <w:tcPr>
            <w:tcW w:w="11083" w:type="dxa"/>
            <w:vAlign w:val="center"/>
          </w:tcPr>
          <w:p w14:paraId="7F14CAC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支持手术患者集中管理，根据手术未安排、手术已安排、手术已完成条件检索手术病人列表，并根据每种类型病人的业务权限进行操作；</w:t>
            </w:r>
          </w:p>
          <w:p w14:paraId="5BB3AF0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包含手术未安排患者列表、手术已安排患者列表、手术已完成患者列表、手术登记、手术开始、手术结束、手术医生书写电子病历、查看患者报告、术中过敏信息录入、取消安排、药品发送药房、药品发送撤回、退药申请、导出各状态下患者列表、打印各状态下患者列表。</w:t>
            </w:r>
          </w:p>
        </w:tc>
      </w:tr>
      <w:tr w14:paraId="4E7E0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56FB980F">
            <w:pPr>
              <w:rPr>
                <w:rFonts w:ascii="宋体" w:hAnsi="宋体" w:cs="宋体"/>
                <w:color w:val="auto"/>
                <w:szCs w:val="21"/>
                <w:highlight w:val="none"/>
              </w:rPr>
            </w:pPr>
          </w:p>
        </w:tc>
        <w:tc>
          <w:tcPr>
            <w:tcW w:w="1559" w:type="dxa"/>
            <w:vAlign w:val="center"/>
          </w:tcPr>
          <w:p w14:paraId="0D0554BD">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手术未安排列表</w:t>
            </w:r>
          </w:p>
        </w:tc>
        <w:tc>
          <w:tcPr>
            <w:tcW w:w="11083" w:type="dxa"/>
            <w:vAlign w:val="center"/>
          </w:tcPr>
          <w:p w14:paraId="20908F9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按申请时间、医生期望手术时间、就诊科室、手术时限类型、以及检索定位的方式查询本科室所有待安排的手术，查看申请信息，补充修改手术信息，进行手术排期、调配、退回，提供有权限控制的代开手术申请操作，临时手术开单无需切换到医生站。</w:t>
            </w:r>
          </w:p>
          <w:p w14:paraId="64E208F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提供查看电子病历、费用账卡、患者信息、医嘱信息、患者报告等功能。</w:t>
            </w:r>
          </w:p>
        </w:tc>
      </w:tr>
      <w:tr w14:paraId="7524D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54872516">
            <w:pPr>
              <w:rPr>
                <w:rFonts w:ascii="宋体" w:hAnsi="宋体" w:cs="宋体"/>
                <w:color w:val="auto"/>
                <w:szCs w:val="21"/>
                <w:highlight w:val="none"/>
              </w:rPr>
            </w:pPr>
          </w:p>
        </w:tc>
        <w:tc>
          <w:tcPr>
            <w:tcW w:w="1559" w:type="dxa"/>
            <w:vAlign w:val="center"/>
          </w:tcPr>
          <w:p w14:paraId="5FA69435">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手术已安排列表</w:t>
            </w:r>
          </w:p>
        </w:tc>
        <w:tc>
          <w:tcPr>
            <w:tcW w:w="11083" w:type="dxa"/>
            <w:vAlign w:val="center"/>
          </w:tcPr>
          <w:p w14:paraId="14909F9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支持查询已安排的手术记录，可对手术进行安排信息修改、手术登记、手术开始、手术完成，或者取消安排等操作</w:t>
            </w:r>
          </w:p>
          <w:p w14:paraId="0B46C0F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可在手术操作过程中随时由医生、护士（代录）开立术中麻醉用药，或补充术中病理、术中检验检查等医技医嘱，由手术室人员主导操作术中部分医嘱的复核、发送和执行记费，避免医嘱经病区流转。</w:t>
            </w:r>
          </w:p>
          <w:p w14:paraId="34649EA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支持术后手术室、麻醉室、复苏室等部门分别录入计费、登记不可收费材料、登记术中设备使用情况，互不干预影响；</w:t>
            </w:r>
          </w:p>
          <w:p w14:paraId="1327B3A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提供查看电子病历、费用账卡、患者信息、医嘱信息、患者报告等功能。</w:t>
            </w:r>
          </w:p>
        </w:tc>
      </w:tr>
      <w:tr w14:paraId="352EC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22778DA4">
            <w:pPr>
              <w:rPr>
                <w:rFonts w:ascii="宋体" w:hAnsi="宋体" w:cs="宋体"/>
                <w:color w:val="auto"/>
                <w:szCs w:val="21"/>
                <w:highlight w:val="none"/>
              </w:rPr>
            </w:pPr>
          </w:p>
        </w:tc>
        <w:tc>
          <w:tcPr>
            <w:tcW w:w="1559" w:type="dxa"/>
            <w:vAlign w:val="center"/>
          </w:tcPr>
          <w:p w14:paraId="5F81A3B8">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手术已完成列表</w:t>
            </w:r>
          </w:p>
        </w:tc>
        <w:tc>
          <w:tcPr>
            <w:tcW w:w="11083" w:type="dxa"/>
            <w:vAlign w:val="center"/>
          </w:tcPr>
          <w:p w14:paraId="0B72AD3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支持快速查询或者精准查询本科室（手术或麻醉）参与完成的手术申请记录详情，可对需要补退费的手术申请操作取消完成；</w:t>
            </w:r>
          </w:p>
          <w:p w14:paraId="496B51D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提供查看患者电子病历、患者信息、费用账卡、手术费用、手术申请单等信息。</w:t>
            </w:r>
          </w:p>
        </w:tc>
      </w:tr>
      <w:tr w14:paraId="46216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5F63EFC5">
            <w:pPr>
              <w:rPr>
                <w:rFonts w:ascii="宋体" w:hAnsi="宋体" w:cs="宋体"/>
                <w:color w:val="auto"/>
                <w:szCs w:val="21"/>
                <w:highlight w:val="none"/>
              </w:rPr>
            </w:pPr>
          </w:p>
        </w:tc>
        <w:tc>
          <w:tcPr>
            <w:tcW w:w="1559" w:type="dxa"/>
            <w:vAlign w:val="center"/>
          </w:tcPr>
          <w:p w14:paraId="17F2316F">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麻醉已安排列表</w:t>
            </w:r>
          </w:p>
        </w:tc>
        <w:tc>
          <w:tcPr>
            <w:tcW w:w="11083" w:type="dxa"/>
            <w:vAlign w:val="center"/>
          </w:tcPr>
          <w:p w14:paraId="415F332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支持麻醉室独立查看已安排的且需要麻醉的手术记录，完成麻醉术前评估，录入术前、术中麻醉医嘱，可由麻醉室小药房独立进行药品管理；同时支持麻醉科独立调整申请单的麻醉医师安排信息。</w:t>
            </w:r>
          </w:p>
          <w:p w14:paraId="7C3987F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提供查看患者电子病历、患者信息、患者报告等。</w:t>
            </w:r>
          </w:p>
        </w:tc>
      </w:tr>
      <w:tr w14:paraId="3FF56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0A2C5DE3">
            <w:pPr>
              <w:rPr>
                <w:rFonts w:ascii="宋体" w:hAnsi="宋体" w:cs="宋体"/>
                <w:color w:val="auto"/>
                <w:szCs w:val="21"/>
                <w:highlight w:val="none"/>
              </w:rPr>
            </w:pPr>
          </w:p>
        </w:tc>
        <w:tc>
          <w:tcPr>
            <w:tcW w:w="1559" w:type="dxa"/>
            <w:vAlign w:val="center"/>
          </w:tcPr>
          <w:p w14:paraId="631A795F">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手术查询</w:t>
            </w:r>
          </w:p>
        </w:tc>
        <w:tc>
          <w:tcPr>
            <w:tcW w:w="11083" w:type="dxa"/>
            <w:vAlign w:val="center"/>
          </w:tcPr>
          <w:p w14:paraId="09AF1C4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对于门诊手术，支持按病历号，手机号，姓名等多种方式查询门诊手术信息；提供手术统计，麻醉统计，手术费用统计，术后统计等多种统计报表，并支持按病人科室、手术医生、手术护士等统计手术报表；</w:t>
            </w:r>
          </w:p>
          <w:p w14:paraId="1DDCF02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对于住院手术，支持按病历号、住院号码，床号，姓名等多种方式查询手术信息。提供手术统计，麻醉统计，术后统计等多种统计报表，并支持按科室、医生、护士等统计手术报表。支持医生工作量查询，手术室工作量查询，手术申请查询，手术费用查询。</w:t>
            </w:r>
          </w:p>
        </w:tc>
      </w:tr>
      <w:tr w14:paraId="1D37E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4403922F">
            <w:pPr>
              <w:rPr>
                <w:rFonts w:ascii="宋体" w:hAnsi="宋体" w:cs="宋体"/>
                <w:color w:val="auto"/>
                <w:szCs w:val="21"/>
                <w:highlight w:val="none"/>
              </w:rPr>
            </w:pPr>
          </w:p>
        </w:tc>
        <w:tc>
          <w:tcPr>
            <w:tcW w:w="1559" w:type="dxa"/>
            <w:vAlign w:val="center"/>
          </w:tcPr>
          <w:p w14:paraId="580BEA91">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手术药品发药</w:t>
            </w:r>
          </w:p>
        </w:tc>
        <w:tc>
          <w:tcPr>
            <w:tcW w:w="11083" w:type="dxa"/>
            <w:vAlign w:val="center"/>
          </w:tcPr>
          <w:p w14:paraId="5C32A02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支持实现开立后的一键发送药房。也支持分步操作医嘱复核、药品发送。</w:t>
            </w:r>
          </w:p>
        </w:tc>
      </w:tr>
      <w:tr w14:paraId="2F17C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04A38A6A">
            <w:pPr>
              <w:rPr>
                <w:rFonts w:ascii="宋体" w:hAnsi="宋体" w:cs="宋体"/>
                <w:color w:val="auto"/>
                <w:szCs w:val="21"/>
                <w:highlight w:val="none"/>
              </w:rPr>
            </w:pPr>
          </w:p>
        </w:tc>
        <w:tc>
          <w:tcPr>
            <w:tcW w:w="1559" w:type="dxa"/>
            <w:vAlign w:val="center"/>
          </w:tcPr>
          <w:p w14:paraId="1101B657">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手术医嘱执行</w:t>
            </w:r>
          </w:p>
        </w:tc>
        <w:tc>
          <w:tcPr>
            <w:tcW w:w="11083" w:type="dxa"/>
            <w:vAlign w:val="center"/>
          </w:tcPr>
          <w:p w14:paraId="09BCD31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支持护士术中医嘱执行操作；</w:t>
            </w:r>
          </w:p>
          <w:p w14:paraId="2BF9F42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支持执行后不可退费。</w:t>
            </w:r>
          </w:p>
        </w:tc>
      </w:tr>
      <w:tr w14:paraId="2D822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3F6F6551">
            <w:pPr>
              <w:rPr>
                <w:rFonts w:ascii="宋体" w:hAnsi="宋体" w:cs="宋体"/>
                <w:color w:val="auto"/>
                <w:szCs w:val="21"/>
                <w:highlight w:val="none"/>
              </w:rPr>
            </w:pPr>
          </w:p>
        </w:tc>
        <w:tc>
          <w:tcPr>
            <w:tcW w:w="1559" w:type="dxa"/>
            <w:vAlign w:val="center"/>
          </w:tcPr>
          <w:p w14:paraId="2F8E995C">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手术费用模板</w:t>
            </w:r>
          </w:p>
        </w:tc>
        <w:tc>
          <w:tcPr>
            <w:tcW w:w="11083" w:type="dxa"/>
            <w:vAlign w:val="center"/>
          </w:tcPr>
          <w:p w14:paraId="0C9E3C7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支持各手术参与科室（手术室、麻醉室、复苏室等）按手术项维护个人级、科室级、全院级费用模板，在术后费用录入时一键导入。</w:t>
            </w:r>
          </w:p>
        </w:tc>
      </w:tr>
      <w:tr w14:paraId="540FE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75FC5A5A">
            <w:pPr>
              <w:rPr>
                <w:rFonts w:ascii="宋体" w:hAnsi="宋体" w:cs="宋体"/>
                <w:color w:val="auto"/>
                <w:szCs w:val="21"/>
                <w:highlight w:val="none"/>
              </w:rPr>
            </w:pPr>
          </w:p>
        </w:tc>
        <w:tc>
          <w:tcPr>
            <w:tcW w:w="1559" w:type="dxa"/>
            <w:vAlign w:val="center"/>
          </w:tcPr>
          <w:p w14:paraId="6D233843">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住院手术申请单管理</w:t>
            </w:r>
          </w:p>
        </w:tc>
        <w:tc>
          <w:tcPr>
            <w:tcW w:w="11083" w:type="dxa"/>
            <w:vAlign w:val="center"/>
          </w:tcPr>
          <w:p w14:paraId="7B324F0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支持查询搜索手术申请单并集中管理，进行作废、查看等。</w:t>
            </w:r>
          </w:p>
        </w:tc>
      </w:tr>
    </w:tbl>
    <w:p w14:paraId="0058DF63">
      <w:pPr>
        <w:rPr>
          <w:color w:val="auto"/>
          <w:highlight w:val="none"/>
        </w:rPr>
      </w:pPr>
    </w:p>
    <w:p w14:paraId="6C7E955B">
      <w:pPr>
        <w:pStyle w:val="4"/>
        <w:numPr>
          <w:ilvl w:val="2"/>
          <w:numId w:val="9"/>
        </w:numPr>
        <w:spacing w:before="0" w:after="0" w:line="360" w:lineRule="auto"/>
        <w:ind w:left="567" w:hanging="567"/>
        <w:rPr>
          <w:color w:val="auto"/>
          <w:sz w:val="24"/>
          <w:highlight w:val="none"/>
        </w:rPr>
      </w:pPr>
      <w:r>
        <w:rPr>
          <w:rFonts w:hint="eastAsia" w:eastAsia="宋体"/>
          <w:color w:val="auto"/>
          <w:kern w:val="2"/>
          <w:sz w:val="24"/>
          <w:szCs w:val="24"/>
          <w:highlight w:val="none"/>
        </w:rPr>
        <w:t>器械供应系统建设需求</w:t>
      </w:r>
    </w:p>
    <w:tbl>
      <w:tblPr>
        <w:tblStyle w:val="4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5"/>
        <w:gridCol w:w="1559"/>
        <w:gridCol w:w="11199"/>
      </w:tblGrid>
      <w:tr w14:paraId="34A05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1235" w:type="dxa"/>
            <w:vAlign w:val="center"/>
          </w:tcPr>
          <w:p w14:paraId="4F34AD55">
            <w:pPr>
              <w:jc w:val="center"/>
              <w:rPr>
                <w:rFonts w:ascii="宋体" w:hAnsi="宋体" w:cs="宋体"/>
                <w:color w:val="auto"/>
                <w:szCs w:val="21"/>
                <w:highlight w:val="none"/>
              </w:rPr>
            </w:pPr>
            <w:r>
              <w:rPr>
                <w:rFonts w:hint="eastAsia" w:ascii="宋体" w:hAnsi="宋体" w:cs="宋体"/>
                <w:color w:val="auto"/>
                <w:kern w:val="0"/>
                <w:szCs w:val="21"/>
                <w:highlight w:val="none"/>
              </w:rPr>
              <w:t>需求名称</w:t>
            </w:r>
          </w:p>
        </w:tc>
        <w:tc>
          <w:tcPr>
            <w:tcW w:w="1559" w:type="dxa"/>
            <w:vAlign w:val="center"/>
          </w:tcPr>
          <w:p w14:paraId="32EA860C">
            <w:pPr>
              <w:jc w:val="center"/>
              <w:rPr>
                <w:rFonts w:ascii="Times New Roman" w:hAnsi="Times New Roman"/>
                <w:color w:val="auto"/>
                <w:highlight w:val="none"/>
              </w:rPr>
            </w:pPr>
            <w:r>
              <w:rPr>
                <w:rFonts w:hint="eastAsia" w:ascii="宋体" w:hAnsi="宋体" w:cs="宋体"/>
                <w:color w:val="auto"/>
                <w:kern w:val="0"/>
                <w:szCs w:val="21"/>
                <w:highlight w:val="none"/>
              </w:rPr>
              <w:t>序号</w:t>
            </w:r>
          </w:p>
        </w:tc>
        <w:tc>
          <w:tcPr>
            <w:tcW w:w="11199" w:type="dxa"/>
            <w:vAlign w:val="center"/>
          </w:tcPr>
          <w:p w14:paraId="6A2550F9">
            <w:pPr>
              <w:tabs>
                <w:tab w:val="left" w:pos="525"/>
                <w:tab w:val="left" w:pos="630"/>
              </w:tabs>
              <w:spacing w:line="360" w:lineRule="auto"/>
              <w:jc w:val="center"/>
              <w:rPr>
                <w:rFonts w:ascii="宋体" w:hAnsi="宋体" w:cs="宋体"/>
                <w:bCs/>
                <w:color w:val="auto"/>
                <w:szCs w:val="21"/>
                <w:highlight w:val="none"/>
              </w:rPr>
            </w:pPr>
            <w:r>
              <w:rPr>
                <w:rFonts w:hint="eastAsia" w:ascii="宋体" w:hAnsi="宋体" w:cs="宋体"/>
                <w:color w:val="auto"/>
                <w:kern w:val="0"/>
                <w:szCs w:val="21"/>
                <w:highlight w:val="none"/>
              </w:rPr>
              <w:t>需求描述</w:t>
            </w:r>
          </w:p>
        </w:tc>
      </w:tr>
      <w:tr w14:paraId="13E46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restart"/>
            <w:vAlign w:val="center"/>
          </w:tcPr>
          <w:p w14:paraId="0786869F">
            <w:pPr>
              <w:numPr>
                <w:ilvl w:val="0"/>
                <w:numId w:val="11"/>
              </w:numPr>
              <w:rPr>
                <w:rFonts w:ascii="宋体" w:hAnsi="宋体" w:cs="宋体"/>
                <w:color w:val="auto"/>
                <w:szCs w:val="21"/>
                <w:highlight w:val="none"/>
              </w:rPr>
            </w:pPr>
            <w:r>
              <w:rPr>
                <w:rFonts w:hint="eastAsia" w:ascii="宋体" w:hAnsi="宋体" w:cs="宋体"/>
                <w:color w:val="auto"/>
                <w:szCs w:val="21"/>
                <w:highlight w:val="none"/>
              </w:rPr>
              <w:t>器械供应系统（消供）</w:t>
            </w:r>
          </w:p>
        </w:tc>
        <w:tc>
          <w:tcPr>
            <w:tcW w:w="1559" w:type="dxa"/>
            <w:vAlign w:val="center"/>
          </w:tcPr>
          <w:p w14:paraId="4EE73FE0">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登录首页</w:t>
            </w:r>
          </w:p>
        </w:tc>
        <w:tc>
          <w:tcPr>
            <w:tcW w:w="11199" w:type="dxa"/>
            <w:vAlign w:val="center"/>
          </w:tcPr>
          <w:p w14:paraId="188A647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汇总显示当天供应室治疗包洗消情况，机器当前运转情况，7天内洗消变化，清洗和灭菌的成功失败几率。</w:t>
            </w:r>
          </w:p>
          <w:p w14:paraId="103D1F3F">
            <w:pPr>
              <w:numPr>
                <w:ilvl w:val="0"/>
                <w:numId w:val="12"/>
              </w:numPr>
              <w:tabs>
                <w:tab w:val="left" w:pos="525"/>
                <w:tab w:val="left" w:pos="630"/>
              </w:tabs>
              <w:spacing w:line="360" w:lineRule="auto"/>
              <w:rPr>
                <w:rFonts w:ascii="宋体" w:hAnsi="宋体" w:cs="宋体"/>
                <w:bCs/>
                <w:color w:val="auto"/>
                <w:szCs w:val="21"/>
                <w:highlight w:val="none"/>
              </w:rPr>
            </w:pPr>
          </w:p>
        </w:tc>
      </w:tr>
      <w:tr w14:paraId="71D5D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3CD9C6E6">
            <w:pPr>
              <w:rPr>
                <w:rFonts w:ascii="宋体" w:hAnsi="宋体" w:cs="宋体"/>
                <w:color w:val="auto"/>
                <w:szCs w:val="21"/>
                <w:highlight w:val="none"/>
              </w:rPr>
            </w:pPr>
          </w:p>
        </w:tc>
        <w:tc>
          <w:tcPr>
            <w:tcW w:w="1559" w:type="dxa"/>
            <w:vAlign w:val="center"/>
          </w:tcPr>
          <w:p w14:paraId="09B02732">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一次性物品申领</w:t>
            </w:r>
          </w:p>
        </w:tc>
        <w:tc>
          <w:tcPr>
            <w:tcW w:w="11199" w:type="dxa"/>
            <w:vAlign w:val="center"/>
          </w:tcPr>
          <w:p w14:paraId="45DC612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供应室追溯管理系统兼具二级库房管理功能，临床科室向供应室进行对一次性物品（如注射器，输液器，手套，试管，纱布等）的申领。</w:t>
            </w:r>
          </w:p>
          <w:p w14:paraId="3287497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支持库存不足无法申领；</w:t>
            </w:r>
          </w:p>
          <w:p w14:paraId="0B1B2F1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支持定时限制请领；</w:t>
            </w:r>
          </w:p>
          <w:p w14:paraId="2CE9F6F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支持无法重复请领；</w:t>
            </w:r>
          </w:p>
          <w:p w14:paraId="26B466B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支持按最小包装数整数请领。</w:t>
            </w:r>
          </w:p>
        </w:tc>
      </w:tr>
      <w:tr w14:paraId="63E3B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33AE5D88">
            <w:pPr>
              <w:rPr>
                <w:rFonts w:ascii="宋体" w:hAnsi="宋体" w:cs="宋体"/>
                <w:color w:val="auto"/>
                <w:szCs w:val="21"/>
                <w:highlight w:val="none"/>
              </w:rPr>
            </w:pPr>
          </w:p>
        </w:tc>
        <w:tc>
          <w:tcPr>
            <w:tcW w:w="1559" w:type="dxa"/>
            <w:vAlign w:val="center"/>
          </w:tcPr>
          <w:p w14:paraId="4346EA52">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非一次性物品申领</w:t>
            </w:r>
          </w:p>
        </w:tc>
        <w:tc>
          <w:tcPr>
            <w:tcW w:w="11199" w:type="dxa"/>
            <w:vAlign w:val="center"/>
          </w:tcPr>
          <w:p w14:paraId="1298234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临床科室向供应室进行非一次性物品（即无菌包，器械包）的消毒兑换申领。</w:t>
            </w:r>
          </w:p>
          <w:p w14:paraId="718F472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支持无法重复申领；</w:t>
            </w:r>
          </w:p>
          <w:p w14:paraId="20AA22A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只可申领本科室物品等功能；</w:t>
            </w:r>
          </w:p>
          <w:p w14:paraId="3A01099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支持定时限制请领；</w:t>
            </w:r>
          </w:p>
          <w:p w14:paraId="54DA797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支持无法重复请领；</w:t>
            </w:r>
          </w:p>
          <w:p w14:paraId="5C71C0B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支持公用物品按科室基数请领；</w:t>
            </w:r>
          </w:p>
          <w:p w14:paraId="12FBE09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支持查看图片和清单。</w:t>
            </w:r>
          </w:p>
        </w:tc>
      </w:tr>
      <w:tr w14:paraId="39C05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30FFF8C2">
            <w:pPr>
              <w:rPr>
                <w:rFonts w:ascii="宋体" w:hAnsi="宋体" w:cs="宋体"/>
                <w:color w:val="auto"/>
                <w:szCs w:val="21"/>
                <w:highlight w:val="none"/>
              </w:rPr>
            </w:pPr>
          </w:p>
        </w:tc>
        <w:tc>
          <w:tcPr>
            <w:tcW w:w="1559" w:type="dxa"/>
            <w:vAlign w:val="center"/>
          </w:tcPr>
          <w:p w14:paraId="66F709DC">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非一次性物品借用申请</w:t>
            </w:r>
          </w:p>
        </w:tc>
        <w:tc>
          <w:tcPr>
            <w:tcW w:w="11199" w:type="dxa"/>
            <w:vAlign w:val="center"/>
          </w:tcPr>
          <w:p w14:paraId="2E421F8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临床科室向供应室临时借用无菌包的申领功能，支持不能重复借用功能</w:t>
            </w:r>
          </w:p>
        </w:tc>
      </w:tr>
      <w:tr w14:paraId="4B88C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2331C830">
            <w:pPr>
              <w:rPr>
                <w:rFonts w:ascii="宋体" w:hAnsi="宋体" w:cs="宋体"/>
                <w:color w:val="auto"/>
                <w:szCs w:val="21"/>
                <w:highlight w:val="none"/>
              </w:rPr>
            </w:pPr>
          </w:p>
        </w:tc>
        <w:tc>
          <w:tcPr>
            <w:tcW w:w="1559" w:type="dxa"/>
            <w:vAlign w:val="center"/>
          </w:tcPr>
          <w:p w14:paraId="47D9AD22">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非一次性物品领用申请</w:t>
            </w:r>
          </w:p>
        </w:tc>
        <w:tc>
          <w:tcPr>
            <w:tcW w:w="11199" w:type="dxa"/>
            <w:vAlign w:val="center"/>
          </w:tcPr>
          <w:p w14:paraId="04D3C71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临床科室向供应室申领常备包功能，同时费用自动分解到各个器械用于新增计费。</w:t>
            </w:r>
          </w:p>
        </w:tc>
      </w:tr>
      <w:tr w14:paraId="7008F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5A90835C">
            <w:pPr>
              <w:rPr>
                <w:rFonts w:ascii="宋体" w:hAnsi="宋体" w:cs="宋体"/>
                <w:color w:val="auto"/>
                <w:szCs w:val="21"/>
                <w:highlight w:val="none"/>
              </w:rPr>
            </w:pPr>
          </w:p>
        </w:tc>
        <w:tc>
          <w:tcPr>
            <w:tcW w:w="1559" w:type="dxa"/>
            <w:vAlign w:val="center"/>
          </w:tcPr>
          <w:p w14:paraId="750C4067">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外来器械登记</w:t>
            </w:r>
          </w:p>
        </w:tc>
        <w:tc>
          <w:tcPr>
            <w:tcW w:w="11199" w:type="dxa"/>
            <w:vAlign w:val="center"/>
          </w:tcPr>
          <w:p w14:paraId="720FA36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支持器械清单；</w:t>
            </w:r>
          </w:p>
          <w:p w14:paraId="5CFCAD8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支持手术病人记录；</w:t>
            </w:r>
          </w:p>
          <w:p w14:paraId="6499679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支持定制交接表单内容；</w:t>
            </w:r>
          </w:p>
          <w:p w14:paraId="6C28B08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支持与物资系统对接直接获取信息（需要物资系统支持）。</w:t>
            </w:r>
          </w:p>
        </w:tc>
      </w:tr>
      <w:tr w14:paraId="6778C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221C05BC">
            <w:pPr>
              <w:rPr>
                <w:rFonts w:ascii="宋体" w:hAnsi="宋体" w:cs="宋体"/>
                <w:color w:val="auto"/>
                <w:szCs w:val="21"/>
                <w:highlight w:val="none"/>
              </w:rPr>
            </w:pPr>
          </w:p>
        </w:tc>
        <w:tc>
          <w:tcPr>
            <w:tcW w:w="1559" w:type="dxa"/>
            <w:vAlign w:val="center"/>
          </w:tcPr>
          <w:p w14:paraId="2814BCEA">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单据查询</w:t>
            </w:r>
          </w:p>
        </w:tc>
        <w:tc>
          <w:tcPr>
            <w:tcW w:w="11199" w:type="dxa"/>
            <w:vAlign w:val="center"/>
          </w:tcPr>
          <w:p w14:paraId="3EA018A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对前面所有单据进行查询和修改。</w:t>
            </w:r>
          </w:p>
          <w:p w14:paraId="1EDE88A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支持多种查询方式，可从单据号，科室信息，时间等多个方式查询各类单据；</w:t>
            </w:r>
          </w:p>
          <w:p w14:paraId="5A2C205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可查看单据当前状态，允许修改供应室未处理的单据；</w:t>
            </w:r>
          </w:p>
          <w:p w14:paraId="69E0941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可查看单据详细信息，包括申领数量，回收数量，和发放数量等流程贯穿的信息；</w:t>
            </w:r>
          </w:p>
          <w:p w14:paraId="679F5B2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支持拍照录入签字确认单。</w:t>
            </w:r>
          </w:p>
        </w:tc>
      </w:tr>
      <w:tr w14:paraId="1A6CA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1F1B3531">
            <w:pPr>
              <w:rPr>
                <w:rFonts w:ascii="宋体" w:hAnsi="宋体" w:cs="宋体"/>
                <w:color w:val="auto"/>
                <w:szCs w:val="21"/>
                <w:highlight w:val="none"/>
              </w:rPr>
            </w:pPr>
          </w:p>
        </w:tc>
        <w:tc>
          <w:tcPr>
            <w:tcW w:w="1559" w:type="dxa"/>
            <w:vAlign w:val="center"/>
          </w:tcPr>
          <w:p w14:paraId="71D46C31">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集中回收登记</w:t>
            </w:r>
          </w:p>
        </w:tc>
        <w:tc>
          <w:tcPr>
            <w:tcW w:w="11199" w:type="dxa"/>
            <w:vAlign w:val="center"/>
          </w:tcPr>
          <w:p w14:paraId="7D479A5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供应室按批次回收，由临床科室发起申请单，供应室根据申请单与实物进行对应完成物品回收登记。</w:t>
            </w:r>
          </w:p>
          <w:p w14:paraId="3EFA110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可查看清单和图片；支持批量回收。</w:t>
            </w:r>
          </w:p>
        </w:tc>
      </w:tr>
      <w:tr w14:paraId="22C7C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556068B9">
            <w:pPr>
              <w:rPr>
                <w:rFonts w:ascii="宋体" w:hAnsi="宋体" w:cs="宋体"/>
                <w:color w:val="auto"/>
                <w:szCs w:val="21"/>
                <w:highlight w:val="none"/>
              </w:rPr>
            </w:pPr>
          </w:p>
        </w:tc>
        <w:tc>
          <w:tcPr>
            <w:tcW w:w="1559" w:type="dxa"/>
            <w:vAlign w:val="center"/>
          </w:tcPr>
          <w:p w14:paraId="6E9E76C4">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手术器械扫描回收</w:t>
            </w:r>
          </w:p>
        </w:tc>
        <w:tc>
          <w:tcPr>
            <w:tcW w:w="11199" w:type="dxa"/>
            <w:vAlign w:val="center"/>
          </w:tcPr>
          <w:p w14:paraId="503F3D2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手术器械依据WS 310-2016规范，需要做到闭环管理，必须具备回收条码并进行扫码回收。支持条码丢失情况下无条码回收。</w:t>
            </w:r>
          </w:p>
          <w:p w14:paraId="251AF0D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支持显示清单和图片；</w:t>
            </w:r>
          </w:p>
          <w:p w14:paraId="15964DD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支持扫描语音提示；</w:t>
            </w:r>
          </w:p>
          <w:p w14:paraId="4235BE0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支持外来器械回收（外来器械手术完毕后必须回收清洗处理）。</w:t>
            </w:r>
          </w:p>
        </w:tc>
      </w:tr>
      <w:tr w14:paraId="7E78D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647D6591">
            <w:pPr>
              <w:rPr>
                <w:rFonts w:ascii="宋体" w:hAnsi="宋体" w:cs="宋体"/>
                <w:color w:val="auto"/>
                <w:szCs w:val="21"/>
                <w:highlight w:val="none"/>
              </w:rPr>
            </w:pPr>
          </w:p>
        </w:tc>
        <w:tc>
          <w:tcPr>
            <w:tcW w:w="1559" w:type="dxa"/>
            <w:vAlign w:val="center"/>
          </w:tcPr>
          <w:p w14:paraId="39AE46F0">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清洗</w:t>
            </w:r>
          </w:p>
        </w:tc>
        <w:tc>
          <w:tcPr>
            <w:tcW w:w="11199" w:type="dxa"/>
            <w:vAlign w:val="center"/>
          </w:tcPr>
          <w:p w14:paraId="6DE4482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器械清洗功能，全界面化显示，同时应对机器清洗和手工清洗，支持自动结束；</w:t>
            </w:r>
          </w:p>
          <w:p w14:paraId="69B1716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颜色区分清洗状态；</w:t>
            </w:r>
          </w:p>
          <w:p w14:paraId="5759AB0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小于预设时间无法结束；</w:t>
            </w:r>
          </w:p>
          <w:p w14:paraId="2603277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支持清洗失败重新清洗；</w:t>
            </w:r>
          </w:p>
          <w:p w14:paraId="620E376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支持清洗机实时参数显示；</w:t>
            </w:r>
          </w:p>
          <w:p w14:paraId="5671551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支持外来器械二次清洗；</w:t>
            </w:r>
          </w:p>
          <w:p w14:paraId="54D972C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支持界面和扫描流程；</w:t>
            </w:r>
          </w:p>
          <w:p w14:paraId="3514EA9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支持手术器械包内标识扫描清洗。</w:t>
            </w:r>
          </w:p>
        </w:tc>
      </w:tr>
      <w:tr w14:paraId="29491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7C49B517">
            <w:pPr>
              <w:rPr>
                <w:rFonts w:ascii="宋体" w:hAnsi="宋体" w:cs="宋体"/>
                <w:color w:val="auto"/>
                <w:szCs w:val="21"/>
                <w:highlight w:val="none"/>
              </w:rPr>
            </w:pPr>
          </w:p>
        </w:tc>
        <w:tc>
          <w:tcPr>
            <w:tcW w:w="1559" w:type="dxa"/>
            <w:vAlign w:val="center"/>
          </w:tcPr>
          <w:p w14:paraId="32B53475">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打包</w:t>
            </w:r>
          </w:p>
        </w:tc>
        <w:tc>
          <w:tcPr>
            <w:tcW w:w="11199" w:type="dxa"/>
            <w:vAlign w:val="center"/>
          </w:tcPr>
          <w:p w14:paraId="6CAA452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支持敷料按申请单汇总直接打包；</w:t>
            </w:r>
          </w:p>
          <w:p w14:paraId="5B2B71B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支持监测包标签打印；</w:t>
            </w:r>
          </w:p>
          <w:p w14:paraId="2CB621D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可临时修改包装方式，更换有效期；</w:t>
            </w:r>
          </w:p>
          <w:p w14:paraId="623E17D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可显示器械包图片和器械清单；</w:t>
            </w:r>
          </w:p>
          <w:p w14:paraId="0324826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打印标签支持多联，可同时打印包内器械清单；</w:t>
            </w:r>
          </w:p>
          <w:p w14:paraId="2AAC266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支持扫描逐个打包，也支持批量打包。</w:t>
            </w:r>
          </w:p>
        </w:tc>
      </w:tr>
      <w:tr w14:paraId="6A3D9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736EE8AB">
            <w:pPr>
              <w:rPr>
                <w:rFonts w:ascii="宋体" w:hAnsi="宋体" w:cs="宋体"/>
                <w:color w:val="auto"/>
                <w:szCs w:val="21"/>
                <w:highlight w:val="none"/>
              </w:rPr>
            </w:pPr>
          </w:p>
        </w:tc>
        <w:tc>
          <w:tcPr>
            <w:tcW w:w="1559" w:type="dxa"/>
            <w:vAlign w:val="center"/>
          </w:tcPr>
          <w:p w14:paraId="00E0DD9D">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灭菌</w:t>
            </w:r>
          </w:p>
        </w:tc>
        <w:tc>
          <w:tcPr>
            <w:tcW w:w="11199" w:type="dxa"/>
            <w:vAlign w:val="center"/>
          </w:tcPr>
          <w:p w14:paraId="4DA27C5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支持各种高低温灭菌器灭菌流程，物品灭菌类型限制；</w:t>
            </w:r>
          </w:p>
          <w:p w14:paraId="6D8816A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支持BD监测控制，支持生物监测控制，外来器械必须放入生物监测包，7天必须完成一次生物监测；</w:t>
            </w:r>
          </w:p>
          <w:p w14:paraId="18DADBB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可自动结束和限制最小结束时间；</w:t>
            </w:r>
          </w:p>
          <w:p w14:paraId="1F2ADE0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支持预加载提前扫描；</w:t>
            </w:r>
          </w:p>
          <w:p w14:paraId="4A95A73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支持灭菌器运行物理参数显示并实时刷新。</w:t>
            </w:r>
          </w:p>
        </w:tc>
      </w:tr>
      <w:tr w14:paraId="0E9BC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578C9912">
            <w:pPr>
              <w:rPr>
                <w:rFonts w:ascii="宋体" w:hAnsi="宋体" w:cs="宋体"/>
                <w:color w:val="auto"/>
                <w:szCs w:val="21"/>
                <w:highlight w:val="none"/>
              </w:rPr>
            </w:pPr>
          </w:p>
        </w:tc>
        <w:tc>
          <w:tcPr>
            <w:tcW w:w="1559" w:type="dxa"/>
            <w:vAlign w:val="center"/>
          </w:tcPr>
          <w:p w14:paraId="47D936F5">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一次性物品申领发放</w:t>
            </w:r>
          </w:p>
        </w:tc>
        <w:tc>
          <w:tcPr>
            <w:tcW w:w="11199" w:type="dxa"/>
            <w:vAlign w:val="center"/>
          </w:tcPr>
          <w:p w14:paraId="731E32A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支持部分发放；</w:t>
            </w:r>
          </w:p>
          <w:p w14:paraId="688A7F8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默认批次靠前的批次发放，也可选择批次发放；</w:t>
            </w:r>
          </w:p>
          <w:p w14:paraId="244BE4F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库存不足或过期不允许发放。</w:t>
            </w:r>
          </w:p>
        </w:tc>
      </w:tr>
      <w:tr w14:paraId="5A532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0822C6C1">
            <w:pPr>
              <w:rPr>
                <w:rFonts w:ascii="宋体" w:hAnsi="宋体" w:cs="宋体"/>
                <w:color w:val="auto"/>
                <w:szCs w:val="21"/>
                <w:highlight w:val="none"/>
              </w:rPr>
            </w:pPr>
          </w:p>
        </w:tc>
        <w:tc>
          <w:tcPr>
            <w:tcW w:w="1559" w:type="dxa"/>
            <w:vAlign w:val="center"/>
          </w:tcPr>
          <w:p w14:paraId="392F9768">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非一次性物品发放</w:t>
            </w:r>
          </w:p>
        </w:tc>
        <w:tc>
          <w:tcPr>
            <w:tcW w:w="11199" w:type="dxa"/>
            <w:vAlign w:val="center"/>
          </w:tcPr>
          <w:p w14:paraId="71D03A9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严格按照质控管理，未灭菌提示，数量过去提示，物品不符合提示，过期提示，均不允许发放；</w:t>
            </w:r>
          </w:p>
          <w:p w14:paraId="5C64631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成功失败以及包名语音提示；</w:t>
            </w:r>
          </w:p>
          <w:p w14:paraId="123B021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支持不同类型单据汇总扫描发放；</w:t>
            </w:r>
          </w:p>
          <w:p w14:paraId="7CCCDD4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高水平消毒物品打包后直接入库扫描发放。</w:t>
            </w:r>
          </w:p>
        </w:tc>
      </w:tr>
      <w:tr w14:paraId="18EB1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4393E04D">
            <w:pPr>
              <w:rPr>
                <w:rFonts w:ascii="宋体" w:hAnsi="宋体" w:cs="宋体"/>
                <w:color w:val="auto"/>
                <w:szCs w:val="21"/>
                <w:highlight w:val="none"/>
              </w:rPr>
            </w:pPr>
          </w:p>
        </w:tc>
        <w:tc>
          <w:tcPr>
            <w:tcW w:w="1559" w:type="dxa"/>
            <w:vAlign w:val="center"/>
          </w:tcPr>
          <w:p w14:paraId="1B10C098">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手术器械发放</w:t>
            </w:r>
          </w:p>
        </w:tc>
        <w:tc>
          <w:tcPr>
            <w:tcW w:w="11199" w:type="dxa"/>
            <w:vAlign w:val="center"/>
          </w:tcPr>
          <w:p w14:paraId="6CB939C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手术器械闭环发放，有单独的发放模块，支持多个手术室。</w:t>
            </w:r>
          </w:p>
        </w:tc>
      </w:tr>
      <w:tr w14:paraId="44BB8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0D1A1619">
            <w:pPr>
              <w:rPr>
                <w:rFonts w:ascii="宋体" w:hAnsi="宋体" w:cs="宋体"/>
                <w:color w:val="auto"/>
                <w:szCs w:val="21"/>
                <w:highlight w:val="none"/>
              </w:rPr>
            </w:pPr>
          </w:p>
        </w:tc>
        <w:tc>
          <w:tcPr>
            <w:tcW w:w="1559" w:type="dxa"/>
            <w:vAlign w:val="center"/>
          </w:tcPr>
          <w:p w14:paraId="3CCE6E63">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外来器械送回</w:t>
            </w:r>
          </w:p>
        </w:tc>
        <w:tc>
          <w:tcPr>
            <w:tcW w:w="11199" w:type="dxa"/>
            <w:vAlign w:val="center"/>
          </w:tcPr>
          <w:p w14:paraId="566D935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外来器械经过回收清洗后由器械师拿走时进行相关登记。</w:t>
            </w:r>
          </w:p>
        </w:tc>
      </w:tr>
      <w:tr w14:paraId="0B092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685D1083">
            <w:pPr>
              <w:rPr>
                <w:rFonts w:ascii="宋体" w:hAnsi="宋体" w:cs="宋体"/>
                <w:color w:val="auto"/>
                <w:szCs w:val="21"/>
                <w:highlight w:val="none"/>
              </w:rPr>
            </w:pPr>
          </w:p>
        </w:tc>
        <w:tc>
          <w:tcPr>
            <w:tcW w:w="1559" w:type="dxa"/>
            <w:vAlign w:val="center"/>
          </w:tcPr>
          <w:p w14:paraId="554F56BE">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查询/追溯</w:t>
            </w:r>
          </w:p>
        </w:tc>
        <w:tc>
          <w:tcPr>
            <w:tcW w:w="11199" w:type="dxa"/>
            <w:vAlign w:val="center"/>
          </w:tcPr>
          <w:p w14:paraId="5FBF991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支持追溯同批次洗消物品；</w:t>
            </w:r>
          </w:p>
          <w:p w14:paraId="546171B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支持清洗失败后的重新清洗的记录；</w:t>
            </w:r>
          </w:p>
          <w:p w14:paraId="3954F35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外来器械支持二次清洗和退回信息查看。</w:t>
            </w:r>
          </w:p>
        </w:tc>
      </w:tr>
      <w:tr w14:paraId="5F7F1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7A3F08B6">
            <w:pPr>
              <w:rPr>
                <w:rFonts w:ascii="宋体" w:hAnsi="宋体" w:cs="宋体"/>
                <w:color w:val="auto"/>
                <w:szCs w:val="21"/>
                <w:highlight w:val="none"/>
              </w:rPr>
            </w:pPr>
          </w:p>
        </w:tc>
        <w:tc>
          <w:tcPr>
            <w:tcW w:w="1559" w:type="dxa"/>
            <w:vAlign w:val="center"/>
          </w:tcPr>
          <w:p w14:paraId="5F3E1D4F">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无菌库房管理</w:t>
            </w:r>
          </w:p>
        </w:tc>
        <w:tc>
          <w:tcPr>
            <w:tcW w:w="11199" w:type="dxa"/>
            <w:vAlign w:val="center"/>
          </w:tcPr>
          <w:p w14:paraId="6CF74ED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支持一次性，非一次性物品过期提醒，库存不足提醒等提醒功能；</w:t>
            </w:r>
          </w:p>
          <w:p w14:paraId="6697901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支持一次性物品的盘库统计等功能；</w:t>
            </w:r>
          </w:p>
        </w:tc>
      </w:tr>
      <w:tr w14:paraId="705B9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2961E4A0">
            <w:pPr>
              <w:rPr>
                <w:rFonts w:ascii="宋体" w:hAnsi="宋体" w:cs="宋体"/>
                <w:color w:val="auto"/>
                <w:szCs w:val="21"/>
                <w:highlight w:val="none"/>
              </w:rPr>
            </w:pPr>
          </w:p>
        </w:tc>
        <w:tc>
          <w:tcPr>
            <w:tcW w:w="1559" w:type="dxa"/>
            <w:vAlign w:val="center"/>
          </w:tcPr>
          <w:p w14:paraId="2B8C8EF1">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物资库房管理</w:t>
            </w:r>
          </w:p>
        </w:tc>
        <w:tc>
          <w:tcPr>
            <w:tcW w:w="11199" w:type="dxa"/>
            <w:vAlign w:val="center"/>
          </w:tcPr>
          <w:p w14:paraId="4A546B9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一次性物品入出库的登记；</w:t>
            </w:r>
          </w:p>
          <w:p w14:paraId="23B0A15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一次性物品库存量的查询；</w:t>
            </w:r>
          </w:p>
          <w:p w14:paraId="4A29D7B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入出库记录查询；</w:t>
            </w:r>
          </w:p>
          <w:p w14:paraId="4244D31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冲账记录查询；</w:t>
            </w:r>
          </w:p>
          <w:p w14:paraId="65638DE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消耗物品（自耗材料）库存出入库以及库存管理功能；</w:t>
            </w:r>
          </w:p>
          <w:p w14:paraId="37486BC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支持与医院总库存进行数据接口交互。</w:t>
            </w:r>
          </w:p>
        </w:tc>
      </w:tr>
      <w:tr w14:paraId="33073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03E3FE4B">
            <w:pPr>
              <w:rPr>
                <w:rFonts w:ascii="宋体" w:hAnsi="宋体" w:cs="宋体"/>
                <w:color w:val="auto"/>
                <w:szCs w:val="21"/>
                <w:highlight w:val="none"/>
              </w:rPr>
            </w:pPr>
          </w:p>
        </w:tc>
        <w:tc>
          <w:tcPr>
            <w:tcW w:w="1559" w:type="dxa"/>
            <w:vAlign w:val="center"/>
          </w:tcPr>
          <w:p w14:paraId="5C9F3991">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手术物品管理</w:t>
            </w:r>
          </w:p>
        </w:tc>
        <w:tc>
          <w:tcPr>
            <w:tcW w:w="11199" w:type="dxa"/>
            <w:vAlign w:val="center"/>
          </w:tcPr>
          <w:p w14:paraId="637063F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手术器械包的库存情况，接收手术器械以及出库管理；</w:t>
            </w:r>
          </w:p>
          <w:p w14:paraId="69B7D0F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手术物品使用模块，可直接调取手术列表，提供给手术室针对需手术的病人进行扫描治疗包登记使用，同时通过病人ID号从HIS中得到具体详细的病人信息与治疗包进行相关联；</w:t>
            </w:r>
          </w:p>
          <w:p w14:paraId="4BD8BCE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手术包状态查询，可查询手术器械包当前位置，并可查看包内唯一编号；</w:t>
            </w:r>
          </w:p>
          <w:p w14:paraId="54D462C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手术器械包永久追溯查询，可查询有包内器械编号的手术包每一次的使用情况和洗消流程；</w:t>
            </w:r>
          </w:p>
          <w:p w14:paraId="72DD68B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消耗器械（高值耗材）管理，复用多次的高值耗材（如超声刀）次数管理，标签次数记录。到达使用次数限制后不再可以回收清洗。</w:t>
            </w:r>
          </w:p>
        </w:tc>
      </w:tr>
      <w:tr w14:paraId="0CA5D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36B66CBC">
            <w:pPr>
              <w:rPr>
                <w:rFonts w:ascii="宋体" w:hAnsi="宋体" w:cs="宋体"/>
                <w:color w:val="auto"/>
                <w:szCs w:val="21"/>
                <w:highlight w:val="none"/>
              </w:rPr>
            </w:pPr>
          </w:p>
        </w:tc>
        <w:tc>
          <w:tcPr>
            <w:tcW w:w="1559" w:type="dxa"/>
            <w:vAlign w:val="center"/>
          </w:tcPr>
          <w:p w14:paraId="0F7642F7">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科室物品管理</w:t>
            </w:r>
          </w:p>
        </w:tc>
        <w:tc>
          <w:tcPr>
            <w:tcW w:w="11199" w:type="dxa"/>
            <w:vAlign w:val="center"/>
          </w:tcPr>
          <w:p w14:paraId="46F3A8F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临床科室的无菌物品管理功能，主要包括科室物品接收，科室物品使用，科室物品库存管理等功能。临床科室可管理自己的无菌物品，同时对病人使用进行记录。</w:t>
            </w:r>
          </w:p>
        </w:tc>
      </w:tr>
      <w:tr w14:paraId="3660C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52485083">
            <w:pPr>
              <w:rPr>
                <w:rFonts w:ascii="宋体" w:hAnsi="宋体" w:cs="宋体"/>
                <w:color w:val="auto"/>
                <w:szCs w:val="21"/>
                <w:highlight w:val="none"/>
              </w:rPr>
            </w:pPr>
          </w:p>
        </w:tc>
        <w:tc>
          <w:tcPr>
            <w:tcW w:w="1559" w:type="dxa"/>
            <w:vAlign w:val="center"/>
          </w:tcPr>
          <w:p w14:paraId="3B45A355">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统计</w:t>
            </w:r>
          </w:p>
        </w:tc>
        <w:tc>
          <w:tcPr>
            <w:tcW w:w="11199" w:type="dxa"/>
            <w:vAlign w:val="center"/>
          </w:tcPr>
          <w:p w14:paraId="7997C36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实现按单科室或者全部科室、时间段进行查询、打印。实现以EXCEL的方式进行报表导出功能；</w:t>
            </w:r>
          </w:p>
          <w:p w14:paraId="4E2F2F5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报表信息可包含：物品编号、物品名称、物品规格、单位、物品单价、数量、总金额、申请科室、科室申请人、申请时间等相关信息；点击详细可查看明细出库记录等信息；</w:t>
            </w:r>
          </w:p>
          <w:p w14:paraId="0338D56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报表的样式规格可根据医院的实际情况进行个性化定制（可实现与财务要求的统一标准数据字段进行定制导出，便与财务进行数据的导入）。</w:t>
            </w:r>
          </w:p>
        </w:tc>
      </w:tr>
      <w:tr w14:paraId="1B847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39543100">
            <w:pPr>
              <w:rPr>
                <w:rFonts w:ascii="宋体" w:hAnsi="宋体" w:cs="宋体"/>
                <w:color w:val="auto"/>
                <w:szCs w:val="21"/>
                <w:highlight w:val="none"/>
              </w:rPr>
            </w:pPr>
          </w:p>
        </w:tc>
        <w:tc>
          <w:tcPr>
            <w:tcW w:w="1559" w:type="dxa"/>
            <w:vAlign w:val="center"/>
          </w:tcPr>
          <w:p w14:paraId="6DE88E43">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提醒</w:t>
            </w:r>
          </w:p>
        </w:tc>
        <w:tc>
          <w:tcPr>
            <w:tcW w:w="11199" w:type="dxa"/>
            <w:vAlign w:val="center"/>
          </w:tcPr>
          <w:p w14:paraId="0DA6823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自动提醒包括5种：无菌区科室物品过期提醒、无菌区手术物品过期提醒、手术室物品过期提醒、借单归还提醒、一次性物品过期提醒。</w:t>
            </w:r>
          </w:p>
          <w:p w14:paraId="47DD9AB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当设置了自动提醒功能后，如到达指定时间，且有提醒消息，系统会有自动提示。</w:t>
            </w:r>
          </w:p>
        </w:tc>
      </w:tr>
      <w:tr w14:paraId="23032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433DE7FA">
            <w:pPr>
              <w:rPr>
                <w:rFonts w:ascii="宋体" w:hAnsi="宋体" w:cs="宋体"/>
                <w:color w:val="auto"/>
                <w:szCs w:val="21"/>
                <w:highlight w:val="none"/>
              </w:rPr>
            </w:pPr>
          </w:p>
        </w:tc>
        <w:tc>
          <w:tcPr>
            <w:tcW w:w="1559" w:type="dxa"/>
            <w:vAlign w:val="center"/>
          </w:tcPr>
          <w:p w14:paraId="38F93524">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质量监测</w:t>
            </w:r>
          </w:p>
        </w:tc>
        <w:tc>
          <w:tcPr>
            <w:tcW w:w="11199" w:type="dxa"/>
            <w:vAlign w:val="center"/>
          </w:tcPr>
          <w:p w14:paraId="4B787F5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质量监测模块实现了对供应室内清洗消毒和灭菌质量监测记录的管理，对每种监测类型，系统都提供了登记、查询和打印功能。</w:t>
            </w:r>
          </w:p>
          <w:p w14:paraId="68B92D1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支持质控管理，报表分析。</w:t>
            </w:r>
          </w:p>
        </w:tc>
      </w:tr>
      <w:tr w14:paraId="52F77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4BC5D191">
            <w:pPr>
              <w:rPr>
                <w:rFonts w:ascii="宋体" w:hAnsi="宋体" w:cs="宋体"/>
                <w:color w:val="auto"/>
                <w:szCs w:val="21"/>
                <w:highlight w:val="none"/>
              </w:rPr>
            </w:pPr>
          </w:p>
        </w:tc>
        <w:tc>
          <w:tcPr>
            <w:tcW w:w="1559" w:type="dxa"/>
            <w:vAlign w:val="center"/>
          </w:tcPr>
          <w:p w14:paraId="7F058F99">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人员管理</w:t>
            </w:r>
          </w:p>
        </w:tc>
        <w:tc>
          <w:tcPr>
            <w:tcW w:w="11199" w:type="dxa"/>
            <w:vAlign w:val="center"/>
          </w:tcPr>
          <w:p w14:paraId="1362DE5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人员管理模块包括了人员资料的管理、人员排班、培训考核记录的登记和查询功能。</w:t>
            </w:r>
          </w:p>
        </w:tc>
      </w:tr>
      <w:tr w14:paraId="76AD9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7A548909">
            <w:pPr>
              <w:rPr>
                <w:rFonts w:ascii="宋体" w:hAnsi="宋体" w:cs="宋体"/>
                <w:color w:val="auto"/>
                <w:szCs w:val="21"/>
                <w:highlight w:val="none"/>
              </w:rPr>
            </w:pPr>
          </w:p>
        </w:tc>
        <w:tc>
          <w:tcPr>
            <w:tcW w:w="1559" w:type="dxa"/>
            <w:vAlign w:val="center"/>
          </w:tcPr>
          <w:p w14:paraId="181A249E">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基础字典管理和权限设置</w:t>
            </w:r>
          </w:p>
        </w:tc>
        <w:tc>
          <w:tcPr>
            <w:tcW w:w="11199" w:type="dxa"/>
            <w:vAlign w:val="center"/>
          </w:tcPr>
          <w:p w14:paraId="3DFB8F1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系统维护模块提供了基本信息的维护和系统设置功能。其中，维护部分指的是对数据库中的基本信息的查看和修改，只有管理员有权限。本地设置是指本机功能的配置，比如是否需要定期提醒功能，在何时提醒等。</w:t>
            </w:r>
          </w:p>
        </w:tc>
      </w:tr>
      <w:tr w14:paraId="23546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7CF1767A">
            <w:pPr>
              <w:rPr>
                <w:rFonts w:ascii="宋体" w:hAnsi="宋体" w:cs="宋体"/>
                <w:color w:val="auto"/>
                <w:szCs w:val="21"/>
                <w:highlight w:val="none"/>
              </w:rPr>
            </w:pPr>
          </w:p>
        </w:tc>
        <w:tc>
          <w:tcPr>
            <w:tcW w:w="1559" w:type="dxa"/>
            <w:vAlign w:val="center"/>
          </w:tcPr>
          <w:p w14:paraId="565B2B04">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人员工作量分析</w:t>
            </w:r>
          </w:p>
        </w:tc>
        <w:tc>
          <w:tcPr>
            <w:tcW w:w="11199" w:type="dxa"/>
            <w:vAlign w:val="center"/>
          </w:tcPr>
          <w:p w14:paraId="028E2CA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工作人员的各岗位工作量的情况汇总，支持记分模式。</w:t>
            </w:r>
          </w:p>
        </w:tc>
      </w:tr>
      <w:tr w14:paraId="3ED9A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78A8E246">
            <w:pPr>
              <w:rPr>
                <w:rFonts w:ascii="宋体" w:hAnsi="宋体" w:cs="宋体"/>
                <w:color w:val="auto"/>
                <w:szCs w:val="21"/>
                <w:highlight w:val="none"/>
              </w:rPr>
            </w:pPr>
          </w:p>
        </w:tc>
        <w:tc>
          <w:tcPr>
            <w:tcW w:w="1559" w:type="dxa"/>
            <w:vAlign w:val="center"/>
          </w:tcPr>
          <w:p w14:paraId="01FD8D72">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流程数据修改</w:t>
            </w:r>
          </w:p>
        </w:tc>
        <w:tc>
          <w:tcPr>
            <w:tcW w:w="11199" w:type="dxa"/>
            <w:vAlign w:val="center"/>
          </w:tcPr>
          <w:p w14:paraId="7728052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对系统操作失误导致的问题进行后台数据修改，只限管理员权限。并对修改记录进行保存。</w:t>
            </w:r>
          </w:p>
          <w:p w14:paraId="555BD3D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主要针对于清洗，灭菌，发放等扫描操作漏扫，多扫以及错误的开始结束时间。</w:t>
            </w:r>
          </w:p>
        </w:tc>
      </w:tr>
      <w:tr w14:paraId="1CCC9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3EEE8625">
            <w:pPr>
              <w:rPr>
                <w:rFonts w:ascii="宋体" w:hAnsi="宋体" w:cs="宋体"/>
                <w:color w:val="auto"/>
                <w:szCs w:val="21"/>
                <w:highlight w:val="none"/>
              </w:rPr>
            </w:pPr>
          </w:p>
        </w:tc>
        <w:tc>
          <w:tcPr>
            <w:tcW w:w="1559" w:type="dxa"/>
            <w:vAlign w:val="center"/>
          </w:tcPr>
          <w:p w14:paraId="5F9D0066">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设备数据采集</w:t>
            </w:r>
          </w:p>
        </w:tc>
        <w:tc>
          <w:tcPr>
            <w:tcW w:w="11199" w:type="dxa"/>
            <w:vAlign w:val="center"/>
          </w:tcPr>
          <w:p w14:paraId="2525236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获取清洗机，灭菌器的详细物理参数，已图标方式展示。支持市面上主流设备品牌，部分品牌（新华、洁定）可以不通过设备厂家协助完成数据的采集和数据的展示。</w:t>
            </w:r>
          </w:p>
        </w:tc>
      </w:tr>
      <w:tr w14:paraId="5DD22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7087E8E8">
            <w:pPr>
              <w:rPr>
                <w:rFonts w:ascii="宋体" w:hAnsi="宋体" w:cs="宋体"/>
                <w:color w:val="auto"/>
                <w:szCs w:val="21"/>
                <w:highlight w:val="none"/>
              </w:rPr>
            </w:pPr>
          </w:p>
        </w:tc>
        <w:tc>
          <w:tcPr>
            <w:tcW w:w="1559" w:type="dxa"/>
            <w:vAlign w:val="center"/>
          </w:tcPr>
          <w:p w14:paraId="28FF037E">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设备关联</w:t>
            </w:r>
          </w:p>
        </w:tc>
        <w:tc>
          <w:tcPr>
            <w:tcW w:w="11199" w:type="dxa"/>
            <w:vAlign w:val="center"/>
          </w:tcPr>
          <w:p w14:paraId="5A35D25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设备实时关联，系统自动获取设备运行状态，不用人为操作系统上的清洗、灭菌开始及结束操作，从而防止人员忘记操作系统导致清洗、灭菌系统中的记录时间与实际操作时间不一致，从而让追溯记录更真实。</w:t>
            </w:r>
          </w:p>
        </w:tc>
      </w:tr>
    </w:tbl>
    <w:p w14:paraId="619E2B94">
      <w:pPr>
        <w:rPr>
          <w:color w:val="auto"/>
          <w:highlight w:val="none"/>
        </w:rPr>
      </w:pPr>
    </w:p>
    <w:p w14:paraId="0BFABFDC">
      <w:pPr>
        <w:rPr>
          <w:color w:val="auto"/>
          <w:highlight w:val="none"/>
        </w:rPr>
      </w:pPr>
    </w:p>
    <w:p w14:paraId="2D9F0E66">
      <w:pPr>
        <w:pStyle w:val="4"/>
        <w:numPr>
          <w:ilvl w:val="2"/>
          <w:numId w:val="9"/>
        </w:numPr>
        <w:spacing w:before="0" w:after="0" w:line="360" w:lineRule="auto"/>
        <w:ind w:left="567" w:hanging="567"/>
        <w:rPr>
          <w:color w:val="auto"/>
          <w:sz w:val="24"/>
          <w:highlight w:val="none"/>
        </w:rPr>
      </w:pPr>
      <w:r>
        <w:rPr>
          <w:rFonts w:hint="eastAsia" w:eastAsia="宋体"/>
          <w:color w:val="auto"/>
          <w:kern w:val="2"/>
          <w:sz w:val="24"/>
          <w:szCs w:val="24"/>
          <w:highlight w:val="none"/>
        </w:rPr>
        <w:t>检验采集系统建设需求</w:t>
      </w:r>
    </w:p>
    <w:tbl>
      <w:tblPr>
        <w:tblStyle w:val="4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9"/>
        <w:gridCol w:w="1946"/>
        <w:gridCol w:w="48"/>
        <w:gridCol w:w="11179"/>
      </w:tblGrid>
      <w:tr w14:paraId="6DBA1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179" w:type="dxa"/>
            <w:vAlign w:val="center"/>
          </w:tcPr>
          <w:p w14:paraId="49F830BA">
            <w:pPr>
              <w:jc w:val="center"/>
              <w:rPr>
                <w:rFonts w:ascii="宋体" w:hAnsi="宋体" w:cs="宋体"/>
                <w:color w:val="auto"/>
                <w:szCs w:val="21"/>
                <w:highlight w:val="none"/>
              </w:rPr>
            </w:pPr>
            <w:r>
              <w:rPr>
                <w:rFonts w:hint="eastAsia" w:ascii="宋体" w:hAnsi="宋体" w:cs="宋体"/>
                <w:color w:val="auto"/>
                <w:kern w:val="0"/>
                <w:szCs w:val="21"/>
                <w:highlight w:val="none"/>
              </w:rPr>
              <w:t>需求名称</w:t>
            </w:r>
          </w:p>
        </w:tc>
        <w:tc>
          <w:tcPr>
            <w:tcW w:w="1946" w:type="dxa"/>
            <w:vAlign w:val="center"/>
          </w:tcPr>
          <w:p w14:paraId="517228F6">
            <w:pPr>
              <w:jc w:val="center"/>
              <w:rPr>
                <w:rFonts w:ascii="宋体" w:hAnsi="宋体"/>
                <w:color w:val="auto"/>
                <w:highlight w:val="none"/>
              </w:rPr>
            </w:pPr>
            <w:r>
              <w:rPr>
                <w:rFonts w:hint="eastAsia" w:ascii="宋体" w:hAnsi="宋体" w:cs="宋体"/>
                <w:color w:val="auto"/>
                <w:kern w:val="0"/>
                <w:szCs w:val="21"/>
                <w:highlight w:val="none"/>
              </w:rPr>
              <w:t>序号</w:t>
            </w:r>
          </w:p>
        </w:tc>
        <w:tc>
          <w:tcPr>
            <w:tcW w:w="11227" w:type="dxa"/>
            <w:gridSpan w:val="2"/>
            <w:vAlign w:val="center"/>
          </w:tcPr>
          <w:p w14:paraId="239A3398">
            <w:pPr>
              <w:jc w:val="center"/>
              <w:rPr>
                <w:rFonts w:ascii="宋体" w:hAnsi="宋体"/>
                <w:color w:val="auto"/>
                <w:highlight w:val="none"/>
              </w:rPr>
            </w:pPr>
            <w:r>
              <w:rPr>
                <w:rFonts w:hint="eastAsia" w:ascii="宋体" w:hAnsi="宋体" w:cs="宋体"/>
                <w:color w:val="auto"/>
                <w:kern w:val="0"/>
                <w:szCs w:val="21"/>
                <w:highlight w:val="none"/>
              </w:rPr>
              <w:t>需求描述</w:t>
            </w:r>
          </w:p>
        </w:tc>
      </w:tr>
      <w:tr w14:paraId="36739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79" w:type="dxa"/>
            <w:vMerge w:val="restart"/>
            <w:vAlign w:val="center"/>
          </w:tcPr>
          <w:p w14:paraId="17833170">
            <w:pPr>
              <w:numPr>
                <w:ilvl w:val="0"/>
                <w:numId w:val="11"/>
              </w:numPr>
              <w:rPr>
                <w:rFonts w:ascii="宋体" w:hAnsi="宋体" w:cs="宋体"/>
                <w:color w:val="auto"/>
                <w:szCs w:val="21"/>
                <w:highlight w:val="none"/>
              </w:rPr>
            </w:pPr>
            <w:r>
              <w:rPr>
                <w:rFonts w:hint="eastAsia" w:ascii="宋体" w:hAnsi="宋体" w:cs="宋体"/>
                <w:color w:val="auto"/>
                <w:szCs w:val="21"/>
                <w:highlight w:val="none"/>
              </w:rPr>
              <w:t>检验采集系统</w:t>
            </w:r>
          </w:p>
        </w:tc>
        <w:tc>
          <w:tcPr>
            <w:tcW w:w="13173" w:type="dxa"/>
            <w:gridSpan w:val="3"/>
            <w:vAlign w:val="center"/>
          </w:tcPr>
          <w:p w14:paraId="1F0C505C">
            <w:pPr>
              <w:numPr>
                <w:ilvl w:val="1"/>
                <w:numId w:val="11"/>
              </w:numPr>
              <w:ind w:left="0" w:firstLine="0"/>
              <w:rPr>
                <w:rFonts w:ascii="宋体" w:hAnsi="宋体" w:cs="宋体"/>
                <w:color w:val="auto"/>
                <w:kern w:val="0"/>
                <w:szCs w:val="21"/>
                <w:highlight w:val="none"/>
              </w:rPr>
            </w:pPr>
            <w:r>
              <w:rPr>
                <w:rFonts w:ascii="宋体" w:hAnsi="宋体"/>
                <w:color w:val="auto"/>
                <w:highlight w:val="none"/>
              </w:rPr>
              <w:t>检验电子开单对接</w:t>
            </w:r>
          </w:p>
        </w:tc>
      </w:tr>
      <w:tr w14:paraId="52125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79" w:type="dxa"/>
            <w:vMerge w:val="continue"/>
            <w:vAlign w:val="center"/>
          </w:tcPr>
          <w:p w14:paraId="0B3BB65C">
            <w:pPr>
              <w:numPr>
                <w:ilvl w:val="0"/>
                <w:numId w:val="11"/>
              </w:numPr>
              <w:rPr>
                <w:rFonts w:ascii="宋体" w:hAnsi="宋体" w:cs="宋体"/>
                <w:color w:val="auto"/>
                <w:szCs w:val="21"/>
                <w:highlight w:val="none"/>
              </w:rPr>
            </w:pPr>
          </w:p>
        </w:tc>
        <w:tc>
          <w:tcPr>
            <w:tcW w:w="1994" w:type="dxa"/>
            <w:gridSpan w:val="2"/>
            <w:vAlign w:val="center"/>
          </w:tcPr>
          <w:p w14:paraId="0CCF8CE4">
            <w:pPr>
              <w:numPr>
                <w:ilvl w:val="2"/>
                <w:numId w:val="11"/>
              </w:numPr>
              <w:ind w:left="0" w:firstLine="0"/>
              <w:rPr>
                <w:rFonts w:ascii="宋体" w:hAnsi="宋体"/>
                <w:color w:val="auto"/>
                <w:highlight w:val="none"/>
              </w:rPr>
            </w:pPr>
            <w:r>
              <w:rPr>
                <w:rFonts w:ascii="宋体" w:hAnsi="宋体"/>
                <w:color w:val="auto"/>
                <w:highlight w:val="none"/>
              </w:rPr>
              <w:t>检验电子开单对接</w:t>
            </w:r>
          </w:p>
        </w:tc>
        <w:tc>
          <w:tcPr>
            <w:tcW w:w="11179" w:type="dxa"/>
            <w:vAlign w:val="center"/>
          </w:tcPr>
          <w:p w14:paraId="115CB36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与检验开单系统无缝对接，支持申请单新增、撤销、状态更新。在医生给病人开完电子申请单后，医生可以直接在系统中查看该病人的电子申请单的执行情况和标本当前的状态（如：标本是否采集、标本是否送到检验科、标本的结果是否完成），并可以直接查看报告单的结果。</w:t>
            </w:r>
          </w:p>
          <w:p w14:paraId="2C5B9FE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提供开单项目分管规则设置，以及采集注意事项、采样容器设置，根据分管规则自动进行分管，支持返回给计费系统材料费、针头费、采血服务费采集相关费用。</w:t>
            </w:r>
          </w:p>
        </w:tc>
      </w:tr>
      <w:tr w14:paraId="7349A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79" w:type="dxa"/>
            <w:vMerge w:val="continue"/>
            <w:vAlign w:val="center"/>
          </w:tcPr>
          <w:p w14:paraId="2566FC79">
            <w:pPr>
              <w:numPr>
                <w:ilvl w:val="0"/>
                <w:numId w:val="11"/>
              </w:numPr>
              <w:rPr>
                <w:rFonts w:ascii="宋体" w:hAnsi="宋体" w:cs="宋体"/>
                <w:color w:val="auto"/>
                <w:szCs w:val="21"/>
                <w:highlight w:val="none"/>
              </w:rPr>
            </w:pPr>
          </w:p>
        </w:tc>
        <w:tc>
          <w:tcPr>
            <w:tcW w:w="13173" w:type="dxa"/>
            <w:gridSpan w:val="3"/>
            <w:vAlign w:val="center"/>
          </w:tcPr>
          <w:p w14:paraId="7AF0646D">
            <w:pPr>
              <w:numPr>
                <w:ilvl w:val="1"/>
                <w:numId w:val="11"/>
              </w:numPr>
              <w:ind w:left="0" w:firstLine="0"/>
              <w:rPr>
                <w:rFonts w:ascii="宋体" w:hAnsi="宋体" w:cs="宋体"/>
                <w:color w:val="auto"/>
                <w:kern w:val="0"/>
                <w:szCs w:val="21"/>
                <w:highlight w:val="none"/>
              </w:rPr>
            </w:pPr>
            <w:r>
              <w:rPr>
                <w:rFonts w:ascii="宋体" w:hAnsi="宋体"/>
                <w:color w:val="auto"/>
                <w:highlight w:val="none"/>
              </w:rPr>
              <w:t>门诊采血系统</w:t>
            </w:r>
          </w:p>
        </w:tc>
      </w:tr>
      <w:tr w14:paraId="2A975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79" w:type="dxa"/>
            <w:vMerge w:val="continue"/>
            <w:vAlign w:val="center"/>
          </w:tcPr>
          <w:p w14:paraId="6C518BCD">
            <w:pPr>
              <w:numPr>
                <w:ilvl w:val="0"/>
                <w:numId w:val="11"/>
              </w:numPr>
              <w:rPr>
                <w:rFonts w:ascii="宋体" w:hAnsi="宋体" w:cs="宋体"/>
                <w:color w:val="auto"/>
                <w:szCs w:val="21"/>
                <w:highlight w:val="none"/>
              </w:rPr>
            </w:pPr>
          </w:p>
        </w:tc>
        <w:tc>
          <w:tcPr>
            <w:tcW w:w="1994" w:type="dxa"/>
            <w:gridSpan w:val="2"/>
            <w:vAlign w:val="center"/>
          </w:tcPr>
          <w:p w14:paraId="0F6D22B3">
            <w:pPr>
              <w:numPr>
                <w:ilvl w:val="2"/>
                <w:numId w:val="11"/>
              </w:numPr>
              <w:ind w:left="0" w:firstLine="0"/>
              <w:rPr>
                <w:rFonts w:ascii="宋体" w:hAnsi="宋体"/>
                <w:color w:val="auto"/>
                <w:highlight w:val="none"/>
              </w:rPr>
            </w:pPr>
            <w:r>
              <w:rPr>
                <w:rFonts w:hint="eastAsia" w:ascii="宋体" w:hAnsi="宋体"/>
                <w:color w:val="auto"/>
                <w:highlight w:val="none"/>
              </w:rPr>
              <w:t>医嘱执行</w:t>
            </w:r>
          </w:p>
          <w:p w14:paraId="68D8DDCE">
            <w:pPr>
              <w:numPr>
                <w:ilvl w:val="2"/>
                <w:numId w:val="11"/>
              </w:numPr>
              <w:ind w:left="0" w:firstLine="0"/>
              <w:rPr>
                <w:rFonts w:ascii="宋体" w:hAnsi="宋体"/>
                <w:color w:val="auto"/>
                <w:highlight w:val="none"/>
              </w:rPr>
            </w:pPr>
          </w:p>
        </w:tc>
        <w:tc>
          <w:tcPr>
            <w:tcW w:w="11179" w:type="dxa"/>
            <w:vAlign w:val="center"/>
          </w:tcPr>
          <w:p w14:paraId="62C20B3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支持各类卡类型获取患者医嘱信息（如就诊卡、电子医保）。</w:t>
            </w:r>
          </w:p>
          <w:p w14:paraId="49342B1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支持对提交的医嘱按照病人、申请项目进行排序，避免同一个病人的相同项目同时执行生成条码，且给予提示。</w:t>
            </w:r>
          </w:p>
          <w:p w14:paraId="71661ED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与HIS无缝对接，医嘱执行后，修改申请医嘱状态为已执行，记录执行人及执行时间，更新医嘱状态。</w:t>
            </w:r>
          </w:p>
          <w:p w14:paraId="75B935B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支持同一个病人的急诊与平诊项目分开生成条码。</w:t>
            </w:r>
          </w:p>
          <w:p w14:paraId="5D4F1FD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执行生成条码时遵循开单项目维护中的分管规则，同一个病人规则完全相同的项目生成在同一张条码上，不同的则分开。</w:t>
            </w:r>
          </w:p>
          <w:p w14:paraId="3F869F3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支持晕针、特殊病人记录，再次就诊时以特殊图标进行展示和提醒。</w:t>
            </w:r>
          </w:p>
        </w:tc>
      </w:tr>
      <w:tr w14:paraId="36483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79" w:type="dxa"/>
            <w:vMerge w:val="continue"/>
            <w:vAlign w:val="center"/>
          </w:tcPr>
          <w:p w14:paraId="0C3836EE">
            <w:pPr>
              <w:numPr>
                <w:ilvl w:val="0"/>
                <w:numId w:val="11"/>
              </w:numPr>
              <w:rPr>
                <w:rFonts w:ascii="宋体" w:hAnsi="宋体" w:cs="宋体"/>
                <w:color w:val="auto"/>
                <w:szCs w:val="21"/>
                <w:highlight w:val="none"/>
              </w:rPr>
            </w:pPr>
          </w:p>
        </w:tc>
        <w:tc>
          <w:tcPr>
            <w:tcW w:w="1994" w:type="dxa"/>
            <w:gridSpan w:val="2"/>
            <w:vAlign w:val="center"/>
          </w:tcPr>
          <w:p w14:paraId="639FF21F">
            <w:pPr>
              <w:numPr>
                <w:ilvl w:val="2"/>
                <w:numId w:val="11"/>
              </w:numPr>
              <w:ind w:left="0" w:firstLine="0"/>
              <w:rPr>
                <w:rFonts w:ascii="宋体" w:hAnsi="宋体"/>
                <w:color w:val="auto"/>
                <w:highlight w:val="none"/>
              </w:rPr>
            </w:pPr>
            <w:r>
              <w:rPr>
                <w:rFonts w:hint="eastAsia" w:ascii="宋体" w:hAnsi="宋体"/>
                <w:color w:val="auto"/>
                <w:highlight w:val="none"/>
              </w:rPr>
              <w:t>条码打印</w:t>
            </w:r>
          </w:p>
        </w:tc>
        <w:tc>
          <w:tcPr>
            <w:tcW w:w="11179" w:type="dxa"/>
            <w:vAlign w:val="center"/>
          </w:tcPr>
          <w:p w14:paraId="0A1868C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条码标签可根据医院定制模版；</w:t>
            </w:r>
          </w:p>
          <w:p w14:paraId="65795CA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具备回执单管理功能，取单时间精确到分；</w:t>
            </w:r>
          </w:p>
          <w:p w14:paraId="7BE39CB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可根据不同院区设置各个项目取单时间、地点；</w:t>
            </w:r>
          </w:p>
          <w:p w14:paraId="6600584B">
            <w:pPr>
              <w:numPr>
                <w:ilvl w:val="0"/>
                <w:numId w:val="12"/>
              </w:numPr>
              <w:tabs>
                <w:tab w:val="left" w:pos="525"/>
                <w:tab w:val="left" w:pos="630"/>
              </w:tabs>
              <w:rPr>
                <w:rFonts w:ascii="宋体" w:hAnsi="宋体" w:cs="宋体"/>
                <w:bCs/>
                <w:color w:val="auto"/>
                <w:szCs w:val="21"/>
                <w:highlight w:val="none"/>
              </w:rPr>
            </w:pPr>
            <w:r>
              <w:rPr>
                <w:rFonts w:hint="eastAsia" w:ascii="宋体" w:hAnsi="宋体" w:cs="宋体"/>
                <w:bCs/>
                <w:color w:val="auto"/>
                <w:szCs w:val="21"/>
                <w:highlight w:val="none"/>
              </w:rPr>
              <w:t>具备条码重打功能，标本已经检测，已经取消的条码不允许打印。</w:t>
            </w:r>
          </w:p>
        </w:tc>
      </w:tr>
      <w:tr w14:paraId="01BD5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79" w:type="dxa"/>
            <w:vMerge w:val="continue"/>
            <w:vAlign w:val="center"/>
          </w:tcPr>
          <w:p w14:paraId="0B374E74">
            <w:pPr>
              <w:numPr>
                <w:ilvl w:val="0"/>
                <w:numId w:val="11"/>
              </w:numPr>
              <w:rPr>
                <w:rFonts w:ascii="宋体" w:hAnsi="宋体" w:cs="宋体"/>
                <w:color w:val="auto"/>
                <w:szCs w:val="21"/>
                <w:highlight w:val="none"/>
              </w:rPr>
            </w:pPr>
          </w:p>
        </w:tc>
        <w:tc>
          <w:tcPr>
            <w:tcW w:w="1994" w:type="dxa"/>
            <w:gridSpan w:val="2"/>
            <w:vAlign w:val="center"/>
          </w:tcPr>
          <w:p w14:paraId="63C96B2A">
            <w:pPr>
              <w:numPr>
                <w:ilvl w:val="2"/>
                <w:numId w:val="11"/>
              </w:numPr>
              <w:ind w:left="0" w:firstLine="0"/>
              <w:rPr>
                <w:rFonts w:ascii="宋体" w:hAnsi="宋体"/>
                <w:color w:val="auto"/>
                <w:highlight w:val="none"/>
              </w:rPr>
            </w:pPr>
            <w:r>
              <w:rPr>
                <w:rFonts w:hint="eastAsia" w:ascii="宋体" w:hAnsi="宋体"/>
                <w:color w:val="auto"/>
                <w:highlight w:val="none"/>
              </w:rPr>
              <w:t>标本采集</w:t>
            </w:r>
          </w:p>
          <w:p w14:paraId="41211ED9">
            <w:pPr>
              <w:numPr>
                <w:ilvl w:val="2"/>
                <w:numId w:val="11"/>
              </w:numPr>
              <w:ind w:left="0" w:firstLine="0"/>
              <w:rPr>
                <w:rFonts w:ascii="宋体" w:hAnsi="宋体"/>
                <w:color w:val="auto"/>
                <w:highlight w:val="none"/>
              </w:rPr>
            </w:pPr>
          </w:p>
        </w:tc>
        <w:tc>
          <w:tcPr>
            <w:tcW w:w="11179" w:type="dxa"/>
            <w:vAlign w:val="center"/>
          </w:tcPr>
          <w:p w14:paraId="2EA9369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标本采集确认与取消采集/采集注意事项提醒；</w:t>
            </w:r>
          </w:p>
          <w:p w14:paraId="2C9FE47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标签上打印所需容器类型，比如标注试管帽颜色，血量要求提高标本准确性；</w:t>
            </w:r>
          </w:p>
          <w:p w14:paraId="0D0CB07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具备容器图片查看功能；</w:t>
            </w:r>
          </w:p>
          <w:p w14:paraId="3ADB0CD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急诊标本在标签上有明显标志；</w:t>
            </w:r>
          </w:p>
          <w:p w14:paraId="008869C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提供贴标机对接，包括试管对应、采血窗口配置；</w:t>
            </w:r>
          </w:p>
          <w:p w14:paraId="0C4DB5D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待采集标本列表：可查询当前待采集患者待执行情况；</w:t>
            </w:r>
          </w:p>
          <w:p w14:paraId="1C45600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已采集标本列表：可查阅已采集患者数量、标本数量；</w:t>
            </w:r>
          </w:p>
          <w:p w14:paraId="2C80F17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支持医嘱撤销和控制，并更新状态到his；</w:t>
            </w:r>
          </w:p>
          <w:p w14:paraId="69BC8EC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可查询条码的标本周转状态，图形化展示TAT流程。</w:t>
            </w:r>
          </w:p>
        </w:tc>
      </w:tr>
      <w:tr w14:paraId="4599D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79" w:type="dxa"/>
            <w:vMerge w:val="continue"/>
            <w:vAlign w:val="center"/>
          </w:tcPr>
          <w:p w14:paraId="56EC7351">
            <w:pPr>
              <w:numPr>
                <w:ilvl w:val="0"/>
                <w:numId w:val="11"/>
              </w:numPr>
              <w:rPr>
                <w:rFonts w:ascii="宋体" w:hAnsi="宋体" w:cs="宋体"/>
                <w:color w:val="auto"/>
                <w:szCs w:val="21"/>
                <w:highlight w:val="none"/>
              </w:rPr>
            </w:pPr>
          </w:p>
        </w:tc>
        <w:tc>
          <w:tcPr>
            <w:tcW w:w="13173" w:type="dxa"/>
            <w:gridSpan w:val="3"/>
            <w:vAlign w:val="center"/>
          </w:tcPr>
          <w:p w14:paraId="4810BFC5">
            <w:pPr>
              <w:numPr>
                <w:ilvl w:val="1"/>
                <w:numId w:val="11"/>
              </w:numPr>
              <w:ind w:left="0" w:firstLine="0"/>
              <w:rPr>
                <w:rFonts w:ascii="宋体" w:hAnsi="宋体" w:cs="宋体"/>
                <w:color w:val="auto"/>
                <w:kern w:val="0"/>
                <w:szCs w:val="21"/>
                <w:highlight w:val="none"/>
              </w:rPr>
            </w:pPr>
            <w:r>
              <w:rPr>
                <w:rFonts w:ascii="宋体" w:hAnsi="宋体"/>
                <w:color w:val="auto"/>
                <w:highlight w:val="none"/>
              </w:rPr>
              <w:t>住院检验执行模块</w:t>
            </w:r>
          </w:p>
        </w:tc>
      </w:tr>
      <w:tr w14:paraId="2BDA1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79" w:type="dxa"/>
            <w:vMerge w:val="continue"/>
            <w:vAlign w:val="center"/>
          </w:tcPr>
          <w:p w14:paraId="3992811F">
            <w:pPr>
              <w:numPr>
                <w:ilvl w:val="0"/>
                <w:numId w:val="11"/>
              </w:numPr>
              <w:rPr>
                <w:rFonts w:ascii="宋体" w:hAnsi="宋体" w:cs="宋体"/>
                <w:color w:val="auto"/>
                <w:szCs w:val="21"/>
                <w:highlight w:val="none"/>
              </w:rPr>
            </w:pPr>
          </w:p>
        </w:tc>
        <w:tc>
          <w:tcPr>
            <w:tcW w:w="1994" w:type="dxa"/>
            <w:gridSpan w:val="2"/>
            <w:vAlign w:val="center"/>
          </w:tcPr>
          <w:p w14:paraId="44706132">
            <w:pPr>
              <w:numPr>
                <w:ilvl w:val="2"/>
                <w:numId w:val="11"/>
              </w:numPr>
              <w:ind w:left="0" w:firstLine="0"/>
              <w:rPr>
                <w:rFonts w:ascii="宋体" w:hAnsi="宋体"/>
                <w:color w:val="auto"/>
                <w:highlight w:val="none"/>
              </w:rPr>
            </w:pPr>
            <w:r>
              <w:rPr>
                <w:rFonts w:hint="eastAsia" w:ascii="宋体" w:hAnsi="宋体"/>
                <w:color w:val="auto"/>
                <w:highlight w:val="none"/>
              </w:rPr>
              <w:t>医嘱执行</w:t>
            </w:r>
          </w:p>
        </w:tc>
        <w:tc>
          <w:tcPr>
            <w:tcW w:w="11179" w:type="dxa"/>
            <w:vAlign w:val="center"/>
          </w:tcPr>
          <w:p w14:paraId="264D9A5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支持对提交的医嘱按照病人、申请项目进行排序，避免同一个病人的相同项目同时执行生成条码，且给予提示；</w:t>
            </w:r>
          </w:p>
          <w:p w14:paraId="0A262FD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与his无缝对接，医嘱执行后，修改申请医嘱状态为已执行，记录执行人及执行时间，更新医嘱本状态；</w:t>
            </w:r>
          </w:p>
          <w:p w14:paraId="7606A5E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支持同一个病人的急诊与平诊项目分开生成条码；</w:t>
            </w:r>
          </w:p>
          <w:p w14:paraId="78172B0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执行生成条码时遵循开单项目维护中的分管规则，同一个病人规则完全相同的项目生成在同一张条码上，不同的则分开。</w:t>
            </w:r>
          </w:p>
        </w:tc>
      </w:tr>
      <w:tr w14:paraId="25DEA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79" w:type="dxa"/>
            <w:vMerge w:val="continue"/>
            <w:vAlign w:val="center"/>
          </w:tcPr>
          <w:p w14:paraId="68A9113B">
            <w:pPr>
              <w:numPr>
                <w:ilvl w:val="0"/>
                <w:numId w:val="11"/>
              </w:numPr>
              <w:rPr>
                <w:rFonts w:ascii="宋体" w:hAnsi="宋体" w:cs="宋体"/>
                <w:color w:val="auto"/>
                <w:szCs w:val="21"/>
                <w:highlight w:val="none"/>
              </w:rPr>
            </w:pPr>
          </w:p>
        </w:tc>
        <w:tc>
          <w:tcPr>
            <w:tcW w:w="1994" w:type="dxa"/>
            <w:gridSpan w:val="2"/>
            <w:vAlign w:val="center"/>
          </w:tcPr>
          <w:p w14:paraId="3906FA12">
            <w:pPr>
              <w:numPr>
                <w:ilvl w:val="2"/>
                <w:numId w:val="11"/>
              </w:numPr>
              <w:ind w:left="0" w:firstLine="0"/>
              <w:rPr>
                <w:rFonts w:ascii="宋体" w:hAnsi="宋体"/>
                <w:color w:val="auto"/>
                <w:highlight w:val="none"/>
              </w:rPr>
            </w:pPr>
            <w:r>
              <w:rPr>
                <w:rFonts w:hint="eastAsia" w:ascii="宋体" w:hAnsi="宋体"/>
                <w:color w:val="auto"/>
                <w:highlight w:val="none"/>
              </w:rPr>
              <w:t>条码打印</w:t>
            </w:r>
          </w:p>
        </w:tc>
        <w:tc>
          <w:tcPr>
            <w:tcW w:w="11179" w:type="dxa"/>
            <w:vAlign w:val="center"/>
          </w:tcPr>
          <w:p w14:paraId="5BB4651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支持按条件进行查询：床号、条码号、模糊姓名、病人ID、病案号；</w:t>
            </w:r>
          </w:p>
          <w:p w14:paraId="3298354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支持按标本的条码状态进行过滤查询：未打印、已打印、已取消、已送检、已接收、已退回、已报告、全部。默认状态为未打印；</w:t>
            </w:r>
          </w:p>
          <w:p w14:paraId="14407E3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标本已经接收，已经检测，已经取消的条码不允许打印；</w:t>
            </w:r>
          </w:p>
          <w:p w14:paraId="09360DB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急诊标本在标签上有明显标志。</w:t>
            </w:r>
          </w:p>
          <w:p w14:paraId="79BA1A1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撤消医嘱：已生成的条码可撤消成未执行的医嘱，条码信息保留不删除，只更改条码状态，撤消人，撤消时间。已经采集确认，检验科室已接收的标本不能撤消；</w:t>
            </w:r>
          </w:p>
          <w:p w14:paraId="7388166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打印时记录条码打印时间节点到标本周转信息中；</w:t>
            </w:r>
          </w:p>
          <w:p w14:paraId="46CF9D9F">
            <w:pPr>
              <w:numPr>
                <w:ilvl w:val="0"/>
                <w:numId w:val="12"/>
              </w:numPr>
              <w:tabs>
                <w:tab w:val="left" w:pos="525"/>
                <w:tab w:val="left" w:pos="630"/>
              </w:tabs>
              <w:rPr>
                <w:rFonts w:ascii="宋体" w:hAnsi="宋体" w:cs="宋体"/>
                <w:bCs/>
                <w:color w:val="auto"/>
                <w:szCs w:val="21"/>
                <w:highlight w:val="none"/>
              </w:rPr>
            </w:pPr>
            <w:r>
              <w:rPr>
                <w:rFonts w:hint="eastAsia" w:ascii="宋体" w:hAnsi="宋体" w:cs="宋体"/>
                <w:bCs/>
                <w:color w:val="auto"/>
                <w:szCs w:val="21"/>
                <w:highlight w:val="none"/>
              </w:rPr>
              <w:t>可查询条码的标本周转状态，图形化展示TAT流程。</w:t>
            </w:r>
          </w:p>
        </w:tc>
      </w:tr>
      <w:tr w14:paraId="328D9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79" w:type="dxa"/>
            <w:vMerge w:val="continue"/>
            <w:vAlign w:val="center"/>
          </w:tcPr>
          <w:p w14:paraId="6980A11A">
            <w:pPr>
              <w:numPr>
                <w:ilvl w:val="0"/>
                <w:numId w:val="11"/>
              </w:numPr>
              <w:rPr>
                <w:rFonts w:ascii="宋体" w:hAnsi="宋体" w:cs="宋体"/>
                <w:color w:val="auto"/>
                <w:szCs w:val="21"/>
                <w:highlight w:val="none"/>
              </w:rPr>
            </w:pPr>
          </w:p>
        </w:tc>
        <w:tc>
          <w:tcPr>
            <w:tcW w:w="1994" w:type="dxa"/>
            <w:gridSpan w:val="2"/>
            <w:vAlign w:val="center"/>
          </w:tcPr>
          <w:p w14:paraId="06B14EB8">
            <w:pPr>
              <w:numPr>
                <w:ilvl w:val="2"/>
                <w:numId w:val="11"/>
              </w:numPr>
              <w:ind w:left="0" w:firstLine="0"/>
              <w:rPr>
                <w:rFonts w:ascii="宋体" w:hAnsi="宋体"/>
                <w:color w:val="auto"/>
                <w:highlight w:val="none"/>
              </w:rPr>
            </w:pPr>
            <w:r>
              <w:rPr>
                <w:rFonts w:hint="eastAsia" w:ascii="宋体" w:hAnsi="宋体"/>
                <w:color w:val="auto"/>
                <w:highlight w:val="none"/>
              </w:rPr>
              <w:t>标本采集</w:t>
            </w:r>
          </w:p>
        </w:tc>
        <w:tc>
          <w:tcPr>
            <w:tcW w:w="11179" w:type="dxa"/>
            <w:vAlign w:val="center"/>
          </w:tcPr>
          <w:p w14:paraId="5B25AE6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护士将需要采集的标本容器拿到病房进行采集，或者是分发给病人自行采集（如大小便）；</w:t>
            </w:r>
          </w:p>
          <w:p w14:paraId="4F9F884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标签上打印所需试管类型，比如标注试管帽颜色，是否抗凝，血量要求提高标本准确性；</w:t>
            </w:r>
          </w:p>
          <w:p w14:paraId="363C82E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支持通过移动PDA对接进行采集确认，或者是采集完毕后统一在PC端进行扫条码进行采集确认。确认的同时记录采集人、采集时间；</w:t>
            </w:r>
          </w:p>
          <w:p w14:paraId="4A76DA1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可通过扫入条码进行定位需要采集确认的标本，也可以手动选择需要采集确认的标本，也可以全部选择再进行采集确认；</w:t>
            </w:r>
          </w:p>
          <w:p w14:paraId="4C98AB9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取消确认：未送检的标本可以进行取消采集确认，同时清除采集人及采集时间；</w:t>
            </w:r>
          </w:p>
          <w:p w14:paraId="17FAE16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已确认标本列表：可查询，打印。根据不同的条件（未接收/已接收/已报告）可过滤列表内容。不同状态的标本用不同颜色加以区分；</w:t>
            </w:r>
          </w:p>
          <w:p w14:paraId="0EA4D17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临床参数输入：采集标本的同时根据医嘱备注记录临床参数及附加信息：如血气检测需填写相关体温、HGB参数。标本条码扫入时判断当前项目是否有临床参数需要输入，若有则打开录入界面进行输入；</w:t>
            </w:r>
          </w:p>
          <w:p w14:paraId="64051899">
            <w:pPr>
              <w:numPr>
                <w:ilvl w:val="0"/>
                <w:numId w:val="12"/>
              </w:numPr>
              <w:tabs>
                <w:tab w:val="left" w:pos="525"/>
                <w:tab w:val="left" w:pos="630"/>
              </w:tabs>
              <w:rPr>
                <w:rFonts w:ascii="宋体" w:hAnsi="宋体" w:cs="宋体"/>
                <w:bCs/>
                <w:color w:val="auto"/>
                <w:szCs w:val="21"/>
                <w:highlight w:val="none"/>
              </w:rPr>
            </w:pPr>
            <w:r>
              <w:rPr>
                <w:rFonts w:hint="eastAsia" w:ascii="宋体" w:hAnsi="宋体" w:cs="宋体"/>
                <w:bCs/>
                <w:color w:val="auto"/>
                <w:szCs w:val="21"/>
                <w:highlight w:val="none"/>
              </w:rPr>
              <w:t>材料费：支持在标本采集确认的同时若有材料费用则计入试管费、针头费材料的费用。</w:t>
            </w:r>
          </w:p>
        </w:tc>
      </w:tr>
      <w:tr w14:paraId="4E8D7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79" w:type="dxa"/>
            <w:vMerge w:val="continue"/>
            <w:vAlign w:val="center"/>
          </w:tcPr>
          <w:p w14:paraId="7D3DD749">
            <w:pPr>
              <w:numPr>
                <w:ilvl w:val="0"/>
                <w:numId w:val="11"/>
              </w:numPr>
              <w:rPr>
                <w:rFonts w:ascii="宋体" w:hAnsi="宋体" w:cs="宋体"/>
                <w:color w:val="auto"/>
                <w:szCs w:val="21"/>
                <w:highlight w:val="none"/>
              </w:rPr>
            </w:pPr>
          </w:p>
        </w:tc>
        <w:tc>
          <w:tcPr>
            <w:tcW w:w="1994" w:type="dxa"/>
            <w:gridSpan w:val="2"/>
            <w:vAlign w:val="center"/>
          </w:tcPr>
          <w:p w14:paraId="487908F3">
            <w:pPr>
              <w:numPr>
                <w:ilvl w:val="2"/>
                <w:numId w:val="11"/>
              </w:numPr>
              <w:ind w:left="0" w:firstLine="0"/>
              <w:rPr>
                <w:rFonts w:ascii="宋体" w:hAnsi="宋体"/>
                <w:color w:val="auto"/>
                <w:highlight w:val="none"/>
              </w:rPr>
            </w:pPr>
            <w:r>
              <w:rPr>
                <w:rFonts w:hint="eastAsia" w:ascii="宋体" w:hAnsi="宋体"/>
                <w:color w:val="auto"/>
                <w:highlight w:val="none"/>
              </w:rPr>
              <w:t>标本送检</w:t>
            </w:r>
          </w:p>
        </w:tc>
        <w:tc>
          <w:tcPr>
            <w:tcW w:w="11179" w:type="dxa"/>
            <w:vAlign w:val="center"/>
          </w:tcPr>
          <w:p w14:paraId="66592ED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扫入条码列出需要送检的标本列表信息，可送检或取消送检，已接收标本不允许取消送检，可查询送检记录；</w:t>
            </w:r>
          </w:p>
          <w:p w14:paraId="0665C7E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支持根据项目类别分类打包，并根据类别配置送检地和送检注意事项；</w:t>
            </w:r>
          </w:p>
          <w:p w14:paraId="09B33A7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一起送检的标本视为一个打包袋中的标本，同时打印送检单号；</w:t>
            </w:r>
          </w:p>
          <w:p w14:paraId="3BD7CF7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可查询一定日期范围内的打包送检单号、状态、打包时间、打包者、标本数量。且可查询某个送检单号下面的所有的标本信息；</w:t>
            </w:r>
          </w:p>
          <w:p w14:paraId="613FAE7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打包的送检单可送检，可取消送检，取消打包。取消的前提都是标本在未接收状态下；</w:t>
            </w:r>
          </w:p>
          <w:p w14:paraId="63153D6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可通过送检单号查询定位到相应的送检单列表中的信息；</w:t>
            </w:r>
          </w:p>
          <w:p w14:paraId="40E1BCB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包裹送检时检查是否已经作废或者是已经送检，并给予提示；</w:t>
            </w:r>
          </w:p>
          <w:p w14:paraId="2F125F1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送检后更新包裹状态，包裹中所有标本的条码状态；</w:t>
            </w:r>
          </w:p>
          <w:p w14:paraId="6ED72403">
            <w:pPr>
              <w:numPr>
                <w:ilvl w:val="0"/>
                <w:numId w:val="12"/>
              </w:numPr>
              <w:tabs>
                <w:tab w:val="left" w:pos="525"/>
                <w:tab w:val="left" w:pos="630"/>
              </w:tabs>
              <w:rPr>
                <w:rFonts w:ascii="宋体" w:hAnsi="宋体" w:cs="宋体"/>
                <w:bCs/>
                <w:color w:val="auto"/>
                <w:szCs w:val="21"/>
                <w:highlight w:val="none"/>
              </w:rPr>
            </w:pPr>
            <w:r>
              <w:rPr>
                <w:rFonts w:hint="eastAsia" w:ascii="宋体" w:hAnsi="宋体" w:cs="宋体"/>
                <w:bCs/>
                <w:color w:val="auto"/>
                <w:szCs w:val="21"/>
                <w:highlight w:val="none"/>
              </w:rPr>
              <w:t>同时记录标本打包送检时间节点到标本周转信息中，以备后续计算送检未接收标本。</w:t>
            </w:r>
          </w:p>
        </w:tc>
      </w:tr>
      <w:tr w14:paraId="6615B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79" w:type="dxa"/>
            <w:vMerge w:val="continue"/>
            <w:vAlign w:val="center"/>
          </w:tcPr>
          <w:p w14:paraId="231F6184">
            <w:pPr>
              <w:numPr>
                <w:ilvl w:val="0"/>
                <w:numId w:val="11"/>
              </w:numPr>
              <w:rPr>
                <w:rFonts w:ascii="宋体" w:hAnsi="宋体" w:cs="宋体"/>
                <w:color w:val="auto"/>
                <w:szCs w:val="21"/>
                <w:highlight w:val="none"/>
              </w:rPr>
            </w:pPr>
          </w:p>
        </w:tc>
        <w:tc>
          <w:tcPr>
            <w:tcW w:w="13173" w:type="dxa"/>
            <w:gridSpan w:val="3"/>
            <w:vAlign w:val="center"/>
          </w:tcPr>
          <w:p w14:paraId="05ECBCDA">
            <w:pPr>
              <w:numPr>
                <w:ilvl w:val="1"/>
                <w:numId w:val="11"/>
              </w:numPr>
              <w:ind w:left="0" w:firstLine="0"/>
              <w:rPr>
                <w:rFonts w:ascii="宋体" w:hAnsi="宋体" w:cs="宋体"/>
                <w:color w:val="auto"/>
                <w:kern w:val="0"/>
                <w:szCs w:val="21"/>
                <w:highlight w:val="none"/>
              </w:rPr>
            </w:pPr>
            <w:r>
              <w:rPr>
                <w:rFonts w:ascii="宋体" w:hAnsi="宋体"/>
                <w:color w:val="auto"/>
                <w:highlight w:val="none"/>
              </w:rPr>
              <w:t>标本前处理系统</w:t>
            </w:r>
          </w:p>
        </w:tc>
      </w:tr>
      <w:tr w14:paraId="637CA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79" w:type="dxa"/>
            <w:vMerge w:val="continue"/>
            <w:vAlign w:val="center"/>
          </w:tcPr>
          <w:p w14:paraId="6B26F8CA">
            <w:pPr>
              <w:numPr>
                <w:ilvl w:val="0"/>
                <w:numId w:val="11"/>
              </w:numPr>
              <w:rPr>
                <w:rFonts w:ascii="宋体" w:hAnsi="宋体" w:cs="宋体"/>
                <w:color w:val="auto"/>
                <w:szCs w:val="21"/>
                <w:highlight w:val="none"/>
              </w:rPr>
            </w:pPr>
          </w:p>
        </w:tc>
        <w:tc>
          <w:tcPr>
            <w:tcW w:w="1994" w:type="dxa"/>
            <w:gridSpan w:val="2"/>
            <w:vAlign w:val="center"/>
          </w:tcPr>
          <w:p w14:paraId="512341B6">
            <w:pPr>
              <w:numPr>
                <w:ilvl w:val="2"/>
                <w:numId w:val="11"/>
              </w:numPr>
              <w:ind w:left="0" w:firstLine="0"/>
              <w:rPr>
                <w:rFonts w:ascii="宋体" w:hAnsi="宋体"/>
                <w:color w:val="auto"/>
                <w:highlight w:val="none"/>
              </w:rPr>
            </w:pPr>
            <w:r>
              <w:rPr>
                <w:rFonts w:hint="eastAsia" w:ascii="宋体" w:hAnsi="宋体"/>
                <w:color w:val="auto"/>
                <w:highlight w:val="none"/>
              </w:rPr>
              <w:t>标本送检</w:t>
            </w:r>
          </w:p>
        </w:tc>
        <w:tc>
          <w:tcPr>
            <w:tcW w:w="11179" w:type="dxa"/>
            <w:vAlign w:val="center"/>
          </w:tcPr>
          <w:p w14:paraId="509CC55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扫入条码列出需要送检的标本列表信息，可送检，可取消送检，已接收标本不允许取消送检，可查询送检记录。</w:t>
            </w:r>
          </w:p>
          <w:p w14:paraId="294BC63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根据送检区分类打包，一起送检的标本视为一个打包袋中的标本，同时打印送检单号。</w:t>
            </w:r>
          </w:p>
          <w:p w14:paraId="5AFF1DF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可查询一定日期范围内的打包送检单号、状态、打包时间、打包者、标本数量。且可查询某个送检单号下面的所有的标本信息。</w:t>
            </w:r>
          </w:p>
          <w:p w14:paraId="082E6B1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打包的送检单可送检，可取消送检，取消打包。取消的前提都是标本在未接收状态下。</w:t>
            </w:r>
          </w:p>
          <w:p w14:paraId="77CF5F0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可通过送检单号查询定位到相应的送检单列表中的信息。</w:t>
            </w:r>
          </w:p>
          <w:p w14:paraId="697E155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包裹送检时检查是否已经作废或者是已经送检，并给予提示。</w:t>
            </w:r>
          </w:p>
          <w:p w14:paraId="25059D9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同时记录标本打包送检时间节点到标本周转信息中，以备后续计算送检未接收标本。</w:t>
            </w:r>
          </w:p>
        </w:tc>
      </w:tr>
      <w:tr w14:paraId="5DB3A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79" w:type="dxa"/>
            <w:vMerge w:val="continue"/>
            <w:vAlign w:val="center"/>
          </w:tcPr>
          <w:p w14:paraId="416AAFA5">
            <w:pPr>
              <w:numPr>
                <w:ilvl w:val="0"/>
                <w:numId w:val="11"/>
              </w:numPr>
              <w:rPr>
                <w:rFonts w:ascii="宋体" w:hAnsi="宋体" w:cs="宋体"/>
                <w:color w:val="auto"/>
                <w:szCs w:val="21"/>
                <w:highlight w:val="none"/>
              </w:rPr>
            </w:pPr>
          </w:p>
        </w:tc>
        <w:tc>
          <w:tcPr>
            <w:tcW w:w="1994" w:type="dxa"/>
            <w:gridSpan w:val="2"/>
            <w:vAlign w:val="center"/>
          </w:tcPr>
          <w:p w14:paraId="34E125F5">
            <w:pPr>
              <w:numPr>
                <w:ilvl w:val="2"/>
                <w:numId w:val="11"/>
              </w:numPr>
              <w:ind w:left="0" w:firstLine="0"/>
              <w:rPr>
                <w:rFonts w:ascii="宋体" w:hAnsi="宋体"/>
                <w:color w:val="auto"/>
                <w:highlight w:val="none"/>
              </w:rPr>
            </w:pPr>
            <w:r>
              <w:rPr>
                <w:rFonts w:hint="eastAsia" w:ascii="宋体" w:hAnsi="宋体"/>
                <w:color w:val="auto"/>
                <w:highlight w:val="none"/>
              </w:rPr>
              <w:t>标本核收管理</w:t>
            </w:r>
          </w:p>
        </w:tc>
        <w:tc>
          <w:tcPr>
            <w:tcW w:w="11179" w:type="dxa"/>
            <w:vAlign w:val="center"/>
          </w:tcPr>
          <w:p w14:paraId="3C79F9C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支持与his对接实现项目自动计费</w:t>
            </w:r>
          </w:p>
          <w:p w14:paraId="2E6F1B1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支持包裹接收和核对功能，支持单个标本接收</w:t>
            </w:r>
          </w:p>
          <w:p w14:paraId="776FCB4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核收时，采集时间过长，超过检测时间提醒</w:t>
            </w:r>
          </w:p>
          <w:p w14:paraId="16D62EE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支持不合格标本管理功能</w:t>
            </w:r>
          </w:p>
          <w:p w14:paraId="31D2DC3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支持与检测流水线对接，支持上机自动编号</w:t>
            </w:r>
          </w:p>
          <w:p w14:paraId="0156101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支持按各类条件进行标本状态查询，包括未打印、已打印、已取消、已送检、已接收、已退回、已报告。</w:t>
            </w:r>
          </w:p>
        </w:tc>
      </w:tr>
      <w:tr w14:paraId="71781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79" w:type="dxa"/>
            <w:vMerge w:val="continue"/>
            <w:vAlign w:val="center"/>
          </w:tcPr>
          <w:p w14:paraId="4FE7086E">
            <w:pPr>
              <w:numPr>
                <w:ilvl w:val="0"/>
                <w:numId w:val="11"/>
              </w:numPr>
              <w:rPr>
                <w:rFonts w:ascii="宋体" w:hAnsi="宋体" w:cs="宋体"/>
                <w:color w:val="auto"/>
                <w:szCs w:val="21"/>
                <w:highlight w:val="none"/>
              </w:rPr>
            </w:pPr>
          </w:p>
        </w:tc>
        <w:tc>
          <w:tcPr>
            <w:tcW w:w="1994" w:type="dxa"/>
            <w:gridSpan w:val="2"/>
            <w:vAlign w:val="center"/>
          </w:tcPr>
          <w:p w14:paraId="6D3B4690">
            <w:pPr>
              <w:numPr>
                <w:ilvl w:val="2"/>
                <w:numId w:val="11"/>
              </w:numPr>
              <w:ind w:left="0" w:firstLine="0"/>
              <w:rPr>
                <w:rFonts w:ascii="宋体" w:hAnsi="宋体"/>
                <w:color w:val="auto"/>
                <w:highlight w:val="none"/>
              </w:rPr>
            </w:pPr>
            <w:r>
              <w:rPr>
                <w:rFonts w:hint="eastAsia" w:ascii="宋体" w:hAnsi="宋体"/>
                <w:color w:val="auto"/>
                <w:highlight w:val="none"/>
              </w:rPr>
              <w:t>不合格标本登记</w:t>
            </w:r>
          </w:p>
        </w:tc>
        <w:tc>
          <w:tcPr>
            <w:tcW w:w="11179" w:type="dxa"/>
            <w:vAlign w:val="center"/>
          </w:tcPr>
          <w:p w14:paraId="160F0404">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把接收到的标本、检测过程中出现问题的标本进行不合格标本退回处理。例如：标本破损、标本溶血、标本量不足情况进行登记反馈。</w:t>
            </w:r>
          </w:p>
          <w:p w14:paraId="5919D11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具备不合格标本拒收记录，并记录不合格原因功能。</w:t>
            </w:r>
          </w:p>
          <w:p w14:paraId="4E78203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支持与护士站系统对接，实现不合格标本通知功能。</w:t>
            </w:r>
          </w:p>
        </w:tc>
      </w:tr>
      <w:tr w14:paraId="09406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79" w:type="dxa"/>
            <w:vMerge w:val="continue"/>
            <w:vAlign w:val="center"/>
          </w:tcPr>
          <w:p w14:paraId="26F59C0C">
            <w:pPr>
              <w:numPr>
                <w:ilvl w:val="0"/>
                <w:numId w:val="11"/>
              </w:numPr>
              <w:rPr>
                <w:rFonts w:ascii="宋体" w:hAnsi="宋体" w:cs="宋体"/>
                <w:color w:val="auto"/>
                <w:szCs w:val="21"/>
                <w:highlight w:val="none"/>
              </w:rPr>
            </w:pPr>
          </w:p>
        </w:tc>
        <w:tc>
          <w:tcPr>
            <w:tcW w:w="1994" w:type="dxa"/>
            <w:gridSpan w:val="2"/>
            <w:vAlign w:val="center"/>
          </w:tcPr>
          <w:p w14:paraId="37704AB5">
            <w:pPr>
              <w:numPr>
                <w:ilvl w:val="2"/>
                <w:numId w:val="11"/>
              </w:numPr>
              <w:ind w:left="0" w:firstLine="0"/>
              <w:rPr>
                <w:rFonts w:ascii="宋体" w:hAnsi="宋体"/>
                <w:color w:val="auto"/>
                <w:highlight w:val="none"/>
              </w:rPr>
            </w:pPr>
            <w:r>
              <w:rPr>
                <w:rFonts w:ascii="宋体" w:hAnsi="宋体"/>
                <w:color w:val="auto"/>
                <w:highlight w:val="none"/>
              </w:rPr>
              <w:t>特殊标本登记</w:t>
            </w:r>
          </w:p>
        </w:tc>
        <w:tc>
          <w:tcPr>
            <w:tcW w:w="11179" w:type="dxa"/>
            <w:vAlign w:val="center"/>
          </w:tcPr>
          <w:p w14:paraId="69EECD2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提供其他特殊标本的手工登记及条码生成管理。</w:t>
            </w:r>
          </w:p>
        </w:tc>
      </w:tr>
      <w:tr w14:paraId="366D5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79" w:type="dxa"/>
            <w:vMerge w:val="continue"/>
            <w:vAlign w:val="center"/>
          </w:tcPr>
          <w:p w14:paraId="05D05A53">
            <w:pPr>
              <w:numPr>
                <w:ilvl w:val="0"/>
                <w:numId w:val="11"/>
              </w:numPr>
              <w:rPr>
                <w:rFonts w:ascii="宋体" w:hAnsi="宋体" w:cs="宋体"/>
                <w:color w:val="auto"/>
                <w:szCs w:val="21"/>
                <w:highlight w:val="none"/>
              </w:rPr>
            </w:pPr>
          </w:p>
        </w:tc>
        <w:tc>
          <w:tcPr>
            <w:tcW w:w="13173" w:type="dxa"/>
            <w:gridSpan w:val="3"/>
            <w:vAlign w:val="center"/>
          </w:tcPr>
          <w:p w14:paraId="2525CE70">
            <w:pPr>
              <w:numPr>
                <w:ilvl w:val="1"/>
                <w:numId w:val="11"/>
              </w:numPr>
              <w:ind w:left="0" w:firstLine="0"/>
              <w:rPr>
                <w:rFonts w:ascii="宋体" w:hAnsi="宋体" w:cs="宋体"/>
                <w:color w:val="auto"/>
                <w:kern w:val="0"/>
                <w:szCs w:val="21"/>
                <w:highlight w:val="none"/>
              </w:rPr>
            </w:pPr>
            <w:r>
              <w:rPr>
                <w:rFonts w:ascii="宋体" w:hAnsi="宋体"/>
                <w:color w:val="auto"/>
                <w:highlight w:val="none"/>
              </w:rPr>
              <w:t>标本周期管理（TAT）</w:t>
            </w:r>
          </w:p>
        </w:tc>
      </w:tr>
      <w:tr w14:paraId="7859E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79" w:type="dxa"/>
            <w:vMerge w:val="continue"/>
            <w:vAlign w:val="center"/>
          </w:tcPr>
          <w:p w14:paraId="1CF86FC8">
            <w:pPr>
              <w:numPr>
                <w:ilvl w:val="0"/>
                <w:numId w:val="11"/>
              </w:numPr>
              <w:rPr>
                <w:rFonts w:ascii="宋体" w:hAnsi="宋体" w:cs="宋体"/>
                <w:color w:val="auto"/>
                <w:szCs w:val="21"/>
                <w:highlight w:val="none"/>
              </w:rPr>
            </w:pPr>
          </w:p>
        </w:tc>
        <w:tc>
          <w:tcPr>
            <w:tcW w:w="1994" w:type="dxa"/>
            <w:gridSpan w:val="2"/>
            <w:vAlign w:val="center"/>
          </w:tcPr>
          <w:p w14:paraId="01E51C49">
            <w:pPr>
              <w:numPr>
                <w:ilvl w:val="2"/>
                <w:numId w:val="11"/>
              </w:numPr>
              <w:ind w:left="0" w:firstLine="0"/>
              <w:rPr>
                <w:rFonts w:ascii="宋体" w:hAnsi="宋体"/>
                <w:color w:val="auto"/>
                <w:highlight w:val="none"/>
              </w:rPr>
            </w:pPr>
            <w:r>
              <w:rPr>
                <w:rFonts w:hint="eastAsia" w:ascii="宋体" w:hAnsi="宋体"/>
                <w:color w:val="auto"/>
                <w:highlight w:val="none"/>
              </w:rPr>
              <w:t>节点管理</w:t>
            </w:r>
          </w:p>
        </w:tc>
        <w:tc>
          <w:tcPr>
            <w:tcW w:w="11179" w:type="dxa"/>
            <w:vAlign w:val="center"/>
          </w:tcPr>
          <w:p w14:paraId="4D7ABAB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从执行医嘱-&gt;采集确认(取消确认)-&gt;送检登记-&gt;标本接受及退回-&gt;转送登记-&gt;标本检验-&gt;报告-&gt;存储-&gt;销毁，记录每个节点的操作内容、操作人员、操作时间、操作地点、接受产生的样本号以及送检时交接人；针对不同的节点，开单项目设置合理的TAT目标值，可根据目标值提醒节点待处理的标本。</w:t>
            </w:r>
          </w:p>
        </w:tc>
      </w:tr>
      <w:tr w14:paraId="0B413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79" w:type="dxa"/>
            <w:vMerge w:val="continue"/>
            <w:vAlign w:val="center"/>
          </w:tcPr>
          <w:p w14:paraId="2AF4BD25">
            <w:pPr>
              <w:numPr>
                <w:ilvl w:val="0"/>
                <w:numId w:val="11"/>
              </w:numPr>
              <w:rPr>
                <w:rFonts w:ascii="宋体" w:hAnsi="宋体" w:cs="宋体"/>
                <w:color w:val="auto"/>
                <w:szCs w:val="21"/>
                <w:highlight w:val="none"/>
              </w:rPr>
            </w:pPr>
          </w:p>
        </w:tc>
        <w:tc>
          <w:tcPr>
            <w:tcW w:w="1994" w:type="dxa"/>
            <w:gridSpan w:val="2"/>
            <w:vAlign w:val="center"/>
          </w:tcPr>
          <w:p w14:paraId="0A09024C">
            <w:pPr>
              <w:numPr>
                <w:ilvl w:val="2"/>
                <w:numId w:val="11"/>
              </w:numPr>
              <w:ind w:left="0" w:firstLine="0"/>
              <w:rPr>
                <w:rFonts w:ascii="宋体" w:hAnsi="宋体"/>
                <w:color w:val="auto"/>
                <w:highlight w:val="none"/>
              </w:rPr>
            </w:pPr>
            <w:r>
              <w:rPr>
                <w:rFonts w:hint="eastAsia" w:ascii="宋体" w:hAnsi="宋体"/>
                <w:color w:val="auto"/>
                <w:highlight w:val="none"/>
              </w:rPr>
              <w:t>TAT监控及统计</w:t>
            </w:r>
          </w:p>
        </w:tc>
        <w:tc>
          <w:tcPr>
            <w:tcW w:w="11179" w:type="dxa"/>
            <w:vAlign w:val="center"/>
          </w:tcPr>
          <w:p w14:paraId="16A9C68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针对TAT目标值的设置，</w:t>
            </w:r>
            <w:r>
              <w:rPr>
                <w:rFonts w:ascii="宋体" w:hAnsi="宋体" w:cs="宋体"/>
                <w:bCs/>
                <w:color w:val="auto"/>
                <w:szCs w:val="21"/>
                <w:highlight w:val="none"/>
              </w:rPr>
              <w:t>得到住院、门诊或急诊标本TAT满足规定目标值百分率</w:t>
            </w:r>
            <w:r>
              <w:rPr>
                <w:rFonts w:hint="eastAsia" w:ascii="宋体" w:hAnsi="宋体" w:cs="宋体"/>
                <w:bCs/>
                <w:color w:val="auto"/>
                <w:szCs w:val="21"/>
                <w:highlight w:val="none"/>
              </w:rPr>
              <w:t>，</w:t>
            </w:r>
            <w:r>
              <w:rPr>
                <w:rFonts w:ascii="宋体" w:hAnsi="宋体" w:cs="宋体"/>
                <w:bCs/>
                <w:color w:val="auto"/>
                <w:szCs w:val="21"/>
                <w:highlight w:val="none"/>
              </w:rPr>
              <w:t>以及未满足目标值的标本清单</w:t>
            </w:r>
            <w:r>
              <w:rPr>
                <w:rFonts w:hint="eastAsia" w:ascii="宋体" w:hAnsi="宋体" w:cs="宋体"/>
                <w:bCs/>
                <w:color w:val="auto"/>
                <w:szCs w:val="21"/>
                <w:highlight w:val="none"/>
              </w:rPr>
              <w:t>，</w:t>
            </w:r>
            <w:r>
              <w:rPr>
                <w:rFonts w:ascii="宋体" w:hAnsi="宋体" w:cs="宋体"/>
                <w:bCs/>
                <w:color w:val="auto"/>
                <w:szCs w:val="21"/>
                <w:highlight w:val="none"/>
              </w:rPr>
              <w:t>分析TAT延长的原因</w:t>
            </w:r>
            <w:r>
              <w:rPr>
                <w:rFonts w:hint="eastAsia" w:ascii="宋体" w:hAnsi="宋体" w:cs="宋体"/>
                <w:bCs/>
                <w:color w:val="auto"/>
                <w:szCs w:val="21"/>
                <w:highlight w:val="none"/>
              </w:rPr>
              <w:t>，</w:t>
            </w:r>
            <w:r>
              <w:rPr>
                <w:rFonts w:ascii="宋体" w:hAnsi="宋体" w:cs="宋体"/>
                <w:bCs/>
                <w:color w:val="auto"/>
                <w:szCs w:val="21"/>
                <w:highlight w:val="none"/>
              </w:rPr>
              <w:t>为实验室持续性质量改进方案提供证据</w:t>
            </w:r>
            <w:r>
              <w:rPr>
                <w:rFonts w:hint="eastAsia" w:ascii="宋体" w:hAnsi="宋体" w:cs="宋体"/>
                <w:bCs/>
                <w:color w:val="auto"/>
                <w:szCs w:val="21"/>
                <w:highlight w:val="none"/>
              </w:rPr>
              <w:t>。</w:t>
            </w:r>
          </w:p>
          <w:p w14:paraId="0A31BCE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TAT查询要求可以按时间段/组套/项目，查询标本的申请，采集，转送，录入，审核时间，各环节消耗及总时间，并计算平均时间及SD或四分位数，最大最小值，中位数。</w:t>
            </w:r>
          </w:p>
          <w:p w14:paraId="3128A29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通过图形（曲线图）显示一天或者一段时间每个节点TAT的高峰时间，通过高峰时间的显示，对TAT异常原因分析。</w:t>
            </w:r>
          </w:p>
          <w:p w14:paraId="7EF1547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通过TAT分析实验室改进的措施，</w:t>
            </w:r>
            <w:r>
              <w:rPr>
                <w:rFonts w:ascii="宋体" w:hAnsi="宋体" w:cs="宋体"/>
                <w:bCs/>
                <w:color w:val="auto"/>
                <w:szCs w:val="21"/>
                <w:highlight w:val="none"/>
              </w:rPr>
              <w:t>改进措施包括优化标本采集与运输流程、合理应用实验室信息系统</w:t>
            </w:r>
            <w:r>
              <w:rPr>
                <w:rFonts w:hint="eastAsia" w:ascii="宋体" w:hAnsi="宋体" w:cs="宋体"/>
                <w:bCs/>
                <w:color w:val="auto"/>
                <w:szCs w:val="21"/>
                <w:highlight w:val="none"/>
              </w:rPr>
              <w:t>，比较改进后与改进前的数据，持续</w:t>
            </w:r>
            <w:r>
              <w:rPr>
                <w:rFonts w:ascii="宋体" w:hAnsi="宋体" w:cs="宋体"/>
                <w:bCs/>
                <w:color w:val="auto"/>
                <w:szCs w:val="21"/>
                <w:highlight w:val="none"/>
              </w:rPr>
              <w:t>优化工作流程</w:t>
            </w:r>
            <w:r>
              <w:rPr>
                <w:rFonts w:hint="eastAsia" w:ascii="宋体" w:hAnsi="宋体" w:cs="宋体"/>
                <w:bCs/>
                <w:color w:val="auto"/>
                <w:szCs w:val="21"/>
                <w:highlight w:val="none"/>
              </w:rPr>
              <w:t>，</w:t>
            </w:r>
            <w:r>
              <w:rPr>
                <w:rFonts w:ascii="宋体" w:hAnsi="宋体" w:cs="宋体"/>
                <w:bCs/>
                <w:color w:val="auto"/>
                <w:szCs w:val="21"/>
                <w:highlight w:val="none"/>
              </w:rPr>
              <w:t>提高实验室工作效率</w:t>
            </w:r>
            <w:r>
              <w:rPr>
                <w:rFonts w:hint="eastAsia" w:ascii="宋体" w:hAnsi="宋体" w:cs="宋体"/>
                <w:bCs/>
                <w:color w:val="auto"/>
                <w:szCs w:val="21"/>
                <w:highlight w:val="none"/>
              </w:rPr>
              <w:t>。</w:t>
            </w:r>
          </w:p>
        </w:tc>
      </w:tr>
    </w:tbl>
    <w:p w14:paraId="60BFD4B6">
      <w:pPr>
        <w:rPr>
          <w:rFonts w:ascii="宋体" w:hAnsi="宋体"/>
          <w:color w:val="auto"/>
          <w:highlight w:val="none"/>
        </w:rPr>
      </w:pPr>
    </w:p>
    <w:p w14:paraId="3A503D5C">
      <w:pPr>
        <w:pStyle w:val="4"/>
        <w:numPr>
          <w:ilvl w:val="2"/>
          <w:numId w:val="9"/>
        </w:numPr>
        <w:spacing w:before="0" w:after="0" w:line="360" w:lineRule="auto"/>
        <w:ind w:left="567" w:hanging="567"/>
        <w:rPr>
          <w:color w:val="auto"/>
          <w:sz w:val="24"/>
          <w:highlight w:val="none"/>
        </w:rPr>
      </w:pPr>
      <w:r>
        <w:rPr>
          <w:rFonts w:hint="eastAsia" w:eastAsia="宋体"/>
          <w:color w:val="auto"/>
          <w:kern w:val="2"/>
          <w:sz w:val="24"/>
          <w:szCs w:val="24"/>
          <w:highlight w:val="none"/>
        </w:rPr>
        <w:t>病理送检系统建设需求</w:t>
      </w:r>
    </w:p>
    <w:tbl>
      <w:tblPr>
        <w:tblStyle w:val="4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4"/>
        <w:gridCol w:w="1266"/>
        <w:gridCol w:w="11545"/>
      </w:tblGrid>
      <w:tr w14:paraId="32566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114" w:type="dxa"/>
            <w:vAlign w:val="center"/>
          </w:tcPr>
          <w:p w14:paraId="334EB3D6">
            <w:pPr>
              <w:jc w:val="center"/>
              <w:rPr>
                <w:rFonts w:ascii="宋体" w:hAnsi="宋体" w:cs="宋体"/>
                <w:color w:val="auto"/>
                <w:szCs w:val="21"/>
                <w:highlight w:val="none"/>
              </w:rPr>
            </w:pPr>
            <w:r>
              <w:rPr>
                <w:rFonts w:hint="eastAsia" w:ascii="宋体" w:hAnsi="宋体" w:cs="宋体"/>
                <w:color w:val="auto"/>
                <w:kern w:val="0"/>
                <w:szCs w:val="21"/>
                <w:highlight w:val="none"/>
              </w:rPr>
              <w:t>需求名称</w:t>
            </w:r>
          </w:p>
        </w:tc>
        <w:tc>
          <w:tcPr>
            <w:tcW w:w="1266" w:type="dxa"/>
            <w:vAlign w:val="center"/>
          </w:tcPr>
          <w:p w14:paraId="6D55E22B">
            <w:pPr>
              <w:jc w:val="center"/>
              <w:rPr>
                <w:rFonts w:ascii="宋体" w:hAnsi="宋体"/>
                <w:color w:val="auto"/>
                <w:highlight w:val="none"/>
              </w:rPr>
            </w:pPr>
            <w:r>
              <w:rPr>
                <w:rFonts w:hint="eastAsia" w:ascii="宋体" w:hAnsi="宋体" w:cs="宋体"/>
                <w:color w:val="auto"/>
                <w:kern w:val="0"/>
                <w:szCs w:val="21"/>
                <w:highlight w:val="none"/>
              </w:rPr>
              <w:t>序号</w:t>
            </w:r>
          </w:p>
        </w:tc>
        <w:tc>
          <w:tcPr>
            <w:tcW w:w="11545" w:type="dxa"/>
            <w:vAlign w:val="center"/>
          </w:tcPr>
          <w:p w14:paraId="12D28C20">
            <w:pPr>
              <w:tabs>
                <w:tab w:val="left" w:pos="525"/>
                <w:tab w:val="left" w:pos="630"/>
              </w:tabs>
              <w:spacing w:line="360" w:lineRule="auto"/>
              <w:jc w:val="center"/>
              <w:rPr>
                <w:rFonts w:ascii="宋体" w:hAnsi="宋体" w:cs="宋体"/>
                <w:bCs/>
                <w:color w:val="auto"/>
                <w:szCs w:val="21"/>
                <w:highlight w:val="none"/>
              </w:rPr>
            </w:pPr>
            <w:r>
              <w:rPr>
                <w:rFonts w:hint="eastAsia" w:ascii="宋体" w:hAnsi="宋体" w:cs="宋体"/>
                <w:color w:val="auto"/>
                <w:kern w:val="0"/>
                <w:szCs w:val="21"/>
                <w:highlight w:val="none"/>
              </w:rPr>
              <w:t>需求描述</w:t>
            </w:r>
          </w:p>
        </w:tc>
      </w:tr>
      <w:tr w14:paraId="2D9A3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14" w:type="dxa"/>
            <w:vMerge w:val="restart"/>
            <w:vAlign w:val="center"/>
          </w:tcPr>
          <w:p w14:paraId="38E8A3FA">
            <w:pPr>
              <w:numPr>
                <w:ilvl w:val="0"/>
                <w:numId w:val="11"/>
              </w:numPr>
              <w:rPr>
                <w:rFonts w:ascii="宋体" w:hAnsi="宋体" w:cs="宋体"/>
                <w:color w:val="auto"/>
                <w:szCs w:val="21"/>
                <w:highlight w:val="none"/>
              </w:rPr>
            </w:pPr>
            <w:r>
              <w:rPr>
                <w:rFonts w:hint="eastAsia" w:ascii="宋体" w:hAnsi="宋体" w:cs="宋体"/>
                <w:color w:val="auto"/>
                <w:szCs w:val="21"/>
                <w:highlight w:val="none"/>
              </w:rPr>
              <w:t>病理送检系统</w:t>
            </w:r>
          </w:p>
        </w:tc>
        <w:tc>
          <w:tcPr>
            <w:tcW w:w="1266" w:type="dxa"/>
            <w:vAlign w:val="center"/>
          </w:tcPr>
          <w:p w14:paraId="4FE7796C">
            <w:pPr>
              <w:numPr>
                <w:ilvl w:val="1"/>
                <w:numId w:val="11"/>
              </w:numPr>
              <w:ind w:left="0" w:firstLine="0"/>
              <w:rPr>
                <w:rFonts w:ascii="宋体" w:hAnsi="宋体"/>
                <w:color w:val="auto"/>
                <w:highlight w:val="none"/>
              </w:rPr>
            </w:pPr>
            <w:r>
              <w:rPr>
                <w:rFonts w:ascii="宋体" w:hAnsi="宋体"/>
                <w:color w:val="auto"/>
                <w:highlight w:val="none"/>
              </w:rPr>
              <w:t>流程管理</w:t>
            </w:r>
          </w:p>
        </w:tc>
        <w:tc>
          <w:tcPr>
            <w:tcW w:w="11545" w:type="dxa"/>
            <w:vAlign w:val="center"/>
          </w:tcPr>
          <w:p w14:paraId="7E2A08A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系统支持将病理科完整的工作流程进行全面管理，为流程中的各个环节度身定制了不同的站点软件，分工合作、统一管理，共同构成一个完整的病理科室管理网络。</w:t>
            </w:r>
          </w:p>
        </w:tc>
      </w:tr>
      <w:tr w14:paraId="685B4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14" w:type="dxa"/>
            <w:vMerge w:val="continue"/>
            <w:shd w:val="clear" w:color="auto" w:fill="FFFFFF"/>
            <w:vAlign w:val="center"/>
          </w:tcPr>
          <w:p w14:paraId="11566374">
            <w:pPr>
              <w:numPr>
                <w:ilvl w:val="0"/>
                <w:numId w:val="11"/>
              </w:numPr>
              <w:rPr>
                <w:rFonts w:ascii="宋体" w:hAnsi="宋体" w:cs="宋体"/>
                <w:color w:val="auto"/>
                <w:szCs w:val="21"/>
                <w:highlight w:val="none"/>
              </w:rPr>
            </w:pPr>
          </w:p>
        </w:tc>
        <w:tc>
          <w:tcPr>
            <w:tcW w:w="1266" w:type="dxa"/>
            <w:shd w:val="clear" w:color="auto" w:fill="FFFFFF"/>
            <w:vAlign w:val="center"/>
          </w:tcPr>
          <w:p w14:paraId="3A32166F">
            <w:pPr>
              <w:numPr>
                <w:ilvl w:val="1"/>
                <w:numId w:val="11"/>
              </w:numPr>
              <w:ind w:left="0" w:firstLine="0"/>
              <w:rPr>
                <w:rFonts w:ascii="宋体" w:hAnsi="宋体"/>
                <w:color w:val="auto"/>
                <w:highlight w:val="none"/>
              </w:rPr>
            </w:pPr>
            <w:r>
              <w:rPr>
                <w:rFonts w:ascii="宋体" w:hAnsi="宋体"/>
                <w:color w:val="auto"/>
                <w:highlight w:val="none"/>
              </w:rPr>
              <w:t>统一管理</w:t>
            </w:r>
          </w:p>
        </w:tc>
        <w:tc>
          <w:tcPr>
            <w:tcW w:w="11545" w:type="dxa"/>
            <w:shd w:val="clear" w:color="auto" w:fill="FFFFFF"/>
            <w:vAlign w:val="center"/>
          </w:tcPr>
          <w:p w14:paraId="2E936A2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将病例全部相关资料统一管理，并提供方便易用、功能强大的查询检索功能，覆盖病人基本信息、免疫组化结果、临床诊断信息、病理初诊意见、历史病理检查、复片意见及评价、同次送检的其他标本情况、科内会诊意见、取材描述及取材明细、随访情况、大体标本照片、切片质量评价、蜡块和切片明细、归档情况、镜下图像、借还片管理、临床沟通记录以及科内读片记录等详细资料。</w:t>
            </w:r>
          </w:p>
        </w:tc>
      </w:tr>
      <w:tr w14:paraId="76AAF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14" w:type="dxa"/>
            <w:vMerge w:val="continue"/>
            <w:shd w:val="clear" w:color="auto" w:fill="FFFFFF"/>
            <w:vAlign w:val="center"/>
          </w:tcPr>
          <w:p w14:paraId="1149F540">
            <w:pPr>
              <w:numPr>
                <w:ilvl w:val="0"/>
                <w:numId w:val="11"/>
              </w:numPr>
              <w:rPr>
                <w:rFonts w:ascii="宋体" w:hAnsi="宋体" w:cs="宋体"/>
                <w:color w:val="auto"/>
                <w:szCs w:val="21"/>
                <w:highlight w:val="none"/>
              </w:rPr>
            </w:pPr>
          </w:p>
        </w:tc>
        <w:tc>
          <w:tcPr>
            <w:tcW w:w="1266" w:type="dxa"/>
            <w:shd w:val="clear" w:color="auto" w:fill="FFFFFF"/>
            <w:vAlign w:val="center"/>
          </w:tcPr>
          <w:p w14:paraId="5D526307">
            <w:pPr>
              <w:numPr>
                <w:ilvl w:val="1"/>
                <w:numId w:val="11"/>
              </w:numPr>
              <w:ind w:left="0" w:firstLine="0"/>
              <w:rPr>
                <w:rFonts w:ascii="宋体" w:hAnsi="宋体"/>
                <w:color w:val="auto"/>
                <w:highlight w:val="none"/>
              </w:rPr>
            </w:pPr>
            <w:r>
              <w:rPr>
                <w:rFonts w:ascii="宋体" w:hAnsi="宋体"/>
                <w:color w:val="auto"/>
                <w:highlight w:val="none"/>
              </w:rPr>
              <w:t>取材管理</w:t>
            </w:r>
          </w:p>
        </w:tc>
        <w:tc>
          <w:tcPr>
            <w:tcW w:w="11545" w:type="dxa"/>
            <w:shd w:val="clear" w:color="auto" w:fill="FFFFFF"/>
            <w:vAlign w:val="center"/>
          </w:tcPr>
          <w:p w14:paraId="3CADE80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系统支持实现完整的取材管理，包含记录大体所见（取材描述）、记录取材明细、拍摄大体标本照片、补取病例列表提示、每日取材工作单以及取材及记录工作量统计等内容。</w:t>
            </w:r>
          </w:p>
        </w:tc>
      </w:tr>
      <w:tr w14:paraId="2A816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14" w:type="dxa"/>
            <w:vMerge w:val="continue"/>
            <w:shd w:val="clear" w:color="auto" w:fill="FFFFFF"/>
            <w:vAlign w:val="center"/>
          </w:tcPr>
          <w:p w14:paraId="17F5754C">
            <w:pPr>
              <w:numPr>
                <w:ilvl w:val="0"/>
                <w:numId w:val="11"/>
              </w:numPr>
              <w:rPr>
                <w:rFonts w:ascii="宋体" w:hAnsi="宋体" w:cs="宋体"/>
                <w:color w:val="auto"/>
                <w:szCs w:val="21"/>
                <w:highlight w:val="none"/>
              </w:rPr>
            </w:pPr>
          </w:p>
        </w:tc>
        <w:tc>
          <w:tcPr>
            <w:tcW w:w="1266" w:type="dxa"/>
            <w:shd w:val="clear" w:color="auto" w:fill="FFFFFF"/>
            <w:vAlign w:val="center"/>
          </w:tcPr>
          <w:p w14:paraId="3EA19B62">
            <w:pPr>
              <w:numPr>
                <w:ilvl w:val="1"/>
                <w:numId w:val="11"/>
              </w:numPr>
              <w:ind w:left="0" w:firstLine="0"/>
              <w:rPr>
                <w:rFonts w:ascii="宋体" w:hAnsi="宋体"/>
                <w:color w:val="auto"/>
                <w:highlight w:val="none"/>
              </w:rPr>
            </w:pPr>
            <w:r>
              <w:rPr>
                <w:rFonts w:ascii="宋体" w:hAnsi="宋体"/>
                <w:color w:val="auto"/>
                <w:highlight w:val="none"/>
              </w:rPr>
              <w:t>切片标签</w:t>
            </w:r>
          </w:p>
        </w:tc>
        <w:tc>
          <w:tcPr>
            <w:tcW w:w="11545" w:type="dxa"/>
            <w:shd w:val="clear" w:color="auto" w:fill="FFFFFF"/>
            <w:vAlign w:val="center"/>
          </w:tcPr>
          <w:p w14:paraId="58D2CFF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系统中各个环节的信息有机关联，能自动根据包埋切片列表或重切深切列表生成切片条码标签，并能自动从免疫组化医嘱中提取标记物名称加到切片标签中，提供清晰规范的切片标签管理。</w:t>
            </w:r>
          </w:p>
        </w:tc>
      </w:tr>
      <w:tr w14:paraId="482BC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14" w:type="dxa"/>
            <w:vMerge w:val="continue"/>
            <w:shd w:val="clear" w:color="auto" w:fill="FFFFFF"/>
            <w:vAlign w:val="center"/>
          </w:tcPr>
          <w:p w14:paraId="41662CF4">
            <w:pPr>
              <w:numPr>
                <w:ilvl w:val="0"/>
                <w:numId w:val="11"/>
              </w:numPr>
              <w:rPr>
                <w:rFonts w:ascii="宋体" w:hAnsi="宋体" w:cs="宋体"/>
                <w:color w:val="auto"/>
                <w:szCs w:val="21"/>
                <w:highlight w:val="none"/>
              </w:rPr>
            </w:pPr>
          </w:p>
        </w:tc>
        <w:tc>
          <w:tcPr>
            <w:tcW w:w="1266" w:type="dxa"/>
            <w:shd w:val="clear" w:color="auto" w:fill="FFFFFF"/>
            <w:vAlign w:val="center"/>
          </w:tcPr>
          <w:p w14:paraId="07D756E6">
            <w:pPr>
              <w:numPr>
                <w:ilvl w:val="1"/>
                <w:numId w:val="11"/>
              </w:numPr>
              <w:ind w:left="0" w:firstLine="0"/>
              <w:rPr>
                <w:rFonts w:ascii="宋体" w:hAnsi="宋体"/>
                <w:color w:val="auto"/>
                <w:highlight w:val="none"/>
              </w:rPr>
            </w:pPr>
            <w:r>
              <w:rPr>
                <w:rFonts w:ascii="宋体" w:hAnsi="宋体"/>
                <w:color w:val="auto"/>
                <w:highlight w:val="none"/>
              </w:rPr>
              <w:t>技术质控</w:t>
            </w:r>
          </w:p>
        </w:tc>
        <w:tc>
          <w:tcPr>
            <w:tcW w:w="11545" w:type="dxa"/>
            <w:shd w:val="clear" w:color="auto" w:fill="FFFFFF"/>
            <w:vAlign w:val="center"/>
          </w:tcPr>
          <w:p w14:paraId="6B2D694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系统以工作列表和打印工作单的方式，对取材、包埋、切片、免疫组化染色、蜡块切片归档及借还片管理进行全程质控管理，并落实到每个病例的切片质量评价和技术组切片质量统计，即“优片率”统计，为病理科技术质控提供精确的管理工具。</w:t>
            </w:r>
          </w:p>
        </w:tc>
      </w:tr>
      <w:tr w14:paraId="37772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14" w:type="dxa"/>
            <w:vMerge w:val="continue"/>
            <w:shd w:val="clear" w:color="auto" w:fill="FFFFFF"/>
            <w:vAlign w:val="center"/>
          </w:tcPr>
          <w:p w14:paraId="52D229E7">
            <w:pPr>
              <w:numPr>
                <w:ilvl w:val="0"/>
                <w:numId w:val="11"/>
              </w:numPr>
              <w:rPr>
                <w:rFonts w:ascii="宋体" w:hAnsi="宋体" w:cs="宋体"/>
                <w:color w:val="auto"/>
                <w:szCs w:val="21"/>
                <w:highlight w:val="none"/>
              </w:rPr>
            </w:pPr>
          </w:p>
        </w:tc>
        <w:tc>
          <w:tcPr>
            <w:tcW w:w="1266" w:type="dxa"/>
            <w:shd w:val="clear" w:color="auto" w:fill="FFFFFF"/>
            <w:vAlign w:val="center"/>
          </w:tcPr>
          <w:p w14:paraId="639E593C">
            <w:pPr>
              <w:numPr>
                <w:ilvl w:val="1"/>
                <w:numId w:val="11"/>
              </w:numPr>
              <w:ind w:left="0" w:firstLine="0"/>
              <w:rPr>
                <w:rFonts w:ascii="宋体" w:hAnsi="宋体"/>
                <w:color w:val="auto"/>
                <w:highlight w:val="none"/>
              </w:rPr>
            </w:pPr>
            <w:r>
              <w:rPr>
                <w:rFonts w:ascii="宋体" w:hAnsi="宋体"/>
                <w:color w:val="auto"/>
                <w:highlight w:val="none"/>
              </w:rPr>
              <w:t>诊断质控</w:t>
            </w:r>
          </w:p>
        </w:tc>
        <w:tc>
          <w:tcPr>
            <w:tcW w:w="11545" w:type="dxa"/>
            <w:shd w:val="clear" w:color="auto" w:fill="FFFFFF"/>
            <w:vAlign w:val="center"/>
          </w:tcPr>
          <w:p w14:paraId="4CD2363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系统的定向复片和复片评价体系，不仅忠实记录各级医师诊断及复片结果，更提供结果评价与评价统计功能，对于强化医师诊断交流、量化各级医师诊断能力、合理促进梯队建设等病理诊断质控内容提供了有力工具。同时，系统能够提供术中快速诊断及时率统计工具。</w:t>
            </w:r>
          </w:p>
        </w:tc>
      </w:tr>
      <w:tr w14:paraId="41A26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14" w:type="dxa"/>
            <w:vMerge w:val="continue"/>
            <w:shd w:val="clear" w:color="auto" w:fill="FFFFFF"/>
            <w:vAlign w:val="center"/>
          </w:tcPr>
          <w:p w14:paraId="719FE1DB">
            <w:pPr>
              <w:numPr>
                <w:ilvl w:val="0"/>
                <w:numId w:val="11"/>
              </w:numPr>
              <w:rPr>
                <w:rFonts w:ascii="宋体" w:hAnsi="宋体" w:cs="宋体"/>
                <w:color w:val="auto"/>
                <w:szCs w:val="21"/>
                <w:highlight w:val="none"/>
              </w:rPr>
            </w:pPr>
          </w:p>
        </w:tc>
        <w:tc>
          <w:tcPr>
            <w:tcW w:w="1266" w:type="dxa"/>
            <w:shd w:val="clear" w:color="auto" w:fill="FFFFFF"/>
            <w:vAlign w:val="center"/>
          </w:tcPr>
          <w:p w14:paraId="1DA88CBE">
            <w:pPr>
              <w:numPr>
                <w:ilvl w:val="1"/>
                <w:numId w:val="11"/>
              </w:numPr>
              <w:ind w:left="0" w:firstLine="0"/>
              <w:rPr>
                <w:rFonts w:ascii="宋体" w:hAnsi="宋体"/>
                <w:color w:val="auto"/>
                <w:highlight w:val="none"/>
              </w:rPr>
            </w:pPr>
            <w:r>
              <w:rPr>
                <w:rFonts w:ascii="宋体" w:hAnsi="宋体"/>
                <w:color w:val="auto"/>
                <w:highlight w:val="none"/>
              </w:rPr>
              <w:t>结构化报告</w:t>
            </w:r>
          </w:p>
        </w:tc>
        <w:tc>
          <w:tcPr>
            <w:tcW w:w="11545" w:type="dxa"/>
            <w:shd w:val="clear" w:color="auto" w:fill="FFFFFF"/>
            <w:vAlign w:val="center"/>
          </w:tcPr>
          <w:p w14:paraId="662C040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系统针对二十类大标本和七类小标本，提供套装的标准报告模版，医生通过快速点选就能快速输出标准要求的肿瘤疾病结构化报告。</w:t>
            </w:r>
          </w:p>
        </w:tc>
      </w:tr>
      <w:tr w14:paraId="7EADB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14" w:type="dxa"/>
            <w:vMerge w:val="continue"/>
            <w:shd w:val="clear" w:color="auto" w:fill="FFFFFF"/>
            <w:vAlign w:val="center"/>
          </w:tcPr>
          <w:p w14:paraId="0FACE7F0">
            <w:pPr>
              <w:numPr>
                <w:ilvl w:val="0"/>
                <w:numId w:val="11"/>
              </w:numPr>
              <w:rPr>
                <w:rFonts w:ascii="宋体" w:hAnsi="宋体" w:cs="宋体"/>
                <w:color w:val="auto"/>
                <w:szCs w:val="21"/>
                <w:highlight w:val="none"/>
              </w:rPr>
            </w:pPr>
          </w:p>
        </w:tc>
        <w:tc>
          <w:tcPr>
            <w:tcW w:w="1266" w:type="dxa"/>
            <w:shd w:val="clear" w:color="auto" w:fill="FFFFFF"/>
            <w:vAlign w:val="center"/>
          </w:tcPr>
          <w:p w14:paraId="774A99EE">
            <w:pPr>
              <w:numPr>
                <w:ilvl w:val="1"/>
                <w:numId w:val="11"/>
              </w:numPr>
              <w:ind w:left="0" w:firstLine="0"/>
              <w:rPr>
                <w:rFonts w:ascii="宋体" w:hAnsi="宋体"/>
                <w:color w:val="auto"/>
                <w:highlight w:val="none"/>
              </w:rPr>
            </w:pPr>
            <w:r>
              <w:rPr>
                <w:rFonts w:ascii="宋体" w:hAnsi="宋体"/>
                <w:color w:val="auto"/>
                <w:highlight w:val="none"/>
              </w:rPr>
              <w:t>用户权限管理</w:t>
            </w:r>
          </w:p>
        </w:tc>
        <w:tc>
          <w:tcPr>
            <w:tcW w:w="11545" w:type="dxa"/>
            <w:shd w:val="clear" w:color="auto" w:fill="FFFFFF"/>
            <w:vAlign w:val="center"/>
          </w:tcPr>
          <w:p w14:paraId="0400451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系统重视报告信息的可控性、安全性，通过对整个工作流程中“人”的因素进行适当的控制和调节，来降低风险及明确责任。</w:t>
            </w:r>
          </w:p>
          <w:p w14:paraId="1966253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整个权限管理系统细分为七个用户级别，涵盖了工作流程中的各种用户角色，可以根据实际流程管理的需要为各个工作人员分配权限，为病理科工作管理提供全面实用的安全保障。</w:t>
            </w:r>
          </w:p>
        </w:tc>
      </w:tr>
      <w:tr w14:paraId="23681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14" w:type="dxa"/>
            <w:vMerge w:val="continue"/>
            <w:shd w:val="clear" w:color="auto" w:fill="FFFFFF"/>
            <w:vAlign w:val="center"/>
          </w:tcPr>
          <w:p w14:paraId="68C64268">
            <w:pPr>
              <w:numPr>
                <w:ilvl w:val="0"/>
                <w:numId w:val="11"/>
              </w:numPr>
              <w:rPr>
                <w:rFonts w:ascii="宋体" w:hAnsi="宋体" w:cs="宋体"/>
                <w:color w:val="auto"/>
                <w:szCs w:val="21"/>
                <w:highlight w:val="none"/>
              </w:rPr>
            </w:pPr>
          </w:p>
        </w:tc>
        <w:tc>
          <w:tcPr>
            <w:tcW w:w="1266" w:type="dxa"/>
            <w:shd w:val="clear" w:color="auto" w:fill="FFFFFF"/>
            <w:vAlign w:val="center"/>
          </w:tcPr>
          <w:p w14:paraId="18EE9156">
            <w:pPr>
              <w:numPr>
                <w:ilvl w:val="1"/>
                <w:numId w:val="11"/>
              </w:numPr>
              <w:ind w:left="0" w:firstLine="0"/>
              <w:rPr>
                <w:rFonts w:ascii="宋体" w:hAnsi="宋体"/>
                <w:color w:val="auto"/>
                <w:highlight w:val="none"/>
              </w:rPr>
            </w:pPr>
            <w:r>
              <w:rPr>
                <w:rFonts w:ascii="宋体" w:hAnsi="宋体"/>
                <w:color w:val="auto"/>
                <w:highlight w:val="none"/>
              </w:rPr>
              <w:t>报表与统计工具</w:t>
            </w:r>
          </w:p>
        </w:tc>
        <w:tc>
          <w:tcPr>
            <w:tcW w:w="11545" w:type="dxa"/>
            <w:shd w:val="clear" w:color="auto" w:fill="FFFFFF"/>
            <w:vAlign w:val="center"/>
          </w:tcPr>
          <w:p w14:paraId="134A45E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系统提供各类报表工具与统计工具，包含病理检查底单、病理医生工作量统计、病理检查登记本、科室工作量月报表、取材工作单、送检工作量月报表、切片工作单、技术医嘱月报表、染色工作单（标记物）、特检医嘱月报表、染色工作单（病理号）、切片质量月报表、报告签收单、诊断符合率月报表、门诊回执、复片情况统计、借片凭证、报告发放统计与重要报告痕迹查询等功能模块。</w:t>
            </w:r>
          </w:p>
        </w:tc>
      </w:tr>
    </w:tbl>
    <w:p w14:paraId="6B648F2B">
      <w:pPr>
        <w:rPr>
          <w:rFonts w:ascii="宋体" w:hAnsi="宋体"/>
          <w:color w:val="auto"/>
          <w:highlight w:val="none"/>
        </w:rPr>
      </w:pPr>
    </w:p>
    <w:p w14:paraId="0BD56414">
      <w:pPr>
        <w:rPr>
          <w:rFonts w:ascii="宋体" w:hAnsi="宋体"/>
          <w:color w:val="auto"/>
          <w:highlight w:val="none"/>
        </w:rPr>
      </w:pPr>
    </w:p>
    <w:p w14:paraId="146D05B2">
      <w:pPr>
        <w:rPr>
          <w:rFonts w:ascii="宋体" w:hAnsi="宋体"/>
          <w:color w:val="auto"/>
          <w:highlight w:val="none"/>
        </w:rPr>
      </w:pPr>
    </w:p>
    <w:p w14:paraId="35803A82">
      <w:pPr>
        <w:pStyle w:val="4"/>
        <w:numPr>
          <w:ilvl w:val="2"/>
          <w:numId w:val="9"/>
        </w:numPr>
        <w:spacing w:before="0" w:after="0" w:line="360" w:lineRule="auto"/>
        <w:ind w:left="567" w:hanging="567"/>
        <w:rPr>
          <w:color w:val="auto"/>
          <w:sz w:val="24"/>
          <w:highlight w:val="none"/>
        </w:rPr>
      </w:pPr>
      <w:r>
        <w:rPr>
          <w:rFonts w:hint="eastAsia" w:eastAsia="宋体"/>
          <w:color w:val="auto"/>
          <w:kern w:val="2"/>
          <w:sz w:val="24"/>
          <w:szCs w:val="24"/>
          <w:highlight w:val="none"/>
        </w:rPr>
        <w:t>预存扣款系统建设需求</w:t>
      </w:r>
    </w:p>
    <w:tbl>
      <w:tblPr>
        <w:tblStyle w:val="4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5"/>
        <w:gridCol w:w="1552"/>
        <w:gridCol w:w="7"/>
        <w:gridCol w:w="11083"/>
      </w:tblGrid>
      <w:tr w14:paraId="34CB1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235" w:type="dxa"/>
            <w:vAlign w:val="center"/>
          </w:tcPr>
          <w:p w14:paraId="13515396">
            <w:pPr>
              <w:jc w:val="center"/>
              <w:rPr>
                <w:rFonts w:ascii="宋体" w:hAnsi="宋体" w:cs="宋体"/>
                <w:color w:val="auto"/>
                <w:szCs w:val="21"/>
                <w:highlight w:val="none"/>
              </w:rPr>
            </w:pPr>
            <w:r>
              <w:rPr>
                <w:rFonts w:hint="eastAsia" w:ascii="宋体" w:hAnsi="宋体" w:cs="宋体"/>
                <w:color w:val="auto"/>
                <w:kern w:val="0"/>
                <w:szCs w:val="21"/>
                <w:highlight w:val="none"/>
              </w:rPr>
              <w:t>需求名称</w:t>
            </w:r>
          </w:p>
        </w:tc>
        <w:tc>
          <w:tcPr>
            <w:tcW w:w="1552" w:type="dxa"/>
            <w:vAlign w:val="center"/>
          </w:tcPr>
          <w:p w14:paraId="32006A79">
            <w:pPr>
              <w:jc w:val="center"/>
              <w:rPr>
                <w:color w:val="auto"/>
                <w:highlight w:val="none"/>
              </w:rPr>
            </w:pPr>
            <w:r>
              <w:rPr>
                <w:rFonts w:hint="eastAsia" w:ascii="宋体" w:hAnsi="宋体" w:cs="宋体"/>
                <w:color w:val="auto"/>
                <w:kern w:val="0"/>
                <w:szCs w:val="21"/>
                <w:highlight w:val="none"/>
              </w:rPr>
              <w:t>序号</w:t>
            </w:r>
          </w:p>
        </w:tc>
        <w:tc>
          <w:tcPr>
            <w:tcW w:w="11090" w:type="dxa"/>
            <w:gridSpan w:val="2"/>
            <w:vAlign w:val="center"/>
          </w:tcPr>
          <w:p w14:paraId="55017AA6">
            <w:pPr>
              <w:jc w:val="center"/>
              <w:rPr>
                <w:color w:val="auto"/>
                <w:highlight w:val="none"/>
              </w:rPr>
            </w:pPr>
            <w:r>
              <w:rPr>
                <w:rFonts w:hint="eastAsia" w:ascii="宋体" w:hAnsi="宋体" w:cs="宋体"/>
                <w:color w:val="auto"/>
                <w:kern w:val="0"/>
                <w:szCs w:val="21"/>
                <w:highlight w:val="none"/>
              </w:rPr>
              <w:t>需求描述</w:t>
            </w:r>
          </w:p>
        </w:tc>
      </w:tr>
      <w:tr w14:paraId="4945C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restart"/>
            <w:vAlign w:val="center"/>
          </w:tcPr>
          <w:p w14:paraId="6D868EA3">
            <w:pPr>
              <w:numPr>
                <w:ilvl w:val="0"/>
                <w:numId w:val="11"/>
              </w:numPr>
              <w:rPr>
                <w:rFonts w:ascii="宋体" w:hAnsi="宋体" w:cs="宋体"/>
                <w:color w:val="auto"/>
                <w:szCs w:val="21"/>
                <w:highlight w:val="none"/>
              </w:rPr>
            </w:pPr>
            <w:r>
              <w:rPr>
                <w:rFonts w:hint="eastAsia" w:ascii="宋体" w:hAnsi="宋体" w:cs="宋体"/>
                <w:color w:val="auto"/>
                <w:szCs w:val="21"/>
                <w:highlight w:val="none"/>
              </w:rPr>
              <w:t>预存扣款系统（预交金）</w:t>
            </w:r>
          </w:p>
        </w:tc>
        <w:tc>
          <w:tcPr>
            <w:tcW w:w="12642" w:type="dxa"/>
            <w:gridSpan w:val="3"/>
            <w:vAlign w:val="center"/>
          </w:tcPr>
          <w:p w14:paraId="5E1AE811">
            <w:pPr>
              <w:numPr>
                <w:ilvl w:val="1"/>
                <w:numId w:val="11"/>
              </w:numPr>
              <w:ind w:left="0" w:firstLine="0"/>
              <w:rPr>
                <w:rFonts w:ascii="宋体" w:hAnsi="宋体" w:cs="宋体"/>
                <w:color w:val="auto"/>
                <w:kern w:val="0"/>
                <w:szCs w:val="21"/>
                <w:highlight w:val="none"/>
              </w:rPr>
            </w:pPr>
            <w:r>
              <w:rPr>
                <w:rFonts w:hint="eastAsia"/>
                <w:color w:val="auto"/>
                <w:highlight w:val="none"/>
              </w:rPr>
              <w:t>档案管理</w:t>
            </w:r>
          </w:p>
        </w:tc>
      </w:tr>
      <w:tr w14:paraId="31856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1406008A">
            <w:pPr>
              <w:rPr>
                <w:rFonts w:ascii="宋体" w:hAnsi="宋体" w:cs="宋体"/>
                <w:color w:val="auto"/>
                <w:szCs w:val="21"/>
                <w:highlight w:val="none"/>
              </w:rPr>
            </w:pPr>
          </w:p>
        </w:tc>
        <w:tc>
          <w:tcPr>
            <w:tcW w:w="1559" w:type="dxa"/>
            <w:gridSpan w:val="2"/>
            <w:vAlign w:val="center"/>
          </w:tcPr>
          <w:p w14:paraId="454F5E76">
            <w:pPr>
              <w:numPr>
                <w:ilvl w:val="2"/>
                <w:numId w:val="11"/>
              </w:numPr>
              <w:ind w:left="0" w:firstLine="0"/>
              <w:rPr>
                <w:rFonts w:ascii="Times New Roman" w:hAnsi="Times New Roman"/>
                <w:color w:val="auto"/>
                <w:highlight w:val="none"/>
              </w:rPr>
            </w:pPr>
            <w:r>
              <w:rPr>
                <w:rFonts w:hint="eastAsia" w:ascii="Times New Roman" w:hAnsi="Times New Roman"/>
                <w:color w:val="auto"/>
                <w:highlight w:val="none"/>
              </w:rPr>
              <w:t>患者全流程统一档案管理</w:t>
            </w:r>
          </w:p>
        </w:tc>
        <w:tc>
          <w:tcPr>
            <w:tcW w:w="11083" w:type="dxa"/>
            <w:vAlign w:val="center"/>
          </w:tcPr>
          <w:p w14:paraId="10E7B4C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基于患者院内或机构间唯一主索引号对患者全流程就医档案进行管理。</w:t>
            </w:r>
          </w:p>
          <w:p w14:paraId="240EFCF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在唯一主索引的前提下，对病人档案在门诊、住院场景下实现数据互通</w:t>
            </w:r>
          </w:p>
          <w:p w14:paraId="6E0ADB2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在医联体或集团医院内实现医疗活动全数据共享。</w:t>
            </w:r>
          </w:p>
        </w:tc>
      </w:tr>
      <w:tr w14:paraId="6F1AE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66C8E86E">
            <w:pPr>
              <w:rPr>
                <w:rFonts w:ascii="宋体" w:hAnsi="宋体" w:cs="宋体"/>
                <w:color w:val="auto"/>
                <w:szCs w:val="21"/>
                <w:highlight w:val="none"/>
              </w:rPr>
            </w:pPr>
          </w:p>
        </w:tc>
        <w:tc>
          <w:tcPr>
            <w:tcW w:w="1559" w:type="dxa"/>
            <w:gridSpan w:val="2"/>
            <w:vAlign w:val="center"/>
          </w:tcPr>
          <w:p w14:paraId="4489A9DD">
            <w:pPr>
              <w:numPr>
                <w:ilvl w:val="2"/>
                <w:numId w:val="11"/>
              </w:numPr>
              <w:ind w:left="0" w:firstLine="0"/>
              <w:rPr>
                <w:rFonts w:ascii="Times New Roman" w:hAnsi="Times New Roman"/>
                <w:color w:val="auto"/>
                <w:highlight w:val="none"/>
              </w:rPr>
            </w:pPr>
            <w:r>
              <w:rPr>
                <w:rFonts w:hint="eastAsia" w:ascii="Times New Roman" w:hAnsi="Times New Roman"/>
                <w:color w:val="auto"/>
                <w:highlight w:val="none"/>
              </w:rPr>
              <w:t>多环境建档</w:t>
            </w:r>
          </w:p>
        </w:tc>
        <w:tc>
          <w:tcPr>
            <w:tcW w:w="11083" w:type="dxa"/>
            <w:vAlign w:val="center"/>
          </w:tcPr>
          <w:p w14:paraId="70465E5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在患者院内或机构间唯一主索引号的支持下，以移动端自主建档、自助终端建档结合原有人工窗口建档横向扩展建档流程的使用场景；</w:t>
            </w:r>
          </w:p>
          <w:p w14:paraId="569D643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以身份证、护照、就诊卡、银行卡、医保卡、电子医保凭证、帐户卡、市民卡、邮箱、手机号信息认证纵向延伸建档流程的支持方式。</w:t>
            </w:r>
          </w:p>
        </w:tc>
      </w:tr>
      <w:tr w14:paraId="4B198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7678D035">
            <w:pPr>
              <w:rPr>
                <w:rFonts w:ascii="宋体" w:hAnsi="宋体" w:cs="宋体"/>
                <w:color w:val="auto"/>
                <w:szCs w:val="21"/>
                <w:highlight w:val="none"/>
              </w:rPr>
            </w:pPr>
          </w:p>
        </w:tc>
        <w:tc>
          <w:tcPr>
            <w:tcW w:w="1559" w:type="dxa"/>
            <w:gridSpan w:val="2"/>
            <w:vAlign w:val="center"/>
          </w:tcPr>
          <w:p w14:paraId="13D87FA9">
            <w:pPr>
              <w:numPr>
                <w:ilvl w:val="2"/>
                <w:numId w:val="11"/>
              </w:numPr>
              <w:ind w:left="0" w:firstLine="0"/>
              <w:rPr>
                <w:rFonts w:ascii="Times New Roman" w:hAnsi="Times New Roman"/>
                <w:color w:val="auto"/>
                <w:highlight w:val="none"/>
              </w:rPr>
            </w:pPr>
            <w:r>
              <w:rPr>
                <w:rFonts w:hint="eastAsia" w:ascii="Times New Roman" w:hAnsi="Times New Roman"/>
                <w:color w:val="auto"/>
                <w:highlight w:val="none"/>
              </w:rPr>
              <w:t>自定义建档管理</w:t>
            </w:r>
          </w:p>
        </w:tc>
        <w:tc>
          <w:tcPr>
            <w:tcW w:w="11083" w:type="dxa"/>
            <w:vAlign w:val="center"/>
          </w:tcPr>
          <w:p w14:paraId="73A63A5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支持自定义完善建档信息，从院前信息读取、院中信息查询浏览修改、院后配送地址录入及特殊情况下注销病人档案功能完善全流程档案管理。并支持基于患者类别定义优惠类别。</w:t>
            </w:r>
          </w:p>
        </w:tc>
      </w:tr>
      <w:tr w14:paraId="47FC9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2D191010">
            <w:pPr>
              <w:rPr>
                <w:rFonts w:ascii="宋体" w:hAnsi="宋体" w:cs="宋体"/>
                <w:color w:val="auto"/>
                <w:szCs w:val="21"/>
                <w:highlight w:val="none"/>
              </w:rPr>
            </w:pPr>
          </w:p>
        </w:tc>
        <w:tc>
          <w:tcPr>
            <w:tcW w:w="1559" w:type="dxa"/>
            <w:gridSpan w:val="2"/>
            <w:vAlign w:val="center"/>
          </w:tcPr>
          <w:p w14:paraId="3589F14E">
            <w:pPr>
              <w:numPr>
                <w:ilvl w:val="2"/>
                <w:numId w:val="11"/>
              </w:numPr>
              <w:ind w:left="0" w:firstLine="0"/>
              <w:rPr>
                <w:rFonts w:ascii="Times New Roman" w:hAnsi="Times New Roman"/>
                <w:color w:val="auto"/>
                <w:highlight w:val="none"/>
              </w:rPr>
            </w:pPr>
            <w:r>
              <w:rPr>
                <w:rFonts w:hint="eastAsia" w:ascii="Times New Roman" w:hAnsi="Times New Roman"/>
                <w:color w:val="auto"/>
                <w:highlight w:val="none"/>
              </w:rPr>
              <w:t>智能档案合并</w:t>
            </w:r>
          </w:p>
        </w:tc>
        <w:tc>
          <w:tcPr>
            <w:tcW w:w="11083" w:type="dxa"/>
            <w:vAlign w:val="center"/>
          </w:tcPr>
          <w:p w14:paraId="07FB1FB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支持基于内嵌式主索引对在院重复建档的患者进行患者档案信息的合并。</w:t>
            </w:r>
          </w:p>
        </w:tc>
      </w:tr>
      <w:tr w14:paraId="52653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41041FBE">
            <w:pPr>
              <w:rPr>
                <w:rFonts w:ascii="宋体" w:hAnsi="宋体" w:cs="宋体"/>
                <w:color w:val="auto"/>
                <w:szCs w:val="21"/>
                <w:highlight w:val="none"/>
              </w:rPr>
            </w:pPr>
          </w:p>
        </w:tc>
        <w:tc>
          <w:tcPr>
            <w:tcW w:w="12642" w:type="dxa"/>
            <w:gridSpan w:val="3"/>
            <w:vAlign w:val="center"/>
          </w:tcPr>
          <w:p w14:paraId="56428E98">
            <w:pPr>
              <w:numPr>
                <w:ilvl w:val="1"/>
                <w:numId w:val="11"/>
              </w:numPr>
              <w:ind w:left="0" w:firstLine="0"/>
              <w:rPr>
                <w:rFonts w:ascii="Times New Roman" w:hAnsi="Times New Roman"/>
                <w:color w:val="auto"/>
                <w:highlight w:val="none"/>
              </w:rPr>
            </w:pPr>
            <w:r>
              <w:rPr>
                <w:rFonts w:hint="eastAsia" w:ascii="Times New Roman" w:hAnsi="Times New Roman"/>
                <w:color w:val="auto"/>
                <w:highlight w:val="none"/>
              </w:rPr>
              <w:t>账户管理</w:t>
            </w:r>
          </w:p>
        </w:tc>
      </w:tr>
      <w:tr w14:paraId="5C352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10F54101">
            <w:pPr>
              <w:rPr>
                <w:rFonts w:ascii="宋体" w:hAnsi="宋体" w:cs="宋体"/>
                <w:color w:val="auto"/>
                <w:szCs w:val="21"/>
                <w:highlight w:val="none"/>
              </w:rPr>
            </w:pPr>
          </w:p>
        </w:tc>
        <w:tc>
          <w:tcPr>
            <w:tcW w:w="1559" w:type="dxa"/>
            <w:gridSpan w:val="2"/>
            <w:vAlign w:val="center"/>
          </w:tcPr>
          <w:p w14:paraId="2BCB6D40">
            <w:pPr>
              <w:numPr>
                <w:ilvl w:val="2"/>
                <w:numId w:val="11"/>
              </w:numPr>
              <w:ind w:left="0" w:firstLine="0"/>
              <w:rPr>
                <w:rFonts w:ascii="Times New Roman" w:hAnsi="Times New Roman"/>
                <w:color w:val="auto"/>
                <w:highlight w:val="none"/>
              </w:rPr>
            </w:pPr>
            <w:r>
              <w:rPr>
                <w:rFonts w:hint="eastAsia" w:ascii="Times New Roman" w:hAnsi="Times New Roman"/>
                <w:color w:val="auto"/>
                <w:highlight w:val="none"/>
              </w:rPr>
              <w:t>统一账户管理</w:t>
            </w:r>
          </w:p>
        </w:tc>
        <w:tc>
          <w:tcPr>
            <w:tcW w:w="11083" w:type="dxa"/>
            <w:vAlign w:val="center"/>
          </w:tcPr>
          <w:p w14:paraId="362AF85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以患者唯一主索引号建立单医院或多医院的统一账户管理系统，在此账户中，支持储值金预存款及其收支明细查询功能；</w:t>
            </w:r>
          </w:p>
          <w:p w14:paraId="2985A4A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支持基于处理类型等多业务维度检索过滤收支记录；</w:t>
            </w:r>
          </w:p>
          <w:p w14:paraId="070B6BD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通过对当前操作员所有收退的未结账储值金记录查询功能，管理账户操作。</w:t>
            </w:r>
          </w:p>
        </w:tc>
      </w:tr>
      <w:tr w14:paraId="7AE43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7DFF6A05">
            <w:pPr>
              <w:rPr>
                <w:rFonts w:ascii="宋体" w:hAnsi="宋体" w:cs="宋体"/>
                <w:color w:val="auto"/>
                <w:szCs w:val="21"/>
                <w:highlight w:val="none"/>
              </w:rPr>
            </w:pPr>
          </w:p>
        </w:tc>
        <w:tc>
          <w:tcPr>
            <w:tcW w:w="1559" w:type="dxa"/>
            <w:gridSpan w:val="2"/>
            <w:vAlign w:val="center"/>
          </w:tcPr>
          <w:p w14:paraId="4A933F79">
            <w:pPr>
              <w:numPr>
                <w:ilvl w:val="2"/>
                <w:numId w:val="11"/>
              </w:numPr>
              <w:ind w:left="0" w:firstLine="0"/>
              <w:rPr>
                <w:rFonts w:ascii="Times New Roman" w:hAnsi="Times New Roman"/>
                <w:color w:val="auto"/>
                <w:highlight w:val="none"/>
              </w:rPr>
            </w:pPr>
            <w:r>
              <w:rPr>
                <w:rFonts w:hint="eastAsia" w:ascii="Times New Roman" w:hAnsi="Times New Roman"/>
                <w:color w:val="auto"/>
                <w:highlight w:val="none"/>
              </w:rPr>
              <w:t>账户信用额度管理</w:t>
            </w:r>
          </w:p>
        </w:tc>
        <w:tc>
          <w:tcPr>
            <w:tcW w:w="11083" w:type="dxa"/>
            <w:vAlign w:val="center"/>
          </w:tcPr>
          <w:p w14:paraId="0DF6CFF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以统一账户管理支持信用就医流程，在信用额度中，提供患者信用额度的修改功能；</w:t>
            </w:r>
          </w:p>
          <w:p w14:paraId="5094E36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提供患者第三方担保的修改功能；提供结束就诊后的统一支付功能。</w:t>
            </w:r>
          </w:p>
        </w:tc>
      </w:tr>
      <w:tr w14:paraId="386A4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1F2CED70">
            <w:pPr>
              <w:rPr>
                <w:rFonts w:ascii="宋体" w:hAnsi="宋体" w:cs="宋体"/>
                <w:color w:val="auto"/>
                <w:szCs w:val="21"/>
                <w:highlight w:val="none"/>
              </w:rPr>
            </w:pPr>
          </w:p>
        </w:tc>
        <w:tc>
          <w:tcPr>
            <w:tcW w:w="1559" w:type="dxa"/>
            <w:gridSpan w:val="2"/>
            <w:vAlign w:val="center"/>
          </w:tcPr>
          <w:p w14:paraId="199DB456">
            <w:pPr>
              <w:numPr>
                <w:ilvl w:val="2"/>
                <w:numId w:val="11"/>
              </w:numPr>
              <w:ind w:left="0" w:firstLine="0"/>
              <w:rPr>
                <w:rFonts w:ascii="Times New Roman" w:hAnsi="Times New Roman"/>
                <w:color w:val="auto"/>
                <w:highlight w:val="none"/>
              </w:rPr>
            </w:pPr>
            <w:r>
              <w:rPr>
                <w:rFonts w:hint="eastAsia" w:ascii="Times New Roman" w:hAnsi="Times New Roman"/>
                <w:color w:val="auto"/>
                <w:highlight w:val="none"/>
              </w:rPr>
              <w:t>账户退款管理</w:t>
            </w:r>
          </w:p>
        </w:tc>
        <w:tc>
          <w:tcPr>
            <w:tcW w:w="11083" w:type="dxa"/>
            <w:vAlign w:val="center"/>
          </w:tcPr>
          <w:p w14:paraId="521C082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以统一账户管理支撑账户退款功能，默认按原付款路径退回，并在业务流程中提供多种缴退款方式，包括现金、支票、银行卡以及支付宝、微信等；</w:t>
            </w:r>
          </w:p>
          <w:p w14:paraId="1870BF5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支持提供缴退款凭证补打功能。</w:t>
            </w:r>
          </w:p>
        </w:tc>
      </w:tr>
      <w:tr w14:paraId="08907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609CF57D">
            <w:pPr>
              <w:rPr>
                <w:rFonts w:ascii="宋体" w:hAnsi="宋体" w:cs="宋体"/>
                <w:color w:val="auto"/>
                <w:szCs w:val="21"/>
                <w:highlight w:val="none"/>
              </w:rPr>
            </w:pPr>
          </w:p>
        </w:tc>
        <w:tc>
          <w:tcPr>
            <w:tcW w:w="1559" w:type="dxa"/>
            <w:gridSpan w:val="2"/>
            <w:vAlign w:val="center"/>
          </w:tcPr>
          <w:p w14:paraId="00829DF9">
            <w:pPr>
              <w:numPr>
                <w:ilvl w:val="2"/>
                <w:numId w:val="11"/>
              </w:numPr>
              <w:ind w:left="0" w:firstLine="0"/>
              <w:rPr>
                <w:rFonts w:ascii="Times New Roman" w:hAnsi="Times New Roman"/>
                <w:color w:val="auto"/>
                <w:highlight w:val="none"/>
              </w:rPr>
            </w:pPr>
            <w:r>
              <w:rPr>
                <w:rFonts w:hint="eastAsia" w:ascii="Times New Roman" w:hAnsi="Times New Roman"/>
                <w:color w:val="auto"/>
                <w:highlight w:val="none"/>
              </w:rPr>
              <w:t>账户就诊卡管理</w:t>
            </w:r>
          </w:p>
        </w:tc>
        <w:tc>
          <w:tcPr>
            <w:tcW w:w="11083" w:type="dxa"/>
            <w:vAlign w:val="center"/>
          </w:tcPr>
          <w:p w14:paraId="2DF2F99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以患者统一账户结合患者唯一主索引，并关联账户下各式诊疗卡，并在业务流程中支持换卡处理，换卡后病人档案自动关联到新的就诊卡上，原就诊卡作废；</w:t>
            </w:r>
          </w:p>
          <w:p w14:paraId="5D5E5FD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支持账户或就诊卡挂失后的无密码取款功能；支持取消挂失功能。</w:t>
            </w:r>
          </w:p>
        </w:tc>
      </w:tr>
      <w:tr w14:paraId="3A6B5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29D49C24">
            <w:pPr>
              <w:rPr>
                <w:rFonts w:ascii="宋体" w:hAnsi="宋体" w:cs="宋体"/>
                <w:color w:val="auto"/>
                <w:szCs w:val="21"/>
                <w:highlight w:val="none"/>
              </w:rPr>
            </w:pPr>
          </w:p>
        </w:tc>
        <w:tc>
          <w:tcPr>
            <w:tcW w:w="1559" w:type="dxa"/>
            <w:gridSpan w:val="2"/>
            <w:vAlign w:val="center"/>
          </w:tcPr>
          <w:p w14:paraId="5C76E7C5">
            <w:pPr>
              <w:numPr>
                <w:ilvl w:val="2"/>
                <w:numId w:val="11"/>
              </w:numPr>
              <w:ind w:left="0" w:firstLine="0"/>
              <w:rPr>
                <w:rFonts w:ascii="Times New Roman" w:hAnsi="Times New Roman"/>
                <w:color w:val="auto"/>
                <w:highlight w:val="none"/>
              </w:rPr>
            </w:pPr>
            <w:r>
              <w:rPr>
                <w:rFonts w:hint="eastAsia" w:ascii="Times New Roman" w:hAnsi="Times New Roman"/>
                <w:color w:val="auto"/>
                <w:highlight w:val="none"/>
              </w:rPr>
              <w:t>账户发票管理</w:t>
            </w:r>
          </w:p>
        </w:tc>
        <w:tc>
          <w:tcPr>
            <w:tcW w:w="11083" w:type="dxa"/>
            <w:vAlign w:val="center"/>
          </w:tcPr>
          <w:p w14:paraId="58A6507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对账户下所有发票进行统一管理，提供账户发票合并打印，将患者一笔或者多笔未打印正式发票的收费信息合并打印在同一张发票上；</w:t>
            </w:r>
          </w:p>
          <w:p w14:paraId="7F6A1EF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提供发票合并打印后，也可以作废重新打印；</w:t>
            </w:r>
          </w:p>
          <w:p w14:paraId="253341A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提供账户发票打印正式发票或打印虚拟发票；提供自动结账功能，自动将业务发生日期到结账日期内的所有未结账的开户金额、追缴金额、退款金额以及人数进行统计汇总。</w:t>
            </w:r>
          </w:p>
        </w:tc>
      </w:tr>
      <w:tr w14:paraId="70B63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41F0CA3C">
            <w:pPr>
              <w:rPr>
                <w:rFonts w:ascii="宋体" w:hAnsi="宋体" w:cs="宋体"/>
                <w:color w:val="auto"/>
                <w:szCs w:val="21"/>
                <w:highlight w:val="none"/>
              </w:rPr>
            </w:pPr>
          </w:p>
        </w:tc>
        <w:tc>
          <w:tcPr>
            <w:tcW w:w="12642" w:type="dxa"/>
            <w:gridSpan w:val="3"/>
            <w:vAlign w:val="center"/>
          </w:tcPr>
          <w:p w14:paraId="4D8B367D">
            <w:pPr>
              <w:numPr>
                <w:ilvl w:val="1"/>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储值金查询</w:t>
            </w:r>
          </w:p>
        </w:tc>
      </w:tr>
      <w:tr w14:paraId="02DD7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19C1C573">
            <w:pPr>
              <w:rPr>
                <w:rFonts w:ascii="宋体" w:hAnsi="宋体" w:cs="宋体"/>
                <w:color w:val="auto"/>
                <w:szCs w:val="21"/>
                <w:highlight w:val="none"/>
              </w:rPr>
            </w:pPr>
          </w:p>
        </w:tc>
        <w:tc>
          <w:tcPr>
            <w:tcW w:w="1559" w:type="dxa"/>
            <w:gridSpan w:val="2"/>
            <w:vAlign w:val="center"/>
          </w:tcPr>
          <w:p w14:paraId="39C08B58">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储值金查询</w:t>
            </w:r>
          </w:p>
        </w:tc>
        <w:tc>
          <w:tcPr>
            <w:tcW w:w="11083" w:type="dxa"/>
            <w:vAlign w:val="center"/>
          </w:tcPr>
          <w:p w14:paraId="2AAE7C26">
            <w:pPr>
              <w:numPr>
                <w:ilvl w:val="0"/>
                <w:numId w:val="22"/>
              </w:numPr>
              <w:rPr>
                <w:rFonts w:ascii="宋体" w:hAnsi="宋体" w:cs="宋体"/>
                <w:color w:val="auto"/>
                <w:kern w:val="0"/>
                <w:szCs w:val="21"/>
                <w:highlight w:val="none"/>
              </w:rPr>
            </w:pPr>
            <w:r>
              <w:rPr>
                <w:rFonts w:hint="eastAsia" w:ascii="宋体" w:hAnsi="宋体" w:cs="宋体"/>
                <w:color w:val="auto"/>
                <w:kern w:val="0"/>
                <w:szCs w:val="21"/>
                <w:highlight w:val="none"/>
              </w:rPr>
              <w:t>基于统一账户管理，提供当前租户下储值金缴收支明细查询查询，支持根据储值金收退款类型、机构、缴退日期、患者、票据号、交易流水号、收退款人员等多重维度的查询过滤。</w:t>
            </w:r>
          </w:p>
        </w:tc>
      </w:tr>
      <w:tr w14:paraId="3B0F3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04D3E2E2">
            <w:pPr>
              <w:rPr>
                <w:rFonts w:ascii="宋体" w:hAnsi="宋体" w:cs="宋体"/>
                <w:color w:val="auto"/>
                <w:szCs w:val="21"/>
                <w:highlight w:val="none"/>
              </w:rPr>
            </w:pPr>
          </w:p>
        </w:tc>
        <w:tc>
          <w:tcPr>
            <w:tcW w:w="12642" w:type="dxa"/>
            <w:gridSpan w:val="3"/>
            <w:vAlign w:val="center"/>
          </w:tcPr>
          <w:p w14:paraId="4FB3AD61">
            <w:pPr>
              <w:numPr>
                <w:ilvl w:val="1"/>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患者特殊病种管理</w:t>
            </w:r>
          </w:p>
        </w:tc>
      </w:tr>
      <w:tr w14:paraId="14B63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510A91BD">
            <w:pPr>
              <w:rPr>
                <w:rFonts w:ascii="宋体" w:hAnsi="宋体" w:cs="宋体"/>
                <w:color w:val="auto"/>
                <w:szCs w:val="21"/>
                <w:highlight w:val="none"/>
              </w:rPr>
            </w:pPr>
          </w:p>
        </w:tc>
        <w:tc>
          <w:tcPr>
            <w:tcW w:w="1559" w:type="dxa"/>
            <w:gridSpan w:val="2"/>
            <w:vAlign w:val="center"/>
          </w:tcPr>
          <w:p w14:paraId="1D85D59B">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患者特殊病种管理</w:t>
            </w:r>
          </w:p>
        </w:tc>
        <w:tc>
          <w:tcPr>
            <w:tcW w:w="11083" w:type="dxa"/>
            <w:vAlign w:val="center"/>
          </w:tcPr>
          <w:p w14:paraId="32605BE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基于患者诊疗活动中特殊病种进行个性化、精细化、规范化管理。提供按照医院个性化定义特殊病种类型及性质并对门诊、住院患者的特殊病种登记处理；</w:t>
            </w:r>
          </w:p>
          <w:p w14:paraId="35B2500F">
            <w:pPr>
              <w:numPr>
                <w:ilvl w:val="0"/>
                <w:numId w:val="23"/>
              </w:numPr>
              <w:rPr>
                <w:rFonts w:ascii="宋体" w:hAnsi="宋体" w:cs="宋体"/>
                <w:bCs/>
                <w:color w:val="auto"/>
                <w:szCs w:val="21"/>
                <w:highlight w:val="none"/>
              </w:rPr>
            </w:pPr>
            <w:r>
              <w:rPr>
                <w:rFonts w:hint="eastAsia" w:ascii="宋体" w:hAnsi="宋体" w:cs="宋体"/>
                <w:bCs/>
                <w:color w:val="auto"/>
                <w:szCs w:val="21"/>
                <w:highlight w:val="none"/>
              </w:rPr>
              <w:t>提供特殊病种登记信息的查询、新建、修改、删除和导出，包括患者信息、病种名称、疾病诊断等内容。</w:t>
            </w:r>
          </w:p>
        </w:tc>
      </w:tr>
      <w:tr w14:paraId="4DE63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2C71A103">
            <w:pPr>
              <w:rPr>
                <w:rFonts w:ascii="宋体" w:hAnsi="宋体" w:cs="宋体"/>
                <w:color w:val="auto"/>
                <w:szCs w:val="21"/>
                <w:highlight w:val="none"/>
              </w:rPr>
            </w:pPr>
          </w:p>
        </w:tc>
        <w:tc>
          <w:tcPr>
            <w:tcW w:w="12642" w:type="dxa"/>
            <w:gridSpan w:val="3"/>
            <w:vAlign w:val="center"/>
          </w:tcPr>
          <w:p w14:paraId="1E3AB95F">
            <w:pPr>
              <w:numPr>
                <w:ilvl w:val="1"/>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患者记费退费管理</w:t>
            </w:r>
          </w:p>
        </w:tc>
      </w:tr>
      <w:tr w14:paraId="335E3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14DA64E8">
            <w:pPr>
              <w:rPr>
                <w:rFonts w:ascii="宋体" w:hAnsi="宋体" w:cs="宋体"/>
                <w:color w:val="auto"/>
                <w:szCs w:val="21"/>
                <w:highlight w:val="none"/>
              </w:rPr>
            </w:pPr>
          </w:p>
        </w:tc>
        <w:tc>
          <w:tcPr>
            <w:tcW w:w="1559" w:type="dxa"/>
            <w:gridSpan w:val="2"/>
            <w:vAlign w:val="center"/>
          </w:tcPr>
          <w:p w14:paraId="195DE071">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记费全场景管理</w:t>
            </w:r>
          </w:p>
        </w:tc>
        <w:tc>
          <w:tcPr>
            <w:tcW w:w="11083" w:type="dxa"/>
            <w:vAlign w:val="center"/>
          </w:tcPr>
          <w:p w14:paraId="4177FF7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基于统一账户管理，做到记费功能在全院、全机构院区中全场景应用。</w:t>
            </w:r>
          </w:p>
          <w:p w14:paraId="338FEC05">
            <w:pPr>
              <w:numPr>
                <w:ilvl w:val="0"/>
                <w:numId w:val="12"/>
              </w:numPr>
              <w:tabs>
                <w:tab w:val="left" w:pos="525"/>
                <w:tab w:val="left" w:pos="630"/>
              </w:tabs>
              <w:spacing w:line="360" w:lineRule="auto"/>
              <w:rPr>
                <w:rFonts w:ascii="宋体" w:hAnsi="宋体" w:cs="宋体"/>
                <w:color w:val="auto"/>
                <w:kern w:val="0"/>
                <w:szCs w:val="21"/>
                <w:highlight w:val="none"/>
              </w:rPr>
            </w:pPr>
            <w:r>
              <w:rPr>
                <w:rFonts w:hint="eastAsia" w:ascii="宋体" w:hAnsi="宋体" w:cs="宋体"/>
                <w:bCs/>
                <w:color w:val="auto"/>
                <w:szCs w:val="21"/>
                <w:highlight w:val="none"/>
              </w:rPr>
              <w:t>如提供已建档患者在门诊收费窗口刷卡缴费；在药房直接进行发药并扣费；在医技科室直接执行检查并刷卡缴费；在医生站刷卡缴纳全部就诊费用；在皮试台直接进行皮试并刷卡缴费；在治疗室直接进行治疗并刷卡缴费等全流程收费应用管理。</w:t>
            </w:r>
          </w:p>
        </w:tc>
      </w:tr>
      <w:tr w14:paraId="2FB48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418AE7EC">
            <w:pPr>
              <w:rPr>
                <w:rFonts w:ascii="宋体" w:hAnsi="宋体" w:cs="宋体"/>
                <w:color w:val="auto"/>
                <w:szCs w:val="21"/>
                <w:highlight w:val="none"/>
              </w:rPr>
            </w:pPr>
          </w:p>
        </w:tc>
        <w:tc>
          <w:tcPr>
            <w:tcW w:w="1559" w:type="dxa"/>
            <w:gridSpan w:val="2"/>
            <w:vAlign w:val="center"/>
          </w:tcPr>
          <w:p w14:paraId="08F031CA">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退费全场景管理</w:t>
            </w:r>
          </w:p>
        </w:tc>
        <w:tc>
          <w:tcPr>
            <w:tcW w:w="11083" w:type="dxa"/>
            <w:vAlign w:val="center"/>
          </w:tcPr>
          <w:p w14:paraId="01B2B8D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基于统一账户管理，做到退费功能在全院、全机构院区中全场景应用。</w:t>
            </w:r>
          </w:p>
          <w:p w14:paraId="4069311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如提供药房、医技科室、医生站等所有记费统一在门诊退费；</w:t>
            </w:r>
          </w:p>
          <w:p w14:paraId="1E8D59A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提供记费与退费同一地点，如药房取消发药时退费，医技科室取消执行时退费操作。</w:t>
            </w:r>
          </w:p>
        </w:tc>
      </w:tr>
    </w:tbl>
    <w:p w14:paraId="3C837166">
      <w:pPr>
        <w:rPr>
          <w:color w:val="auto"/>
          <w:highlight w:val="none"/>
        </w:rPr>
      </w:pPr>
    </w:p>
    <w:p w14:paraId="19A23464">
      <w:pPr>
        <w:pStyle w:val="4"/>
        <w:numPr>
          <w:ilvl w:val="2"/>
          <w:numId w:val="9"/>
        </w:numPr>
        <w:spacing w:before="0" w:after="0" w:line="360" w:lineRule="auto"/>
        <w:ind w:left="567" w:hanging="567"/>
        <w:rPr>
          <w:color w:val="auto"/>
          <w:sz w:val="24"/>
          <w:highlight w:val="none"/>
        </w:rPr>
      </w:pPr>
      <w:r>
        <w:rPr>
          <w:rFonts w:hint="eastAsia" w:eastAsia="宋体"/>
          <w:color w:val="auto"/>
          <w:kern w:val="2"/>
          <w:sz w:val="24"/>
          <w:szCs w:val="24"/>
          <w:highlight w:val="none"/>
        </w:rPr>
        <w:t>门诊挂号系统建设需求</w:t>
      </w:r>
    </w:p>
    <w:tbl>
      <w:tblPr>
        <w:tblStyle w:val="4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5"/>
        <w:gridCol w:w="1559"/>
        <w:gridCol w:w="11083"/>
      </w:tblGrid>
      <w:tr w14:paraId="43D7E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Align w:val="center"/>
          </w:tcPr>
          <w:p w14:paraId="7EC0AE1A">
            <w:pPr>
              <w:jc w:val="center"/>
              <w:rPr>
                <w:rFonts w:ascii="宋体" w:hAnsi="宋体" w:cs="宋体"/>
                <w:color w:val="auto"/>
                <w:szCs w:val="21"/>
                <w:highlight w:val="none"/>
              </w:rPr>
            </w:pPr>
            <w:r>
              <w:rPr>
                <w:rFonts w:hint="eastAsia" w:ascii="宋体" w:hAnsi="宋体" w:cs="宋体"/>
                <w:color w:val="auto"/>
                <w:kern w:val="0"/>
                <w:szCs w:val="21"/>
                <w:highlight w:val="none"/>
              </w:rPr>
              <w:t>需求名称</w:t>
            </w:r>
          </w:p>
        </w:tc>
        <w:tc>
          <w:tcPr>
            <w:tcW w:w="1559" w:type="dxa"/>
            <w:vAlign w:val="center"/>
          </w:tcPr>
          <w:p w14:paraId="40E40A1D">
            <w:pPr>
              <w:jc w:val="center"/>
              <w:rPr>
                <w:rFonts w:ascii="宋体" w:hAnsi="宋体" w:cs="宋体"/>
                <w:color w:val="auto"/>
                <w:kern w:val="0"/>
                <w:szCs w:val="21"/>
                <w:highlight w:val="none"/>
              </w:rPr>
            </w:pPr>
            <w:r>
              <w:rPr>
                <w:rFonts w:hint="eastAsia" w:ascii="宋体" w:hAnsi="宋体" w:cs="宋体"/>
                <w:color w:val="auto"/>
                <w:kern w:val="0"/>
                <w:szCs w:val="21"/>
                <w:highlight w:val="none"/>
              </w:rPr>
              <w:t>序号</w:t>
            </w:r>
          </w:p>
        </w:tc>
        <w:tc>
          <w:tcPr>
            <w:tcW w:w="11083" w:type="dxa"/>
            <w:vAlign w:val="center"/>
          </w:tcPr>
          <w:p w14:paraId="0764DF51">
            <w:pPr>
              <w:jc w:val="center"/>
              <w:rPr>
                <w:rFonts w:ascii="宋体" w:hAnsi="宋体" w:cs="宋体"/>
                <w:color w:val="auto"/>
                <w:kern w:val="0"/>
                <w:szCs w:val="21"/>
                <w:highlight w:val="none"/>
              </w:rPr>
            </w:pPr>
            <w:r>
              <w:rPr>
                <w:rFonts w:hint="eastAsia" w:ascii="宋体" w:hAnsi="宋体" w:cs="宋体"/>
                <w:color w:val="auto"/>
                <w:kern w:val="0"/>
                <w:szCs w:val="21"/>
                <w:highlight w:val="none"/>
              </w:rPr>
              <w:t>需求描述</w:t>
            </w:r>
          </w:p>
        </w:tc>
      </w:tr>
      <w:tr w14:paraId="66686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Align w:val="center"/>
          </w:tcPr>
          <w:p w14:paraId="4C929049">
            <w:pPr>
              <w:numPr>
                <w:ilvl w:val="0"/>
                <w:numId w:val="11"/>
              </w:numPr>
              <w:rPr>
                <w:rFonts w:ascii="宋体" w:hAnsi="宋体" w:cs="宋体"/>
                <w:color w:val="auto"/>
                <w:szCs w:val="21"/>
                <w:highlight w:val="none"/>
              </w:rPr>
            </w:pPr>
            <w:r>
              <w:rPr>
                <w:rFonts w:hint="eastAsia" w:ascii="宋体" w:hAnsi="宋体" w:cs="宋体"/>
                <w:color w:val="auto"/>
                <w:szCs w:val="21"/>
                <w:highlight w:val="none"/>
              </w:rPr>
              <w:t>门诊挂号系统</w:t>
            </w:r>
          </w:p>
        </w:tc>
        <w:tc>
          <w:tcPr>
            <w:tcW w:w="1559" w:type="dxa"/>
            <w:vAlign w:val="center"/>
          </w:tcPr>
          <w:p w14:paraId="2DB61F15">
            <w:pPr>
              <w:numPr>
                <w:ilvl w:val="1"/>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门诊挂号管理</w:t>
            </w:r>
          </w:p>
        </w:tc>
        <w:tc>
          <w:tcPr>
            <w:tcW w:w="11083" w:type="dxa"/>
            <w:vAlign w:val="center"/>
          </w:tcPr>
          <w:p w14:paraId="3ED324F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支持跨院区挂号模式，实现对医联（共）体、医疗集团、多院区等应用场景的机构间交互；</w:t>
            </w:r>
          </w:p>
          <w:p w14:paraId="453D3A3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支持病案号、身份证、护照、医保卡、就诊卡、市民卡、患者姓名、手机号、地区通行证、电子健康卡、电子医保凭证、等挂号患者的身份识别功能；</w:t>
            </w:r>
          </w:p>
          <w:p w14:paraId="58EF5C2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支持当前门诊类别下可以操作所有的挂号类型，挂号类型包括普通门诊、急诊门诊、专家门诊、专科门诊、体检门诊等；</w:t>
            </w:r>
          </w:p>
          <w:p w14:paraId="71AFD80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支持挂号时新病人建档功能；</w:t>
            </w:r>
          </w:p>
          <w:p w14:paraId="0200634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支持挂号预约取号功能；</w:t>
            </w:r>
          </w:p>
          <w:p w14:paraId="63EDA50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支持挂号员在挂号界面随时切换病人保险计划，本次收费全部按所选择保险计划进行结算处理；</w:t>
            </w:r>
          </w:p>
          <w:p w14:paraId="2EE128F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支持两种挂号结算两种模式：一种是挂号时直接结算付款，另一种是在诊间授权记账后收费时再对挂号费用一并结算付款；</w:t>
            </w:r>
          </w:p>
          <w:p w14:paraId="0EEE067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支持绿色通道的挂号结算业务，绿色通道只能使用授权记账；</w:t>
            </w:r>
          </w:p>
          <w:p w14:paraId="5C79EE0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支持特殊情况的不同挂号价格的处理。如节假日不同费用的处理、6周岁儿童不同费用的处理等；</w:t>
            </w:r>
          </w:p>
          <w:p w14:paraId="4CAE29C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支持信用就医、医院优惠、现金、储值金余额、支票、医保账户、微信、支付宝等挂号结算方式；</w:t>
            </w:r>
          </w:p>
          <w:p w14:paraId="5084EAC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支持现金、微信、医保账户等不同方式混合支付；</w:t>
            </w:r>
          </w:p>
          <w:p w14:paraId="1630362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支持患者建档、账户充值、档案管理、预约挂号、预约取号、挂号结算、连续挂号、退号、换号、挂号记账、空白发票作废、结算历史、门诊收费等集成在门诊挂号界面上；</w:t>
            </w:r>
          </w:p>
          <w:p w14:paraId="5299554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支持挂号结算完成自动打印就诊指引单、结算发票，也支持手工补打挂号单和结算发票；</w:t>
            </w:r>
          </w:p>
          <w:p w14:paraId="5F6A1F1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提供提前挂号的功能，即可以挂当前值班类别之后的号，可设置提前时间（默认提前半天挂号）；</w:t>
            </w:r>
          </w:p>
          <w:p w14:paraId="0538D24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支持挂号员在挂号界面选择挂号号源功能，默认按号源顺序挂号，也可按照病人要求选择符合时间的号源进行挂号；</w:t>
            </w:r>
          </w:p>
          <w:p w14:paraId="6FE8152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支持晚上挂号功能，可设置需要晚班启用后才能挂号；</w:t>
            </w:r>
          </w:p>
          <w:p w14:paraId="35817DA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支持快捷键操作，对挂号模块操作频繁的按钮功能通过快捷键快速打开；</w:t>
            </w:r>
          </w:p>
          <w:p w14:paraId="43BF01F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提供义诊功能，初诊的义诊病人只收取病历费，复诊的义诊病人不收取任何费用；</w:t>
            </w:r>
          </w:p>
          <w:p w14:paraId="11BBD38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提供减免功能，支持减免原因选择，挂号结算时可以修改系统默认的挂号费、诊疗费、专家费，按修改后的金额结算；</w:t>
            </w:r>
          </w:p>
          <w:p w14:paraId="6DAD9CC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支持普通科室挂号、专家科室挂号，专家科室能挂指定医生的号；</w:t>
            </w:r>
          </w:p>
          <w:p w14:paraId="38638E5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支持通过科室、医生拼音码、五笔、角形码快速定位挂号科室或医生；</w:t>
            </w:r>
          </w:p>
          <w:p w14:paraId="5E58DE7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支持科室/医生挂号限额的管理功能，超过挂号限额则不允许再挂号；</w:t>
            </w:r>
          </w:p>
          <w:p w14:paraId="125AADC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支持挂号员查看今日挂号历史和挂号历史总体情况；</w:t>
            </w:r>
          </w:p>
          <w:p w14:paraId="3BC8A5F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支持连续挂号功能，结算完成，患者信息不清空，同一个病人可连续挂多个科室/医生号；</w:t>
            </w:r>
          </w:p>
          <w:p w14:paraId="1B94FC2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支持退号处理，退号可连续操作；</w:t>
            </w:r>
          </w:p>
          <w:p w14:paraId="3D9A602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支持换号处理，病人到医生站就诊前可以进行转科。</w:t>
            </w:r>
          </w:p>
        </w:tc>
      </w:tr>
    </w:tbl>
    <w:p w14:paraId="4EA15496">
      <w:pPr>
        <w:rPr>
          <w:color w:val="auto"/>
          <w:highlight w:val="none"/>
        </w:rPr>
      </w:pPr>
    </w:p>
    <w:p w14:paraId="1E36DE1A">
      <w:pPr>
        <w:pStyle w:val="4"/>
        <w:numPr>
          <w:ilvl w:val="2"/>
          <w:numId w:val="9"/>
        </w:numPr>
        <w:spacing w:before="0" w:after="0" w:line="360" w:lineRule="auto"/>
        <w:ind w:left="567" w:hanging="567"/>
        <w:rPr>
          <w:color w:val="auto"/>
          <w:sz w:val="24"/>
          <w:highlight w:val="none"/>
        </w:rPr>
      </w:pPr>
      <w:r>
        <w:rPr>
          <w:rFonts w:hint="eastAsia" w:eastAsia="宋体"/>
          <w:color w:val="auto"/>
          <w:kern w:val="2"/>
          <w:sz w:val="24"/>
          <w:szCs w:val="24"/>
          <w:highlight w:val="none"/>
        </w:rPr>
        <w:t>门诊收费系统建设需求</w:t>
      </w:r>
    </w:p>
    <w:tbl>
      <w:tblPr>
        <w:tblStyle w:val="4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5"/>
        <w:gridCol w:w="1559"/>
        <w:gridCol w:w="11083"/>
      </w:tblGrid>
      <w:tr w14:paraId="07A5E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Align w:val="center"/>
          </w:tcPr>
          <w:p w14:paraId="39F35C98">
            <w:pPr>
              <w:jc w:val="center"/>
              <w:rPr>
                <w:rFonts w:ascii="宋体" w:hAnsi="宋体" w:cs="宋体"/>
                <w:color w:val="auto"/>
                <w:szCs w:val="21"/>
                <w:highlight w:val="none"/>
              </w:rPr>
            </w:pPr>
            <w:r>
              <w:rPr>
                <w:rFonts w:hint="eastAsia" w:ascii="宋体" w:hAnsi="宋体" w:cs="宋体"/>
                <w:color w:val="auto"/>
                <w:kern w:val="0"/>
                <w:szCs w:val="21"/>
                <w:highlight w:val="none"/>
              </w:rPr>
              <w:t>需求名称</w:t>
            </w:r>
          </w:p>
        </w:tc>
        <w:tc>
          <w:tcPr>
            <w:tcW w:w="1559" w:type="dxa"/>
            <w:vAlign w:val="center"/>
          </w:tcPr>
          <w:p w14:paraId="48340231">
            <w:pPr>
              <w:jc w:val="center"/>
              <w:rPr>
                <w:rFonts w:ascii="宋体" w:hAnsi="宋体" w:cs="宋体"/>
                <w:color w:val="auto"/>
                <w:kern w:val="0"/>
                <w:szCs w:val="21"/>
                <w:highlight w:val="none"/>
              </w:rPr>
            </w:pPr>
            <w:r>
              <w:rPr>
                <w:rFonts w:hint="eastAsia" w:ascii="宋体" w:hAnsi="宋体" w:cs="宋体"/>
                <w:color w:val="auto"/>
                <w:kern w:val="0"/>
                <w:szCs w:val="21"/>
                <w:highlight w:val="none"/>
              </w:rPr>
              <w:t>序号</w:t>
            </w:r>
          </w:p>
        </w:tc>
        <w:tc>
          <w:tcPr>
            <w:tcW w:w="11083" w:type="dxa"/>
            <w:vAlign w:val="center"/>
          </w:tcPr>
          <w:p w14:paraId="0E44FCE0">
            <w:pPr>
              <w:jc w:val="center"/>
              <w:rPr>
                <w:rFonts w:ascii="宋体" w:hAnsi="宋体" w:cs="宋体"/>
                <w:color w:val="auto"/>
                <w:kern w:val="0"/>
                <w:szCs w:val="21"/>
                <w:highlight w:val="none"/>
              </w:rPr>
            </w:pPr>
            <w:r>
              <w:rPr>
                <w:rFonts w:hint="eastAsia" w:ascii="宋体" w:hAnsi="宋体" w:cs="宋体"/>
                <w:color w:val="auto"/>
                <w:kern w:val="0"/>
                <w:szCs w:val="21"/>
                <w:highlight w:val="none"/>
              </w:rPr>
              <w:t>需求描述</w:t>
            </w:r>
          </w:p>
        </w:tc>
      </w:tr>
      <w:tr w14:paraId="1DFC6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restart"/>
            <w:vAlign w:val="center"/>
          </w:tcPr>
          <w:p w14:paraId="0288C77F">
            <w:pPr>
              <w:numPr>
                <w:ilvl w:val="0"/>
                <w:numId w:val="11"/>
              </w:numPr>
              <w:rPr>
                <w:rFonts w:ascii="宋体" w:hAnsi="宋体" w:cs="宋体"/>
                <w:color w:val="auto"/>
                <w:szCs w:val="21"/>
                <w:highlight w:val="none"/>
              </w:rPr>
            </w:pPr>
            <w:r>
              <w:rPr>
                <w:rFonts w:hint="eastAsia" w:ascii="宋体" w:hAnsi="宋体" w:cs="宋体"/>
                <w:color w:val="auto"/>
                <w:szCs w:val="21"/>
                <w:highlight w:val="none"/>
              </w:rPr>
              <w:t>门诊挂号系统</w:t>
            </w:r>
          </w:p>
        </w:tc>
        <w:tc>
          <w:tcPr>
            <w:tcW w:w="1559" w:type="dxa"/>
            <w:vAlign w:val="center"/>
          </w:tcPr>
          <w:p w14:paraId="545A0470">
            <w:pPr>
              <w:numPr>
                <w:ilvl w:val="1"/>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 xml:space="preserve">门诊收费  </w:t>
            </w:r>
          </w:p>
        </w:tc>
        <w:tc>
          <w:tcPr>
            <w:tcW w:w="11083" w:type="dxa"/>
            <w:vAlign w:val="center"/>
          </w:tcPr>
          <w:p w14:paraId="1C692A7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支持病案号、身份证、护照、医保卡、就诊卡、市民卡、患者姓名、手机号、地区通行证、电子健康卡、电子医保凭证、等缴费患者的身份识别功能；</w:t>
            </w:r>
          </w:p>
          <w:p w14:paraId="098EBF5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患者身份识别后，支持自动调入患者费用信息，进行收费结算；</w:t>
            </w:r>
          </w:p>
          <w:p w14:paraId="444E671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支持信用就医、医院优惠、现金、储值金余额、支票、医保账户、微信、支付宝等收费方式；</w:t>
            </w:r>
          </w:p>
          <w:p w14:paraId="0ED5769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以统一账户管理支持信用就医流程，在信用额度中，提供患者信用额度的修改功能；收费界面支持快捷调用账户管理功能，在账户管理界面直接进行授信额度维护，维护内容包括额度修改，额度有效期修改，也可以进行已使用额度查询。</w:t>
            </w:r>
          </w:p>
          <w:p w14:paraId="2E33FA5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支持医院优惠、现金、医保账户、储值金余额、微信等不同方式混合支付；</w:t>
            </w:r>
          </w:p>
          <w:p w14:paraId="1B16BF6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支持不同优惠类型管理，如临床试验、本院职工、义诊等。</w:t>
            </w:r>
          </w:p>
          <w:p w14:paraId="52B8D0C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支持多条就诊流程合并结算，门诊收费支持同一患者不同日期内多条就诊流程一起结算。</w:t>
            </w:r>
          </w:p>
          <w:p w14:paraId="172ECC7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患者建档、账户充值、档案管理、收费结算、结算作废、门诊退费、空白票作废、结算小票打印、收费记账、取消记账、门诊划价、复制作废单、结算历史、门诊挂号、麻方打印等功能集成在门诊收费界面上；</w:t>
            </w:r>
          </w:p>
          <w:p w14:paraId="7965FCF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支持结算完成自动打印发票，可以打印正式发票，也可以打印收费凭证；</w:t>
            </w:r>
          </w:p>
          <w:p w14:paraId="58A586F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支持发票重打，包括原发票重打、退费后产生的新发票重打；</w:t>
            </w:r>
          </w:p>
          <w:p w14:paraId="61385ED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支持货币误差功能，由于四舍五入当支付的总金额和应缴款不相等时，需要记录货币误差；</w:t>
            </w:r>
          </w:p>
          <w:p w14:paraId="4A9C450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支持药品费用收费时，自动智能分配处方到排队最少的发药窗口，且当所有窗口排队都空闲时能平均分配处方到发药窗口；</w:t>
            </w:r>
          </w:p>
          <w:p w14:paraId="6810602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支持药品费用收费时，自动扣减相应药房的财务库存；</w:t>
            </w:r>
          </w:p>
          <w:p w14:paraId="5746814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提供已结算的费用由门诊转入住院费用的功能；</w:t>
            </w:r>
          </w:p>
          <w:p w14:paraId="46D96B7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提供医保接口，给医院进行医保嵌入。</w:t>
            </w:r>
          </w:p>
        </w:tc>
      </w:tr>
      <w:tr w14:paraId="1A95F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7714FD12">
            <w:pPr>
              <w:rPr>
                <w:rFonts w:ascii="宋体" w:hAnsi="宋体" w:cs="宋体"/>
                <w:color w:val="auto"/>
                <w:szCs w:val="21"/>
                <w:highlight w:val="none"/>
              </w:rPr>
            </w:pPr>
          </w:p>
        </w:tc>
        <w:tc>
          <w:tcPr>
            <w:tcW w:w="1559" w:type="dxa"/>
            <w:vAlign w:val="center"/>
          </w:tcPr>
          <w:p w14:paraId="7B3D8988">
            <w:pPr>
              <w:numPr>
                <w:ilvl w:val="1"/>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 xml:space="preserve">门诊退费  </w:t>
            </w:r>
          </w:p>
        </w:tc>
        <w:tc>
          <w:tcPr>
            <w:tcW w:w="11083" w:type="dxa"/>
            <w:vAlign w:val="center"/>
          </w:tcPr>
          <w:p w14:paraId="02D2192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支持对发票中部分项目进行退费；</w:t>
            </w:r>
          </w:p>
          <w:p w14:paraId="511A97B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支持对整张发票进行全部退费；</w:t>
            </w:r>
          </w:p>
          <w:p w14:paraId="043A74E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支持多种退款方式：医院优惠、储值金余额、医保账户、现金、支票、银行卡、支付宝、微信；</w:t>
            </w:r>
          </w:p>
          <w:p w14:paraId="51A3F90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支持默认按原发票付款路径退回，也可选择其他退款方式。</w:t>
            </w:r>
          </w:p>
        </w:tc>
      </w:tr>
      <w:tr w14:paraId="737F3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05770C13">
            <w:pPr>
              <w:rPr>
                <w:rFonts w:ascii="宋体" w:hAnsi="宋体" w:cs="宋体"/>
                <w:color w:val="auto"/>
                <w:szCs w:val="21"/>
                <w:highlight w:val="none"/>
              </w:rPr>
            </w:pPr>
          </w:p>
        </w:tc>
        <w:tc>
          <w:tcPr>
            <w:tcW w:w="1559" w:type="dxa"/>
            <w:vAlign w:val="center"/>
          </w:tcPr>
          <w:p w14:paraId="4316E2D5">
            <w:pPr>
              <w:numPr>
                <w:ilvl w:val="1"/>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 xml:space="preserve">门诊结账  </w:t>
            </w:r>
          </w:p>
        </w:tc>
        <w:tc>
          <w:tcPr>
            <w:tcW w:w="11083" w:type="dxa"/>
            <w:vAlign w:val="center"/>
          </w:tcPr>
          <w:p w14:paraId="6008EC7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门诊个人结账查询，提供按结账类型、起始终止时间，对操作员当日的收费信息进行结账的功能，收费信息包括收款信息、费用信息、票据信息；支持显示本次结账的挂号结算、挂号票据、收费结算、收费票据和储值金的明细信息；</w:t>
            </w:r>
          </w:p>
          <w:p w14:paraId="5165022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支持门诊结账查询，支持按结账类型、起止时间查询门诊结账的明细信息；</w:t>
            </w:r>
          </w:p>
          <w:p w14:paraId="2B0F5E7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支持门诊汇总结账；支持按门诊收费部门、起止时间，查询挂号收费信息、应收金额、账户信息等内容；支持按照储值金、现金、微信、支付宝、聚合支付、银行卡等类型分别统计应收金额；</w:t>
            </w:r>
          </w:p>
          <w:p w14:paraId="07A8CB9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支持门诊结账查询；支持按照结账类型、起止时间，进行结账时间和结账状态的查询；</w:t>
            </w:r>
          </w:p>
          <w:p w14:paraId="7196FBB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支持结账作废和结账打印功能；</w:t>
            </w:r>
          </w:p>
          <w:p w14:paraId="4843FE4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支持自动结账模式，通过后台服务完成。</w:t>
            </w:r>
          </w:p>
        </w:tc>
      </w:tr>
      <w:tr w14:paraId="72CA6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71663442">
            <w:pPr>
              <w:rPr>
                <w:rFonts w:ascii="宋体" w:hAnsi="宋体" w:cs="宋体"/>
                <w:color w:val="auto"/>
                <w:szCs w:val="21"/>
                <w:highlight w:val="none"/>
              </w:rPr>
            </w:pPr>
          </w:p>
        </w:tc>
        <w:tc>
          <w:tcPr>
            <w:tcW w:w="1559" w:type="dxa"/>
            <w:vAlign w:val="center"/>
          </w:tcPr>
          <w:p w14:paraId="78EFB2E5">
            <w:pPr>
              <w:numPr>
                <w:ilvl w:val="1"/>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结算作废</w:t>
            </w:r>
          </w:p>
        </w:tc>
        <w:tc>
          <w:tcPr>
            <w:tcW w:w="11083" w:type="dxa"/>
            <w:vAlign w:val="center"/>
          </w:tcPr>
          <w:p w14:paraId="1EAF033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支持结算发票作废功能。</w:t>
            </w:r>
          </w:p>
          <w:p w14:paraId="3B1A15F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支持收费结算后可以在收费强制变更保险计划，例如医保转自费，自费转医保。场景：工伤患者就诊期间使用医保结算需要转成自费，个人商保比例高，希望可以变更保险计划后用于自费部分金额用于商业报销。</w:t>
            </w:r>
          </w:p>
        </w:tc>
      </w:tr>
    </w:tbl>
    <w:p w14:paraId="59850B8D">
      <w:pPr>
        <w:rPr>
          <w:rFonts w:ascii="宋体" w:hAnsi="宋体" w:cs="宋体"/>
          <w:color w:val="auto"/>
          <w:szCs w:val="21"/>
          <w:highlight w:val="none"/>
        </w:rPr>
      </w:pPr>
    </w:p>
    <w:p w14:paraId="6018FDCE">
      <w:pPr>
        <w:pStyle w:val="4"/>
        <w:numPr>
          <w:ilvl w:val="2"/>
          <w:numId w:val="9"/>
        </w:numPr>
        <w:spacing w:before="0" w:after="0" w:line="360" w:lineRule="auto"/>
        <w:ind w:left="567" w:hanging="567"/>
        <w:rPr>
          <w:color w:val="auto"/>
          <w:sz w:val="24"/>
          <w:highlight w:val="none"/>
        </w:rPr>
      </w:pPr>
      <w:r>
        <w:rPr>
          <w:rFonts w:hint="eastAsia" w:eastAsia="宋体"/>
          <w:color w:val="auto"/>
          <w:kern w:val="2"/>
          <w:sz w:val="24"/>
          <w:szCs w:val="24"/>
          <w:highlight w:val="none"/>
        </w:rPr>
        <w:t>住院收费系统建设需求</w:t>
      </w:r>
    </w:p>
    <w:tbl>
      <w:tblPr>
        <w:tblStyle w:val="4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5"/>
        <w:gridCol w:w="1559"/>
        <w:gridCol w:w="26"/>
        <w:gridCol w:w="11057"/>
      </w:tblGrid>
      <w:tr w14:paraId="36BEF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Align w:val="center"/>
          </w:tcPr>
          <w:p w14:paraId="39CDC305">
            <w:pPr>
              <w:jc w:val="center"/>
              <w:rPr>
                <w:rFonts w:ascii="宋体" w:hAnsi="宋体" w:cs="宋体"/>
                <w:color w:val="auto"/>
                <w:szCs w:val="21"/>
                <w:highlight w:val="none"/>
              </w:rPr>
            </w:pPr>
            <w:r>
              <w:rPr>
                <w:rFonts w:hint="eastAsia" w:ascii="宋体" w:hAnsi="宋体" w:cs="宋体"/>
                <w:color w:val="auto"/>
                <w:kern w:val="0"/>
                <w:szCs w:val="21"/>
                <w:highlight w:val="none"/>
              </w:rPr>
              <w:t>需求名称</w:t>
            </w:r>
          </w:p>
        </w:tc>
        <w:tc>
          <w:tcPr>
            <w:tcW w:w="1585" w:type="dxa"/>
            <w:gridSpan w:val="2"/>
            <w:vAlign w:val="center"/>
          </w:tcPr>
          <w:p w14:paraId="25BF61F9">
            <w:pPr>
              <w:jc w:val="center"/>
              <w:rPr>
                <w:rFonts w:ascii="宋体" w:hAnsi="宋体" w:cs="宋体"/>
                <w:color w:val="auto"/>
                <w:kern w:val="0"/>
                <w:szCs w:val="21"/>
                <w:highlight w:val="none"/>
              </w:rPr>
            </w:pPr>
            <w:r>
              <w:rPr>
                <w:rFonts w:hint="eastAsia" w:ascii="宋体" w:hAnsi="宋体" w:cs="宋体"/>
                <w:color w:val="auto"/>
                <w:kern w:val="0"/>
                <w:szCs w:val="21"/>
                <w:highlight w:val="none"/>
              </w:rPr>
              <w:t>序号</w:t>
            </w:r>
          </w:p>
        </w:tc>
        <w:tc>
          <w:tcPr>
            <w:tcW w:w="11057" w:type="dxa"/>
            <w:vAlign w:val="center"/>
          </w:tcPr>
          <w:p w14:paraId="3A1E480D">
            <w:pPr>
              <w:jc w:val="center"/>
              <w:rPr>
                <w:rFonts w:ascii="宋体" w:hAnsi="宋体" w:cs="宋体"/>
                <w:color w:val="auto"/>
                <w:kern w:val="0"/>
                <w:szCs w:val="21"/>
                <w:highlight w:val="none"/>
              </w:rPr>
            </w:pPr>
            <w:r>
              <w:rPr>
                <w:rFonts w:hint="eastAsia" w:ascii="宋体" w:hAnsi="宋体" w:cs="宋体"/>
                <w:color w:val="auto"/>
                <w:kern w:val="0"/>
                <w:szCs w:val="21"/>
                <w:highlight w:val="none"/>
              </w:rPr>
              <w:t>需求描述</w:t>
            </w:r>
          </w:p>
        </w:tc>
      </w:tr>
      <w:tr w14:paraId="32376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restart"/>
            <w:vAlign w:val="center"/>
          </w:tcPr>
          <w:p w14:paraId="56F84723">
            <w:pPr>
              <w:numPr>
                <w:ilvl w:val="0"/>
                <w:numId w:val="11"/>
              </w:numPr>
              <w:rPr>
                <w:rFonts w:ascii="宋体" w:hAnsi="宋体" w:cs="宋体"/>
                <w:color w:val="auto"/>
                <w:szCs w:val="21"/>
                <w:highlight w:val="none"/>
              </w:rPr>
            </w:pPr>
            <w:r>
              <w:rPr>
                <w:rFonts w:hint="eastAsia" w:ascii="宋体" w:hAnsi="宋体" w:cs="宋体"/>
                <w:color w:val="auto"/>
                <w:szCs w:val="21"/>
                <w:highlight w:val="none"/>
              </w:rPr>
              <w:t>住院收费系统</w:t>
            </w:r>
          </w:p>
        </w:tc>
        <w:tc>
          <w:tcPr>
            <w:tcW w:w="12642" w:type="dxa"/>
            <w:gridSpan w:val="3"/>
            <w:vAlign w:val="center"/>
          </w:tcPr>
          <w:p w14:paraId="0DCDFB89">
            <w:pPr>
              <w:numPr>
                <w:ilvl w:val="1"/>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入院患者管理</w:t>
            </w:r>
          </w:p>
        </w:tc>
      </w:tr>
      <w:tr w14:paraId="21D61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12726A62">
            <w:pPr>
              <w:rPr>
                <w:rFonts w:ascii="宋体" w:hAnsi="宋体" w:cs="宋体"/>
                <w:color w:val="auto"/>
                <w:szCs w:val="21"/>
                <w:highlight w:val="none"/>
              </w:rPr>
            </w:pPr>
          </w:p>
        </w:tc>
        <w:tc>
          <w:tcPr>
            <w:tcW w:w="1559" w:type="dxa"/>
            <w:vAlign w:val="center"/>
          </w:tcPr>
          <w:p w14:paraId="4A67DE42">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入院登记</w:t>
            </w:r>
          </w:p>
        </w:tc>
        <w:tc>
          <w:tcPr>
            <w:tcW w:w="11083" w:type="dxa"/>
            <w:gridSpan w:val="2"/>
            <w:vAlign w:val="center"/>
          </w:tcPr>
          <w:p w14:paraId="0DC66DB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支持跨机构申请住院，所跨机构可以通过配置限制；</w:t>
            </w:r>
          </w:p>
          <w:p w14:paraId="106B898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支持患者档案的修改和查询及完整性校验；</w:t>
            </w:r>
          </w:p>
          <w:p w14:paraId="0887D28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支持以展开方式，查看患者基本信息的详细信息；</w:t>
            </w:r>
          </w:p>
          <w:p w14:paraId="5DA4D17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提供一般入院登记、预约入院登记、留观入院登记、根据病人档案调入病人等入院方式；</w:t>
            </w:r>
          </w:p>
          <w:p w14:paraId="1703F00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支持普通住院预约患者、日间手术住院预约患者的预约调入登记；</w:t>
            </w:r>
          </w:p>
          <w:p w14:paraId="0D1C592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支持门诊病人、新病人、老病人的入院登记；</w:t>
            </w:r>
          </w:p>
          <w:p w14:paraId="1394AC0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支持刷就诊卡/医保卡/身份证，或者输入病案号、姓名、身份证号、卡号、护照、市民卡、健康卡、地区通行证等患者信息进行入院登记；</w:t>
            </w:r>
          </w:p>
          <w:p w14:paraId="4999066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支持入院登记时病人的科室、病区、床位、治疗小组的选择；</w:t>
            </w:r>
          </w:p>
          <w:p w14:paraId="0E97602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入院科室后，支持联动显示可以入住的病区，显示的病区可配置；</w:t>
            </w:r>
          </w:p>
          <w:p w14:paraId="6051987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提供患者标签功能，支持在入院登记时获取并标记患者医保特殊身份、支持自定义患者标签；</w:t>
            </w:r>
          </w:p>
          <w:p w14:paraId="3553835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支持患者分类，标准化分类患者，方便统计；</w:t>
            </w:r>
          </w:p>
          <w:p w14:paraId="5FE3A16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支持进行流程分类，标记特殊流程比如急转住流程、血透流程；</w:t>
            </w:r>
          </w:p>
          <w:p w14:paraId="3AB51BE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支持入院登记时，进行住院预交金的缴款或授权，支持储值金、现金、支付宝、微信、银行卡、聚合支付等缴款方式。支持授权和授权金额录入；</w:t>
            </w:r>
          </w:p>
          <w:p w14:paraId="50FD55E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支持取消入院登记，并清除当前界面上患者登记信息。</w:t>
            </w:r>
          </w:p>
        </w:tc>
      </w:tr>
      <w:tr w14:paraId="3D61A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2E4E4781">
            <w:pPr>
              <w:rPr>
                <w:rFonts w:ascii="宋体" w:hAnsi="宋体" w:cs="宋体"/>
                <w:color w:val="auto"/>
                <w:szCs w:val="21"/>
                <w:highlight w:val="none"/>
              </w:rPr>
            </w:pPr>
          </w:p>
        </w:tc>
        <w:tc>
          <w:tcPr>
            <w:tcW w:w="1559" w:type="dxa"/>
            <w:vAlign w:val="center"/>
          </w:tcPr>
          <w:p w14:paraId="0C19FB34">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在院病人管理</w:t>
            </w:r>
          </w:p>
        </w:tc>
        <w:tc>
          <w:tcPr>
            <w:tcW w:w="11083" w:type="dxa"/>
            <w:gridSpan w:val="2"/>
            <w:vAlign w:val="center"/>
          </w:tcPr>
          <w:p w14:paraId="5BC6BD7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入院患者集中管理，可根据住院状态、床号、住院号、姓名、病人科室、病人病区等条件检索病人列表，并根据每种类型病人的业务权限进行操作，其中住院状态包含在院、在院证明、通知出院、出院预结、出院挂账、正常出院、终结出院、取消出院、登记、费用已审批等状态；</w:t>
            </w:r>
          </w:p>
          <w:p w14:paraId="725FC50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对选中的入院患者提供入院登记、登记修改、入院信息查看、注销住院、档案信息查看、病人信息查看、费用账卡查看、缴预交金、出院预结、取消预结、出院结算、住院历史查看、换床明细查看等业务操作；</w:t>
            </w:r>
          </w:p>
          <w:p w14:paraId="5F16002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将患者的住院费用转门诊，针对预住院的患者一般在入院前会完成检查、检验项目，这时候在住院流程下产生了费用，如果患者不来住院了，此时是不能按住院流程去结算。系统满足住院费用转门诊费用去结（能够进行医保报销），同时支持选择特殊病种（患者如有），提高患者就医满意度。</w:t>
            </w:r>
          </w:p>
          <w:p w14:paraId="6A116A0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将患者的门急诊费用转住院；支持门急诊产生的费用（已作废的票据）转入到住院，并进行住院医保结算（患者报销比例更高），可以绑定在患者已有在院流程，也可绑定在新流程上（这样不影响医保DRG控费），费用转换时，支持选择是否同步转换医嘱</w:t>
            </w:r>
          </w:p>
          <w:p w14:paraId="391D8AC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支持病人列表、腕带打印。</w:t>
            </w:r>
          </w:p>
        </w:tc>
      </w:tr>
      <w:tr w14:paraId="65F81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6759B7A2">
            <w:pPr>
              <w:rPr>
                <w:rFonts w:ascii="宋体" w:hAnsi="宋体" w:cs="宋体"/>
                <w:color w:val="auto"/>
                <w:szCs w:val="21"/>
                <w:highlight w:val="none"/>
              </w:rPr>
            </w:pPr>
          </w:p>
        </w:tc>
        <w:tc>
          <w:tcPr>
            <w:tcW w:w="12642" w:type="dxa"/>
            <w:gridSpan w:val="3"/>
            <w:vAlign w:val="center"/>
          </w:tcPr>
          <w:p w14:paraId="77E6A295">
            <w:pPr>
              <w:numPr>
                <w:ilvl w:val="1"/>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住院患者费用管理</w:t>
            </w:r>
          </w:p>
        </w:tc>
      </w:tr>
      <w:tr w14:paraId="38B30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7A3385EF">
            <w:pPr>
              <w:rPr>
                <w:rFonts w:ascii="宋体" w:hAnsi="宋体" w:cs="宋体"/>
                <w:color w:val="auto"/>
                <w:szCs w:val="21"/>
                <w:highlight w:val="none"/>
              </w:rPr>
            </w:pPr>
          </w:p>
        </w:tc>
        <w:tc>
          <w:tcPr>
            <w:tcW w:w="1559" w:type="dxa"/>
            <w:vAlign w:val="center"/>
          </w:tcPr>
          <w:p w14:paraId="25A62074">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住院结算</w:t>
            </w:r>
          </w:p>
        </w:tc>
        <w:tc>
          <w:tcPr>
            <w:tcW w:w="11083" w:type="dxa"/>
            <w:gridSpan w:val="2"/>
            <w:vAlign w:val="center"/>
          </w:tcPr>
          <w:p w14:paraId="7137DB1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支持床位费、ICU费、诊疗费等费用从床位分配之日起自动累加，住院自动累加费用可自定义，如夏天医院增收的空调费；</w:t>
            </w:r>
          </w:p>
          <w:p w14:paraId="06DC7F6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支持区分大人和小孩的账卡，可查询总费用，也可分别查看各自费用（产科）；</w:t>
            </w:r>
          </w:p>
          <w:p w14:paraId="54109D6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提供住院患者的中途结算和出院患者的出院结算、合并结算、出院预结、出院挂账、出院终结；</w:t>
            </w:r>
          </w:p>
          <w:p w14:paraId="1C739CD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提供中途结算、出院结算、合并结算的发票作废功能，作废时重打发票(退费发票)；</w:t>
            </w:r>
          </w:p>
          <w:p w14:paraId="1A539EF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支持取消中途结算、取消出院结算、取消出院预结；</w:t>
            </w:r>
          </w:p>
          <w:p w14:paraId="15066DE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支持取消出院结算时所退费用可按原支付方式直接存入预交金；</w:t>
            </w:r>
          </w:p>
          <w:p w14:paraId="32B320A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支持储值金授权的预交金不可参与结算；</w:t>
            </w:r>
          </w:p>
          <w:p w14:paraId="1CF818B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提供2种出院终结处理模式：1.通过增加一种保险信息，比如叫医院承担，支付信息可以叫医院坏账；2.通过增加一种付款方式，比如叫医院支付，使用这种付款方式来支付；</w:t>
            </w:r>
          </w:p>
          <w:p w14:paraId="74D9A00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支持中途结算时大人与小孩分开结算也可一起结算；</w:t>
            </w:r>
          </w:p>
          <w:p w14:paraId="5BDC8A6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支持中途结算时可以指定费用日期段的收费项目明细来结算；</w:t>
            </w:r>
          </w:p>
          <w:p w14:paraId="36B5654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支持结算完成时自动打印结算发票；</w:t>
            </w:r>
          </w:p>
          <w:p w14:paraId="67FC58C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支持结算发票补打、重打；</w:t>
            </w:r>
          </w:p>
          <w:p w14:paraId="56E66BE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支持对通知出院或者出院预结算的患者进行出院结算；</w:t>
            </w:r>
          </w:p>
          <w:p w14:paraId="60C79F0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支持与各地医保政策无缝接口，医保部分实时结报；</w:t>
            </w:r>
          </w:p>
          <w:p w14:paraId="652C4B9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支持现金、储值金、医保账户、支付宝、微信、银行卡、支票等结算方式；</w:t>
            </w:r>
          </w:p>
          <w:p w14:paraId="6F5C083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支持现金、微信、医保账户等不同方式混合支付。</w:t>
            </w:r>
          </w:p>
        </w:tc>
      </w:tr>
      <w:tr w14:paraId="652C1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46EEDCBA">
            <w:pPr>
              <w:rPr>
                <w:rFonts w:ascii="宋体" w:hAnsi="宋体" w:cs="宋体"/>
                <w:color w:val="auto"/>
                <w:szCs w:val="21"/>
                <w:highlight w:val="none"/>
              </w:rPr>
            </w:pPr>
          </w:p>
        </w:tc>
        <w:tc>
          <w:tcPr>
            <w:tcW w:w="1559" w:type="dxa"/>
            <w:vAlign w:val="center"/>
          </w:tcPr>
          <w:p w14:paraId="54969B98">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住院结账</w:t>
            </w:r>
          </w:p>
        </w:tc>
        <w:tc>
          <w:tcPr>
            <w:tcW w:w="11083" w:type="dxa"/>
            <w:gridSpan w:val="2"/>
            <w:vAlign w:val="center"/>
          </w:tcPr>
          <w:p w14:paraId="30DBEFC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提供对操作员当日的收费信息进行结账的功能，以及显示本次结账的住院结算、住院结算票据和住院预交金的明细信息；</w:t>
            </w:r>
          </w:p>
          <w:p w14:paraId="0089C1A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提供根据姓名、住院号码、床号查询具体患者的结算记录，并且可查看结算明细；</w:t>
            </w:r>
          </w:p>
          <w:p w14:paraId="3FD6741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提供根据姓名、住院号码、床号、票据号码查询具体患者的结算票据记录，并且可查看结算明细；</w:t>
            </w:r>
          </w:p>
          <w:p w14:paraId="2130631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提供根据姓名、住院号码、床号查询具体患者的预交金缴费记录列表或根据收据号码查询具体的一次预交金缴费记录；</w:t>
            </w:r>
          </w:p>
          <w:p w14:paraId="585601E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提供日终结账、日结汇总和月终结账，支持取消日结、取消日结汇总和取消月结的功能；</w:t>
            </w:r>
          </w:p>
          <w:p w14:paraId="7694F77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支持自动结账模式，通过后台服务（AutoRun）完成；</w:t>
            </w:r>
          </w:p>
          <w:p w14:paraId="4BE6F25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支持收费员可在当日结账多次，最后合并当日的结账数据；</w:t>
            </w:r>
          </w:p>
          <w:p w14:paraId="75ECBB1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提供按照收费部门，对起止时间段内的个人结账进行汇总结账；</w:t>
            </w:r>
          </w:p>
          <w:p w14:paraId="15D345D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支持对住院收款员进行未结账查询。</w:t>
            </w:r>
          </w:p>
        </w:tc>
      </w:tr>
      <w:tr w14:paraId="4D8F3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66D6D1BE">
            <w:pPr>
              <w:rPr>
                <w:rFonts w:ascii="宋体" w:hAnsi="宋体" w:cs="宋体"/>
                <w:color w:val="auto"/>
                <w:szCs w:val="21"/>
                <w:highlight w:val="none"/>
              </w:rPr>
            </w:pPr>
          </w:p>
        </w:tc>
        <w:tc>
          <w:tcPr>
            <w:tcW w:w="1559" w:type="dxa"/>
            <w:vAlign w:val="center"/>
          </w:tcPr>
          <w:p w14:paraId="5A394901">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费用记账</w:t>
            </w:r>
          </w:p>
        </w:tc>
        <w:tc>
          <w:tcPr>
            <w:tcW w:w="11083" w:type="dxa"/>
            <w:gridSpan w:val="2"/>
            <w:vAlign w:val="center"/>
          </w:tcPr>
          <w:p w14:paraId="62B2832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支持多种记账方式：按患者记、按项目记、明细记账、批量记账；</w:t>
            </w:r>
          </w:p>
          <w:p w14:paraId="755F510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 xml:space="preserve">支持不控制、提示、欠费后冻结三种费用记账的控制方法； </w:t>
            </w:r>
          </w:p>
          <w:p w14:paraId="64B55BA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支持记账查询功能。</w:t>
            </w:r>
          </w:p>
          <w:p w14:paraId="1C8A004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支持可以按医嘱、费用日期、记费日期、项目进行记费与退费；</w:t>
            </w:r>
          </w:p>
          <w:p w14:paraId="753A02E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支持姓名、床号、住院号快速定位到病人进行记费与退费。</w:t>
            </w:r>
          </w:p>
        </w:tc>
      </w:tr>
      <w:tr w14:paraId="7DB2F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0AE8A6A3">
            <w:pPr>
              <w:rPr>
                <w:rFonts w:ascii="宋体" w:hAnsi="宋体" w:cs="宋体"/>
                <w:color w:val="auto"/>
                <w:szCs w:val="21"/>
                <w:highlight w:val="none"/>
              </w:rPr>
            </w:pPr>
          </w:p>
        </w:tc>
        <w:tc>
          <w:tcPr>
            <w:tcW w:w="1559" w:type="dxa"/>
            <w:vAlign w:val="center"/>
          </w:tcPr>
          <w:p w14:paraId="1A4D785C">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住院缴款催款</w:t>
            </w:r>
          </w:p>
        </w:tc>
        <w:tc>
          <w:tcPr>
            <w:tcW w:w="11083" w:type="dxa"/>
            <w:gridSpan w:val="2"/>
            <w:vAlign w:val="center"/>
          </w:tcPr>
          <w:p w14:paraId="290F1D4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支持通过缴款方式、储值金授权方式来缴纳住院预交金，授权金额不能大于授权的最高额度；</w:t>
            </w:r>
          </w:p>
          <w:p w14:paraId="43E37EB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支持现金、储值金、支付宝、微信、银行卡、支票等缴款方式；</w:t>
            </w:r>
          </w:p>
          <w:p w14:paraId="0982173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支持所缴金额&gt;冻结金额则自动解除患者的冻结状态；</w:t>
            </w:r>
          </w:p>
          <w:p w14:paraId="5EC16AC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支持预交金退款处理，账户授权直接取消授权即可，缴款可选择不同的退款方式退回；</w:t>
            </w:r>
          </w:p>
          <w:p w14:paraId="3D2B21C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支持预交金历史查询，查询当前操作员某段时间收或退的预交金情况。</w:t>
            </w:r>
          </w:p>
          <w:p w14:paraId="3ABC7B7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支持全院、按病区、按科室催款；</w:t>
            </w:r>
          </w:p>
          <w:p w14:paraId="6BD9040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支持欠费额度、催款比例、最低催款金额可根据住院患者保险计划、病区和住科室自定义；</w:t>
            </w:r>
          </w:p>
          <w:p w14:paraId="7F7B85A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支持催款单打印。</w:t>
            </w:r>
          </w:p>
          <w:p w14:paraId="40C3826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支持人工解冻和系统自动解冻；</w:t>
            </w:r>
          </w:p>
          <w:p w14:paraId="276F8E4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支持住院欠费解冻审批功能。</w:t>
            </w:r>
          </w:p>
        </w:tc>
      </w:tr>
      <w:tr w14:paraId="21BCF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57098804">
            <w:pPr>
              <w:rPr>
                <w:rFonts w:ascii="宋体" w:hAnsi="宋体" w:cs="宋体"/>
                <w:color w:val="auto"/>
                <w:szCs w:val="21"/>
                <w:highlight w:val="none"/>
              </w:rPr>
            </w:pPr>
          </w:p>
        </w:tc>
        <w:tc>
          <w:tcPr>
            <w:tcW w:w="1559" w:type="dxa"/>
            <w:vAlign w:val="center"/>
          </w:tcPr>
          <w:p w14:paraId="23B3EEA0">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住院退款管理</w:t>
            </w:r>
          </w:p>
        </w:tc>
        <w:tc>
          <w:tcPr>
            <w:tcW w:w="11083" w:type="dxa"/>
            <w:gridSpan w:val="2"/>
            <w:vAlign w:val="center"/>
          </w:tcPr>
          <w:p w14:paraId="48D63C8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支持单人退补费处理，可以按项目、医嘱、费用日期、记费日期、进行退费；</w:t>
            </w:r>
          </w:p>
          <w:p w14:paraId="5DDDD18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支持多人退补费处理，根据项目名称、费用日期查询病区可退费信息，再按姓名、床号、住院号快速定位到病人进行退费。</w:t>
            </w:r>
          </w:p>
        </w:tc>
      </w:tr>
      <w:tr w14:paraId="07710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685E9121">
            <w:pPr>
              <w:rPr>
                <w:rFonts w:ascii="宋体" w:hAnsi="宋体" w:cs="宋体"/>
                <w:color w:val="auto"/>
                <w:szCs w:val="21"/>
                <w:highlight w:val="none"/>
              </w:rPr>
            </w:pPr>
          </w:p>
        </w:tc>
        <w:tc>
          <w:tcPr>
            <w:tcW w:w="12642" w:type="dxa"/>
            <w:gridSpan w:val="3"/>
            <w:vAlign w:val="center"/>
          </w:tcPr>
          <w:p w14:paraId="0EF27B4E">
            <w:pPr>
              <w:numPr>
                <w:ilvl w:val="1"/>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住院综合查询</w:t>
            </w:r>
          </w:p>
        </w:tc>
      </w:tr>
      <w:tr w14:paraId="45309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5" w:type="dxa"/>
            <w:vMerge w:val="continue"/>
            <w:vAlign w:val="center"/>
          </w:tcPr>
          <w:p w14:paraId="16A995B9">
            <w:pPr>
              <w:rPr>
                <w:rFonts w:ascii="宋体" w:hAnsi="宋体" w:cs="宋体"/>
                <w:color w:val="auto"/>
                <w:szCs w:val="21"/>
                <w:highlight w:val="none"/>
              </w:rPr>
            </w:pPr>
          </w:p>
        </w:tc>
        <w:tc>
          <w:tcPr>
            <w:tcW w:w="1559" w:type="dxa"/>
            <w:vAlign w:val="center"/>
          </w:tcPr>
          <w:p w14:paraId="02E18E70">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住院查询</w:t>
            </w:r>
          </w:p>
        </w:tc>
        <w:tc>
          <w:tcPr>
            <w:tcW w:w="11083" w:type="dxa"/>
            <w:gridSpan w:val="2"/>
            <w:vAlign w:val="center"/>
          </w:tcPr>
          <w:p w14:paraId="222202F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住院费用账卡查询，费用账卡会逐项列明患者所得到的医治的所有项目、药品及价格明细内容，以及入院以来的医药费用总和；支持按患者、费用分类查询费用清单；支持按项目、日期查询费用清单；支持费用清单的打印；</w:t>
            </w:r>
          </w:p>
          <w:p w14:paraId="0DD8213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支持住院欠费查询，支持按照科室、病区、欠费额度、病人姓名、床位号、病案号，进行住院欠费信息的查询；</w:t>
            </w:r>
          </w:p>
          <w:p w14:paraId="377DF10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支持住院预结查询，支持按照预结日期、预结类型、预结科室、病案号，进行住院预结信息的查询；</w:t>
            </w:r>
          </w:p>
          <w:p w14:paraId="7595458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支持住院结算及缴款查询，支持按照病人病案号、发票号码、结算类型、保险计划、结算日期、病人科室，查询住院结算和交款信息；</w:t>
            </w:r>
          </w:p>
          <w:p w14:paraId="7A9A3D8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住院病人查询，提供病人住院状态、病人姓名、性别、保险计划、科室、病区、床号、住院诊断、病案号、身份证号、手机号、配偶姓名及联系电话、住址、工作单位、是否退休、出生日期、入院日期、出院日期等过滤条件，进行住院病人的查询，查询结果界面集成病人信息、入院信息、费用信息、手术信息等内容的查看，支持查询结果的打印；</w:t>
            </w:r>
          </w:p>
          <w:p w14:paraId="0A36BE3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支持住院申请查询，支持按申请日期、状态、机构、科室、人员，查询、打印住院申请信息；</w:t>
            </w:r>
          </w:p>
          <w:p w14:paraId="712BB53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支持住院人数查询，支持按照科室、病区、日期查询床位的使用情况；</w:t>
            </w:r>
          </w:p>
          <w:p w14:paraId="34D4078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支持全院床位查询，支持按照床位病区、床位状态、床位类型，查看全院床位的使用情况，同时集成病人信息、费用账卡查询功能。</w:t>
            </w:r>
          </w:p>
        </w:tc>
      </w:tr>
    </w:tbl>
    <w:p w14:paraId="734C4561">
      <w:pPr>
        <w:rPr>
          <w:rFonts w:ascii="宋体" w:hAnsi="宋体"/>
          <w:color w:val="auto"/>
          <w:highlight w:val="none"/>
        </w:rPr>
      </w:pPr>
    </w:p>
    <w:p w14:paraId="500E89CE">
      <w:pPr>
        <w:pStyle w:val="4"/>
        <w:numPr>
          <w:ilvl w:val="2"/>
          <w:numId w:val="9"/>
        </w:numPr>
        <w:spacing w:before="0" w:after="0" w:line="360" w:lineRule="auto"/>
        <w:ind w:left="567" w:hanging="567"/>
        <w:rPr>
          <w:color w:val="auto"/>
          <w:sz w:val="24"/>
          <w:highlight w:val="none"/>
        </w:rPr>
      </w:pPr>
      <w:r>
        <w:rPr>
          <w:rFonts w:hint="eastAsia" w:eastAsia="宋体"/>
          <w:color w:val="auto"/>
          <w:kern w:val="2"/>
          <w:sz w:val="24"/>
          <w:szCs w:val="24"/>
          <w:highlight w:val="none"/>
        </w:rPr>
        <w:t>社保审批系统建设需求</w:t>
      </w:r>
    </w:p>
    <w:tbl>
      <w:tblPr>
        <w:tblStyle w:val="4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266"/>
        <w:gridCol w:w="11528"/>
      </w:tblGrid>
      <w:tr w14:paraId="3ED56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87" w:type="dxa"/>
            <w:vAlign w:val="center"/>
          </w:tcPr>
          <w:p w14:paraId="58C98F82">
            <w:pPr>
              <w:jc w:val="center"/>
              <w:rPr>
                <w:rFonts w:ascii="宋体" w:hAnsi="宋体" w:cs="宋体"/>
                <w:color w:val="auto"/>
                <w:szCs w:val="21"/>
                <w:highlight w:val="none"/>
              </w:rPr>
            </w:pPr>
            <w:r>
              <w:rPr>
                <w:rFonts w:hint="eastAsia" w:ascii="宋体" w:hAnsi="宋体" w:cs="宋体"/>
                <w:color w:val="auto"/>
                <w:kern w:val="0"/>
                <w:szCs w:val="21"/>
                <w:highlight w:val="none"/>
              </w:rPr>
              <w:t>需求名称</w:t>
            </w:r>
          </w:p>
        </w:tc>
        <w:tc>
          <w:tcPr>
            <w:tcW w:w="1266" w:type="dxa"/>
            <w:vAlign w:val="center"/>
          </w:tcPr>
          <w:p w14:paraId="479348BD">
            <w:pPr>
              <w:jc w:val="center"/>
              <w:rPr>
                <w:rFonts w:ascii="宋体" w:hAnsi="宋体" w:cs="宋体"/>
                <w:color w:val="auto"/>
                <w:szCs w:val="21"/>
                <w:highlight w:val="none"/>
              </w:rPr>
            </w:pPr>
            <w:r>
              <w:rPr>
                <w:rFonts w:hint="eastAsia" w:ascii="宋体" w:hAnsi="宋体" w:cs="宋体"/>
                <w:color w:val="auto"/>
                <w:kern w:val="0"/>
                <w:szCs w:val="21"/>
                <w:highlight w:val="none"/>
              </w:rPr>
              <w:t>序号</w:t>
            </w:r>
          </w:p>
        </w:tc>
        <w:tc>
          <w:tcPr>
            <w:tcW w:w="11528" w:type="dxa"/>
            <w:vAlign w:val="center"/>
          </w:tcPr>
          <w:p w14:paraId="785A64AE">
            <w:pPr>
              <w:tabs>
                <w:tab w:val="left" w:pos="525"/>
                <w:tab w:val="left" w:pos="630"/>
              </w:tabs>
              <w:spacing w:line="360" w:lineRule="auto"/>
              <w:jc w:val="center"/>
              <w:rPr>
                <w:rFonts w:ascii="宋体" w:hAnsi="宋体" w:cs="宋体"/>
                <w:bCs/>
                <w:color w:val="auto"/>
                <w:szCs w:val="21"/>
                <w:highlight w:val="none"/>
              </w:rPr>
            </w:pPr>
            <w:r>
              <w:rPr>
                <w:rFonts w:hint="eastAsia" w:ascii="宋体" w:hAnsi="宋体" w:cs="宋体"/>
                <w:color w:val="auto"/>
                <w:kern w:val="0"/>
                <w:szCs w:val="21"/>
                <w:highlight w:val="none"/>
              </w:rPr>
              <w:t>需求描述</w:t>
            </w:r>
          </w:p>
        </w:tc>
      </w:tr>
      <w:tr w14:paraId="1E911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87" w:type="dxa"/>
            <w:vAlign w:val="center"/>
          </w:tcPr>
          <w:p w14:paraId="1C0CBDE9">
            <w:pPr>
              <w:numPr>
                <w:ilvl w:val="0"/>
                <w:numId w:val="11"/>
              </w:numPr>
              <w:rPr>
                <w:rFonts w:ascii="宋体" w:hAnsi="宋体" w:cs="宋体"/>
                <w:color w:val="auto"/>
                <w:szCs w:val="21"/>
                <w:highlight w:val="none"/>
              </w:rPr>
            </w:pPr>
            <w:r>
              <w:rPr>
                <w:rFonts w:hint="eastAsia" w:ascii="宋体" w:hAnsi="宋体" w:cs="宋体"/>
                <w:color w:val="auto"/>
                <w:szCs w:val="21"/>
                <w:highlight w:val="none"/>
              </w:rPr>
              <w:t>社保审批系统</w:t>
            </w:r>
          </w:p>
        </w:tc>
        <w:tc>
          <w:tcPr>
            <w:tcW w:w="1266" w:type="dxa"/>
            <w:vAlign w:val="center"/>
          </w:tcPr>
          <w:p w14:paraId="2FDE4DA4">
            <w:pPr>
              <w:numPr>
                <w:ilvl w:val="1"/>
                <w:numId w:val="11"/>
              </w:numPr>
              <w:ind w:left="0" w:firstLine="0"/>
              <w:rPr>
                <w:rFonts w:ascii="宋体" w:hAnsi="宋体" w:cs="宋体"/>
                <w:color w:val="auto"/>
                <w:kern w:val="0"/>
                <w:szCs w:val="21"/>
                <w:highlight w:val="none"/>
              </w:rPr>
            </w:pPr>
            <w:r>
              <w:rPr>
                <w:rFonts w:hint="eastAsia" w:ascii="宋体" w:hAnsi="宋体" w:cs="宋体"/>
                <w:color w:val="auto"/>
                <w:szCs w:val="21"/>
                <w:highlight w:val="none"/>
              </w:rPr>
              <w:t>社保审批系统</w:t>
            </w:r>
          </w:p>
        </w:tc>
        <w:tc>
          <w:tcPr>
            <w:tcW w:w="11528" w:type="dxa"/>
            <w:vAlign w:val="center"/>
          </w:tcPr>
          <w:p w14:paraId="7E5556AE">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提供社保政策查询、审批状态跟踪、统计报表等界面。社保政策查询模块支持各种社保政策的查询和浏览，工作人员和患者可以通过该模块了解社保政策的相关信息。审批状态跟踪模块支持社保审批申请的状态跟踪和查询，工作人员和患者可以随时查看审批申请的处理进度。统计报表模块支持社保业务数据的统计和分析，如社保报销金额、报销比例、审批通过率等，为医院的社保管理提供决策支持。</w:t>
            </w:r>
          </w:p>
          <w:p w14:paraId="2AEB43B4">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集成医院收费系统和社保部门的信息系统，实现社保业务的电子化办理。系统与医院收费系统和社保部门的信息系统进行接口对接，患者在医院就诊时，可以直接在系统中进行社保患者信息录入和审批申请，无需到社保部门办理相关手续。系统自动将申请信息发送到社保部门的信息系统进行审批，审批通过后，系统自动完成社保费用的结算和报销，实现社保业务的电子化办理，提高社保业务的办理效率和患者的就医体验。</w:t>
            </w:r>
          </w:p>
        </w:tc>
      </w:tr>
    </w:tbl>
    <w:p w14:paraId="3F73091C">
      <w:pPr>
        <w:rPr>
          <w:rFonts w:ascii="宋体" w:hAnsi="宋体"/>
          <w:color w:val="auto"/>
          <w:highlight w:val="none"/>
        </w:rPr>
      </w:pPr>
    </w:p>
    <w:p w14:paraId="3B314D91">
      <w:pPr>
        <w:pStyle w:val="4"/>
        <w:numPr>
          <w:ilvl w:val="2"/>
          <w:numId w:val="9"/>
        </w:numPr>
        <w:spacing w:before="0" w:after="0" w:line="360" w:lineRule="auto"/>
        <w:ind w:left="567" w:hanging="567"/>
        <w:rPr>
          <w:color w:val="auto"/>
          <w:sz w:val="24"/>
          <w:highlight w:val="none"/>
        </w:rPr>
      </w:pPr>
      <w:r>
        <w:rPr>
          <w:rFonts w:hint="eastAsia" w:eastAsia="宋体"/>
          <w:color w:val="auto"/>
          <w:kern w:val="2"/>
          <w:sz w:val="24"/>
          <w:szCs w:val="24"/>
          <w:highlight w:val="none"/>
        </w:rPr>
        <w:t>纸质病案建设需求</w:t>
      </w:r>
    </w:p>
    <w:tbl>
      <w:tblPr>
        <w:tblStyle w:val="4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9"/>
        <w:gridCol w:w="1483"/>
        <w:gridCol w:w="11680"/>
      </w:tblGrid>
      <w:tr w14:paraId="042BD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Align w:val="center"/>
          </w:tcPr>
          <w:p w14:paraId="6D7977B5">
            <w:pPr>
              <w:jc w:val="center"/>
              <w:rPr>
                <w:rFonts w:ascii="宋体" w:hAnsi="宋体" w:cs="宋体"/>
                <w:color w:val="auto"/>
                <w:szCs w:val="21"/>
                <w:highlight w:val="none"/>
              </w:rPr>
            </w:pPr>
            <w:r>
              <w:rPr>
                <w:rFonts w:hint="eastAsia" w:ascii="宋体" w:hAnsi="宋体" w:cs="宋体"/>
                <w:color w:val="auto"/>
                <w:kern w:val="0"/>
                <w:szCs w:val="21"/>
                <w:highlight w:val="none"/>
              </w:rPr>
              <w:t>需求名称</w:t>
            </w:r>
          </w:p>
        </w:tc>
        <w:tc>
          <w:tcPr>
            <w:tcW w:w="1483" w:type="dxa"/>
            <w:vAlign w:val="center"/>
          </w:tcPr>
          <w:p w14:paraId="67F25842">
            <w:pPr>
              <w:jc w:val="center"/>
              <w:rPr>
                <w:rFonts w:ascii="宋体" w:hAnsi="宋体" w:cs="宋体"/>
                <w:color w:val="auto"/>
                <w:szCs w:val="21"/>
                <w:highlight w:val="none"/>
              </w:rPr>
            </w:pPr>
            <w:r>
              <w:rPr>
                <w:rFonts w:hint="eastAsia" w:ascii="宋体" w:hAnsi="宋体" w:cs="宋体"/>
                <w:color w:val="auto"/>
                <w:kern w:val="0"/>
                <w:szCs w:val="21"/>
                <w:highlight w:val="none"/>
              </w:rPr>
              <w:t>序号</w:t>
            </w:r>
          </w:p>
        </w:tc>
        <w:tc>
          <w:tcPr>
            <w:tcW w:w="11680" w:type="dxa"/>
            <w:vAlign w:val="center"/>
          </w:tcPr>
          <w:p w14:paraId="5730BF68">
            <w:pPr>
              <w:tabs>
                <w:tab w:val="left" w:pos="525"/>
                <w:tab w:val="left" w:pos="630"/>
              </w:tabs>
              <w:spacing w:line="360" w:lineRule="auto"/>
              <w:jc w:val="center"/>
              <w:rPr>
                <w:rFonts w:ascii="宋体" w:hAnsi="宋体" w:cs="宋体"/>
                <w:bCs/>
                <w:color w:val="auto"/>
                <w:szCs w:val="21"/>
                <w:highlight w:val="none"/>
              </w:rPr>
            </w:pPr>
            <w:r>
              <w:rPr>
                <w:rFonts w:hint="eastAsia" w:ascii="宋体" w:hAnsi="宋体" w:cs="宋体"/>
                <w:color w:val="auto"/>
                <w:kern w:val="0"/>
                <w:szCs w:val="21"/>
                <w:highlight w:val="none"/>
              </w:rPr>
              <w:t>需求描述</w:t>
            </w:r>
          </w:p>
        </w:tc>
      </w:tr>
      <w:tr w14:paraId="4F43A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Merge w:val="restart"/>
            <w:vAlign w:val="center"/>
          </w:tcPr>
          <w:p w14:paraId="20728CFB">
            <w:pPr>
              <w:numPr>
                <w:ilvl w:val="0"/>
                <w:numId w:val="11"/>
              </w:numPr>
              <w:rPr>
                <w:rFonts w:ascii="宋体" w:hAnsi="宋体" w:cs="宋体"/>
                <w:color w:val="auto"/>
                <w:szCs w:val="21"/>
                <w:highlight w:val="none"/>
              </w:rPr>
            </w:pPr>
            <w:r>
              <w:rPr>
                <w:rFonts w:hint="eastAsia" w:ascii="宋体" w:hAnsi="宋体" w:cs="宋体"/>
                <w:color w:val="auto"/>
                <w:szCs w:val="21"/>
                <w:highlight w:val="none"/>
              </w:rPr>
              <w:t>病历拍摄系统</w:t>
            </w:r>
          </w:p>
        </w:tc>
        <w:tc>
          <w:tcPr>
            <w:tcW w:w="1483" w:type="dxa"/>
            <w:vAlign w:val="center"/>
          </w:tcPr>
          <w:p w14:paraId="65972AA2">
            <w:pPr>
              <w:numPr>
                <w:ilvl w:val="1"/>
                <w:numId w:val="11"/>
              </w:numPr>
              <w:ind w:left="0" w:firstLine="0"/>
              <w:rPr>
                <w:rFonts w:ascii="宋体" w:hAnsi="宋体" w:cs="宋体"/>
                <w:color w:val="auto"/>
                <w:szCs w:val="21"/>
                <w:highlight w:val="none"/>
              </w:rPr>
            </w:pPr>
            <w:bookmarkStart w:id="4" w:name="_Toc200554182"/>
            <w:r>
              <w:rPr>
                <w:rFonts w:hint="eastAsia" w:ascii="宋体" w:hAnsi="宋体" w:cs="宋体"/>
                <w:color w:val="auto"/>
                <w:szCs w:val="21"/>
                <w:highlight w:val="none"/>
              </w:rPr>
              <w:t>病案交接</w:t>
            </w:r>
            <w:bookmarkEnd w:id="4"/>
          </w:p>
        </w:tc>
        <w:tc>
          <w:tcPr>
            <w:tcW w:w="11680" w:type="dxa"/>
            <w:vAlign w:val="center"/>
          </w:tcPr>
          <w:p w14:paraId="734B848E">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病案加工前，交接人员需要与院方进行病案的交接确认，避免病案的丢失或者纠纷。打印批次交接单，需院方和交接人员签字，用于病案交接的凭证。</w:t>
            </w:r>
          </w:p>
          <w:p w14:paraId="33293785">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提供翻拍人员用于病案库房人员进行病案交接的功能，预防病案丢失追踪。支持创建批次、条码绑定病案、病案绑定批次、交接单打印。</w:t>
            </w:r>
          </w:p>
        </w:tc>
      </w:tr>
      <w:tr w14:paraId="19F7B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Merge w:val="continue"/>
            <w:vAlign w:val="center"/>
          </w:tcPr>
          <w:p w14:paraId="7266CC72">
            <w:pPr>
              <w:numPr>
                <w:ilvl w:val="0"/>
                <w:numId w:val="11"/>
              </w:numPr>
              <w:rPr>
                <w:rFonts w:ascii="宋体" w:hAnsi="宋体" w:cs="宋体"/>
                <w:color w:val="auto"/>
                <w:szCs w:val="21"/>
                <w:highlight w:val="none"/>
              </w:rPr>
            </w:pPr>
          </w:p>
        </w:tc>
        <w:tc>
          <w:tcPr>
            <w:tcW w:w="1483" w:type="dxa"/>
            <w:vAlign w:val="center"/>
          </w:tcPr>
          <w:p w14:paraId="6CBE2EC4">
            <w:pPr>
              <w:numPr>
                <w:ilvl w:val="1"/>
                <w:numId w:val="11"/>
              </w:numPr>
              <w:ind w:left="0" w:firstLine="0"/>
              <w:rPr>
                <w:rFonts w:ascii="宋体" w:hAnsi="宋体" w:cs="宋体"/>
                <w:color w:val="auto"/>
                <w:szCs w:val="21"/>
                <w:highlight w:val="none"/>
              </w:rPr>
            </w:pPr>
            <w:bookmarkStart w:id="5" w:name="_Toc200554183"/>
            <w:r>
              <w:rPr>
                <w:rFonts w:hint="eastAsia" w:ascii="宋体" w:hAnsi="宋体" w:cs="宋体"/>
                <w:color w:val="auto"/>
                <w:szCs w:val="21"/>
                <w:highlight w:val="none"/>
              </w:rPr>
              <w:t>病案加工</w:t>
            </w:r>
            <w:bookmarkEnd w:id="5"/>
          </w:p>
        </w:tc>
        <w:tc>
          <w:tcPr>
            <w:tcW w:w="11680" w:type="dxa"/>
            <w:vAlign w:val="center"/>
          </w:tcPr>
          <w:p w14:paraId="5715110F">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1.历史病案加工，支持采用拍摄或扫描的方式实现纸质病案数字化。</w:t>
            </w:r>
          </w:p>
          <w:p w14:paraId="5E3C5007">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2.支持多种高拍仪拍摄和高速扫描仪扫描两种模式。高速扫描仪速度要求每分钟60张以上并支持双面扫描方式。</w:t>
            </w:r>
          </w:p>
          <w:p w14:paraId="4AD705BE">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3.图片预览，系统拍摄过程中应能够预览拍摄效果。</w:t>
            </w:r>
          </w:p>
          <w:p w14:paraId="360424C3">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4.图片编辑，拍摄过程中能够对所拍图片进行编辑修改，包括校准、旋转、截取、涂擦、去黑边等操作。</w:t>
            </w:r>
          </w:p>
          <w:p w14:paraId="58032567">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5.原件损坏标记，加工时可对某一页进行标记原件是否损坏。</w:t>
            </w:r>
          </w:p>
          <w:p w14:paraId="0BBED516">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6.导入PDF，拍摄过程中，支持导入PDF，选择对应的加工分类后，可选择导入PDF文件，已导入的PDF文件支持重新分类。</w:t>
            </w:r>
          </w:p>
          <w:p w14:paraId="3301595A">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7.系统拍摄过程中可以随时维护系统分类（支持批量），删除（支持批量）、并支持补拍、重拍、返修、已打印病历修改限制。</w:t>
            </w:r>
          </w:p>
          <w:p w14:paraId="55CD998D">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8.完整性校验，病案上传前校验主索引、重复页、必含分类、首页质控等；可做病案缺失登记。</w:t>
            </w:r>
          </w:p>
          <w:p w14:paraId="4B88977B">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9.应支持黑白、彩色拍摄设置切换。</w:t>
            </w:r>
          </w:p>
          <w:p w14:paraId="52281AAE">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10.存储机制，数字化存储应为加密格式，防止被恶意复制后出现信息泄露。</w:t>
            </w:r>
          </w:p>
          <w:p w14:paraId="67946C9C">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11.图片方式上传：支持webservice方式上传图片至服务器。</w:t>
            </w:r>
          </w:p>
          <w:p w14:paraId="44178FFD">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12.大屏幕显示器，在加工环节支持大屏幕显示器，支持分辨率1920*1080以上，具有所见即所得的效果。</w:t>
            </w:r>
          </w:p>
          <w:p w14:paraId="56FBA54A">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13.特殊病历标记，针对特殊病案或原件损坏病历具有标记功能，形成台账并支持查询。</w:t>
            </w:r>
          </w:p>
          <w:p w14:paraId="0F00F38F">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14.数据缓存，支持加工端暂存一定天数数据，防止数据出现丢失，要求具备临时保存功能。</w:t>
            </w:r>
          </w:p>
          <w:p w14:paraId="328C691A">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15.基本信息录入：将历史病案信息录入系统，支持患者基础信息录入。</w:t>
            </w:r>
          </w:p>
          <w:p w14:paraId="4FA8CE1B">
            <w:pPr>
              <w:tabs>
                <w:tab w:val="left" w:pos="525"/>
                <w:tab w:val="left" w:pos="630"/>
              </w:tabs>
              <w:spacing w:line="360" w:lineRule="auto"/>
              <w:rPr>
                <w:rFonts w:ascii="宋体" w:hAnsi="宋体" w:cs="宋体"/>
                <w:color w:val="auto"/>
                <w:szCs w:val="21"/>
                <w:highlight w:val="none"/>
              </w:rPr>
            </w:pPr>
            <w:r>
              <w:rPr>
                <w:rFonts w:hint="eastAsia" w:ascii="宋体" w:hAnsi="宋体" w:cs="宋体"/>
                <w:bCs/>
                <w:color w:val="auto"/>
                <w:szCs w:val="21"/>
                <w:highlight w:val="none"/>
              </w:rPr>
              <w:t>16.PDF自动分类，根据设置的分类关键字信息，OCR识别文档信息完成对PDF图像内容的自动分类，可根据住院号-次数或病案号-姓名的方式导入PDF文件。根据设置的关键字信息，患者档案信息导入后将自动解析。</w:t>
            </w:r>
          </w:p>
        </w:tc>
      </w:tr>
      <w:tr w14:paraId="3896A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Merge w:val="continue"/>
            <w:vAlign w:val="center"/>
          </w:tcPr>
          <w:p w14:paraId="50063F8E">
            <w:pPr>
              <w:numPr>
                <w:ilvl w:val="0"/>
                <w:numId w:val="11"/>
              </w:numPr>
              <w:rPr>
                <w:rFonts w:ascii="宋体" w:hAnsi="宋体" w:cs="宋体"/>
                <w:color w:val="auto"/>
                <w:szCs w:val="21"/>
                <w:highlight w:val="none"/>
              </w:rPr>
            </w:pPr>
          </w:p>
        </w:tc>
        <w:tc>
          <w:tcPr>
            <w:tcW w:w="1483" w:type="dxa"/>
            <w:vAlign w:val="center"/>
          </w:tcPr>
          <w:p w14:paraId="1AC0FD02">
            <w:pPr>
              <w:numPr>
                <w:ilvl w:val="1"/>
                <w:numId w:val="11"/>
              </w:numPr>
              <w:ind w:left="0" w:firstLine="0"/>
              <w:rPr>
                <w:rFonts w:ascii="宋体" w:hAnsi="宋体" w:cs="宋体"/>
                <w:color w:val="auto"/>
                <w:szCs w:val="21"/>
                <w:highlight w:val="none"/>
              </w:rPr>
            </w:pPr>
            <w:bookmarkStart w:id="6" w:name="_Toc200554184"/>
            <w:r>
              <w:rPr>
                <w:rFonts w:hint="eastAsia" w:ascii="宋体" w:hAnsi="宋体" w:cs="宋体"/>
                <w:color w:val="auto"/>
                <w:szCs w:val="21"/>
                <w:highlight w:val="none"/>
              </w:rPr>
              <w:t>病案管理</w:t>
            </w:r>
            <w:bookmarkEnd w:id="6"/>
          </w:p>
        </w:tc>
        <w:tc>
          <w:tcPr>
            <w:tcW w:w="11680" w:type="dxa"/>
            <w:vAlign w:val="center"/>
          </w:tcPr>
          <w:p w14:paraId="78B70812">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1.人工审核，可对病例内容进行整体、单独图片的审核，病案漏扫情况审核。能够审核出质量不合格的图片包括手影、模糊、空白页、歪斜、截断、黑边。</w:t>
            </w:r>
          </w:p>
          <w:p w14:paraId="20BD8C48">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2.审核机制中应支持放大镜功能，具备图片编辑功能。</w:t>
            </w:r>
          </w:p>
          <w:p w14:paraId="22BB75CF">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3.项目抽查、多种抽查策略，抽查方式，严格把控病案加工质量。</w:t>
            </w:r>
          </w:p>
          <w:p w14:paraId="0CA33CE6">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4.完整性验证机制、必含项验证：图片拍摄提交时，根据病案首页数据逻辑提醒病案归档应包含的报告，自动启动设置的必含分类及分类的上下限验证。</w:t>
            </w:r>
          </w:p>
          <w:p w14:paraId="6D640DF5">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5.整份删除：支持对拍错的病案进行整份删除。</w:t>
            </w:r>
          </w:p>
          <w:p w14:paraId="32785801">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6.病案错误检查：支持自动检查服务器上实际存储的图像信息与数据库中记录的图像数据是否一致，不一致则被系统视为错误病案信息，且把相应的错误文件名及路径列出来。</w:t>
            </w:r>
          </w:p>
          <w:p w14:paraId="4DD4FCB3">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7.支持病案导出（批量、单份、单页、自定义分类）。</w:t>
            </w:r>
          </w:p>
          <w:p w14:paraId="7EEF2CCD">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8.纸质借阅管理、支持纸质病案借阅管理，包括纸质借阅、纸质归还、借阅记录查看，借阅记录可在病案浏览页面的时间轴展示。</w:t>
            </w:r>
          </w:p>
        </w:tc>
      </w:tr>
      <w:tr w14:paraId="68577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Merge w:val="continue"/>
            <w:vAlign w:val="center"/>
          </w:tcPr>
          <w:p w14:paraId="05FD80DC">
            <w:pPr>
              <w:numPr>
                <w:ilvl w:val="0"/>
                <w:numId w:val="11"/>
              </w:numPr>
              <w:rPr>
                <w:rFonts w:ascii="宋体" w:hAnsi="宋体" w:cs="宋体"/>
                <w:color w:val="auto"/>
                <w:szCs w:val="21"/>
                <w:highlight w:val="none"/>
              </w:rPr>
            </w:pPr>
          </w:p>
        </w:tc>
        <w:tc>
          <w:tcPr>
            <w:tcW w:w="1483" w:type="dxa"/>
            <w:vAlign w:val="center"/>
          </w:tcPr>
          <w:p w14:paraId="69453729">
            <w:pPr>
              <w:numPr>
                <w:ilvl w:val="1"/>
                <w:numId w:val="11"/>
              </w:numPr>
              <w:ind w:left="0" w:firstLine="0"/>
              <w:rPr>
                <w:rFonts w:ascii="宋体" w:hAnsi="宋体" w:cs="宋体"/>
                <w:color w:val="auto"/>
                <w:szCs w:val="21"/>
                <w:highlight w:val="none"/>
              </w:rPr>
            </w:pPr>
            <w:bookmarkStart w:id="7" w:name="_Toc200554185"/>
            <w:r>
              <w:rPr>
                <w:rFonts w:hint="eastAsia" w:ascii="宋体" w:hAnsi="宋体" w:cs="宋体"/>
                <w:color w:val="auto"/>
                <w:szCs w:val="21"/>
                <w:highlight w:val="none"/>
              </w:rPr>
              <w:t>病案上架</w:t>
            </w:r>
            <w:bookmarkEnd w:id="7"/>
          </w:p>
        </w:tc>
        <w:tc>
          <w:tcPr>
            <w:tcW w:w="11680" w:type="dxa"/>
            <w:vAlign w:val="center"/>
          </w:tcPr>
          <w:p w14:paraId="1F62056D">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1.提供确认装箱、语音、未（已）装箱病案查询、箱号替换及查询、上架等业务功能。</w:t>
            </w:r>
          </w:p>
          <w:p w14:paraId="0E76DECC">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2.支持装箱、箱号、录入病案号（条码号）、确认装箱、封箱、上架内容。</w:t>
            </w:r>
          </w:p>
          <w:p w14:paraId="014DF46E">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3.支持病案装箱，提供病案装箱、箱号创建、查询上架、库房库位维护、箱内顺序调整等功能。</w:t>
            </w:r>
          </w:p>
          <w:p w14:paraId="26A6DBE8">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4.支持病案上架，含箱号条码打印、导出excel、打开语音、绑定条码、入库操作功能等。</w:t>
            </w:r>
          </w:p>
          <w:p w14:paraId="6A4F12BF">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5.装箱提醒，已扫描已审核未装箱病历数量，审核超天病案数量，支持钻取；</w:t>
            </w:r>
          </w:p>
          <w:p w14:paraId="768F08F4">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6.支持库房库位维护，库房添加、维护；库位添加（名称、标识、序号段、描述）等数据维护。</w:t>
            </w:r>
          </w:p>
        </w:tc>
      </w:tr>
      <w:tr w14:paraId="1DF44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Merge w:val="continue"/>
            <w:vAlign w:val="center"/>
          </w:tcPr>
          <w:p w14:paraId="7FCF1C1C">
            <w:pPr>
              <w:numPr>
                <w:ilvl w:val="0"/>
                <w:numId w:val="11"/>
              </w:numPr>
              <w:rPr>
                <w:rFonts w:ascii="宋体" w:hAnsi="宋体" w:cs="宋体"/>
                <w:color w:val="auto"/>
                <w:szCs w:val="21"/>
                <w:highlight w:val="none"/>
              </w:rPr>
            </w:pPr>
          </w:p>
        </w:tc>
        <w:tc>
          <w:tcPr>
            <w:tcW w:w="1483" w:type="dxa"/>
            <w:vAlign w:val="center"/>
          </w:tcPr>
          <w:p w14:paraId="47765E4D">
            <w:pPr>
              <w:numPr>
                <w:ilvl w:val="1"/>
                <w:numId w:val="11"/>
              </w:numPr>
              <w:ind w:left="0" w:firstLine="0"/>
              <w:rPr>
                <w:rFonts w:ascii="宋体" w:hAnsi="宋体" w:cs="宋体"/>
                <w:color w:val="auto"/>
                <w:szCs w:val="21"/>
                <w:highlight w:val="none"/>
              </w:rPr>
            </w:pPr>
            <w:bookmarkStart w:id="8" w:name="_Toc200554186"/>
            <w:r>
              <w:rPr>
                <w:rFonts w:hint="eastAsia" w:ascii="宋体" w:hAnsi="宋体" w:cs="宋体"/>
                <w:color w:val="auto"/>
                <w:szCs w:val="21"/>
                <w:highlight w:val="none"/>
              </w:rPr>
              <w:t>病案复印</w:t>
            </w:r>
            <w:bookmarkEnd w:id="8"/>
          </w:p>
        </w:tc>
        <w:tc>
          <w:tcPr>
            <w:tcW w:w="11680" w:type="dxa"/>
            <w:vAlign w:val="center"/>
          </w:tcPr>
          <w:p w14:paraId="230C7AD4">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1.电子申请单，支持外接身份证读卡器自动读取二代身份证信息，并通过获取的身份信息自动定位患者病案，且能够生成具有患者身份证或委托人身份证图片的电子申请单。</w:t>
            </w:r>
          </w:p>
          <w:p w14:paraId="30D0DC1A">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2.多种检索条件，除支持身份证号检索外还支持出入院时间、出入院科室、患者姓名等检索条件。</w:t>
            </w:r>
          </w:p>
          <w:p w14:paraId="5798970D">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3.证件拍摄，支持外接高拍仪留存打印申请所需的证明材料，如户口簿、出生证明、保险单等。</w:t>
            </w:r>
          </w:p>
          <w:p w14:paraId="13E7C41D">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4.套餐打印，支持选择打印套餐（套餐种类可自定义，如报销套餐、复诊套餐等），通过套餐系统自动选定涉及的病案分类，并支持病案一次性打印多份。</w:t>
            </w:r>
          </w:p>
          <w:p w14:paraId="3D5B3FB6">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5.计费规则，支持设置打印费用计算规则如按页、按份、按阶段计费，还支持设定调档费，实现打印时自动增加调档费。</w:t>
            </w:r>
          </w:p>
          <w:p w14:paraId="70A80547">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6.自动计费，系统能根据套餐内容、计费规则自动计算出打印应付金额。</w:t>
            </w:r>
          </w:p>
          <w:p w14:paraId="78DF5EAA">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7.打印预警，支持病案打印时涉及封存病案、HIV病案、缺失病历的预警提示，并可控制未归档病案不允许打印。</w:t>
            </w:r>
          </w:p>
          <w:p w14:paraId="2C3F92ED">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8.OFD格式导出，打印页面支持病案导出OFD格式。</w:t>
            </w:r>
          </w:p>
        </w:tc>
      </w:tr>
      <w:tr w14:paraId="23161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Merge w:val="continue"/>
            <w:vAlign w:val="center"/>
          </w:tcPr>
          <w:p w14:paraId="3F92A9EB">
            <w:pPr>
              <w:numPr>
                <w:ilvl w:val="0"/>
                <w:numId w:val="11"/>
              </w:numPr>
              <w:rPr>
                <w:rFonts w:ascii="宋体" w:hAnsi="宋体" w:cs="宋体"/>
                <w:color w:val="auto"/>
                <w:szCs w:val="21"/>
                <w:highlight w:val="none"/>
              </w:rPr>
            </w:pPr>
          </w:p>
        </w:tc>
        <w:tc>
          <w:tcPr>
            <w:tcW w:w="1483" w:type="dxa"/>
            <w:vAlign w:val="center"/>
          </w:tcPr>
          <w:p w14:paraId="788D7203">
            <w:pPr>
              <w:numPr>
                <w:ilvl w:val="1"/>
                <w:numId w:val="11"/>
              </w:numPr>
              <w:ind w:left="0" w:firstLine="0"/>
              <w:rPr>
                <w:rFonts w:ascii="宋体" w:hAnsi="宋体" w:cs="宋体"/>
                <w:color w:val="auto"/>
                <w:szCs w:val="21"/>
                <w:highlight w:val="none"/>
              </w:rPr>
            </w:pPr>
            <w:bookmarkStart w:id="9" w:name="_Toc200554187"/>
            <w:r>
              <w:rPr>
                <w:rFonts w:hint="eastAsia" w:ascii="宋体" w:hAnsi="宋体" w:cs="宋体"/>
                <w:color w:val="auto"/>
                <w:szCs w:val="21"/>
                <w:highlight w:val="none"/>
              </w:rPr>
              <w:t>病案应用</w:t>
            </w:r>
            <w:bookmarkEnd w:id="9"/>
          </w:p>
        </w:tc>
        <w:tc>
          <w:tcPr>
            <w:tcW w:w="11680" w:type="dxa"/>
            <w:vAlign w:val="center"/>
          </w:tcPr>
          <w:p w14:paraId="655BCE88">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1.要求病案浏览时具备多条件复合查询功能，实现首页快捷检索，快速查找病案信息。</w:t>
            </w:r>
          </w:p>
          <w:p w14:paraId="0E0F118C">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2.病案在查询浏览时显示病案分类、水印展示、打印次数；图片左旋转、右旋转、全屏、放大、缩小、防止非法拍摄、屏蔽非法拷贝。</w:t>
            </w:r>
          </w:p>
          <w:p w14:paraId="7320EF0A">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3.病案对比查看功能：以1.2.4.9宫格式等方式显示；支持图片左旋转、右旋转、全屏、放大、缩小等操作。</w:t>
            </w:r>
          </w:p>
          <w:p w14:paraId="517F41E7">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4.支持病案保密：设置病案保密级别，至少（不保密,S,SS,SSS)；不同权限的管理员查不同级别并支持向下兼容。</w:t>
            </w:r>
          </w:p>
          <w:p w14:paraId="1A100AB8">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5.病案借阅申请：用户申请无权限浏览的病案及审核机制，支持多级审核，具有浏览到期自动收回的功能。</w:t>
            </w:r>
          </w:p>
          <w:p w14:paraId="7477F97A">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6.支持线上讨论和图片标注：病案浏览时提供线上讨论模块，记录标题及讨论内容，还可在图片讨论的地方进行标注，讨论的内容自动生成病案报告反馈记录，并可跟踪病案反馈处理状态。</w:t>
            </w:r>
          </w:p>
          <w:p w14:paraId="39AAA5D9">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7.支持原件借阅和审核归还：提交借阅申请、选择病案、填写借阅天数、借阅理由；查看借阅流程详情含（病案、装箱、申请、审核、归还）；审核借阅申请单并给出审核意见；归还登记归还人及备注说明。</w:t>
            </w:r>
          </w:p>
          <w:p w14:paraId="62A9384B">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8.病案封存：封存管理支持线上封存、解封申请、审核操作、封存、解封申请时支持拍摄相关附件。</w:t>
            </w:r>
          </w:p>
          <w:p w14:paraId="10E17382">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病案科研：能够支持病案图片的病案科研、在线讨论。</w:t>
            </w:r>
          </w:p>
          <w:p w14:paraId="34190909">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10.</w:t>
            </w:r>
            <w:r>
              <w:rPr>
                <w:rFonts w:ascii="宋体" w:hAnsi="宋体" w:cs="宋体"/>
                <w:bCs/>
                <w:color w:val="auto"/>
                <w:szCs w:val="21"/>
                <w:highlight w:val="none"/>
              </w:rPr>
              <w:t>URL病案查阅申请：支持URL病案查询申请借阅</w:t>
            </w:r>
            <w:r>
              <w:rPr>
                <w:rFonts w:hint="eastAsia" w:ascii="宋体" w:hAnsi="宋体" w:cs="宋体"/>
                <w:bCs/>
                <w:color w:val="auto"/>
                <w:szCs w:val="21"/>
                <w:highlight w:val="none"/>
              </w:rPr>
              <w:t>，助力电子病历等级评审</w:t>
            </w:r>
            <w:r>
              <w:rPr>
                <w:rFonts w:ascii="宋体" w:hAnsi="宋体" w:cs="宋体"/>
                <w:bCs/>
                <w:color w:val="auto"/>
                <w:szCs w:val="21"/>
                <w:highlight w:val="none"/>
              </w:rPr>
              <w:t>。</w:t>
            </w:r>
          </w:p>
          <w:p w14:paraId="3F7C6AB2">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11.病案收藏：病案图片浏览时支持图片收藏，收藏内容可在我的收藏页面查看。</w:t>
            </w:r>
          </w:p>
        </w:tc>
      </w:tr>
      <w:tr w14:paraId="0640C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Merge w:val="continue"/>
            <w:vAlign w:val="center"/>
          </w:tcPr>
          <w:p w14:paraId="20E37C6F">
            <w:pPr>
              <w:numPr>
                <w:ilvl w:val="0"/>
                <w:numId w:val="11"/>
              </w:numPr>
              <w:rPr>
                <w:rFonts w:ascii="宋体" w:hAnsi="宋体" w:cs="宋体"/>
                <w:color w:val="auto"/>
                <w:szCs w:val="21"/>
                <w:highlight w:val="none"/>
              </w:rPr>
            </w:pPr>
          </w:p>
        </w:tc>
        <w:tc>
          <w:tcPr>
            <w:tcW w:w="1483" w:type="dxa"/>
            <w:vAlign w:val="center"/>
          </w:tcPr>
          <w:p w14:paraId="52295FDA">
            <w:pPr>
              <w:numPr>
                <w:ilvl w:val="1"/>
                <w:numId w:val="11"/>
              </w:numPr>
              <w:ind w:left="0" w:firstLine="0"/>
              <w:rPr>
                <w:rFonts w:ascii="宋体" w:hAnsi="宋体" w:cs="宋体"/>
                <w:color w:val="auto"/>
                <w:szCs w:val="21"/>
                <w:highlight w:val="none"/>
              </w:rPr>
            </w:pPr>
            <w:bookmarkStart w:id="10" w:name="_Toc200554188"/>
            <w:r>
              <w:rPr>
                <w:rFonts w:hint="eastAsia" w:ascii="宋体" w:hAnsi="宋体" w:cs="宋体"/>
                <w:color w:val="auto"/>
                <w:szCs w:val="21"/>
                <w:highlight w:val="none"/>
              </w:rPr>
              <w:t>报表统计</w:t>
            </w:r>
            <w:bookmarkEnd w:id="10"/>
          </w:p>
        </w:tc>
        <w:tc>
          <w:tcPr>
            <w:tcW w:w="11680" w:type="dxa"/>
            <w:vAlign w:val="center"/>
          </w:tcPr>
          <w:p w14:paraId="184F0A82">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1.复印统计，支持按照复印时间区间统计收费明细情况、复印工作量情况、复印用途统计。</w:t>
            </w:r>
          </w:p>
          <w:p w14:paraId="2B52EEAD">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2.工作量统计，系统提供多种工作量统计报表如扫描工作量、审核工作量、图片审核工作量报表。</w:t>
            </w:r>
          </w:p>
          <w:p w14:paraId="279B2755">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3.特殊病案查询，补拍统计、返修历史查询。</w:t>
            </w:r>
          </w:p>
        </w:tc>
      </w:tr>
      <w:tr w14:paraId="13D82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Merge w:val="continue"/>
            <w:vAlign w:val="center"/>
          </w:tcPr>
          <w:p w14:paraId="7D714038">
            <w:pPr>
              <w:numPr>
                <w:ilvl w:val="0"/>
                <w:numId w:val="11"/>
              </w:numPr>
              <w:rPr>
                <w:rFonts w:ascii="宋体" w:hAnsi="宋体" w:cs="宋体"/>
                <w:color w:val="auto"/>
                <w:szCs w:val="21"/>
                <w:highlight w:val="none"/>
              </w:rPr>
            </w:pPr>
          </w:p>
        </w:tc>
        <w:tc>
          <w:tcPr>
            <w:tcW w:w="1483" w:type="dxa"/>
            <w:vAlign w:val="center"/>
          </w:tcPr>
          <w:p w14:paraId="7CB9A13F">
            <w:pPr>
              <w:numPr>
                <w:ilvl w:val="1"/>
                <w:numId w:val="11"/>
              </w:numPr>
              <w:ind w:left="0" w:firstLine="0"/>
              <w:rPr>
                <w:rFonts w:ascii="宋体" w:hAnsi="宋体" w:cs="宋体"/>
                <w:color w:val="auto"/>
                <w:szCs w:val="21"/>
                <w:highlight w:val="none"/>
              </w:rPr>
            </w:pPr>
            <w:bookmarkStart w:id="11" w:name="_Toc200554189"/>
            <w:r>
              <w:rPr>
                <w:rFonts w:hint="eastAsia" w:ascii="宋体" w:hAnsi="宋体" w:cs="宋体"/>
                <w:color w:val="auto"/>
                <w:szCs w:val="21"/>
                <w:highlight w:val="none"/>
              </w:rPr>
              <w:t>系统设置</w:t>
            </w:r>
            <w:bookmarkEnd w:id="11"/>
          </w:p>
        </w:tc>
        <w:tc>
          <w:tcPr>
            <w:tcW w:w="11680" w:type="dxa"/>
            <w:vAlign w:val="center"/>
          </w:tcPr>
          <w:p w14:paraId="786BE64B">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1.对加工模块参数进行配置，包括病案存储路径、扫描/拍摄图片质量、分类及上下限校验、装箱上下限值、病案保密等级设置等参数。</w:t>
            </w:r>
          </w:p>
          <w:p w14:paraId="5E6EC78D">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2.支持病历打印参数配置，如：复印收费模式、病历打印边距、水印内容等。</w:t>
            </w:r>
          </w:p>
          <w:p w14:paraId="5AEA533F">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3.组织架构参数配置，包括角色与权限管理、用户管理、密码安全管理及系统IP黑名单等。</w:t>
            </w:r>
          </w:p>
          <w:p w14:paraId="6A888EB9">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4.支持个性化参数配置，如医院LOGO、医学分类设置、列表字段别名配置等。</w:t>
            </w:r>
          </w:p>
        </w:tc>
      </w:tr>
      <w:tr w14:paraId="2A34F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Merge w:val="continue"/>
            <w:vAlign w:val="center"/>
          </w:tcPr>
          <w:p w14:paraId="67243D99">
            <w:pPr>
              <w:numPr>
                <w:ilvl w:val="0"/>
                <w:numId w:val="11"/>
              </w:numPr>
              <w:rPr>
                <w:rFonts w:ascii="宋体" w:hAnsi="宋体" w:cs="宋体"/>
                <w:color w:val="auto"/>
                <w:szCs w:val="21"/>
                <w:highlight w:val="none"/>
              </w:rPr>
            </w:pPr>
          </w:p>
        </w:tc>
        <w:tc>
          <w:tcPr>
            <w:tcW w:w="1483" w:type="dxa"/>
            <w:vAlign w:val="center"/>
          </w:tcPr>
          <w:p w14:paraId="745C02B3">
            <w:pPr>
              <w:numPr>
                <w:ilvl w:val="1"/>
                <w:numId w:val="11"/>
              </w:numPr>
              <w:ind w:left="0" w:firstLine="0"/>
              <w:rPr>
                <w:rFonts w:ascii="宋体" w:hAnsi="宋体" w:cs="宋体"/>
                <w:color w:val="auto"/>
                <w:szCs w:val="21"/>
                <w:highlight w:val="none"/>
              </w:rPr>
            </w:pPr>
            <w:bookmarkStart w:id="12" w:name="_Toc200554190"/>
            <w:r>
              <w:rPr>
                <w:rFonts w:hint="eastAsia" w:ascii="宋体" w:hAnsi="宋体" w:cs="宋体"/>
                <w:color w:val="auto"/>
                <w:szCs w:val="21"/>
                <w:highlight w:val="none"/>
              </w:rPr>
              <w:t>可信管理</w:t>
            </w:r>
            <w:bookmarkEnd w:id="12"/>
          </w:p>
        </w:tc>
        <w:tc>
          <w:tcPr>
            <w:tcW w:w="11680" w:type="dxa"/>
            <w:vAlign w:val="center"/>
          </w:tcPr>
          <w:p w14:paraId="08E0915B">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已被审核通过的数字化病案，可以与CA对接实现电子签章。</w:t>
            </w:r>
          </w:p>
        </w:tc>
      </w:tr>
      <w:tr w14:paraId="29041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Merge w:val="continue"/>
            <w:vAlign w:val="center"/>
          </w:tcPr>
          <w:p w14:paraId="4D937EED">
            <w:pPr>
              <w:numPr>
                <w:ilvl w:val="0"/>
                <w:numId w:val="11"/>
              </w:numPr>
              <w:rPr>
                <w:rFonts w:ascii="宋体" w:hAnsi="宋体" w:cs="宋体"/>
                <w:color w:val="auto"/>
                <w:szCs w:val="21"/>
                <w:highlight w:val="none"/>
              </w:rPr>
            </w:pPr>
          </w:p>
        </w:tc>
        <w:tc>
          <w:tcPr>
            <w:tcW w:w="1483" w:type="dxa"/>
            <w:vAlign w:val="center"/>
          </w:tcPr>
          <w:p w14:paraId="2E7924B0">
            <w:pPr>
              <w:numPr>
                <w:ilvl w:val="1"/>
                <w:numId w:val="11"/>
              </w:numPr>
              <w:ind w:left="0" w:firstLine="0"/>
              <w:rPr>
                <w:rFonts w:ascii="宋体" w:hAnsi="宋体" w:cs="宋体"/>
                <w:color w:val="auto"/>
                <w:szCs w:val="21"/>
                <w:highlight w:val="none"/>
              </w:rPr>
            </w:pPr>
            <w:r>
              <w:rPr>
                <w:rFonts w:hint="eastAsia" w:ascii="宋体" w:hAnsi="宋体" w:cs="宋体"/>
                <w:color w:val="auto"/>
                <w:szCs w:val="21"/>
                <w:highlight w:val="none"/>
              </w:rPr>
              <w:t>安全处理</w:t>
            </w:r>
          </w:p>
        </w:tc>
        <w:tc>
          <w:tcPr>
            <w:tcW w:w="11680" w:type="dxa"/>
            <w:vAlign w:val="center"/>
          </w:tcPr>
          <w:p w14:paraId="78813E90">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1.加密存储，对服务器上的文件进行加密存储，从后台不能直接打开文件。</w:t>
            </w:r>
          </w:p>
          <w:p w14:paraId="114A1739">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2.水印功能，对病案浏览、借阅具备自动添加水印的功能（水印形式为登录工号、时间、IP地址，也可以自定义设置格式）。</w:t>
            </w:r>
          </w:p>
          <w:p w14:paraId="62699163">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3.动态可追踪，系统对病案的关键操作留有痕迹，监控病案流通过程，通过时间轴把操作记录可视化。</w:t>
            </w:r>
          </w:p>
          <w:p w14:paraId="06FB7F33">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4.权限控制，用户都有严格的数据权限控制，只能使用或查看属于自己权限科室的数据。</w:t>
            </w:r>
          </w:p>
          <w:p w14:paraId="794B8125">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5.密码强度管理，系统支持强密码设置，验证用户的密码复杂度。</w:t>
            </w:r>
          </w:p>
          <w:p w14:paraId="60A65C6E">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6.保密等级管理，对指定病案可设置保密等级，低保密等级用户无法查看高保密等级病案。</w:t>
            </w:r>
          </w:p>
          <w:p w14:paraId="6934C8B1">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7.单点登录，支持医院内部用户的注册及登录对接医院单点登录系统，实现统一管理，减少医生使用的麻烦。</w:t>
            </w:r>
          </w:p>
        </w:tc>
      </w:tr>
      <w:tr w14:paraId="783A3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Merge w:val="continue"/>
            <w:vAlign w:val="center"/>
          </w:tcPr>
          <w:p w14:paraId="1D961DC6">
            <w:pPr>
              <w:numPr>
                <w:ilvl w:val="0"/>
                <w:numId w:val="11"/>
              </w:numPr>
              <w:rPr>
                <w:rFonts w:ascii="宋体" w:hAnsi="宋体" w:cs="宋体"/>
                <w:color w:val="auto"/>
                <w:szCs w:val="21"/>
                <w:highlight w:val="none"/>
              </w:rPr>
            </w:pPr>
          </w:p>
        </w:tc>
        <w:tc>
          <w:tcPr>
            <w:tcW w:w="1483" w:type="dxa"/>
            <w:vAlign w:val="center"/>
          </w:tcPr>
          <w:p w14:paraId="2300FF43">
            <w:pPr>
              <w:numPr>
                <w:ilvl w:val="1"/>
                <w:numId w:val="11"/>
              </w:numPr>
              <w:ind w:left="0" w:firstLine="0"/>
              <w:rPr>
                <w:rFonts w:ascii="宋体" w:hAnsi="宋体" w:cs="宋体"/>
                <w:color w:val="auto"/>
                <w:szCs w:val="21"/>
                <w:highlight w:val="none"/>
              </w:rPr>
            </w:pPr>
            <w:bookmarkStart w:id="13" w:name="_Toc200554192"/>
            <w:r>
              <w:rPr>
                <w:rFonts w:hint="eastAsia" w:ascii="宋体" w:hAnsi="宋体" w:cs="宋体"/>
                <w:color w:val="auto"/>
                <w:szCs w:val="21"/>
                <w:highlight w:val="none"/>
              </w:rPr>
              <w:t>存储和数据备份功能</w:t>
            </w:r>
            <w:bookmarkEnd w:id="13"/>
          </w:p>
        </w:tc>
        <w:tc>
          <w:tcPr>
            <w:tcW w:w="11680" w:type="dxa"/>
            <w:vAlign w:val="center"/>
          </w:tcPr>
          <w:p w14:paraId="784D6801">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1.存储叠加，支持服务器的叠加，通过配置服务器所在路径，满足服务器空间追加的需要。</w:t>
            </w:r>
          </w:p>
          <w:p w14:paraId="4C9BF72F">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2.独立备份，支持完善的数据备份机制，支持增量备份以及数据转储。</w:t>
            </w:r>
          </w:p>
          <w:p w14:paraId="166693A1">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3.结构清晰，要求文件服务器存储结构清晰，使用子目录存储规范，一旦数据库出现故障，可以从后台快捷查找患者的加密文档。</w:t>
            </w:r>
          </w:p>
        </w:tc>
      </w:tr>
      <w:tr w14:paraId="62A06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Merge w:val="continue"/>
            <w:vAlign w:val="center"/>
          </w:tcPr>
          <w:p w14:paraId="6CF20787">
            <w:pPr>
              <w:numPr>
                <w:ilvl w:val="0"/>
                <w:numId w:val="11"/>
              </w:numPr>
              <w:rPr>
                <w:rFonts w:ascii="宋体" w:hAnsi="宋体" w:cs="宋体"/>
                <w:color w:val="auto"/>
                <w:szCs w:val="21"/>
                <w:highlight w:val="none"/>
              </w:rPr>
            </w:pPr>
          </w:p>
        </w:tc>
        <w:tc>
          <w:tcPr>
            <w:tcW w:w="1483" w:type="dxa"/>
            <w:vAlign w:val="center"/>
          </w:tcPr>
          <w:p w14:paraId="1C17C9FF">
            <w:pPr>
              <w:numPr>
                <w:ilvl w:val="1"/>
                <w:numId w:val="11"/>
              </w:numPr>
              <w:ind w:left="0" w:firstLine="0"/>
              <w:rPr>
                <w:rFonts w:ascii="宋体" w:hAnsi="宋体" w:cs="宋体"/>
                <w:color w:val="auto"/>
                <w:szCs w:val="21"/>
                <w:highlight w:val="none"/>
              </w:rPr>
            </w:pPr>
            <w:bookmarkStart w:id="14" w:name="_Toc200554193"/>
            <w:r>
              <w:rPr>
                <w:rFonts w:hint="eastAsia" w:ascii="宋体" w:hAnsi="宋体" w:cs="宋体"/>
                <w:color w:val="auto"/>
                <w:szCs w:val="21"/>
                <w:highlight w:val="none"/>
              </w:rPr>
              <w:t>集成应用</w:t>
            </w:r>
            <w:bookmarkEnd w:id="14"/>
          </w:p>
        </w:tc>
        <w:tc>
          <w:tcPr>
            <w:tcW w:w="11680" w:type="dxa"/>
            <w:vAlign w:val="center"/>
          </w:tcPr>
          <w:p w14:paraId="57ACEA2B">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1.互联互通，支持业务系统集成数字化应用所需的标准链接及安全验证，能够实现系统间的互联互通。</w:t>
            </w:r>
          </w:p>
          <w:p w14:paraId="1FA045BF">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2.外部链接，支持数字化病案查询、借阅页面等外部链接供医生站、护士站、医务等系统做集成。</w:t>
            </w:r>
          </w:p>
        </w:tc>
      </w:tr>
    </w:tbl>
    <w:p w14:paraId="3E96E1C9">
      <w:pPr>
        <w:rPr>
          <w:rFonts w:ascii="宋体" w:hAnsi="宋体"/>
          <w:color w:val="auto"/>
          <w:highlight w:val="none"/>
        </w:rPr>
      </w:pPr>
    </w:p>
    <w:p w14:paraId="3D60AA05">
      <w:pPr>
        <w:pStyle w:val="4"/>
        <w:numPr>
          <w:ilvl w:val="2"/>
          <w:numId w:val="9"/>
        </w:numPr>
        <w:spacing w:before="0" w:after="0" w:line="360" w:lineRule="auto"/>
        <w:ind w:left="567" w:hanging="567"/>
        <w:rPr>
          <w:color w:val="auto"/>
          <w:sz w:val="24"/>
          <w:highlight w:val="none"/>
        </w:rPr>
      </w:pPr>
      <w:r>
        <w:rPr>
          <w:rFonts w:hint="eastAsia" w:eastAsia="宋体"/>
          <w:color w:val="auto"/>
          <w:kern w:val="2"/>
          <w:sz w:val="24"/>
          <w:szCs w:val="24"/>
          <w:highlight w:val="none"/>
        </w:rPr>
        <w:t>注射管理系统建设需求</w:t>
      </w:r>
    </w:p>
    <w:tbl>
      <w:tblPr>
        <w:tblStyle w:val="4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9"/>
        <w:gridCol w:w="1417"/>
        <w:gridCol w:w="11746"/>
      </w:tblGrid>
      <w:tr w14:paraId="57AF5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Align w:val="center"/>
          </w:tcPr>
          <w:p w14:paraId="40675F07">
            <w:pPr>
              <w:jc w:val="center"/>
              <w:rPr>
                <w:rFonts w:ascii="宋体" w:hAnsi="宋体" w:cs="宋体"/>
                <w:color w:val="auto"/>
                <w:szCs w:val="21"/>
                <w:highlight w:val="none"/>
              </w:rPr>
            </w:pPr>
            <w:r>
              <w:rPr>
                <w:rFonts w:hint="eastAsia" w:ascii="宋体" w:hAnsi="宋体" w:cs="宋体"/>
                <w:color w:val="auto"/>
                <w:kern w:val="0"/>
                <w:szCs w:val="21"/>
                <w:highlight w:val="none"/>
              </w:rPr>
              <w:t>需求名称</w:t>
            </w:r>
          </w:p>
        </w:tc>
        <w:tc>
          <w:tcPr>
            <w:tcW w:w="1417" w:type="dxa"/>
            <w:vAlign w:val="center"/>
          </w:tcPr>
          <w:p w14:paraId="58B567E2">
            <w:pPr>
              <w:jc w:val="center"/>
              <w:rPr>
                <w:rFonts w:ascii="宋体" w:hAnsi="宋体"/>
                <w:color w:val="auto"/>
                <w:highlight w:val="none"/>
              </w:rPr>
            </w:pPr>
            <w:r>
              <w:rPr>
                <w:rFonts w:hint="eastAsia" w:ascii="宋体" w:hAnsi="宋体" w:cs="宋体"/>
                <w:color w:val="auto"/>
                <w:kern w:val="0"/>
                <w:szCs w:val="21"/>
                <w:highlight w:val="none"/>
              </w:rPr>
              <w:t>序号</w:t>
            </w:r>
          </w:p>
        </w:tc>
        <w:tc>
          <w:tcPr>
            <w:tcW w:w="11746" w:type="dxa"/>
            <w:vAlign w:val="center"/>
          </w:tcPr>
          <w:p w14:paraId="425F28DC">
            <w:pPr>
              <w:tabs>
                <w:tab w:val="left" w:pos="525"/>
                <w:tab w:val="left" w:pos="630"/>
              </w:tabs>
              <w:spacing w:line="360" w:lineRule="auto"/>
              <w:jc w:val="center"/>
              <w:rPr>
                <w:rFonts w:ascii="宋体" w:hAnsi="宋体" w:cs="宋体"/>
                <w:bCs/>
                <w:color w:val="auto"/>
                <w:szCs w:val="21"/>
                <w:highlight w:val="none"/>
              </w:rPr>
            </w:pPr>
            <w:r>
              <w:rPr>
                <w:rFonts w:hint="eastAsia" w:ascii="宋体" w:hAnsi="宋体" w:cs="宋体"/>
                <w:color w:val="auto"/>
                <w:kern w:val="0"/>
                <w:szCs w:val="21"/>
                <w:highlight w:val="none"/>
              </w:rPr>
              <w:t>需求描述</w:t>
            </w:r>
          </w:p>
        </w:tc>
      </w:tr>
      <w:tr w14:paraId="116AE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Merge w:val="restart"/>
            <w:vAlign w:val="center"/>
          </w:tcPr>
          <w:p w14:paraId="7DDC9675">
            <w:pPr>
              <w:numPr>
                <w:ilvl w:val="0"/>
                <w:numId w:val="11"/>
              </w:numPr>
              <w:rPr>
                <w:rFonts w:ascii="宋体" w:hAnsi="宋体" w:cs="宋体"/>
                <w:color w:val="auto"/>
                <w:szCs w:val="21"/>
                <w:highlight w:val="none"/>
              </w:rPr>
            </w:pPr>
            <w:r>
              <w:rPr>
                <w:rFonts w:hint="eastAsia" w:ascii="宋体" w:hAnsi="宋体" w:cs="宋体"/>
                <w:color w:val="auto"/>
                <w:szCs w:val="21"/>
                <w:highlight w:val="none"/>
              </w:rPr>
              <w:t>注射管理系统</w:t>
            </w:r>
          </w:p>
        </w:tc>
        <w:tc>
          <w:tcPr>
            <w:tcW w:w="1417" w:type="dxa"/>
            <w:vAlign w:val="center"/>
          </w:tcPr>
          <w:p w14:paraId="1284F254">
            <w:pPr>
              <w:numPr>
                <w:ilvl w:val="1"/>
                <w:numId w:val="11"/>
              </w:numPr>
              <w:ind w:left="0" w:firstLine="0"/>
              <w:rPr>
                <w:rFonts w:ascii="宋体" w:hAnsi="宋体"/>
                <w:color w:val="auto"/>
                <w:highlight w:val="none"/>
              </w:rPr>
            </w:pPr>
            <w:r>
              <w:rPr>
                <w:rFonts w:ascii="宋体" w:hAnsi="宋体"/>
                <w:color w:val="auto"/>
                <w:highlight w:val="none"/>
              </w:rPr>
              <w:t>接药</w:t>
            </w:r>
          </w:p>
        </w:tc>
        <w:tc>
          <w:tcPr>
            <w:tcW w:w="11746" w:type="dxa"/>
            <w:vAlign w:val="center"/>
          </w:tcPr>
          <w:p w14:paraId="115142A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在患者到达接单台后，护士通过扫描枪快速录入患者信息，系统自动核对并打印治疗单，同时为患者分配座位，提高了接单效率</w:t>
            </w:r>
            <w:r>
              <w:rPr>
                <w:rFonts w:hint="eastAsia" w:ascii="宋体" w:hAnsi="宋体" w:cs="宋体"/>
                <w:bCs/>
                <w:color w:val="auto"/>
                <w:szCs w:val="21"/>
                <w:highlight w:val="none"/>
              </w:rPr>
              <w:t>。实现了处方电子化传递，防止人为差错。</w:t>
            </w:r>
          </w:p>
          <w:p w14:paraId="7577CF9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支持本院接药通过刷就诊卡/医保卡/身份证, 输入姓名</w:t>
            </w:r>
            <w:r>
              <w:rPr>
                <w:rFonts w:hint="eastAsia" w:ascii="宋体" w:hAnsi="宋体" w:cs="宋体"/>
                <w:bCs/>
                <w:color w:val="auto"/>
                <w:szCs w:val="21"/>
                <w:highlight w:val="none"/>
              </w:rPr>
              <w:t>/病案号</w:t>
            </w:r>
            <w:r>
              <w:rPr>
                <w:rFonts w:ascii="宋体" w:hAnsi="宋体" w:cs="宋体"/>
                <w:bCs/>
                <w:color w:val="auto"/>
                <w:szCs w:val="21"/>
                <w:highlight w:val="none"/>
              </w:rPr>
              <w:t>调入患者信息进行接药，或者直接调入患者处方进行接药；</w:t>
            </w:r>
          </w:p>
          <w:p w14:paraId="1063F7E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支持提供皮试系统接口服务，支持皮试处方结果及效期的校验；</w:t>
            </w:r>
          </w:p>
          <w:p w14:paraId="6629176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支持本院接药和外院接药</w:t>
            </w:r>
            <w:r>
              <w:rPr>
                <w:rFonts w:hint="eastAsia" w:ascii="宋体" w:hAnsi="宋体" w:cs="宋体"/>
                <w:bCs/>
                <w:color w:val="auto"/>
                <w:szCs w:val="21"/>
                <w:highlight w:val="none"/>
              </w:rPr>
              <w:t>两</w:t>
            </w:r>
            <w:r>
              <w:rPr>
                <w:rFonts w:ascii="宋体" w:hAnsi="宋体" w:cs="宋体"/>
                <w:bCs/>
                <w:color w:val="auto"/>
                <w:szCs w:val="21"/>
                <w:highlight w:val="none"/>
              </w:rPr>
              <w:t>种接药模式；</w:t>
            </w:r>
          </w:p>
          <w:p w14:paraId="5172B74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支持接药完成后患者标签、药品标签、执行单的打印功能</w:t>
            </w:r>
          </w:p>
          <w:p w14:paraId="38ED42B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支持标签重打功能；</w:t>
            </w:r>
          </w:p>
          <w:p w14:paraId="0124EA8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支持按次或按天接药两种接药模式，并记录已用次数和当前输液天数；</w:t>
            </w:r>
          </w:p>
          <w:p w14:paraId="00460F8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支持跨院区接药；</w:t>
            </w:r>
          </w:p>
          <w:p w14:paraId="1ACEFA73">
            <w:pPr>
              <w:numPr>
                <w:ilvl w:val="0"/>
                <w:numId w:val="12"/>
              </w:numPr>
              <w:tabs>
                <w:tab w:val="left" w:pos="525"/>
                <w:tab w:val="left" w:pos="630"/>
              </w:tabs>
              <w:rPr>
                <w:rFonts w:ascii="宋体" w:hAnsi="宋体" w:cs="宋体"/>
                <w:bCs/>
                <w:color w:val="auto"/>
                <w:szCs w:val="21"/>
                <w:highlight w:val="none"/>
              </w:rPr>
            </w:pPr>
            <w:r>
              <w:rPr>
                <w:rFonts w:hint="eastAsia" w:ascii="宋体" w:hAnsi="宋体" w:cs="宋体"/>
                <w:bCs/>
                <w:color w:val="auto"/>
                <w:szCs w:val="21"/>
                <w:highlight w:val="none"/>
              </w:rPr>
              <w:t>支持根据最小频次间隔控制接药时点。</w:t>
            </w:r>
          </w:p>
        </w:tc>
      </w:tr>
      <w:tr w14:paraId="45660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Merge w:val="continue"/>
            <w:vAlign w:val="center"/>
          </w:tcPr>
          <w:p w14:paraId="4C34B22C">
            <w:pPr>
              <w:numPr>
                <w:ilvl w:val="0"/>
                <w:numId w:val="11"/>
              </w:numPr>
              <w:rPr>
                <w:rFonts w:ascii="宋体" w:hAnsi="宋体" w:cs="宋体"/>
                <w:color w:val="auto"/>
                <w:szCs w:val="21"/>
                <w:highlight w:val="none"/>
              </w:rPr>
            </w:pPr>
          </w:p>
        </w:tc>
        <w:tc>
          <w:tcPr>
            <w:tcW w:w="1417" w:type="dxa"/>
            <w:vAlign w:val="center"/>
          </w:tcPr>
          <w:p w14:paraId="1CA429FD">
            <w:pPr>
              <w:numPr>
                <w:ilvl w:val="1"/>
                <w:numId w:val="11"/>
              </w:numPr>
              <w:ind w:left="0" w:firstLine="0"/>
              <w:rPr>
                <w:rFonts w:ascii="宋体" w:hAnsi="宋体"/>
                <w:color w:val="auto"/>
                <w:highlight w:val="none"/>
              </w:rPr>
            </w:pPr>
            <w:r>
              <w:rPr>
                <w:rFonts w:ascii="宋体" w:hAnsi="宋体"/>
                <w:color w:val="auto"/>
                <w:highlight w:val="none"/>
              </w:rPr>
              <w:t>核对</w:t>
            </w:r>
          </w:p>
        </w:tc>
        <w:tc>
          <w:tcPr>
            <w:tcW w:w="11746" w:type="dxa"/>
            <w:vAlign w:val="center"/>
          </w:tcPr>
          <w:p w14:paraId="60EB86E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护士使用PDA扫描药品标签，系统自动核查药品信息。</w:t>
            </w:r>
          </w:p>
          <w:p w14:paraId="46A259E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支持对本次执行的药品进行核对功能，并记录核对人、核对时间；</w:t>
            </w:r>
          </w:p>
          <w:p w14:paraId="5D5ED50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支持药品核对可通过参数控制是否启用；</w:t>
            </w:r>
          </w:p>
          <w:p w14:paraId="1A1FEBB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支持PC端和PDA端操作；</w:t>
            </w:r>
          </w:p>
          <w:p w14:paraId="55A210A9">
            <w:pPr>
              <w:numPr>
                <w:ilvl w:val="0"/>
                <w:numId w:val="12"/>
              </w:numPr>
              <w:tabs>
                <w:tab w:val="left" w:pos="525"/>
                <w:tab w:val="left" w:pos="630"/>
              </w:tabs>
              <w:rPr>
                <w:rFonts w:ascii="宋体" w:hAnsi="宋体" w:cs="宋体"/>
                <w:bCs/>
                <w:color w:val="auto"/>
                <w:szCs w:val="21"/>
                <w:highlight w:val="none"/>
              </w:rPr>
            </w:pPr>
            <w:r>
              <w:rPr>
                <w:rFonts w:hint="eastAsia" w:ascii="宋体" w:hAnsi="宋体" w:cs="宋体"/>
                <w:bCs/>
                <w:color w:val="auto"/>
                <w:szCs w:val="21"/>
                <w:highlight w:val="none"/>
              </w:rPr>
              <w:t>支持PC端可进行批量核对操作。</w:t>
            </w:r>
          </w:p>
        </w:tc>
      </w:tr>
      <w:tr w14:paraId="58042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Merge w:val="continue"/>
            <w:vAlign w:val="center"/>
          </w:tcPr>
          <w:p w14:paraId="770F3D2E">
            <w:pPr>
              <w:numPr>
                <w:ilvl w:val="0"/>
                <w:numId w:val="11"/>
              </w:numPr>
              <w:rPr>
                <w:rFonts w:ascii="宋体" w:hAnsi="宋体" w:cs="宋体"/>
                <w:color w:val="auto"/>
                <w:szCs w:val="21"/>
                <w:highlight w:val="none"/>
              </w:rPr>
            </w:pPr>
          </w:p>
        </w:tc>
        <w:tc>
          <w:tcPr>
            <w:tcW w:w="1417" w:type="dxa"/>
            <w:vAlign w:val="center"/>
          </w:tcPr>
          <w:p w14:paraId="1EAAF3EA">
            <w:pPr>
              <w:numPr>
                <w:ilvl w:val="1"/>
                <w:numId w:val="11"/>
              </w:numPr>
              <w:ind w:left="0" w:firstLine="0"/>
              <w:rPr>
                <w:rFonts w:ascii="宋体" w:hAnsi="宋体"/>
                <w:color w:val="auto"/>
                <w:highlight w:val="none"/>
              </w:rPr>
            </w:pPr>
            <w:r>
              <w:rPr>
                <w:rFonts w:ascii="宋体" w:hAnsi="宋体"/>
                <w:color w:val="auto"/>
                <w:highlight w:val="none"/>
              </w:rPr>
              <w:t>配液</w:t>
            </w:r>
          </w:p>
        </w:tc>
        <w:tc>
          <w:tcPr>
            <w:tcW w:w="11746" w:type="dxa"/>
            <w:vAlign w:val="center"/>
          </w:tcPr>
          <w:p w14:paraId="1F5C288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护士使用PDA扫描药品标签，系统自动核查药品信息并记录配药信息，降低了用药差错风险</w:t>
            </w:r>
          </w:p>
          <w:p w14:paraId="2D8CB38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支持对本次执行的药品进行配液功能，并记录配液人、配液时间</w:t>
            </w:r>
          </w:p>
          <w:p w14:paraId="09D09AD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支持药品核对可通过参数控制是否启用；</w:t>
            </w:r>
          </w:p>
          <w:p w14:paraId="22CFE3B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支持PC端和PDA端操作；</w:t>
            </w:r>
          </w:p>
          <w:p w14:paraId="1C5EFE1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支持PC端可进行批量配液操作；</w:t>
            </w:r>
          </w:p>
          <w:p w14:paraId="03470E81">
            <w:pPr>
              <w:numPr>
                <w:ilvl w:val="0"/>
                <w:numId w:val="12"/>
              </w:numPr>
              <w:tabs>
                <w:tab w:val="left" w:pos="525"/>
                <w:tab w:val="left" w:pos="630"/>
              </w:tabs>
              <w:rPr>
                <w:rFonts w:ascii="宋体" w:hAnsi="宋体" w:cs="宋体"/>
                <w:bCs/>
                <w:color w:val="auto"/>
                <w:szCs w:val="21"/>
                <w:highlight w:val="none"/>
              </w:rPr>
            </w:pPr>
            <w:r>
              <w:rPr>
                <w:rFonts w:hint="eastAsia" w:ascii="宋体" w:hAnsi="宋体" w:cs="宋体"/>
                <w:bCs/>
                <w:color w:val="auto"/>
                <w:szCs w:val="21"/>
                <w:highlight w:val="none"/>
              </w:rPr>
              <w:t>支持PDA端扫码自动完成配液。</w:t>
            </w:r>
          </w:p>
        </w:tc>
      </w:tr>
      <w:tr w14:paraId="394FE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Merge w:val="continue"/>
            <w:vAlign w:val="center"/>
          </w:tcPr>
          <w:p w14:paraId="31CA78BF">
            <w:pPr>
              <w:numPr>
                <w:ilvl w:val="0"/>
                <w:numId w:val="11"/>
              </w:numPr>
              <w:rPr>
                <w:rFonts w:ascii="宋体" w:hAnsi="宋体" w:cs="宋体"/>
                <w:color w:val="auto"/>
                <w:szCs w:val="21"/>
                <w:highlight w:val="none"/>
              </w:rPr>
            </w:pPr>
          </w:p>
        </w:tc>
        <w:tc>
          <w:tcPr>
            <w:tcW w:w="1417" w:type="dxa"/>
            <w:vAlign w:val="center"/>
          </w:tcPr>
          <w:p w14:paraId="3F86FDF8">
            <w:pPr>
              <w:numPr>
                <w:ilvl w:val="1"/>
                <w:numId w:val="11"/>
              </w:numPr>
              <w:ind w:left="0" w:firstLine="0"/>
              <w:rPr>
                <w:rFonts w:ascii="宋体" w:hAnsi="宋体"/>
                <w:color w:val="auto"/>
                <w:highlight w:val="none"/>
              </w:rPr>
            </w:pPr>
            <w:r>
              <w:rPr>
                <w:rFonts w:ascii="宋体" w:hAnsi="宋体"/>
                <w:color w:val="auto"/>
                <w:highlight w:val="none"/>
              </w:rPr>
              <w:t>执行</w:t>
            </w:r>
          </w:p>
        </w:tc>
        <w:tc>
          <w:tcPr>
            <w:tcW w:w="11746" w:type="dxa"/>
            <w:vAlign w:val="center"/>
          </w:tcPr>
          <w:p w14:paraId="38C9F0F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支持窗口模式(病人自行前往窗口输液)和到座模式(护士推着小推车到病人座位为其输液）两种输液模式；</w:t>
            </w:r>
          </w:p>
          <w:p w14:paraId="362E978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支持PC端和PDA端操作；</w:t>
            </w:r>
          </w:p>
          <w:p w14:paraId="34775D9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支持对用法为输液、注射、雾化的药品进行执行；</w:t>
            </w:r>
          </w:p>
          <w:p w14:paraId="624F7F3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支持PDA端扫码自动开始该瓶输液并结束上一瓶输液；</w:t>
            </w:r>
          </w:p>
          <w:p w14:paraId="1ED054BF">
            <w:pPr>
              <w:numPr>
                <w:ilvl w:val="0"/>
                <w:numId w:val="12"/>
              </w:numPr>
              <w:tabs>
                <w:tab w:val="left" w:pos="525"/>
                <w:tab w:val="left" w:pos="630"/>
              </w:tabs>
              <w:rPr>
                <w:rFonts w:ascii="宋体" w:hAnsi="宋体" w:cs="宋体"/>
                <w:bCs/>
                <w:color w:val="auto"/>
                <w:szCs w:val="21"/>
                <w:highlight w:val="none"/>
              </w:rPr>
            </w:pPr>
            <w:r>
              <w:rPr>
                <w:rFonts w:hint="eastAsia" w:ascii="宋体" w:hAnsi="宋体" w:cs="宋体"/>
                <w:bCs/>
                <w:color w:val="auto"/>
                <w:szCs w:val="21"/>
                <w:highlight w:val="none"/>
              </w:rPr>
              <w:t>支持输液类药品进行输液开始、输液暂停、输液继续、输液终止、输液结束操作功能。</w:t>
            </w:r>
          </w:p>
        </w:tc>
      </w:tr>
      <w:tr w14:paraId="215B8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9" w:type="dxa"/>
            <w:vMerge w:val="continue"/>
            <w:vAlign w:val="center"/>
          </w:tcPr>
          <w:p w14:paraId="4A98E3ED">
            <w:pPr>
              <w:numPr>
                <w:ilvl w:val="0"/>
                <w:numId w:val="11"/>
              </w:numPr>
              <w:rPr>
                <w:rFonts w:ascii="宋体" w:hAnsi="宋体" w:cs="宋体"/>
                <w:color w:val="auto"/>
                <w:szCs w:val="21"/>
                <w:highlight w:val="none"/>
              </w:rPr>
            </w:pPr>
          </w:p>
        </w:tc>
        <w:tc>
          <w:tcPr>
            <w:tcW w:w="1417" w:type="dxa"/>
            <w:vAlign w:val="center"/>
          </w:tcPr>
          <w:p w14:paraId="666CD7DB">
            <w:pPr>
              <w:numPr>
                <w:ilvl w:val="1"/>
                <w:numId w:val="11"/>
              </w:numPr>
              <w:ind w:left="0" w:firstLine="0"/>
              <w:rPr>
                <w:rFonts w:ascii="宋体" w:hAnsi="宋体"/>
                <w:color w:val="auto"/>
                <w:highlight w:val="none"/>
              </w:rPr>
            </w:pPr>
            <w:r>
              <w:rPr>
                <w:rFonts w:ascii="宋体" w:hAnsi="宋体"/>
                <w:color w:val="auto"/>
                <w:highlight w:val="none"/>
              </w:rPr>
              <w:t>巡视</w:t>
            </w:r>
          </w:p>
        </w:tc>
        <w:tc>
          <w:tcPr>
            <w:tcW w:w="11746" w:type="dxa"/>
            <w:vAlign w:val="center"/>
          </w:tcPr>
          <w:p w14:paraId="78A1E7D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支持巡视记录滴速、不良反应情况功能；</w:t>
            </w:r>
          </w:p>
          <w:p w14:paraId="76470F0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支持历史滴数、不良反应查询；</w:t>
            </w:r>
          </w:p>
          <w:p w14:paraId="1F191C33">
            <w:pPr>
              <w:numPr>
                <w:ilvl w:val="0"/>
                <w:numId w:val="12"/>
              </w:numPr>
              <w:tabs>
                <w:tab w:val="left" w:pos="525"/>
                <w:tab w:val="left" w:pos="630"/>
              </w:tabs>
              <w:rPr>
                <w:rFonts w:ascii="宋体" w:hAnsi="宋体" w:cs="宋体"/>
                <w:bCs/>
                <w:color w:val="auto"/>
                <w:szCs w:val="21"/>
                <w:highlight w:val="none"/>
              </w:rPr>
            </w:pPr>
            <w:r>
              <w:rPr>
                <w:rFonts w:hint="eastAsia" w:ascii="宋体" w:hAnsi="宋体" w:cs="宋体"/>
                <w:bCs/>
                <w:color w:val="auto"/>
                <w:szCs w:val="21"/>
                <w:highlight w:val="none"/>
              </w:rPr>
              <w:t>支持PC端和PDA端操作。</w:t>
            </w:r>
          </w:p>
        </w:tc>
      </w:tr>
    </w:tbl>
    <w:p w14:paraId="4F34686A">
      <w:pPr>
        <w:rPr>
          <w:rFonts w:ascii="宋体" w:hAnsi="宋体"/>
          <w:color w:val="auto"/>
          <w:highlight w:val="none"/>
        </w:rPr>
      </w:pPr>
    </w:p>
    <w:p w14:paraId="21AE6810">
      <w:pPr>
        <w:rPr>
          <w:rFonts w:ascii="宋体" w:hAnsi="宋体"/>
          <w:color w:val="auto"/>
          <w:highlight w:val="none"/>
        </w:rPr>
      </w:pPr>
      <w:bookmarkStart w:id="15" w:name="_GoBack"/>
      <w:bookmarkEnd w:id="15"/>
    </w:p>
    <w:p w14:paraId="3ADB02B5">
      <w:pPr>
        <w:pStyle w:val="4"/>
        <w:numPr>
          <w:ilvl w:val="2"/>
          <w:numId w:val="9"/>
        </w:numPr>
        <w:spacing w:before="0" w:after="0" w:line="360" w:lineRule="auto"/>
        <w:ind w:left="567" w:hanging="567"/>
        <w:rPr>
          <w:color w:val="auto"/>
          <w:sz w:val="24"/>
          <w:highlight w:val="none"/>
        </w:rPr>
      </w:pPr>
      <w:r>
        <w:rPr>
          <w:rFonts w:hint="eastAsia" w:eastAsia="宋体"/>
          <w:color w:val="auto"/>
          <w:sz w:val="24"/>
          <w:szCs w:val="24"/>
          <w:highlight w:val="none"/>
        </w:rPr>
        <w:t>感染管理系统</w:t>
      </w:r>
      <w:r>
        <w:rPr>
          <w:rFonts w:hint="eastAsia" w:eastAsia="宋体"/>
          <w:color w:val="auto"/>
          <w:kern w:val="2"/>
          <w:sz w:val="24"/>
          <w:szCs w:val="24"/>
          <w:highlight w:val="none"/>
        </w:rPr>
        <w:t>建设需求</w:t>
      </w:r>
    </w:p>
    <w:tbl>
      <w:tblPr>
        <w:tblStyle w:val="43"/>
        <w:tblW w:w="0" w:type="auto"/>
        <w:jc w:val="center"/>
        <w:tblLayout w:type="fixed"/>
        <w:tblCellMar>
          <w:top w:w="0" w:type="dxa"/>
          <w:left w:w="108" w:type="dxa"/>
          <w:bottom w:w="0" w:type="dxa"/>
          <w:right w:w="108" w:type="dxa"/>
        </w:tblCellMar>
      </w:tblPr>
      <w:tblGrid>
        <w:gridCol w:w="1277"/>
        <w:gridCol w:w="1277"/>
        <w:gridCol w:w="11907"/>
      </w:tblGrid>
      <w:tr w14:paraId="0825188F">
        <w:tblPrEx>
          <w:tblCellMar>
            <w:top w:w="0" w:type="dxa"/>
            <w:left w:w="108" w:type="dxa"/>
            <w:bottom w:w="0" w:type="dxa"/>
            <w:right w:w="108" w:type="dxa"/>
          </w:tblCellMar>
        </w:tblPrEx>
        <w:trPr>
          <w:trHeight w:val="453" w:hRule="atLeast"/>
          <w:jc w:val="center"/>
        </w:trPr>
        <w:tc>
          <w:tcPr>
            <w:tcW w:w="1277" w:type="dxa"/>
            <w:tcBorders>
              <w:top w:val="single" w:color="auto" w:sz="8" w:space="0"/>
              <w:left w:val="single" w:color="auto" w:sz="8" w:space="0"/>
              <w:bottom w:val="single" w:color="auto" w:sz="8" w:space="0"/>
              <w:right w:val="single" w:color="auto" w:sz="8" w:space="0"/>
            </w:tcBorders>
          </w:tcPr>
          <w:p w14:paraId="7F03ABDF">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需求名称</w:t>
            </w:r>
          </w:p>
        </w:tc>
        <w:tc>
          <w:tcPr>
            <w:tcW w:w="1277" w:type="dxa"/>
            <w:tcBorders>
              <w:top w:val="single" w:color="auto" w:sz="8" w:space="0"/>
              <w:left w:val="single" w:color="auto" w:sz="8" w:space="0"/>
              <w:bottom w:val="single" w:color="auto" w:sz="8" w:space="0"/>
              <w:right w:val="single" w:color="auto" w:sz="8" w:space="0"/>
            </w:tcBorders>
            <w:vAlign w:val="center"/>
          </w:tcPr>
          <w:p w14:paraId="4AE58D36">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序号</w:t>
            </w:r>
          </w:p>
        </w:tc>
        <w:tc>
          <w:tcPr>
            <w:tcW w:w="11907" w:type="dxa"/>
            <w:tcBorders>
              <w:top w:val="single" w:color="auto" w:sz="8" w:space="0"/>
              <w:left w:val="nil"/>
              <w:bottom w:val="single" w:color="auto" w:sz="8" w:space="0"/>
              <w:right w:val="single" w:color="auto" w:sz="8" w:space="0"/>
            </w:tcBorders>
            <w:vAlign w:val="center"/>
          </w:tcPr>
          <w:p w14:paraId="63672C8D">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需求描述</w:t>
            </w:r>
          </w:p>
        </w:tc>
      </w:tr>
      <w:tr w14:paraId="6F2E0AE1">
        <w:tblPrEx>
          <w:tblCellMar>
            <w:top w:w="0" w:type="dxa"/>
            <w:left w:w="108" w:type="dxa"/>
            <w:bottom w:w="0" w:type="dxa"/>
            <w:right w:w="108" w:type="dxa"/>
          </w:tblCellMar>
        </w:tblPrEx>
        <w:trPr>
          <w:trHeight w:val="680" w:hRule="atLeast"/>
          <w:jc w:val="center"/>
        </w:trPr>
        <w:tc>
          <w:tcPr>
            <w:tcW w:w="1277" w:type="dxa"/>
            <w:vMerge w:val="restart"/>
            <w:tcBorders>
              <w:top w:val="nil"/>
              <w:left w:val="single" w:color="auto" w:sz="8" w:space="0"/>
              <w:right w:val="single" w:color="auto" w:sz="8" w:space="0"/>
            </w:tcBorders>
            <w:vAlign w:val="center"/>
          </w:tcPr>
          <w:p w14:paraId="122BD8AE">
            <w:pPr>
              <w:numPr>
                <w:ilvl w:val="0"/>
                <w:numId w:val="11"/>
              </w:numPr>
              <w:rPr>
                <w:color w:val="auto"/>
                <w:highlight w:val="none"/>
                <w:lang w:val="zh-TW"/>
              </w:rPr>
            </w:pPr>
            <w:r>
              <w:rPr>
                <w:rFonts w:hint="eastAsia" w:ascii="宋体" w:hAnsi="宋体" w:cs="宋体"/>
                <w:color w:val="auto"/>
                <w:szCs w:val="21"/>
                <w:highlight w:val="none"/>
              </w:rPr>
              <w:t>感染管理系统</w:t>
            </w:r>
          </w:p>
        </w:tc>
        <w:tc>
          <w:tcPr>
            <w:tcW w:w="1277" w:type="dxa"/>
            <w:tcBorders>
              <w:top w:val="nil"/>
              <w:left w:val="single" w:color="auto" w:sz="8" w:space="0"/>
              <w:bottom w:val="single" w:color="auto" w:sz="4" w:space="0"/>
              <w:right w:val="single" w:color="auto" w:sz="8" w:space="0"/>
            </w:tcBorders>
            <w:vAlign w:val="center"/>
          </w:tcPr>
          <w:p w14:paraId="37243D90">
            <w:pPr>
              <w:numPr>
                <w:ilvl w:val="1"/>
                <w:numId w:val="11"/>
              </w:numPr>
              <w:ind w:left="0" w:firstLine="0"/>
              <w:rPr>
                <w:rFonts w:ascii="宋体" w:hAnsi="宋体"/>
                <w:color w:val="auto"/>
                <w:szCs w:val="21"/>
                <w:highlight w:val="none"/>
              </w:rPr>
            </w:pPr>
            <w:r>
              <w:rPr>
                <w:rFonts w:hint="eastAsia" w:ascii="宋体" w:hAnsi="宋体"/>
                <w:color w:val="auto"/>
                <w:szCs w:val="21"/>
                <w:highlight w:val="none"/>
              </w:rPr>
              <w:t>标准与规范</w:t>
            </w:r>
          </w:p>
        </w:tc>
        <w:tc>
          <w:tcPr>
            <w:tcW w:w="11907" w:type="dxa"/>
            <w:tcBorders>
              <w:top w:val="nil"/>
              <w:left w:val="nil"/>
              <w:bottom w:val="single" w:color="auto" w:sz="8" w:space="0"/>
              <w:right w:val="single" w:color="auto" w:sz="8" w:space="0"/>
            </w:tcBorders>
            <w:vAlign w:val="center"/>
          </w:tcPr>
          <w:p w14:paraId="045A998E">
            <w:pPr>
              <w:pStyle w:val="77"/>
              <w:widowControl/>
              <w:numPr>
                <w:ilvl w:val="0"/>
                <w:numId w:val="24"/>
              </w:numPr>
              <w:spacing w:line="360" w:lineRule="auto"/>
              <w:ind w:firstLineChars="0"/>
              <w:rPr>
                <w:rFonts w:ascii="宋体" w:hAnsi="宋体"/>
                <w:color w:val="auto"/>
                <w:highlight w:val="none"/>
                <w:lang w:val="zh-TW"/>
              </w:rPr>
            </w:pPr>
            <w:r>
              <w:rPr>
                <w:rFonts w:hint="eastAsia" w:ascii="宋体" w:hAnsi="宋体"/>
                <w:color w:val="auto"/>
                <w:highlight w:val="none"/>
                <w:lang w:val="zh-TW"/>
              </w:rPr>
              <w:t>满足卫健委2017年发布的《WS/T 547-2017医院感染管理信息系统基本功能规范》要求；</w:t>
            </w:r>
          </w:p>
          <w:p w14:paraId="22C180B4">
            <w:pPr>
              <w:pStyle w:val="77"/>
              <w:widowControl/>
              <w:numPr>
                <w:ilvl w:val="0"/>
                <w:numId w:val="24"/>
              </w:numPr>
              <w:spacing w:line="360" w:lineRule="auto"/>
              <w:ind w:firstLineChars="0"/>
              <w:rPr>
                <w:rFonts w:ascii="宋体" w:hAnsi="宋体"/>
                <w:color w:val="auto"/>
                <w:highlight w:val="none"/>
                <w:lang w:val="zh-TW"/>
              </w:rPr>
            </w:pPr>
            <w:r>
              <w:rPr>
                <w:rFonts w:hint="eastAsia" w:ascii="宋体" w:hAnsi="宋体"/>
                <w:color w:val="auto"/>
                <w:highlight w:val="none"/>
                <w:lang w:val="zh-TW"/>
              </w:rPr>
              <w:t>满足卫健委医院管理研究所2021年发布的《NIHA医院感染监测基本数据集及质量控制指标集实施指南（2021版）》中的数据采集要求及统计要求；</w:t>
            </w:r>
          </w:p>
          <w:p w14:paraId="747341FE">
            <w:pPr>
              <w:pStyle w:val="77"/>
              <w:widowControl/>
              <w:numPr>
                <w:ilvl w:val="0"/>
                <w:numId w:val="24"/>
              </w:numPr>
              <w:spacing w:line="360" w:lineRule="auto"/>
              <w:ind w:firstLineChars="0"/>
              <w:rPr>
                <w:rFonts w:ascii="宋体" w:hAnsi="宋体"/>
                <w:color w:val="auto"/>
                <w:highlight w:val="none"/>
                <w:lang w:val="zh-TW"/>
              </w:rPr>
            </w:pPr>
            <w:r>
              <w:rPr>
                <w:rFonts w:hint="eastAsia" w:ascii="宋体" w:hAnsi="宋体"/>
                <w:color w:val="auto"/>
                <w:highlight w:val="none"/>
                <w:lang w:val="zh-TW"/>
              </w:rPr>
              <w:t>满足卫健委2009年发布的《WS/T 312-2009医院感染监测规范》要求。</w:t>
            </w:r>
          </w:p>
          <w:p w14:paraId="04B7ADDB">
            <w:pPr>
              <w:pStyle w:val="77"/>
              <w:widowControl/>
              <w:numPr>
                <w:ilvl w:val="0"/>
                <w:numId w:val="24"/>
              </w:numPr>
              <w:spacing w:line="360" w:lineRule="auto"/>
              <w:ind w:firstLineChars="0"/>
              <w:rPr>
                <w:rFonts w:ascii="宋体" w:hAnsi="宋体"/>
                <w:color w:val="auto"/>
                <w:highlight w:val="none"/>
                <w:lang w:val="zh-TW"/>
              </w:rPr>
            </w:pPr>
            <w:r>
              <w:rPr>
                <w:rFonts w:hint="eastAsia" w:ascii="宋体" w:hAnsi="宋体"/>
                <w:color w:val="auto"/>
                <w:highlight w:val="none"/>
                <w:lang w:val="zh-TW"/>
              </w:rPr>
              <w:t>满足《WS670-2021医疗机构感染监测基本数据集》要求；</w:t>
            </w:r>
          </w:p>
          <w:p w14:paraId="15955259">
            <w:pPr>
              <w:pStyle w:val="77"/>
              <w:widowControl/>
              <w:numPr>
                <w:ilvl w:val="0"/>
                <w:numId w:val="24"/>
              </w:numPr>
              <w:spacing w:line="360" w:lineRule="auto"/>
              <w:ind w:firstLineChars="0"/>
              <w:rPr>
                <w:rFonts w:ascii="宋体" w:hAnsi="宋体"/>
                <w:color w:val="auto"/>
                <w:highlight w:val="none"/>
                <w:lang w:val="zh-TW"/>
              </w:rPr>
            </w:pPr>
            <w:r>
              <w:rPr>
                <w:rFonts w:hint="eastAsia" w:ascii="宋体" w:hAnsi="宋体"/>
                <w:color w:val="auto"/>
                <w:highlight w:val="none"/>
                <w:lang w:val="zh-TW"/>
              </w:rPr>
              <w:t>《医院感染信息化监测现场检查量表2017版》；</w:t>
            </w:r>
          </w:p>
          <w:p w14:paraId="1C84E51E">
            <w:pPr>
              <w:pStyle w:val="77"/>
              <w:widowControl/>
              <w:numPr>
                <w:ilvl w:val="0"/>
                <w:numId w:val="24"/>
              </w:numPr>
              <w:spacing w:line="360" w:lineRule="auto"/>
              <w:ind w:firstLineChars="0"/>
              <w:rPr>
                <w:rFonts w:ascii="宋体" w:hAnsi="宋体"/>
                <w:color w:val="auto"/>
                <w:highlight w:val="none"/>
                <w:lang w:val="zh-TW"/>
              </w:rPr>
            </w:pPr>
            <w:r>
              <w:rPr>
                <w:rFonts w:hint="eastAsia" w:ascii="宋体" w:hAnsi="宋体"/>
                <w:color w:val="auto"/>
                <w:highlight w:val="none"/>
              </w:rPr>
              <w:t>符合国家卫生健康委员会2023年8月20日发布的 《WS/T 312-2023 医院感染监测标准》要求：针对《医院感染监测标准2023版》，推出新职业暴露，多耐药去重计算等多个新标准计算模块，更好的配合医院开展新标准下的现患调查、耐药检出率、ICU感染率、血液透析等监测工作；</w:t>
            </w:r>
          </w:p>
          <w:p w14:paraId="31567FFF">
            <w:pPr>
              <w:pStyle w:val="77"/>
              <w:widowControl/>
              <w:numPr>
                <w:ilvl w:val="0"/>
                <w:numId w:val="24"/>
              </w:numPr>
              <w:spacing w:line="360" w:lineRule="auto"/>
              <w:ind w:firstLineChars="0"/>
              <w:rPr>
                <w:rFonts w:ascii="宋体" w:hAnsi="宋体"/>
                <w:color w:val="auto"/>
                <w:highlight w:val="none"/>
                <w:lang w:val="zh-TW"/>
              </w:rPr>
            </w:pPr>
            <w:r>
              <w:rPr>
                <w:rFonts w:hint="eastAsia" w:ascii="宋体" w:hAnsi="宋体"/>
                <w:color w:val="auto"/>
                <w:highlight w:val="none"/>
                <w:lang w:val="zh-TW"/>
              </w:rPr>
              <w:t>满足卫生部《三级医院评审标准（2020年版）实施细则》等级医院评审对院感模块的要求；</w:t>
            </w:r>
          </w:p>
          <w:p w14:paraId="5E793A25">
            <w:pPr>
              <w:pStyle w:val="77"/>
              <w:widowControl/>
              <w:numPr>
                <w:ilvl w:val="0"/>
                <w:numId w:val="24"/>
              </w:numPr>
              <w:spacing w:line="360" w:lineRule="auto"/>
              <w:ind w:firstLineChars="0"/>
              <w:rPr>
                <w:rFonts w:ascii="宋体" w:hAnsi="宋体"/>
                <w:color w:val="auto"/>
                <w:highlight w:val="none"/>
                <w:lang w:val="zh-TW"/>
              </w:rPr>
            </w:pPr>
            <w:r>
              <w:rPr>
                <w:rFonts w:hint="eastAsia" w:ascii="宋体" w:hAnsi="宋体"/>
                <w:color w:val="auto"/>
                <w:highlight w:val="none"/>
                <w:lang w:val="zh-TW"/>
              </w:rPr>
              <w:t>满足《医院信息互联互通标准化成熟度测评方案（2020年版）》医院互联互通</w:t>
            </w:r>
            <w:r>
              <w:rPr>
                <w:rFonts w:hint="eastAsia" w:ascii="宋体" w:hAnsi="宋体"/>
                <w:color w:val="auto"/>
                <w:highlight w:val="none"/>
              </w:rPr>
              <w:t>四级甲等</w:t>
            </w:r>
            <w:r>
              <w:rPr>
                <w:rFonts w:hint="eastAsia" w:ascii="宋体" w:hAnsi="宋体"/>
                <w:color w:val="auto"/>
                <w:highlight w:val="none"/>
                <w:lang w:val="zh-TW"/>
              </w:rPr>
              <w:t>对院感的要求；</w:t>
            </w:r>
          </w:p>
          <w:p w14:paraId="6BB8757B">
            <w:pPr>
              <w:pStyle w:val="77"/>
              <w:widowControl/>
              <w:numPr>
                <w:ilvl w:val="0"/>
                <w:numId w:val="24"/>
              </w:numPr>
              <w:spacing w:line="360" w:lineRule="auto"/>
              <w:ind w:firstLineChars="0"/>
              <w:rPr>
                <w:rFonts w:ascii="宋体" w:hAnsi="宋体"/>
                <w:color w:val="auto"/>
                <w:highlight w:val="none"/>
                <w:lang w:val="zh-TW"/>
              </w:rPr>
            </w:pPr>
            <w:r>
              <w:rPr>
                <w:rFonts w:hint="eastAsia" w:ascii="宋体" w:hAnsi="宋体"/>
                <w:color w:val="auto"/>
                <w:highlight w:val="none"/>
                <w:lang w:val="zh-TW"/>
              </w:rPr>
              <w:t>满足《电子病历系统功能应用水平分级评价方法及标准(试行)》</w:t>
            </w:r>
            <w:r>
              <w:rPr>
                <w:rFonts w:hint="eastAsia" w:ascii="宋体" w:hAnsi="宋体"/>
                <w:color w:val="auto"/>
                <w:highlight w:val="none"/>
              </w:rPr>
              <w:t>医院电子病历评级六级对院感的要求；</w:t>
            </w:r>
          </w:p>
          <w:p w14:paraId="1E7FD9EF">
            <w:pPr>
              <w:pStyle w:val="77"/>
              <w:widowControl/>
              <w:numPr>
                <w:ilvl w:val="0"/>
                <w:numId w:val="24"/>
              </w:numPr>
              <w:spacing w:line="360" w:lineRule="auto"/>
              <w:ind w:firstLineChars="0"/>
              <w:rPr>
                <w:rFonts w:ascii="宋体" w:hAnsi="宋体" w:cs="宋体"/>
                <w:color w:val="auto"/>
                <w:kern w:val="0"/>
                <w:szCs w:val="21"/>
                <w:highlight w:val="none"/>
              </w:rPr>
            </w:pPr>
            <w:r>
              <w:rPr>
                <w:rFonts w:hint="eastAsia" w:ascii="宋体" w:hAnsi="宋体"/>
                <w:color w:val="auto"/>
                <w:highlight w:val="none"/>
              </w:rPr>
              <w:t>满足CMISS全国医疗机构感染监测网数据采集要求</w:t>
            </w:r>
          </w:p>
          <w:p w14:paraId="29D86F2E">
            <w:pPr>
              <w:pStyle w:val="77"/>
              <w:widowControl/>
              <w:numPr>
                <w:ilvl w:val="0"/>
                <w:numId w:val="24"/>
              </w:numPr>
              <w:spacing w:line="360" w:lineRule="auto"/>
              <w:ind w:firstLineChars="0"/>
              <w:rPr>
                <w:rFonts w:ascii="宋体" w:hAnsi="宋体" w:cs="宋体"/>
                <w:color w:val="auto"/>
                <w:kern w:val="0"/>
                <w:szCs w:val="21"/>
                <w:highlight w:val="none"/>
              </w:rPr>
            </w:pPr>
            <w:r>
              <w:rPr>
                <w:rFonts w:hint="eastAsia" w:ascii="宋体" w:hAnsi="宋体"/>
                <w:color w:val="auto"/>
                <w:highlight w:val="none"/>
              </w:rPr>
              <w:t>满足国卫医研函〔2024〕75号-关于印发“夯实围术期感染防控，保障手术质量安全”（“感术”行动）专项行动实施方案的要求</w:t>
            </w:r>
          </w:p>
        </w:tc>
      </w:tr>
      <w:tr w14:paraId="7DDB10E2">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right w:val="single" w:color="auto" w:sz="8" w:space="0"/>
            </w:tcBorders>
          </w:tcPr>
          <w:p w14:paraId="54644B67">
            <w:pPr>
              <w:widowControl/>
              <w:jc w:val="left"/>
              <w:rPr>
                <w:color w:val="auto"/>
                <w:highlight w:val="none"/>
                <w:lang w:val="zh-TW" w:eastAsia="zh-TW"/>
              </w:rPr>
            </w:pPr>
          </w:p>
        </w:tc>
        <w:tc>
          <w:tcPr>
            <w:tcW w:w="1277" w:type="dxa"/>
            <w:tcBorders>
              <w:top w:val="single" w:color="auto" w:sz="4" w:space="0"/>
              <w:left w:val="single" w:color="auto" w:sz="8" w:space="0"/>
              <w:bottom w:val="single" w:color="000000" w:sz="8" w:space="0"/>
              <w:right w:val="single" w:color="auto" w:sz="8" w:space="0"/>
            </w:tcBorders>
            <w:vAlign w:val="center"/>
          </w:tcPr>
          <w:p w14:paraId="26AD9D63">
            <w:pPr>
              <w:numPr>
                <w:ilvl w:val="1"/>
                <w:numId w:val="11"/>
              </w:numPr>
              <w:ind w:left="0" w:firstLine="0"/>
              <w:rPr>
                <w:rFonts w:ascii="宋体" w:hAnsi="宋体"/>
                <w:color w:val="auto"/>
                <w:szCs w:val="21"/>
                <w:highlight w:val="none"/>
              </w:rPr>
            </w:pPr>
            <w:r>
              <w:rPr>
                <w:rFonts w:hint="eastAsia" w:ascii="宋体" w:hAnsi="宋体"/>
                <w:color w:val="auto"/>
                <w:szCs w:val="21"/>
                <w:highlight w:val="none"/>
              </w:rPr>
              <w:t>病例预警</w:t>
            </w:r>
          </w:p>
        </w:tc>
        <w:tc>
          <w:tcPr>
            <w:tcW w:w="11907" w:type="dxa"/>
            <w:tcBorders>
              <w:top w:val="nil"/>
              <w:left w:val="nil"/>
              <w:bottom w:val="single" w:color="auto" w:sz="8" w:space="0"/>
              <w:right w:val="single" w:color="auto" w:sz="8" w:space="0"/>
            </w:tcBorders>
          </w:tcPr>
          <w:p w14:paraId="6D7BB92D">
            <w:pPr>
              <w:pStyle w:val="77"/>
              <w:widowControl/>
              <w:numPr>
                <w:ilvl w:val="0"/>
                <w:numId w:val="25"/>
              </w:numPr>
              <w:spacing w:line="360" w:lineRule="auto"/>
              <w:ind w:firstLineChars="0"/>
              <w:rPr>
                <w:rFonts w:ascii="宋体" w:hAnsi="宋体"/>
                <w:color w:val="auto"/>
                <w:highlight w:val="none"/>
                <w:lang w:val="zh-TW"/>
              </w:rPr>
            </w:pPr>
            <w:r>
              <w:rPr>
                <w:rFonts w:hint="eastAsia" w:ascii="宋体" w:hAnsi="宋体"/>
                <w:color w:val="auto"/>
                <w:highlight w:val="none"/>
                <w:lang w:val="zh-TW"/>
              </w:rPr>
              <w:t>支持《</w:t>
            </w:r>
            <w:r>
              <w:rPr>
                <w:rFonts w:hint="eastAsia" w:ascii="宋体" w:hAnsi="宋体"/>
                <w:color w:val="auto"/>
                <w:highlight w:val="none"/>
                <w:lang w:val="zh-TW" w:eastAsia="zh-TW"/>
              </w:rPr>
              <w:t>医院感染诊断标准》</w:t>
            </w:r>
            <w:r>
              <w:rPr>
                <w:rFonts w:hint="eastAsia" w:ascii="宋体" w:hAnsi="宋体"/>
                <w:color w:val="auto"/>
                <w:highlight w:val="none"/>
              </w:rPr>
              <w:t>最新</w:t>
            </w:r>
            <w:r>
              <w:rPr>
                <w:rFonts w:hint="eastAsia" w:ascii="宋体" w:hAnsi="宋体"/>
                <w:color w:val="auto"/>
                <w:highlight w:val="none"/>
                <w:lang w:val="zh-TW"/>
              </w:rPr>
              <w:t>诊断模型。</w:t>
            </w:r>
          </w:p>
          <w:p w14:paraId="3E7BE7DD">
            <w:pPr>
              <w:pStyle w:val="77"/>
              <w:widowControl/>
              <w:numPr>
                <w:ilvl w:val="0"/>
                <w:numId w:val="25"/>
              </w:numPr>
              <w:spacing w:line="360" w:lineRule="auto"/>
              <w:ind w:firstLineChars="0"/>
              <w:rPr>
                <w:rFonts w:ascii="宋体" w:hAnsi="宋体"/>
                <w:color w:val="auto"/>
                <w:highlight w:val="none"/>
                <w:lang w:val="zh-TW"/>
              </w:rPr>
            </w:pPr>
            <w:r>
              <w:rPr>
                <w:rFonts w:hint="eastAsia" w:ascii="宋体" w:hAnsi="宋体"/>
                <w:color w:val="auto"/>
                <w:highlight w:val="none"/>
                <w:lang w:val="zh-TW" w:eastAsia="zh-TW"/>
              </w:rPr>
              <w:t>支持对纯文本、半结构化或结构化的病历内容进行自然语言分析处理，对</w:t>
            </w:r>
            <w:r>
              <w:rPr>
                <w:rFonts w:hint="eastAsia" w:ascii="宋体" w:hAnsi="宋体"/>
                <w:color w:val="auto"/>
                <w:highlight w:val="none"/>
                <w:lang w:val="zh-TW"/>
              </w:rPr>
              <w:t>xml</w:t>
            </w:r>
            <w:r>
              <w:rPr>
                <w:rFonts w:hint="eastAsia" w:ascii="宋体" w:hAnsi="宋体"/>
                <w:color w:val="auto"/>
                <w:highlight w:val="none"/>
                <w:lang w:val="zh-TW" w:eastAsia="zh-TW"/>
              </w:rPr>
              <w:t>、</w:t>
            </w:r>
            <w:r>
              <w:rPr>
                <w:rFonts w:hint="eastAsia" w:ascii="宋体" w:hAnsi="宋体"/>
                <w:color w:val="auto"/>
                <w:highlight w:val="none"/>
                <w:lang w:val="zh-TW"/>
              </w:rPr>
              <w:t>html、rtf、txt</w:t>
            </w:r>
            <w:r>
              <w:rPr>
                <w:rFonts w:hint="eastAsia" w:ascii="宋体" w:hAnsi="宋体"/>
                <w:color w:val="auto"/>
                <w:highlight w:val="none"/>
                <w:lang w:val="zh-TW" w:eastAsia="zh-TW"/>
              </w:rPr>
              <w:t>友好支持；</w:t>
            </w:r>
          </w:p>
          <w:p w14:paraId="327ACE25">
            <w:pPr>
              <w:pStyle w:val="77"/>
              <w:widowControl/>
              <w:numPr>
                <w:ilvl w:val="0"/>
                <w:numId w:val="25"/>
              </w:numPr>
              <w:spacing w:line="360" w:lineRule="auto"/>
              <w:ind w:firstLineChars="0"/>
              <w:rPr>
                <w:rFonts w:ascii="宋体" w:hAnsi="宋体"/>
                <w:color w:val="auto"/>
                <w:highlight w:val="none"/>
                <w:lang w:val="zh-TW"/>
              </w:rPr>
            </w:pPr>
            <w:r>
              <w:rPr>
                <w:rFonts w:hint="eastAsia" w:ascii="宋体" w:hAnsi="宋体"/>
                <w:color w:val="auto"/>
                <w:highlight w:val="none"/>
                <w:lang w:val="zh-TW" w:eastAsia="zh-TW"/>
              </w:rPr>
              <w:t>通过自然语言处理技术对患者病例进行语义分析，智能识别感染因素，</w:t>
            </w:r>
            <w:r>
              <w:rPr>
                <w:rFonts w:hint="eastAsia" w:ascii="宋体" w:hAnsi="宋体"/>
                <w:color w:val="auto"/>
                <w:highlight w:val="none"/>
              </w:rPr>
              <w:t>使用特殊颜色字体在病程中标注，方便用户查看，</w:t>
            </w:r>
            <w:r>
              <w:rPr>
                <w:rFonts w:hint="eastAsia" w:ascii="宋体" w:hAnsi="宋体"/>
                <w:color w:val="auto"/>
                <w:highlight w:val="none"/>
                <w:lang w:val="zh-TW" w:eastAsia="zh-TW"/>
              </w:rPr>
              <w:t>并结合检验、检查、体温等信息进行综合预警；支持标记并提取感染因素，单独一列展示感染因素；</w:t>
            </w:r>
          </w:p>
          <w:p w14:paraId="2C433882">
            <w:pPr>
              <w:pStyle w:val="77"/>
              <w:widowControl/>
              <w:numPr>
                <w:ilvl w:val="0"/>
                <w:numId w:val="25"/>
              </w:numPr>
              <w:spacing w:line="360" w:lineRule="auto"/>
              <w:ind w:firstLineChars="0"/>
              <w:rPr>
                <w:rFonts w:ascii="宋体" w:hAnsi="宋体"/>
                <w:color w:val="auto"/>
                <w:highlight w:val="none"/>
              </w:rPr>
            </w:pPr>
            <w:r>
              <w:rPr>
                <w:rFonts w:hint="eastAsia" w:ascii="宋体" w:hAnsi="宋体"/>
                <w:color w:val="auto"/>
                <w:highlight w:val="none"/>
              </w:rPr>
              <w:t>预警界面支持临床医生上报院感报卡，支持院感科医生选择</w:t>
            </w:r>
          </w:p>
          <w:p w14:paraId="29DBAF9D">
            <w:pPr>
              <w:pStyle w:val="77"/>
              <w:widowControl/>
              <w:numPr>
                <w:ilvl w:val="0"/>
                <w:numId w:val="25"/>
              </w:numPr>
              <w:spacing w:line="360" w:lineRule="auto"/>
              <w:ind w:firstLineChars="0"/>
              <w:rPr>
                <w:rFonts w:ascii="宋体" w:hAnsi="宋体"/>
                <w:color w:val="auto"/>
                <w:highlight w:val="none"/>
                <w:lang w:val="zh-TW"/>
              </w:rPr>
            </w:pPr>
            <w:r>
              <w:rPr>
                <w:rFonts w:hint="eastAsia" w:ascii="宋体" w:hAnsi="宋体"/>
                <w:color w:val="auto"/>
                <w:highlight w:val="none"/>
                <w:lang w:val="zh-TW" w:eastAsia="zh-TW"/>
              </w:rPr>
              <w:t>支持对患者常规检验中感染相关重要指标进行分析并提示，如降钙素原、</w:t>
            </w:r>
            <w:r>
              <w:rPr>
                <w:rFonts w:hint="eastAsia" w:ascii="宋体" w:hAnsi="宋体"/>
                <w:color w:val="auto"/>
                <w:highlight w:val="none"/>
                <w:lang w:val="zh-TW"/>
              </w:rPr>
              <w:t>C</w:t>
            </w:r>
            <w:r>
              <w:rPr>
                <w:rFonts w:hint="eastAsia" w:ascii="宋体" w:hAnsi="宋体"/>
                <w:color w:val="auto"/>
                <w:highlight w:val="none"/>
                <w:lang w:val="zh-TW" w:eastAsia="zh-TW"/>
              </w:rPr>
              <w:t>反应蛋白、超敏</w:t>
            </w:r>
            <w:r>
              <w:rPr>
                <w:rFonts w:hint="eastAsia" w:ascii="宋体" w:hAnsi="宋体"/>
                <w:color w:val="auto"/>
                <w:highlight w:val="none"/>
                <w:lang w:val="zh-TW"/>
              </w:rPr>
              <w:t>C</w:t>
            </w:r>
            <w:r>
              <w:rPr>
                <w:rFonts w:hint="eastAsia" w:ascii="宋体" w:hAnsi="宋体"/>
                <w:color w:val="auto"/>
                <w:highlight w:val="none"/>
                <w:lang w:val="zh-TW" w:eastAsia="zh-TW"/>
              </w:rPr>
              <w:t>反应蛋白；</w:t>
            </w:r>
          </w:p>
          <w:p w14:paraId="6BECF273">
            <w:pPr>
              <w:pStyle w:val="77"/>
              <w:widowControl/>
              <w:numPr>
                <w:ilvl w:val="0"/>
                <w:numId w:val="25"/>
              </w:numPr>
              <w:spacing w:line="360" w:lineRule="auto"/>
              <w:ind w:firstLineChars="0"/>
              <w:rPr>
                <w:rFonts w:ascii="宋体" w:hAnsi="宋体"/>
                <w:color w:val="auto"/>
                <w:highlight w:val="none"/>
                <w:lang w:val="zh-TW"/>
              </w:rPr>
            </w:pPr>
            <w:r>
              <w:rPr>
                <w:rFonts w:hint="eastAsia" w:ascii="宋体" w:hAnsi="宋体"/>
                <w:color w:val="auto"/>
                <w:highlight w:val="none"/>
                <w:lang w:val="zh-TW" w:eastAsia="zh-TW"/>
              </w:rPr>
              <w:t>结合模型预警计算出患者感染部位的感染开始日期，自动区分出医院感染与社区感染；</w:t>
            </w:r>
          </w:p>
          <w:p w14:paraId="7C1E0C80">
            <w:pPr>
              <w:pStyle w:val="77"/>
              <w:widowControl/>
              <w:numPr>
                <w:ilvl w:val="0"/>
                <w:numId w:val="25"/>
              </w:numPr>
              <w:spacing w:line="360" w:lineRule="auto"/>
              <w:ind w:firstLineChars="0"/>
              <w:rPr>
                <w:rFonts w:ascii="宋体" w:hAnsi="宋体"/>
                <w:color w:val="auto"/>
                <w:highlight w:val="none"/>
                <w:lang w:val="zh-TW"/>
              </w:rPr>
            </w:pPr>
            <w:r>
              <w:rPr>
                <w:rFonts w:hint="eastAsia" w:ascii="宋体" w:hAnsi="宋体"/>
                <w:color w:val="auto"/>
                <w:highlight w:val="none"/>
                <w:lang w:val="zh-TW" w:eastAsia="zh-TW"/>
              </w:rPr>
              <w:t>自动生成待处理疑似感染病例，按在院、关注患者、出院三种患者角度进行预警病例查看，同时支持根据用户管辖科室、全院两种方式查看；</w:t>
            </w:r>
          </w:p>
          <w:p w14:paraId="27D28BE7">
            <w:pPr>
              <w:pStyle w:val="77"/>
              <w:widowControl/>
              <w:numPr>
                <w:ilvl w:val="0"/>
                <w:numId w:val="25"/>
              </w:numPr>
              <w:spacing w:line="360" w:lineRule="auto"/>
              <w:ind w:firstLineChars="0"/>
              <w:rPr>
                <w:rFonts w:ascii="宋体" w:hAnsi="宋体"/>
                <w:color w:val="auto"/>
                <w:highlight w:val="none"/>
                <w:lang w:val="zh-TW"/>
              </w:rPr>
            </w:pPr>
            <w:r>
              <w:rPr>
                <w:rFonts w:hint="eastAsia" w:ascii="宋体" w:hAnsi="宋体"/>
                <w:color w:val="auto"/>
                <w:highlight w:val="none"/>
                <w:lang w:val="zh-TW" w:eastAsia="zh-TW"/>
              </w:rPr>
              <w:t>支持对患者疑似感染病例操作的同时，可查看患者的重要关注因素；</w:t>
            </w:r>
          </w:p>
          <w:p w14:paraId="534DEB11">
            <w:pPr>
              <w:pStyle w:val="77"/>
              <w:widowControl/>
              <w:numPr>
                <w:ilvl w:val="0"/>
                <w:numId w:val="25"/>
              </w:numPr>
              <w:spacing w:line="360" w:lineRule="auto"/>
              <w:ind w:firstLineChars="0"/>
              <w:rPr>
                <w:rFonts w:ascii="宋体" w:hAnsi="宋体"/>
                <w:color w:val="auto"/>
                <w:highlight w:val="none"/>
                <w:lang w:val="zh-TW"/>
              </w:rPr>
            </w:pPr>
            <w:r>
              <w:rPr>
                <w:rFonts w:hint="eastAsia" w:ascii="宋体" w:hAnsi="宋体"/>
                <w:color w:val="auto"/>
                <w:highlight w:val="none"/>
                <w:lang w:val="zh-TW" w:eastAsia="zh-TW"/>
              </w:rPr>
              <w:t>支持专职人员对疑似病例处理，包括确认、代报、排除，处理后的疑似病例标记为已确认、已排除，未处理的则是未处理标识；</w:t>
            </w:r>
          </w:p>
          <w:p w14:paraId="6F3FD652">
            <w:pPr>
              <w:pStyle w:val="77"/>
              <w:widowControl/>
              <w:numPr>
                <w:ilvl w:val="0"/>
                <w:numId w:val="25"/>
              </w:numPr>
              <w:spacing w:line="360" w:lineRule="auto"/>
              <w:ind w:firstLineChars="0"/>
              <w:rPr>
                <w:rFonts w:ascii="宋体" w:hAnsi="宋体"/>
                <w:color w:val="auto"/>
                <w:highlight w:val="none"/>
                <w:lang w:val="zh-TW"/>
              </w:rPr>
            </w:pPr>
            <w:r>
              <w:rPr>
                <w:rFonts w:hint="eastAsia" w:ascii="宋体" w:hAnsi="宋体"/>
                <w:color w:val="auto"/>
                <w:highlight w:val="none"/>
                <w:lang w:val="zh-TW" w:eastAsia="zh-TW"/>
              </w:rPr>
              <w:t>对疑似感染病例的预警来源维度分类展示，包括：病历、检验、体温、影像、抗菌药物使用情况，方便专职人员查阅；</w:t>
            </w:r>
          </w:p>
          <w:p w14:paraId="7F0DFE3F">
            <w:pPr>
              <w:pStyle w:val="77"/>
              <w:widowControl/>
              <w:numPr>
                <w:ilvl w:val="0"/>
                <w:numId w:val="25"/>
              </w:numPr>
              <w:spacing w:line="360" w:lineRule="auto"/>
              <w:ind w:firstLineChars="0"/>
              <w:rPr>
                <w:rFonts w:ascii="宋体" w:hAnsi="宋体"/>
                <w:color w:val="auto"/>
                <w:highlight w:val="none"/>
                <w:lang w:val="zh-TW"/>
              </w:rPr>
            </w:pPr>
            <w:r>
              <w:rPr>
                <w:rFonts w:hint="eastAsia" w:ascii="宋体" w:hAnsi="宋体"/>
                <w:color w:val="auto"/>
                <w:highlight w:val="none"/>
                <w:lang w:val="zh-TW" w:eastAsia="zh-TW"/>
              </w:rPr>
              <w:t>对疑似感染病例的预警来源直观展示，包括：诊断感染依据、原文内容、出现时间段；</w:t>
            </w:r>
          </w:p>
          <w:p w14:paraId="56DFBDD5">
            <w:pPr>
              <w:pStyle w:val="77"/>
              <w:widowControl/>
              <w:numPr>
                <w:ilvl w:val="0"/>
                <w:numId w:val="25"/>
              </w:numPr>
              <w:spacing w:line="360" w:lineRule="auto"/>
              <w:ind w:firstLineChars="0"/>
              <w:rPr>
                <w:rFonts w:ascii="宋体" w:hAnsi="宋体"/>
                <w:color w:val="auto"/>
                <w:highlight w:val="none"/>
                <w:lang w:val="zh-TW"/>
              </w:rPr>
            </w:pPr>
            <w:r>
              <w:rPr>
                <w:rFonts w:hint="eastAsia" w:ascii="宋体" w:hAnsi="宋体"/>
                <w:color w:val="auto"/>
                <w:highlight w:val="none"/>
                <w:lang w:val="zh-TW" w:eastAsia="zh-TW"/>
              </w:rPr>
              <w:t>支持对病历中感染因素进行颜色标记，以便专职人员能够直观</w:t>
            </w:r>
            <w:r>
              <w:rPr>
                <w:rFonts w:hint="eastAsia" w:ascii="宋体" w:hAnsi="宋体"/>
                <w:color w:val="auto"/>
                <w:highlight w:val="none"/>
                <w:lang w:val="zh-TW"/>
              </w:rPr>
              <w:t>追溯病历重要内容；</w:t>
            </w:r>
          </w:p>
          <w:p w14:paraId="60827376">
            <w:pPr>
              <w:pStyle w:val="77"/>
              <w:widowControl/>
              <w:numPr>
                <w:ilvl w:val="0"/>
                <w:numId w:val="25"/>
              </w:numPr>
              <w:spacing w:line="360" w:lineRule="auto"/>
              <w:ind w:firstLineChars="0"/>
              <w:rPr>
                <w:rFonts w:ascii="宋体" w:hAnsi="宋体"/>
                <w:color w:val="auto"/>
                <w:highlight w:val="none"/>
                <w:lang w:val="zh-TW"/>
              </w:rPr>
            </w:pPr>
            <w:r>
              <w:rPr>
                <w:rFonts w:hint="eastAsia" w:ascii="宋体" w:hAnsi="宋体"/>
                <w:color w:val="auto"/>
                <w:highlight w:val="none"/>
                <w:lang w:val="zh-TW" w:eastAsia="zh-TW"/>
              </w:rPr>
              <w:t>支持对患者病例</w:t>
            </w:r>
            <w:r>
              <w:rPr>
                <w:rFonts w:hint="eastAsia" w:ascii="宋体" w:hAnsi="宋体"/>
                <w:color w:val="auto"/>
                <w:highlight w:val="none"/>
                <w:lang w:val="zh-TW"/>
              </w:rPr>
              <w:t>重点</w:t>
            </w:r>
            <w:r>
              <w:rPr>
                <w:rFonts w:hint="eastAsia" w:ascii="宋体" w:hAnsi="宋体"/>
                <w:color w:val="auto"/>
                <w:highlight w:val="none"/>
                <w:lang w:val="zh-TW" w:eastAsia="zh-TW"/>
              </w:rPr>
              <w:t>关注操作，同时以</w:t>
            </w:r>
            <w:r>
              <w:rPr>
                <w:rFonts w:hint="eastAsia" w:ascii="宋体" w:hAnsi="宋体"/>
                <w:color w:val="auto"/>
                <w:highlight w:val="none"/>
                <w:lang w:val="zh-TW"/>
              </w:rPr>
              <w:t>角标</w:t>
            </w:r>
            <w:r>
              <w:rPr>
                <w:rFonts w:hint="eastAsia" w:ascii="宋体" w:hAnsi="宋体"/>
                <w:color w:val="auto"/>
                <w:highlight w:val="none"/>
                <w:lang w:val="zh-TW" w:eastAsia="zh-TW"/>
              </w:rPr>
              <w:t>标记患者诊疗卡片，方便用户直观看到是否为关注患者</w:t>
            </w:r>
            <w:r>
              <w:rPr>
                <w:rFonts w:hint="eastAsia" w:ascii="宋体" w:hAnsi="宋体"/>
                <w:color w:val="auto"/>
                <w:highlight w:val="none"/>
                <w:lang w:val="zh-TW"/>
              </w:rPr>
              <w:t>，进行后续跟踪</w:t>
            </w:r>
            <w:r>
              <w:rPr>
                <w:rFonts w:hint="eastAsia" w:ascii="宋体" w:hAnsi="宋体"/>
                <w:color w:val="auto"/>
                <w:highlight w:val="none"/>
                <w:lang w:val="zh-TW" w:eastAsia="zh-TW"/>
              </w:rPr>
              <w:t>；</w:t>
            </w:r>
          </w:p>
          <w:p w14:paraId="079462F7">
            <w:pPr>
              <w:pStyle w:val="77"/>
              <w:widowControl/>
              <w:numPr>
                <w:ilvl w:val="0"/>
                <w:numId w:val="25"/>
              </w:numPr>
              <w:spacing w:line="360" w:lineRule="auto"/>
              <w:ind w:firstLineChars="0"/>
              <w:rPr>
                <w:rFonts w:ascii="宋体" w:hAnsi="宋体"/>
                <w:color w:val="auto"/>
                <w:highlight w:val="none"/>
                <w:lang w:val="zh-TW"/>
              </w:rPr>
            </w:pPr>
            <w:r>
              <w:rPr>
                <w:rFonts w:hint="eastAsia" w:ascii="宋体" w:hAnsi="宋体"/>
                <w:color w:val="auto"/>
                <w:highlight w:val="none"/>
                <w:lang w:val="zh-TW" w:eastAsia="zh-TW"/>
              </w:rPr>
              <w:t>支持对患者的疑似感染进行干预到临床操作处理，临床医生接收干预消息后，可对患者进行疑似感染病主动确认或排除操作；</w:t>
            </w:r>
          </w:p>
          <w:p w14:paraId="62A56330">
            <w:pPr>
              <w:pStyle w:val="77"/>
              <w:widowControl/>
              <w:numPr>
                <w:ilvl w:val="0"/>
                <w:numId w:val="25"/>
              </w:numPr>
              <w:spacing w:line="360" w:lineRule="auto"/>
              <w:ind w:firstLineChars="0"/>
              <w:rPr>
                <w:rFonts w:ascii="宋体" w:hAnsi="宋体"/>
                <w:color w:val="auto"/>
                <w:highlight w:val="none"/>
                <w:lang w:val="zh-TW"/>
              </w:rPr>
            </w:pPr>
            <w:r>
              <w:rPr>
                <w:rFonts w:hint="eastAsia" w:ascii="宋体" w:hAnsi="宋体"/>
                <w:color w:val="auto"/>
                <w:highlight w:val="none"/>
                <w:lang w:val="zh-TW" w:eastAsia="zh-TW"/>
              </w:rPr>
              <w:t>支持对患者的疑似感染进行感染病例代报。</w:t>
            </w:r>
          </w:p>
        </w:tc>
      </w:tr>
      <w:tr w14:paraId="5FD50B0B">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right w:val="single" w:color="auto" w:sz="8" w:space="0"/>
            </w:tcBorders>
          </w:tcPr>
          <w:p w14:paraId="5823B63F">
            <w:pPr>
              <w:widowControl/>
              <w:jc w:val="left"/>
              <w:rPr>
                <w:color w:val="auto"/>
                <w:highlight w:val="none"/>
                <w:lang w:val="zh-TW" w:eastAsia="zh-TW"/>
              </w:rPr>
            </w:pPr>
          </w:p>
        </w:tc>
        <w:tc>
          <w:tcPr>
            <w:tcW w:w="1277" w:type="dxa"/>
            <w:tcBorders>
              <w:top w:val="single" w:color="auto" w:sz="4" w:space="0"/>
              <w:left w:val="single" w:color="auto" w:sz="8" w:space="0"/>
              <w:bottom w:val="single" w:color="000000" w:sz="8" w:space="0"/>
              <w:right w:val="single" w:color="auto" w:sz="8" w:space="0"/>
            </w:tcBorders>
            <w:vAlign w:val="center"/>
          </w:tcPr>
          <w:p w14:paraId="6D136A5F">
            <w:pPr>
              <w:numPr>
                <w:ilvl w:val="1"/>
                <w:numId w:val="11"/>
              </w:numPr>
              <w:ind w:left="0" w:firstLine="0"/>
              <w:rPr>
                <w:rFonts w:ascii="宋体" w:hAnsi="宋体"/>
                <w:color w:val="auto"/>
                <w:szCs w:val="21"/>
                <w:highlight w:val="none"/>
              </w:rPr>
            </w:pPr>
            <w:r>
              <w:rPr>
                <w:rFonts w:hint="eastAsia" w:ascii="宋体" w:hAnsi="宋体"/>
                <w:color w:val="auto"/>
                <w:szCs w:val="21"/>
                <w:highlight w:val="none"/>
              </w:rPr>
              <w:t>暴发预警</w:t>
            </w:r>
          </w:p>
        </w:tc>
        <w:tc>
          <w:tcPr>
            <w:tcW w:w="11907" w:type="dxa"/>
            <w:tcBorders>
              <w:top w:val="nil"/>
              <w:left w:val="nil"/>
              <w:bottom w:val="single" w:color="auto" w:sz="8" w:space="0"/>
              <w:right w:val="single" w:color="auto" w:sz="8" w:space="0"/>
            </w:tcBorders>
          </w:tcPr>
          <w:p w14:paraId="1CE4B666">
            <w:pPr>
              <w:pStyle w:val="77"/>
              <w:widowControl/>
              <w:numPr>
                <w:ilvl w:val="0"/>
                <w:numId w:val="26"/>
              </w:numPr>
              <w:spacing w:line="360" w:lineRule="auto"/>
              <w:ind w:firstLineChars="0"/>
              <w:rPr>
                <w:rFonts w:ascii="宋体" w:hAnsi="宋体"/>
                <w:color w:val="auto"/>
                <w:highlight w:val="none"/>
                <w:lang w:val="zh-TW"/>
              </w:rPr>
            </w:pPr>
            <w:r>
              <w:rPr>
                <w:rFonts w:hint="eastAsia" w:ascii="宋体" w:hAnsi="宋体"/>
                <w:color w:val="auto"/>
                <w:highlight w:val="none"/>
                <w:lang w:val="zh-TW" w:eastAsia="zh-TW"/>
              </w:rPr>
              <w:t>以事件形式展示疑似暴发概况；</w:t>
            </w:r>
          </w:p>
          <w:p w14:paraId="0D363283">
            <w:pPr>
              <w:pStyle w:val="77"/>
              <w:widowControl/>
              <w:numPr>
                <w:ilvl w:val="0"/>
                <w:numId w:val="26"/>
              </w:numPr>
              <w:spacing w:line="360" w:lineRule="auto"/>
              <w:ind w:firstLineChars="0"/>
              <w:rPr>
                <w:rFonts w:ascii="宋体" w:hAnsi="宋体"/>
                <w:color w:val="auto"/>
                <w:highlight w:val="none"/>
                <w:lang w:val="zh-TW"/>
              </w:rPr>
            </w:pPr>
            <w:r>
              <w:rPr>
                <w:rFonts w:hint="eastAsia" w:ascii="宋体" w:hAnsi="宋体"/>
                <w:color w:val="auto"/>
                <w:highlight w:val="none"/>
                <w:lang w:val="zh-TW" w:eastAsia="zh-TW"/>
              </w:rPr>
              <w:t>支持暴发预警提示在首页监测面板显著提示，对未处理的暴发预警始终显示；</w:t>
            </w:r>
          </w:p>
          <w:p w14:paraId="733C7BB1">
            <w:pPr>
              <w:pStyle w:val="77"/>
              <w:widowControl/>
              <w:numPr>
                <w:ilvl w:val="0"/>
                <w:numId w:val="26"/>
              </w:numPr>
              <w:spacing w:line="360" w:lineRule="auto"/>
              <w:ind w:firstLineChars="0"/>
              <w:rPr>
                <w:rFonts w:ascii="宋体" w:hAnsi="宋体"/>
                <w:color w:val="auto"/>
                <w:highlight w:val="none"/>
                <w:lang w:val="zh-TW"/>
              </w:rPr>
            </w:pPr>
            <w:r>
              <w:rPr>
                <w:rFonts w:hint="eastAsia" w:ascii="宋体" w:hAnsi="宋体"/>
                <w:color w:val="auto"/>
                <w:highlight w:val="none"/>
                <w:lang w:val="zh-TW" w:eastAsia="zh-TW"/>
              </w:rPr>
              <w:t>监测项目包括：发热、腹泻、大便常规、血培养、相同耐药谱、感染部位、病原体、痰培养；</w:t>
            </w:r>
          </w:p>
          <w:p w14:paraId="726226AA">
            <w:pPr>
              <w:pStyle w:val="77"/>
              <w:widowControl/>
              <w:numPr>
                <w:ilvl w:val="0"/>
                <w:numId w:val="26"/>
              </w:numPr>
              <w:spacing w:line="360" w:lineRule="auto"/>
              <w:ind w:firstLineChars="0"/>
              <w:rPr>
                <w:rFonts w:ascii="宋体" w:hAnsi="宋体"/>
                <w:color w:val="auto"/>
                <w:highlight w:val="none"/>
                <w:lang w:val="zh-TW"/>
              </w:rPr>
            </w:pPr>
            <w:r>
              <w:rPr>
                <w:rFonts w:hint="eastAsia" w:ascii="宋体" w:hAnsi="宋体"/>
                <w:color w:val="auto"/>
                <w:highlight w:val="none"/>
                <w:lang w:val="zh-TW" w:eastAsia="zh-TW"/>
              </w:rPr>
              <w:t>支持对监测项目的关注程度进行自定义调整，包括重点关注、一般关注；</w:t>
            </w:r>
          </w:p>
          <w:p w14:paraId="3A724138">
            <w:pPr>
              <w:pStyle w:val="77"/>
              <w:widowControl/>
              <w:numPr>
                <w:ilvl w:val="0"/>
                <w:numId w:val="26"/>
              </w:numPr>
              <w:spacing w:line="360" w:lineRule="auto"/>
              <w:ind w:firstLineChars="0"/>
              <w:rPr>
                <w:rFonts w:ascii="宋体" w:hAnsi="宋体"/>
                <w:color w:val="auto"/>
                <w:highlight w:val="none"/>
                <w:lang w:val="zh-TW"/>
              </w:rPr>
            </w:pPr>
            <w:r>
              <w:rPr>
                <w:rFonts w:hint="eastAsia" w:ascii="宋体" w:hAnsi="宋体"/>
                <w:color w:val="auto"/>
                <w:highlight w:val="none"/>
                <w:lang w:val="zh-TW" w:eastAsia="zh-TW"/>
              </w:rPr>
              <w:t>支持对查询结果内容穿透查看具体明细，如血培养疑似暴发的送检项目、送检时间可直接展示查看，减少打开页面次数；</w:t>
            </w:r>
          </w:p>
          <w:p w14:paraId="4C3CC5C1">
            <w:pPr>
              <w:pStyle w:val="77"/>
              <w:widowControl/>
              <w:numPr>
                <w:ilvl w:val="0"/>
                <w:numId w:val="26"/>
              </w:numPr>
              <w:spacing w:line="360" w:lineRule="auto"/>
              <w:ind w:firstLineChars="0"/>
              <w:rPr>
                <w:rFonts w:ascii="宋体" w:hAnsi="宋体"/>
                <w:color w:val="auto"/>
                <w:highlight w:val="none"/>
                <w:lang w:val="zh-TW"/>
              </w:rPr>
            </w:pPr>
            <w:r>
              <w:rPr>
                <w:rFonts w:hint="eastAsia" w:ascii="宋体" w:hAnsi="宋体"/>
                <w:color w:val="auto"/>
                <w:highlight w:val="none"/>
                <w:lang w:val="zh-TW" w:eastAsia="zh-TW"/>
              </w:rPr>
              <w:t>支持对疑似暴发的审核操作，包括确认暴发、排除暴发、备注事件、干预；</w:t>
            </w:r>
          </w:p>
          <w:p w14:paraId="527B50BC">
            <w:pPr>
              <w:pStyle w:val="77"/>
              <w:widowControl/>
              <w:numPr>
                <w:ilvl w:val="0"/>
                <w:numId w:val="26"/>
              </w:numPr>
              <w:spacing w:line="360" w:lineRule="auto"/>
              <w:ind w:firstLineChars="0"/>
              <w:rPr>
                <w:rFonts w:ascii="宋体" w:hAnsi="宋体"/>
                <w:color w:val="auto"/>
                <w:highlight w:val="none"/>
                <w:lang w:val="zh-TW"/>
              </w:rPr>
            </w:pPr>
            <w:r>
              <w:rPr>
                <w:rFonts w:hint="eastAsia" w:ascii="宋体" w:hAnsi="宋体"/>
                <w:color w:val="auto"/>
                <w:highlight w:val="none"/>
                <w:lang w:val="zh-TW" w:eastAsia="zh-TW"/>
              </w:rPr>
              <w:t>支持对审核后的疑似暴发事件查看审核人、审核时间、备注内容；</w:t>
            </w:r>
          </w:p>
        </w:tc>
      </w:tr>
      <w:tr w14:paraId="3FAFD2A8">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right w:val="single" w:color="auto" w:sz="8" w:space="0"/>
            </w:tcBorders>
          </w:tcPr>
          <w:p w14:paraId="0B15A188">
            <w:pPr>
              <w:widowControl/>
              <w:jc w:val="left"/>
              <w:rPr>
                <w:color w:val="auto"/>
                <w:highlight w:val="none"/>
              </w:rPr>
            </w:pPr>
          </w:p>
        </w:tc>
        <w:tc>
          <w:tcPr>
            <w:tcW w:w="1277" w:type="dxa"/>
            <w:tcBorders>
              <w:top w:val="single" w:color="auto" w:sz="4" w:space="0"/>
              <w:left w:val="single" w:color="auto" w:sz="8" w:space="0"/>
              <w:bottom w:val="single" w:color="000000" w:sz="8" w:space="0"/>
              <w:right w:val="single" w:color="auto" w:sz="8" w:space="0"/>
            </w:tcBorders>
            <w:vAlign w:val="center"/>
          </w:tcPr>
          <w:p w14:paraId="57E28D89">
            <w:pPr>
              <w:numPr>
                <w:ilvl w:val="1"/>
                <w:numId w:val="11"/>
              </w:numPr>
              <w:ind w:left="0" w:firstLine="0"/>
              <w:rPr>
                <w:rFonts w:ascii="宋体" w:hAnsi="宋体"/>
                <w:color w:val="auto"/>
                <w:szCs w:val="21"/>
                <w:highlight w:val="none"/>
              </w:rPr>
            </w:pPr>
            <w:r>
              <w:rPr>
                <w:rFonts w:hint="eastAsia" w:ascii="宋体" w:hAnsi="宋体"/>
                <w:color w:val="auto"/>
                <w:szCs w:val="21"/>
                <w:highlight w:val="none"/>
              </w:rPr>
              <w:t>风险分析</w:t>
            </w:r>
          </w:p>
        </w:tc>
        <w:tc>
          <w:tcPr>
            <w:tcW w:w="11907" w:type="dxa"/>
            <w:tcBorders>
              <w:top w:val="nil"/>
              <w:left w:val="nil"/>
              <w:bottom w:val="single" w:color="auto" w:sz="8" w:space="0"/>
              <w:right w:val="single" w:color="auto" w:sz="8" w:space="0"/>
            </w:tcBorders>
          </w:tcPr>
          <w:p w14:paraId="295CA447">
            <w:pPr>
              <w:pStyle w:val="77"/>
              <w:widowControl/>
              <w:numPr>
                <w:ilvl w:val="0"/>
                <w:numId w:val="27"/>
              </w:numPr>
              <w:spacing w:line="360" w:lineRule="auto"/>
              <w:ind w:firstLineChars="0"/>
              <w:rPr>
                <w:rFonts w:ascii="宋体" w:hAnsi="宋体"/>
                <w:color w:val="auto"/>
                <w:highlight w:val="none"/>
              </w:rPr>
            </w:pPr>
            <w:r>
              <w:rPr>
                <w:rFonts w:hint="eastAsia" w:ascii="宋体" w:hAnsi="宋体"/>
                <w:color w:val="auto"/>
                <w:highlight w:val="none"/>
              </w:rPr>
              <w:t>系统自带风险分析体系，根据患者的全方位易感因素，判定患者的感染风险值，预警出科室的高风险感染患者</w:t>
            </w:r>
          </w:p>
          <w:p w14:paraId="6216F3A9">
            <w:pPr>
              <w:pStyle w:val="77"/>
              <w:widowControl/>
              <w:numPr>
                <w:ilvl w:val="0"/>
                <w:numId w:val="27"/>
              </w:numPr>
              <w:spacing w:line="360" w:lineRule="auto"/>
              <w:ind w:firstLineChars="0"/>
              <w:rPr>
                <w:rFonts w:ascii="宋体" w:hAnsi="宋体"/>
                <w:color w:val="auto"/>
                <w:highlight w:val="none"/>
              </w:rPr>
            </w:pPr>
            <w:r>
              <w:rPr>
                <w:rFonts w:hint="eastAsia" w:ascii="宋体" w:hAnsi="宋体"/>
                <w:color w:val="auto"/>
                <w:highlight w:val="none"/>
              </w:rPr>
              <w:t>根据时间线刻录高风险患者患者的感染风险点，系统自动提醒临床，进行风险环节的提前干预，智能的根据不同类型的风险因素发送针对性的干预形式（评估表、SOP、防控措施落实表等）和干预内容从源头上降低医院感染发生率</w:t>
            </w:r>
          </w:p>
          <w:p w14:paraId="258E7941">
            <w:pPr>
              <w:pStyle w:val="77"/>
              <w:widowControl/>
              <w:numPr>
                <w:ilvl w:val="0"/>
                <w:numId w:val="27"/>
              </w:numPr>
              <w:spacing w:line="360" w:lineRule="auto"/>
              <w:ind w:firstLineChars="0"/>
              <w:rPr>
                <w:rFonts w:ascii="宋体" w:hAnsi="宋体"/>
                <w:color w:val="auto"/>
                <w:highlight w:val="none"/>
              </w:rPr>
            </w:pPr>
            <w:r>
              <w:rPr>
                <w:rFonts w:hint="eastAsia" w:ascii="宋体" w:hAnsi="宋体"/>
                <w:color w:val="auto"/>
                <w:highlight w:val="none"/>
              </w:rPr>
              <w:t>干预结果同步至院感专职人员，如果临床未及时处理，专职人员可利用系统进行人工干预</w:t>
            </w:r>
          </w:p>
          <w:p w14:paraId="65CE8ACD">
            <w:pPr>
              <w:pStyle w:val="77"/>
              <w:widowControl/>
              <w:numPr>
                <w:ilvl w:val="0"/>
                <w:numId w:val="27"/>
              </w:numPr>
              <w:spacing w:line="360" w:lineRule="auto"/>
              <w:ind w:firstLineChars="0"/>
              <w:rPr>
                <w:rFonts w:ascii="宋体" w:hAnsi="宋体"/>
                <w:color w:val="auto"/>
                <w:highlight w:val="none"/>
              </w:rPr>
            </w:pPr>
            <w:r>
              <w:rPr>
                <w:rFonts w:hint="eastAsia" w:ascii="宋体" w:hAnsi="宋体"/>
                <w:color w:val="auto"/>
                <w:highlight w:val="none"/>
              </w:rPr>
              <w:t>针对高风险感染患者的感染风险点，用户可在页面上查看干预记录列表、干预详情、风险评估表，全面的掌握患者的风险点干预情况；且可直接点击进行PDCA循环质量管理，涉及问题记录、原因分析、考核结果等环节，帮助用户有针对性的、持续的改进临床医疗质量</w:t>
            </w:r>
          </w:p>
        </w:tc>
      </w:tr>
      <w:tr w14:paraId="14BCA0C0">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right w:val="single" w:color="auto" w:sz="8" w:space="0"/>
            </w:tcBorders>
          </w:tcPr>
          <w:p w14:paraId="57315E5B">
            <w:pPr>
              <w:widowControl/>
              <w:jc w:val="left"/>
              <w:rPr>
                <w:rFonts w:ascii="宋体" w:hAnsi="宋体" w:cs="MS Mincho"/>
                <w:color w:val="auto"/>
                <w:highlight w:val="none"/>
              </w:rPr>
            </w:pPr>
          </w:p>
        </w:tc>
        <w:tc>
          <w:tcPr>
            <w:tcW w:w="1277" w:type="dxa"/>
            <w:tcBorders>
              <w:top w:val="single" w:color="auto" w:sz="4" w:space="0"/>
              <w:left w:val="single" w:color="auto" w:sz="8" w:space="0"/>
              <w:bottom w:val="single" w:color="000000" w:sz="8" w:space="0"/>
              <w:right w:val="single" w:color="auto" w:sz="8" w:space="0"/>
            </w:tcBorders>
            <w:vAlign w:val="center"/>
          </w:tcPr>
          <w:p w14:paraId="1BFDB568">
            <w:pPr>
              <w:numPr>
                <w:ilvl w:val="1"/>
                <w:numId w:val="11"/>
              </w:numPr>
              <w:ind w:left="0" w:firstLine="0"/>
              <w:rPr>
                <w:rFonts w:ascii="宋体" w:hAnsi="宋体"/>
                <w:color w:val="auto"/>
                <w:szCs w:val="21"/>
                <w:highlight w:val="none"/>
              </w:rPr>
            </w:pPr>
            <w:r>
              <w:rPr>
                <w:rFonts w:ascii="宋体" w:hAnsi="宋体"/>
                <w:color w:val="auto"/>
                <w:szCs w:val="21"/>
                <w:highlight w:val="none"/>
              </w:rPr>
              <w:t>床位</w:t>
            </w:r>
            <w:r>
              <w:rPr>
                <w:rFonts w:hint="eastAsia" w:ascii="宋体" w:hAnsi="宋体"/>
                <w:color w:val="auto"/>
                <w:szCs w:val="21"/>
                <w:highlight w:val="none"/>
              </w:rPr>
              <w:t>风险</w:t>
            </w:r>
            <w:r>
              <w:rPr>
                <w:rFonts w:ascii="宋体" w:hAnsi="宋体"/>
                <w:color w:val="auto"/>
                <w:szCs w:val="21"/>
                <w:highlight w:val="none"/>
              </w:rPr>
              <w:t>分布</w:t>
            </w:r>
          </w:p>
        </w:tc>
        <w:tc>
          <w:tcPr>
            <w:tcW w:w="11907" w:type="dxa"/>
            <w:tcBorders>
              <w:top w:val="nil"/>
              <w:left w:val="nil"/>
              <w:bottom w:val="single" w:color="auto" w:sz="8" w:space="0"/>
              <w:right w:val="single" w:color="auto" w:sz="8" w:space="0"/>
            </w:tcBorders>
          </w:tcPr>
          <w:p w14:paraId="6F252348">
            <w:pPr>
              <w:pStyle w:val="77"/>
              <w:widowControl/>
              <w:numPr>
                <w:ilvl w:val="0"/>
                <w:numId w:val="28"/>
              </w:numPr>
              <w:spacing w:line="360" w:lineRule="auto"/>
              <w:ind w:firstLineChars="0"/>
              <w:rPr>
                <w:rFonts w:ascii="宋体" w:hAnsi="宋体"/>
                <w:color w:val="auto"/>
                <w:highlight w:val="none"/>
                <w:lang w:val="zh-TW"/>
              </w:rPr>
            </w:pPr>
            <w:r>
              <w:rPr>
                <w:rFonts w:hint="eastAsia" w:ascii="宋体" w:hAnsi="宋体"/>
                <w:color w:val="auto"/>
                <w:highlight w:val="none"/>
                <w:lang w:val="zh-TW" w:eastAsia="zh-TW"/>
              </w:rPr>
              <w:t>通过图形展示科室病房的床位分布与布局，更加直观</w:t>
            </w:r>
            <w:r>
              <w:rPr>
                <w:rFonts w:hint="eastAsia" w:ascii="宋体" w:hAnsi="宋体"/>
                <w:color w:val="auto"/>
                <w:highlight w:val="none"/>
              </w:rPr>
              <w:t>的查看每个房间、每个床位患者的分布情况，直观的了解患者风险因素（如是否感染、疑似院感、是否使用抗菌药物、是否有检出细菌，是否体温异常、是否检出病毒等）</w:t>
            </w:r>
            <w:r>
              <w:rPr>
                <w:rFonts w:hint="eastAsia" w:ascii="宋体" w:hAnsi="宋体"/>
                <w:color w:val="auto"/>
                <w:highlight w:val="none"/>
                <w:lang w:val="zh-TW"/>
              </w:rPr>
              <w:t>，</w:t>
            </w:r>
            <w:r>
              <w:rPr>
                <w:rFonts w:hint="eastAsia" w:ascii="宋体" w:hAnsi="宋体"/>
                <w:color w:val="auto"/>
                <w:highlight w:val="none"/>
                <w:lang w:val="zh-TW" w:eastAsia="zh-TW"/>
              </w:rPr>
              <w:t>方便的掌握本科是否存在聚集性事件情况，有效辅助感控专职人员进行研判；</w:t>
            </w:r>
          </w:p>
          <w:p w14:paraId="7EC76C73">
            <w:pPr>
              <w:pStyle w:val="77"/>
              <w:widowControl/>
              <w:numPr>
                <w:ilvl w:val="0"/>
                <w:numId w:val="28"/>
              </w:numPr>
              <w:spacing w:line="360" w:lineRule="auto"/>
              <w:ind w:firstLineChars="0"/>
              <w:rPr>
                <w:rFonts w:ascii="宋体" w:hAnsi="宋体"/>
                <w:color w:val="auto"/>
                <w:highlight w:val="none"/>
                <w:lang w:val="zh-TW"/>
              </w:rPr>
            </w:pPr>
            <w:r>
              <w:rPr>
                <w:rFonts w:hint="eastAsia" w:ascii="宋体" w:hAnsi="宋体"/>
                <w:color w:val="auto"/>
                <w:highlight w:val="none"/>
                <w:lang w:val="zh-TW" w:eastAsia="zh-TW"/>
              </w:rPr>
              <w:t>科室病房可由临床</w:t>
            </w:r>
            <w:r>
              <w:rPr>
                <w:rFonts w:hint="eastAsia" w:ascii="宋体" w:hAnsi="宋体"/>
                <w:color w:val="auto"/>
                <w:highlight w:val="none"/>
                <w:lang w:val="zh-TW"/>
              </w:rPr>
              <w:t>科室自行进行病房数量新增、删除、名称修改，更加符合科室现有病房名称命名，支持ICU模式病房设置；</w:t>
            </w:r>
          </w:p>
          <w:p w14:paraId="43987C2D">
            <w:pPr>
              <w:pStyle w:val="77"/>
              <w:widowControl/>
              <w:numPr>
                <w:ilvl w:val="0"/>
                <w:numId w:val="28"/>
              </w:numPr>
              <w:spacing w:line="360" w:lineRule="auto"/>
              <w:ind w:firstLineChars="0"/>
              <w:rPr>
                <w:rFonts w:ascii="宋体" w:hAnsi="宋体"/>
                <w:color w:val="auto"/>
                <w:highlight w:val="none"/>
                <w:lang w:val="zh-TW"/>
              </w:rPr>
            </w:pPr>
            <w:r>
              <w:rPr>
                <w:rFonts w:hint="eastAsia" w:ascii="宋体" w:hAnsi="宋体"/>
                <w:color w:val="auto"/>
                <w:highlight w:val="none"/>
                <w:lang w:val="zh-TW" w:eastAsia="zh-TW"/>
              </w:rPr>
              <w:t>病房中床位可由临床</w:t>
            </w:r>
            <w:r>
              <w:rPr>
                <w:rFonts w:hint="eastAsia" w:ascii="宋体" w:hAnsi="宋体"/>
                <w:color w:val="auto"/>
                <w:highlight w:val="none"/>
                <w:lang w:val="zh-TW"/>
              </w:rPr>
              <w:t>客户数自行进行床位数量新增、删除、名称修改，更加符合病房中病床命名，同时支持走廊加床的新增；</w:t>
            </w:r>
          </w:p>
          <w:p w14:paraId="4BE0A2B0">
            <w:pPr>
              <w:pStyle w:val="77"/>
              <w:widowControl/>
              <w:numPr>
                <w:ilvl w:val="0"/>
                <w:numId w:val="28"/>
              </w:numPr>
              <w:spacing w:line="360" w:lineRule="auto"/>
              <w:ind w:firstLineChars="0"/>
              <w:rPr>
                <w:rFonts w:ascii="宋体" w:hAnsi="宋体"/>
                <w:color w:val="auto"/>
                <w:highlight w:val="none"/>
                <w:lang w:val="zh-TW"/>
              </w:rPr>
            </w:pPr>
            <w:r>
              <w:rPr>
                <w:rFonts w:hint="eastAsia" w:ascii="宋体" w:hAnsi="宋体"/>
                <w:color w:val="auto"/>
                <w:highlight w:val="none"/>
                <w:lang w:val="zh-TW" w:eastAsia="zh-TW"/>
              </w:rPr>
              <w:t>支持患者随床位</w:t>
            </w:r>
            <w:r>
              <w:rPr>
                <w:rFonts w:hint="eastAsia" w:ascii="宋体" w:hAnsi="宋体"/>
                <w:color w:val="auto"/>
                <w:highlight w:val="none"/>
                <w:lang w:val="zh-TW"/>
              </w:rPr>
              <w:t>号进行分配与排列，并且展示患者当前存在的风险情况；</w:t>
            </w:r>
          </w:p>
          <w:p w14:paraId="03CE19B3">
            <w:pPr>
              <w:pStyle w:val="77"/>
              <w:widowControl/>
              <w:numPr>
                <w:ilvl w:val="0"/>
                <w:numId w:val="28"/>
              </w:numPr>
              <w:spacing w:line="360" w:lineRule="auto"/>
              <w:ind w:firstLineChars="0"/>
              <w:rPr>
                <w:rFonts w:ascii="宋体" w:hAnsi="宋体"/>
                <w:color w:val="auto"/>
                <w:highlight w:val="none"/>
                <w:lang w:val="zh-TW"/>
              </w:rPr>
            </w:pPr>
            <w:r>
              <w:rPr>
                <w:rFonts w:hint="eastAsia" w:ascii="宋体" w:hAnsi="宋体"/>
                <w:color w:val="auto"/>
                <w:highlight w:val="none"/>
                <w:lang w:val="zh-TW" w:eastAsia="zh-TW"/>
              </w:rPr>
              <w:t>以不同图形展示患者正在经历</w:t>
            </w:r>
            <w:r>
              <w:rPr>
                <w:rFonts w:hint="eastAsia" w:ascii="宋体" w:hAnsi="宋体"/>
                <w:color w:val="auto"/>
                <w:highlight w:val="none"/>
                <w:lang w:val="zh-TW"/>
              </w:rPr>
              <w:t>及历史</w:t>
            </w:r>
            <w:r>
              <w:rPr>
                <w:rFonts w:hint="eastAsia" w:ascii="宋体" w:hAnsi="宋体"/>
                <w:color w:val="auto"/>
                <w:highlight w:val="none"/>
                <w:lang w:val="zh-TW" w:eastAsia="zh-TW"/>
              </w:rPr>
              <w:t>风险情况，包括：本次住院已确认感染、正在</w:t>
            </w:r>
            <w:r>
              <w:rPr>
                <w:rFonts w:hint="eastAsia" w:ascii="宋体" w:hAnsi="宋体"/>
                <w:color w:val="auto"/>
                <w:highlight w:val="none"/>
                <w:lang w:val="zh-TW"/>
              </w:rPr>
              <w:t>使用三大插管、检出多重耐药菌、近三天发热（超过38℃）</w:t>
            </w:r>
          </w:p>
        </w:tc>
      </w:tr>
      <w:tr w14:paraId="312F069B">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right w:val="single" w:color="auto" w:sz="8" w:space="0"/>
            </w:tcBorders>
          </w:tcPr>
          <w:p w14:paraId="236FAC7C">
            <w:pPr>
              <w:widowControl/>
              <w:jc w:val="left"/>
              <w:rPr>
                <w:color w:val="auto"/>
                <w:highlight w:val="none"/>
                <w:lang w:val="zh-TW" w:eastAsia="zh-TW"/>
              </w:rPr>
            </w:pPr>
          </w:p>
        </w:tc>
        <w:tc>
          <w:tcPr>
            <w:tcW w:w="1277" w:type="dxa"/>
            <w:tcBorders>
              <w:top w:val="single" w:color="auto" w:sz="4" w:space="0"/>
              <w:left w:val="single" w:color="auto" w:sz="8" w:space="0"/>
              <w:bottom w:val="single" w:color="000000" w:sz="8" w:space="0"/>
              <w:right w:val="single" w:color="auto" w:sz="8" w:space="0"/>
            </w:tcBorders>
            <w:vAlign w:val="center"/>
          </w:tcPr>
          <w:p w14:paraId="0E38D682">
            <w:pPr>
              <w:numPr>
                <w:ilvl w:val="1"/>
                <w:numId w:val="11"/>
              </w:numPr>
              <w:ind w:left="0" w:firstLine="0"/>
              <w:rPr>
                <w:rFonts w:ascii="宋体" w:hAnsi="宋体"/>
                <w:color w:val="auto"/>
                <w:szCs w:val="21"/>
                <w:highlight w:val="none"/>
              </w:rPr>
            </w:pPr>
            <w:r>
              <w:rPr>
                <w:rFonts w:hint="eastAsia" w:ascii="宋体" w:hAnsi="宋体"/>
                <w:color w:val="auto"/>
                <w:szCs w:val="21"/>
                <w:highlight w:val="none"/>
              </w:rPr>
              <w:t>监测面板</w:t>
            </w:r>
          </w:p>
        </w:tc>
        <w:tc>
          <w:tcPr>
            <w:tcW w:w="11907" w:type="dxa"/>
            <w:tcBorders>
              <w:top w:val="nil"/>
              <w:left w:val="nil"/>
              <w:bottom w:val="single" w:color="auto" w:sz="8" w:space="0"/>
              <w:right w:val="single" w:color="auto" w:sz="8" w:space="0"/>
            </w:tcBorders>
          </w:tcPr>
          <w:p w14:paraId="3589FB50">
            <w:pPr>
              <w:pStyle w:val="77"/>
              <w:widowControl/>
              <w:numPr>
                <w:ilvl w:val="0"/>
                <w:numId w:val="29"/>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提供友好的用户交互界面，能够集中展示全院概况、待处理事宜、重点指标监测；</w:t>
            </w:r>
          </w:p>
          <w:p w14:paraId="097B0DD9">
            <w:pPr>
              <w:pStyle w:val="77"/>
              <w:widowControl/>
              <w:numPr>
                <w:ilvl w:val="0"/>
                <w:numId w:val="29"/>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全院概况，能够支持用户查看及穿透至对应页面，全院概况内容包括：在院患者人数、体温异常人数（体温≥38℃）、三大插管人数、MDRO检出人数，重点菌检出人数；</w:t>
            </w:r>
          </w:p>
          <w:p w14:paraId="50CEF2E1">
            <w:pPr>
              <w:pStyle w:val="77"/>
              <w:widowControl/>
              <w:numPr>
                <w:ilvl w:val="0"/>
                <w:numId w:val="29"/>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待办事宜，能够对1个月内未处理的内容总数展示及穿透相应功能进行业务处理，待办事宜内容包括：暴发预警、感染预警、感染报卡、暴露上报，暴露复查；</w:t>
            </w:r>
          </w:p>
          <w:p w14:paraId="2E4892A8">
            <w:pPr>
              <w:pStyle w:val="77"/>
              <w:widowControl/>
              <w:numPr>
                <w:ilvl w:val="0"/>
                <w:numId w:val="29"/>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重点指标监测，能够对重点的指标进行监测及穿透查询相应统计分析，包括：感染部位构成（年度）、送检标本构成（年度）、检出重点菌构成（年度）、检出重点菌构成（年度）、职业暴露人员构成（年度）、全院发热患者趋势（近7天）、MRSA相关血流感染（近7天）、多重耐药菌检出率趋势（近7天）、发病率趋势（近12个月）。</w:t>
            </w:r>
          </w:p>
        </w:tc>
      </w:tr>
      <w:tr w14:paraId="67B08E5E">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right w:val="single" w:color="auto" w:sz="8" w:space="0"/>
            </w:tcBorders>
          </w:tcPr>
          <w:p w14:paraId="741D3E66">
            <w:pPr>
              <w:widowControl/>
              <w:jc w:val="left"/>
              <w:rPr>
                <w:rFonts w:ascii="宋体" w:hAnsi="宋体"/>
                <w:color w:val="auto"/>
                <w:highlight w:val="none"/>
              </w:rPr>
            </w:pPr>
          </w:p>
        </w:tc>
        <w:tc>
          <w:tcPr>
            <w:tcW w:w="1277" w:type="dxa"/>
            <w:tcBorders>
              <w:top w:val="single" w:color="auto" w:sz="4" w:space="0"/>
              <w:left w:val="single" w:color="auto" w:sz="8" w:space="0"/>
              <w:bottom w:val="single" w:color="000000" w:sz="8" w:space="0"/>
              <w:right w:val="single" w:color="auto" w:sz="8" w:space="0"/>
            </w:tcBorders>
            <w:vAlign w:val="center"/>
          </w:tcPr>
          <w:p w14:paraId="20EFC3F2">
            <w:pPr>
              <w:numPr>
                <w:ilvl w:val="1"/>
                <w:numId w:val="11"/>
              </w:numPr>
              <w:ind w:left="0" w:firstLine="0"/>
              <w:rPr>
                <w:rFonts w:ascii="宋体" w:hAnsi="宋体"/>
                <w:color w:val="auto"/>
                <w:szCs w:val="21"/>
                <w:highlight w:val="none"/>
              </w:rPr>
            </w:pPr>
            <w:r>
              <w:rPr>
                <w:rFonts w:ascii="宋体" w:hAnsi="宋体"/>
                <w:color w:val="auto"/>
                <w:szCs w:val="21"/>
                <w:highlight w:val="none"/>
              </w:rPr>
              <w:t>PDCA</w:t>
            </w:r>
            <w:r>
              <w:rPr>
                <w:rFonts w:hint="eastAsia" w:ascii="宋体" w:hAnsi="宋体"/>
                <w:color w:val="auto"/>
                <w:szCs w:val="21"/>
                <w:highlight w:val="none"/>
              </w:rPr>
              <w:t>持续改进</w:t>
            </w:r>
          </w:p>
        </w:tc>
        <w:tc>
          <w:tcPr>
            <w:tcW w:w="11907" w:type="dxa"/>
            <w:tcBorders>
              <w:top w:val="nil"/>
              <w:left w:val="nil"/>
              <w:bottom w:val="single" w:color="auto" w:sz="8" w:space="0"/>
              <w:right w:val="single" w:color="auto" w:sz="8" w:space="0"/>
            </w:tcBorders>
          </w:tcPr>
          <w:p w14:paraId="293CDC2E">
            <w:pPr>
              <w:pStyle w:val="77"/>
              <w:widowControl/>
              <w:numPr>
                <w:ilvl w:val="0"/>
                <w:numId w:val="30"/>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支持建立全院的PDCA持续改进机制，能够有效地根据发现问题进行项目PDCA；</w:t>
            </w:r>
          </w:p>
          <w:p w14:paraId="1ED78C35">
            <w:pPr>
              <w:pStyle w:val="77"/>
              <w:widowControl/>
              <w:numPr>
                <w:ilvl w:val="0"/>
                <w:numId w:val="30"/>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能够支持感控专职人员维护PDCA流程模板中的模板名称、过程名称；</w:t>
            </w:r>
          </w:p>
          <w:p w14:paraId="4E2A8945">
            <w:pPr>
              <w:pStyle w:val="77"/>
              <w:widowControl/>
              <w:numPr>
                <w:ilvl w:val="0"/>
                <w:numId w:val="30"/>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支持感控专职人员发起新增PDCA持续改进，包括关联科室名称、监测项目、预期目标、资料来源、监测结果、问题叙述、原因分析、督导项目负责人、参与人员、是否开展调查与改进、具体PDCA调查与改进步骤；</w:t>
            </w:r>
          </w:p>
          <w:p w14:paraId="50E108DD">
            <w:pPr>
              <w:pStyle w:val="77"/>
              <w:widowControl/>
              <w:numPr>
                <w:ilvl w:val="0"/>
                <w:numId w:val="30"/>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支持PDCA内容打印报告、另存为PDCA改进模板；</w:t>
            </w:r>
          </w:p>
          <w:p w14:paraId="641DD63B">
            <w:pPr>
              <w:pStyle w:val="77"/>
              <w:widowControl/>
              <w:numPr>
                <w:ilvl w:val="0"/>
                <w:numId w:val="30"/>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支持医院对PDCA流程的自定义及顺序调整。</w:t>
            </w:r>
          </w:p>
        </w:tc>
      </w:tr>
      <w:tr w14:paraId="7452F933">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right w:val="single" w:color="auto" w:sz="8" w:space="0"/>
            </w:tcBorders>
          </w:tcPr>
          <w:p w14:paraId="7B528C6E">
            <w:pPr>
              <w:widowControl/>
              <w:jc w:val="left"/>
              <w:rPr>
                <w:color w:val="auto"/>
                <w:highlight w:val="none"/>
                <w:lang w:val="zh-TW" w:eastAsia="zh-TW"/>
              </w:rPr>
            </w:pPr>
          </w:p>
        </w:tc>
        <w:tc>
          <w:tcPr>
            <w:tcW w:w="1277" w:type="dxa"/>
            <w:tcBorders>
              <w:top w:val="single" w:color="auto" w:sz="4" w:space="0"/>
              <w:left w:val="single" w:color="auto" w:sz="8" w:space="0"/>
              <w:bottom w:val="single" w:color="000000" w:sz="8" w:space="0"/>
              <w:right w:val="single" w:color="auto" w:sz="8" w:space="0"/>
            </w:tcBorders>
            <w:vAlign w:val="center"/>
          </w:tcPr>
          <w:p w14:paraId="28E24176">
            <w:pPr>
              <w:numPr>
                <w:ilvl w:val="1"/>
                <w:numId w:val="11"/>
              </w:numPr>
              <w:ind w:left="0" w:firstLine="0"/>
              <w:rPr>
                <w:rFonts w:ascii="宋体" w:hAnsi="宋体"/>
                <w:color w:val="auto"/>
                <w:szCs w:val="21"/>
                <w:highlight w:val="none"/>
              </w:rPr>
            </w:pPr>
            <w:r>
              <w:rPr>
                <w:rFonts w:hint="eastAsia" w:ascii="宋体" w:hAnsi="宋体"/>
                <w:color w:val="auto"/>
                <w:szCs w:val="21"/>
                <w:highlight w:val="none"/>
              </w:rPr>
              <w:t>干预会话</w:t>
            </w:r>
          </w:p>
        </w:tc>
        <w:tc>
          <w:tcPr>
            <w:tcW w:w="11907" w:type="dxa"/>
            <w:tcBorders>
              <w:top w:val="nil"/>
              <w:left w:val="nil"/>
              <w:bottom w:val="single" w:color="auto" w:sz="8" w:space="0"/>
              <w:right w:val="single" w:color="auto" w:sz="8" w:space="0"/>
            </w:tcBorders>
          </w:tcPr>
          <w:p w14:paraId="0AF61C1E">
            <w:pPr>
              <w:pStyle w:val="77"/>
              <w:widowControl/>
              <w:numPr>
                <w:ilvl w:val="0"/>
                <w:numId w:val="31"/>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更为灵活的消息盒子，支持与医院主业务系统消息对接，如HIS系统、电子病历系统，对接后使消息接收和传送更加统一；</w:t>
            </w:r>
          </w:p>
          <w:p w14:paraId="1EA172FB">
            <w:pPr>
              <w:pStyle w:val="77"/>
              <w:widowControl/>
              <w:numPr>
                <w:ilvl w:val="0"/>
                <w:numId w:val="31"/>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支持两种消息发送方式，包括：个人与个人的一对一实时沟通，个人至科室的一对多消息发送；</w:t>
            </w:r>
          </w:p>
          <w:p w14:paraId="32C4D6FC">
            <w:pPr>
              <w:pStyle w:val="77"/>
              <w:widowControl/>
              <w:numPr>
                <w:ilvl w:val="0"/>
                <w:numId w:val="31"/>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支持查</w:t>
            </w:r>
            <w:r>
              <w:rPr>
                <w:rFonts w:hint="eastAsia" w:ascii="宋体" w:hAnsi="宋体"/>
                <w:color w:val="auto"/>
                <w:highlight w:val="none"/>
                <w:lang w:val="zh-TW"/>
              </w:rPr>
              <w:t>、</w:t>
            </w:r>
            <w:r>
              <w:rPr>
                <w:rFonts w:hint="eastAsia" w:ascii="宋体" w:hAnsi="宋体"/>
                <w:color w:val="auto"/>
                <w:highlight w:val="none"/>
                <w:lang w:val="zh-TW" w:eastAsia="zh-TW"/>
              </w:rPr>
              <w:t>看发送的消息接收人数和未读人数；</w:t>
            </w:r>
          </w:p>
          <w:p w14:paraId="4478462E">
            <w:pPr>
              <w:pStyle w:val="77"/>
              <w:widowControl/>
              <w:numPr>
                <w:ilvl w:val="0"/>
                <w:numId w:val="31"/>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支持对未读的消息一键已读操作，同时可查看全部消息；</w:t>
            </w:r>
          </w:p>
          <w:p w14:paraId="55293B3C">
            <w:pPr>
              <w:pStyle w:val="77"/>
              <w:widowControl/>
              <w:numPr>
                <w:ilvl w:val="0"/>
                <w:numId w:val="31"/>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消息发送支持个人到个人的一对一方式、个人到科室的一对多方式；</w:t>
            </w:r>
          </w:p>
          <w:p w14:paraId="29D2558C">
            <w:pPr>
              <w:pStyle w:val="77"/>
              <w:widowControl/>
              <w:numPr>
                <w:ilvl w:val="0"/>
                <w:numId w:val="31"/>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支持临床科室接收感控管理端的消息，包括：感染病例审核结果提醒、职业暴露复查提醒、干预消息提醒、即时通讯消息提醒、SOP感控标准操作流程提醒；</w:t>
            </w:r>
          </w:p>
          <w:p w14:paraId="0528B328">
            <w:pPr>
              <w:pStyle w:val="77"/>
              <w:widowControl/>
              <w:numPr>
                <w:ilvl w:val="0"/>
                <w:numId w:val="31"/>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支持感控管理端接收临床科室的消息，包括：感染病例报卡提醒、职业暴露上报提醒、即时通讯消息提醒；</w:t>
            </w:r>
          </w:p>
          <w:p w14:paraId="056DAA1A">
            <w:pPr>
              <w:pStyle w:val="77"/>
              <w:widowControl/>
              <w:numPr>
                <w:ilvl w:val="0"/>
                <w:numId w:val="31"/>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不同的消息类型，点击后可进入不同的界面，进行查看、审核等业务操作，减少用户跳转操作；</w:t>
            </w:r>
          </w:p>
          <w:p w14:paraId="5B234D22">
            <w:pPr>
              <w:pStyle w:val="77"/>
              <w:widowControl/>
              <w:numPr>
                <w:ilvl w:val="0"/>
                <w:numId w:val="31"/>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支持以患者为中心，查看贯穿患者在院期间所有干预信息及即时消息内容。</w:t>
            </w:r>
          </w:p>
        </w:tc>
      </w:tr>
      <w:tr w14:paraId="08643CE6">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right w:val="single" w:color="auto" w:sz="8" w:space="0"/>
            </w:tcBorders>
          </w:tcPr>
          <w:p w14:paraId="2E2F104A">
            <w:pPr>
              <w:widowControl/>
              <w:jc w:val="left"/>
              <w:rPr>
                <w:color w:val="auto"/>
                <w:highlight w:val="none"/>
                <w:lang w:val="zh-TW" w:eastAsia="zh-TW"/>
              </w:rPr>
            </w:pPr>
          </w:p>
        </w:tc>
        <w:tc>
          <w:tcPr>
            <w:tcW w:w="1277" w:type="dxa"/>
            <w:tcBorders>
              <w:top w:val="single" w:color="auto" w:sz="4" w:space="0"/>
              <w:left w:val="single" w:color="auto" w:sz="8" w:space="0"/>
              <w:bottom w:val="single" w:color="000000" w:sz="8" w:space="0"/>
              <w:right w:val="single" w:color="auto" w:sz="8" w:space="0"/>
            </w:tcBorders>
            <w:vAlign w:val="center"/>
          </w:tcPr>
          <w:p w14:paraId="5E90BCF9">
            <w:pPr>
              <w:numPr>
                <w:ilvl w:val="1"/>
                <w:numId w:val="11"/>
              </w:numPr>
              <w:ind w:left="0" w:firstLine="0"/>
              <w:rPr>
                <w:rFonts w:ascii="宋体" w:hAnsi="宋体"/>
                <w:color w:val="auto"/>
                <w:szCs w:val="21"/>
                <w:highlight w:val="none"/>
              </w:rPr>
            </w:pPr>
            <w:r>
              <w:rPr>
                <w:rFonts w:hint="eastAsia" w:ascii="宋体" w:hAnsi="宋体"/>
                <w:color w:val="auto"/>
                <w:szCs w:val="21"/>
                <w:highlight w:val="none"/>
              </w:rPr>
              <w:t>感染监测</w:t>
            </w:r>
          </w:p>
        </w:tc>
        <w:tc>
          <w:tcPr>
            <w:tcW w:w="11907" w:type="dxa"/>
            <w:tcBorders>
              <w:top w:val="nil"/>
              <w:left w:val="nil"/>
              <w:bottom w:val="single" w:color="auto" w:sz="8" w:space="0"/>
              <w:right w:val="single" w:color="auto" w:sz="8" w:space="0"/>
            </w:tcBorders>
          </w:tcPr>
          <w:p w14:paraId="71AE9158">
            <w:pPr>
              <w:pStyle w:val="77"/>
              <w:widowControl/>
              <w:numPr>
                <w:ilvl w:val="0"/>
                <w:numId w:val="32"/>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支持对感染病例报卡的审核操作，报卡信息的补充及修改、报卡退回；</w:t>
            </w:r>
          </w:p>
          <w:p w14:paraId="510AC498">
            <w:pPr>
              <w:pStyle w:val="77"/>
              <w:widowControl/>
              <w:numPr>
                <w:ilvl w:val="0"/>
                <w:numId w:val="32"/>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支持对感染病例审核时，可查看患者历史报卡的记录概况；</w:t>
            </w:r>
          </w:p>
          <w:p w14:paraId="2524DD27">
            <w:pPr>
              <w:pStyle w:val="77"/>
              <w:widowControl/>
              <w:numPr>
                <w:ilvl w:val="0"/>
                <w:numId w:val="32"/>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 xml:space="preserve">支持按不同筛选条件进行感染病例查询，如：日期类别、感染类别、感染诊断名称、导管相关性条件、致病菌名称； </w:t>
            </w:r>
          </w:p>
          <w:p w14:paraId="1244E428">
            <w:pPr>
              <w:pStyle w:val="77"/>
              <w:widowControl/>
              <w:numPr>
                <w:ilvl w:val="0"/>
                <w:numId w:val="32"/>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支持对感染病例进行感染终止日期修改、感染转归情况；</w:t>
            </w:r>
          </w:p>
          <w:p w14:paraId="77F194D7">
            <w:pPr>
              <w:pStyle w:val="77"/>
              <w:widowControl/>
              <w:numPr>
                <w:ilvl w:val="0"/>
                <w:numId w:val="32"/>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支持对已确认的感染病例报卡删除操作；</w:t>
            </w:r>
          </w:p>
          <w:p w14:paraId="09E7F2CC">
            <w:pPr>
              <w:pStyle w:val="77"/>
              <w:widowControl/>
              <w:numPr>
                <w:ilvl w:val="0"/>
                <w:numId w:val="32"/>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支持最新全国医院感染培训基地的现患率横断面个案调查表；</w:t>
            </w:r>
          </w:p>
          <w:p w14:paraId="225A24CC">
            <w:pPr>
              <w:pStyle w:val="77"/>
              <w:widowControl/>
              <w:numPr>
                <w:ilvl w:val="0"/>
                <w:numId w:val="32"/>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支持不限次数的现患率横断面调查；</w:t>
            </w:r>
          </w:p>
          <w:p w14:paraId="774271C9">
            <w:pPr>
              <w:pStyle w:val="77"/>
              <w:widowControl/>
              <w:numPr>
                <w:ilvl w:val="0"/>
                <w:numId w:val="32"/>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支持一键自动生成调查日在院患者及出院患者现患数据，如：患者基本信息、所在科室，调查者可对调查表进行信息补充；</w:t>
            </w:r>
          </w:p>
          <w:p w14:paraId="4B141764">
            <w:pPr>
              <w:pStyle w:val="77"/>
              <w:widowControl/>
              <w:numPr>
                <w:ilvl w:val="0"/>
                <w:numId w:val="32"/>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支持对完成的调查数据可直接上报至全国医院感染监控管理培训基地；</w:t>
            </w:r>
          </w:p>
          <w:p w14:paraId="5CD23C68">
            <w:pPr>
              <w:pStyle w:val="77"/>
              <w:widowControl/>
              <w:numPr>
                <w:ilvl w:val="0"/>
                <w:numId w:val="32"/>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支持查询在院患者及出院患者，并可按住院号、病案号、姓名模糊查询。</w:t>
            </w:r>
          </w:p>
        </w:tc>
      </w:tr>
      <w:tr w14:paraId="15EE349B">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right w:val="single" w:color="auto" w:sz="8" w:space="0"/>
            </w:tcBorders>
          </w:tcPr>
          <w:p w14:paraId="0880F23D">
            <w:pPr>
              <w:widowControl/>
              <w:jc w:val="left"/>
              <w:rPr>
                <w:color w:val="auto"/>
                <w:highlight w:val="none"/>
                <w:lang w:val="zh-TW" w:eastAsia="zh-TW"/>
              </w:rPr>
            </w:pPr>
          </w:p>
        </w:tc>
        <w:tc>
          <w:tcPr>
            <w:tcW w:w="1277" w:type="dxa"/>
            <w:tcBorders>
              <w:top w:val="single" w:color="auto" w:sz="4" w:space="0"/>
              <w:left w:val="single" w:color="auto" w:sz="8" w:space="0"/>
              <w:bottom w:val="single" w:color="000000" w:sz="8" w:space="0"/>
              <w:right w:val="single" w:color="auto" w:sz="8" w:space="0"/>
            </w:tcBorders>
            <w:vAlign w:val="center"/>
          </w:tcPr>
          <w:p w14:paraId="55D9C7DB">
            <w:pPr>
              <w:numPr>
                <w:ilvl w:val="1"/>
                <w:numId w:val="11"/>
              </w:numPr>
              <w:ind w:left="0" w:firstLine="0"/>
              <w:rPr>
                <w:rFonts w:ascii="宋体" w:hAnsi="宋体"/>
                <w:color w:val="auto"/>
                <w:szCs w:val="21"/>
                <w:highlight w:val="none"/>
              </w:rPr>
            </w:pPr>
            <w:r>
              <w:rPr>
                <w:rFonts w:hint="eastAsia" w:ascii="宋体" w:hAnsi="宋体"/>
                <w:color w:val="auto"/>
                <w:szCs w:val="21"/>
                <w:highlight w:val="none"/>
              </w:rPr>
              <w:t>细菌监测</w:t>
            </w:r>
          </w:p>
        </w:tc>
        <w:tc>
          <w:tcPr>
            <w:tcW w:w="11907" w:type="dxa"/>
            <w:tcBorders>
              <w:top w:val="nil"/>
              <w:left w:val="nil"/>
              <w:bottom w:val="single" w:color="auto" w:sz="8" w:space="0"/>
              <w:right w:val="single" w:color="auto" w:sz="8" w:space="0"/>
            </w:tcBorders>
          </w:tcPr>
          <w:p w14:paraId="1ED4F128">
            <w:pPr>
              <w:pStyle w:val="77"/>
              <w:widowControl/>
              <w:numPr>
                <w:ilvl w:val="0"/>
                <w:numId w:val="33"/>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自动对微生物数据进行加载，结合最新多耐定义标准《医疗机构耐药菌MDR、XDR、PDR的定义专家建议（草案）》</w:t>
            </w:r>
            <w:r>
              <w:rPr>
                <w:rFonts w:hint="eastAsia" w:ascii="宋体" w:hAnsi="宋体"/>
                <w:color w:val="auto"/>
                <w:highlight w:val="none"/>
              </w:rPr>
              <w:t>自动判断是否为MDR\XDR\PDR、对特殊耐药菌自动进行颜色醒目标识。对多重耐药</w:t>
            </w:r>
            <w:r>
              <w:rPr>
                <w:rFonts w:hint="eastAsia" w:ascii="宋体" w:hAnsi="宋体"/>
                <w:color w:val="auto"/>
                <w:highlight w:val="none"/>
                <w:lang w:val="zh-TW" w:eastAsia="zh-TW"/>
              </w:rPr>
              <w:t>进行多耐分析</w:t>
            </w:r>
            <w:r>
              <w:rPr>
                <w:rFonts w:hint="eastAsia" w:ascii="宋体" w:hAnsi="宋体"/>
                <w:color w:val="auto"/>
                <w:highlight w:val="none"/>
                <w:lang w:val="zh-TW"/>
              </w:rPr>
              <w:t>，</w:t>
            </w:r>
            <w:r>
              <w:rPr>
                <w:rFonts w:hint="eastAsia" w:ascii="宋体" w:hAnsi="宋体"/>
                <w:color w:val="auto"/>
                <w:highlight w:val="none"/>
                <w:lang w:val="zh-TW" w:eastAsia="zh-TW"/>
              </w:rPr>
              <w:t>及时对临床科室和感控科预警提示</w:t>
            </w:r>
          </w:p>
          <w:p w14:paraId="6A3441C7">
            <w:pPr>
              <w:pStyle w:val="77"/>
              <w:widowControl/>
              <w:numPr>
                <w:ilvl w:val="0"/>
                <w:numId w:val="33"/>
              </w:numPr>
              <w:spacing w:line="360" w:lineRule="auto"/>
              <w:ind w:firstLineChars="0"/>
              <w:rPr>
                <w:rFonts w:ascii="宋体" w:hAnsi="宋体"/>
                <w:color w:val="auto"/>
                <w:highlight w:val="none"/>
                <w:lang w:val="zh-TW" w:eastAsia="zh-TW"/>
              </w:rPr>
            </w:pPr>
            <w:r>
              <w:rPr>
                <w:rFonts w:hint="eastAsia" w:ascii="宋体" w:hAnsi="宋体"/>
                <w:color w:val="auto"/>
                <w:highlight w:val="none"/>
              </w:rPr>
              <w:t>细菌监测界面列表显示多耐/特耐审核状态、多重耐药菌防控措施的督导情况、多重耐药菌感染病例上报情况、隔离状态、是否出院、评分、管床医生、感染部位、感染类型、是否落实、备注等信息。</w:t>
            </w:r>
          </w:p>
          <w:p w14:paraId="71CC5C9C">
            <w:pPr>
              <w:pStyle w:val="77"/>
              <w:widowControl/>
              <w:numPr>
                <w:ilvl w:val="0"/>
                <w:numId w:val="33"/>
              </w:numPr>
              <w:spacing w:line="360" w:lineRule="auto"/>
              <w:ind w:firstLineChars="0"/>
              <w:rPr>
                <w:rFonts w:ascii="宋体" w:hAnsi="宋体"/>
                <w:color w:val="auto"/>
                <w:highlight w:val="none"/>
                <w:lang w:val="zh-TW" w:eastAsia="zh-TW"/>
              </w:rPr>
            </w:pPr>
            <w:r>
              <w:rPr>
                <w:rFonts w:hint="eastAsia" w:ascii="宋体" w:hAnsi="宋体"/>
                <w:color w:val="auto"/>
                <w:highlight w:val="none"/>
              </w:rPr>
              <w:t>对每种抗菌药物的药敏结果进行展示，</w:t>
            </w:r>
            <w:r>
              <w:rPr>
                <w:rFonts w:hint="eastAsia" w:ascii="宋体" w:hAnsi="宋体"/>
                <w:color w:val="auto"/>
                <w:highlight w:val="none"/>
                <w:lang w:val="zh-TW" w:eastAsia="zh-TW"/>
              </w:rPr>
              <w:t>并按照药敏药物的药品类别分组显示</w:t>
            </w:r>
            <w:r>
              <w:rPr>
                <w:rFonts w:hint="eastAsia" w:ascii="宋体" w:hAnsi="宋体"/>
                <w:color w:val="auto"/>
                <w:highlight w:val="none"/>
                <w:lang w:val="zh-TW"/>
              </w:rPr>
              <w:t>，</w:t>
            </w:r>
            <w:r>
              <w:rPr>
                <w:rFonts w:hint="eastAsia" w:ascii="宋体" w:hAnsi="宋体"/>
                <w:color w:val="auto"/>
                <w:highlight w:val="none"/>
              </w:rPr>
              <w:t>包括：β-内酰胺与β-内酰胺酶抑制复合物、</w:t>
            </w:r>
            <w:r>
              <w:rPr>
                <w:rFonts w:hint="eastAsia" w:ascii="宋体" w:hAnsi="宋体"/>
                <w:color w:val="auto"/>
                <w:highlight w:val="none"/>
                <w:lang w:val="zh-TW" w:eastAsia="zh-TW"/>
              </w:rPr>
              <w:t>氨基糖苷类</w:t>
            </w:r>
            <w:r>
              <w:rPr>
                <w:rFonts w:hint="eastAsia" w:ascii="宋体" w:hAnsi="宋体"/>
                <w:color w:val="auto"/>
                <w:highlight w:val="none"/>
                <w:lang w:val="zh-TW"/>
              </w:rPr>
              <w:t>、</w:t>
            </w:r>
            <w:r>
              <w:rPr>
                <w:rFonts w:hint="eastAsia" w:ascii="宋体" w:hAnsi="宋体"/>
                <w:color w:val="auto"/>
                <w:highlight w:val="none"/>
                <w:lang w:val="zh-TW" w:eastAsia="zh-TW"/>
              </w:rPr>
              <w:t>单环β-内酰胺类</w:t>
            </w:r>
            <w:r>
              <w:rPr>
                <w:rFonts w:hint="eastAsia" w:ascii="宋体" w:hAnsi="宋体"/>
                <w:color w:val="auto"/>
                <w:highlight w:val="none"/>
                <w:lang w:val="zh-TW"/>
              </w:rPr>
              <w:t>、</w:t>
            </w:r>
            <w:r>
              <w:rPr>
                <w:rFonts w:hint="eastAsia" w:ascii="宋体" w:hAnsi="宋体"/>
                <w:color w:val="auto"/>
                <w:highlight w:val="none"/>
                <w:lang w:val="zh-TW" w:eastAsia="zh-TW"/>
              </w:rPr>
              <w:t>青霉素类</w:t>
            </w:r>
            <w:r>
              <w:rPr>
                <w:rFonts w:hint="eastAsia" w:ascii="宋体" w:hAnsi="宋体"/>
                <w:color w:val="auto"/>
                <w:highlight w:val="none"/>
                <w:lang w:val="zh-TW"/>
              </w:rPr>
              <w:t>、</w:t>
            </w:r>
            <w:r>
              <w:rPr>
                <w:rFonts w:hint="eastAsia" w:ascii="宋体" w:hAnsi="宋体"/>
                <w:color w:val="auto"/>
                <w:highlight w:val="none"/>
                <w:lang w:val="zh-TW" w:eastAsia="zh-TW"/>
              </w:rPr>
              <w:t>碳青霉烯类</w:t>
            </w:r>
            <w:r>
              <w:rPr>
                <w:rFonts w:hint="eastAsia" w:ascii="宋体" w:hAnsi="宋体"/>
                <w:color w:val="auto"/>
                <w:highlight w:val="none"/>
                <w:lang w:val="zh-TW"/>
              </w:rPr>
              <w:t>、</w:t>
            </w:r>
            <w:r>
              <w:rPr>
                <w:rFonts w:hint="eastAsia" w:ascii="宋体" w:hAnsi="宋体"/>
                <w:color w:val="auto"/>
                <w:highlight w:val="none"/>
                <w:lang w:val="zh-TW" w:eastAsia="zh-TW"/>
              </w:rPr>
              <w:t>头孢类</w:t>
            </w:r>
            <w:r>
              <w:rPr>
                <w:rFonts w:hint="eastAsia" w:ascii="宋体" w:hAnsi="宋体"/>
                <w:color w:val="auto"/>
                <w:highlight w:val="none"/>
                <w:lang w:val="zh-TW"/>
              </w:rPr>
              <w:t>、</w:t>
            </w:r>
            <w:r>
              <w:rPr>
                <w:rFonts w:hint="eastAsia" w:ascii="宋体" w:hAnsi="宋体"/>
                <w:color w:val="auto"/>
                <w:highlight w:val="none"/>
                <w:lang w:val="zh-TW" w:eastAsia="zh-TW"/>
              </w:rPr>
              <w:t>硝基呋喃类</w:t>
            </w:r>
            <w:r>
              <w:rPr>
                <w:rFonts w:hint="eastAsia" w:ascii="宋体" w:hAnsi="宋体"/>
                <w:color w:val="auto"/>
                <w:highlight w:val="none"/>
                <w:lang w:val="zh-TW"/>
              </w:rPr>
              <w:t>、</w:t>
            </w:r>
            <w:r>
              <w:rPr>
                <w:rFonts w:hint="eastAsia" w:ascii="宋体" w:hAnsi="宋体"/>
                <w:color w:val="auto"/>
                <w:highlight w:val="none"/>
                <w:lang w:val="zh-TW" w:eastAsia="zh-TW"/>
              </w:rPr>
              <w:t>叶酸代谢途径抑制剂(磺胺类)</w:t>
            </w:r>
            <w:r>
              <w:rPr>
                <w:rFonts w:hint="eastAsia" w:ascii="宋体" w:hAnsi="宋体"/>
                <w:color w:val="auto"/>
                <w:highlight w:val="none"/>
                <w:lang w:val="zh-TW"/>
              </w:rPr>
              <w:t>、</w:t>
            </w:r>
            <w:r>
              <w:rPr>
                <w:rFonts w:hint="eastAsia" w:ascii="宋体" w:hAnsi="宋体"/>
                <w:color w:val="auto"/>
                <w:highlight w:val="none"/>
                <w:lang w:val="zh-TW" w:eastAsia="zh-TW"/>
              </w:rPr>
              <w:t>喹诺酮类</w:t>
            </w:r>
            <w:r>
              <w:rPr>
                <w:rFonts w:hint="eastAsia" w:ascii="宋体" w:hAnsi="宋体"/>
                <w:color w:val="auto"/>
                <w:highlight w:val="none"/>
              </w:rPr>
              <w:t>等，如果</w:t>
            </w:r>
            <w:r>
              <w:rPr>
                <w:rFonts w:hint="eastAsia" w:ascii="宋体" w:hAnsi="宋体"/>
                <w:color w:val="auto"/>
                <w:highlight w:val="none"/>
                <w:lang w:val="zh-TW" w:eastAsia="zh-TW"/>
              </w:rPr>
              <w:t>是天然耐药</w:t>
            </w:r>
            <w:r>
              <w:rPr>
                <w:rFonts w:hint="eastAsia" w:ascii="宋体" w:hAnsi="宋体"/>
                <w:color w:val="auto"/>
                <w:highlight w:val="none"/>
              </w:rPr>
              <w:t>的抗菌药物</w:t>
            </w:r>
            <w:r>
              <w:rPr>
                <w:rFonts w:hint="eastAsia" w:ascii="宋体" w:hAnsi="宋体"/>
                <w:color w:val="auto"/>
                <w:highlight w:val="none"/>
                <w:lang w:val="zh-TW" w:eastAsia="zh-TW"/>
              </w:rPr>
              <w:t>，有</w:t>
            </w:r>
            <w:r>
              <w:rPr>
                <w:rFonts w:hint="eastAsia" w:ascii="宋体" w:hAnsi="宋体"/>
                <w:color w:val="auto"/>
                <w:highlight w:val="none"/>
              </w:rPr>
              <w:t>不同颜色区分的</w:t>
            </w:r>
            <w:r>
              <w:rPr>
                <w:rFonts w:hint="eastAsia" w:ascii="宋体" w:hAnsi="宋体"/>
                <w:color w:val="auto"/>
                <w:highlight w:val="none"/>
                <w:lang w:val="zh-TW" w:eastAsia="zh-TW"/>
              </w:rPr>
              <w:t>显眼提示</w:t>
            </w:r>
            <w:r>
              <w:rPr>
                <w:rFonts w:hint="eastAsia" w:ascii="宋体" w:hAnsi="宋体"/>
                <w:color w:val="auto"/>
                <w:highlight w:val="none"/>
                <w:lang w:val="zh-TW"/>
              </w:rPr>
              <w:t>。</w:t>
            </w:r>
          </w:p>
          <w:p w14:paraId="4809CD66">
            <w:pPr>
              <w:pStyle w:val="77"/>
              <w:widowControl/>
              <w:numPr>
                <w:ilvl w:val="0"/>
                <w:numId w:val="33"/>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支持根据最新规范标准，自动区分出MDR、XDR、PDR、特殊耐药菌、能够自动剔除天然耐药。</w:t>
            </w:r>
          </w:p>
          <w:p w14:paraId="3B199E4B">
            <w:pPr>
              <w:pStyle w:val="77"/>
              <w:widowControl/>
              <w:numPr>
                <w:ilvl w:val="0"/>
                <w:numId w:val="33"/>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支持每日检出菌中按管辖科室或全院视角查看，自动优先展示未审核的重点菌内容，对聚焦重点菌的审核、干预；</w:t>
            </w:r>
          </w:p>
          <w:p w14:paraId="60DA6DB9">
            <w:pPr>
              <w:pStyle w:val="77"/>
              <w:widowControl/>
              <w:numPr>
                <w:ilvl w:val="0"/>
                <w:numId w:val="33"/>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支持自动关联感染的致病菌信息，包括：感染类型、感染时间、感染部位；</w:t>
            </w:r>
          </w:p>
          <w:p w14:paraId="36B0412D">
            <w:pPr>
              <w:pStyle w:val="77"/>
              <w:widowControl/>
              <w:numPr>
                <w:ilvl w:val="0"/>
                <w:numId w:val="33"/>
              </w:numPr>
              <w:spacing w:line="360" w:lineRule="auto"/>
              <w:ind w:firstLineChars="0"/>
              <w:rPr>
                <w:rFonts w:ascii="宋体" w:hAnsi="宋体"/>
                <w:color w:val="auto"/>
                <w:highlight w:val="none"/>
                <w:lang w:val="zh-TW" w:eastAsia="zh-TW"/>
              </w:rPr>
            </w:pPr>
            <w:r>
              <w:rPr>
                <w:rFonts w:hint="eastAsia" w:ascii="宋体" w:hAnsi="宋体"/>
                <w:color w:val="auto"/>
                <w:highlight w:val="none"/>
              </w:rPr>
              <w:t>该界面</w:t>
            </w:r>
            <w:r>
              <w:rPr>
                <w:rFonts w:hint="eastAsia" w:ascii="宋体" w:hAnsi="宋体"/>
                <w:color w:val="auto"/>
                <w:highlight w:val="none"/>
                <w:lang w:val="zh-TW" w:eastAsia="zh-TW"/>
              </w:rPr>
              <w:t>支持</w:t>
            </w:r>
            <w:r>
              <w:rPr>
                <w:rFonts w:hint="eastAsia" w:ascii="宋体" w:hAnsi="宋体"/>
                <w:color w:val="auto"/>
                <w:highlight w:val="none"/>
              </w:rPr>
              <w:t>支持在该界面对多重耐药菌进行多耐、特耐审核；</w:t>
            </w:r>
            <w:r>
              <w:rPr>
                <w:rFonts w:hint="eastAsia" w:ascii="宋体" w:hAnsi="宋体"/>
                <w:color w:val="auto"/>
                <w:highlight w:val="none"/>
                <w:lang w:val="zh-TW" w:eastAsia="zh-TW"/>
              </w:rPr>
              <w:t>对</w:t>
            </w:r>
            <w:r>
              <w:rPr>
                <w:rFonts w:hint="eastAsia" w:ascii="宋体" w:hAnsi="宋体"/>
                <w:color w:val="auto"/>
                <w:highlight w:val="none"/>
              </w:rPr>
              <w:t>细菌</w:t>
            </w:r>
            <w:r>
              <w:rPr>
                <w:rFonts w:hint="eastAsia" w:ascii="宋体" w:hAnsi="宋体"/>
                <w:color w:val="auto"/>
                <w:highlight w:val="none"/>
                <w:lang w:val="zh-TW" w:eastAsia="zh-TW"/>
              </w:rPr>
              <w:t>的感染类型审核处理，包括：院感、社感、定植、污染、不确定、未审核</w:t>
            </w:r>
            <w:r>
              <w:rPr>
                <w:rFonts w:hint="eastAsia" w:ascii="宋体" w:hAnsi="宋体"/>
                <w:color w:val="auto"/>
                <w:highlight w:val="none"/>
              </w:rPr>
              <w:t>等操作；</w:t>
            </w:r>
            <w:r>
              <w:rPr>
                <w:rFonts w:hint="eastAsia" w:ascii="宋体" w:hAnsi="宋体"/>
                <w:color w:val="auto"/>
                <w:highlight w:val="none"/>
                <w:lang w:val="zh-TW" w:eastAsia="zh-TW"/>
              </w:rPr>
              <w:t>审核为院感时，可优先干预到临床，要求临床先进行院感致病菌报告；</w:t>
            </w:r>
          </w:p>
          <w:p w14:paraId="22C13590">
            <w:pPr>
              <w:pStyle w:val="77"/>
              <w:widowControl/>
              <w:numPr>
                <w:ilvl w:val="0"/>
                <w:numId w:val="33"/>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支持根据患者医嘱情况，自动展示患者隔离标识，自动计算出患者开始隔离日期、解除隔离日期，可钻取隔离标识的医嘱明细；</w:t>
            </w:r>
          </w:p>
          <w:p w14:paraId="6930A376">
            <w:pPr>
              <w:pStyle w:val="77"/>
              <w:widowControl/>
              <w:numPr>
                <w:ilvl w:val="0"/>
                <w:numId w:val="33"/>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支持对干预的检出菌患者，进行隔离干预消息操作，干预自动生成；</w:t>
            </w:r>
          </w:p>
          <w:p w14:paraId="09FBD105">
            <w:pPr>
              <w:pStyle w:val="77"/>
              <w:widowControl/>
              <w:numPr>
                <w:ilvl w:val="0"/>
                <w:numId w:val="33"/>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支持调阅查看多重耐药菌患者的感染防控评估表执行情况；</w:t>
            </w:r>
          </w:p>
          <w:p w14:paraId="1C8E568E">
            <w:pPr>
              <w:pStyle w:val="77"/>
              <w:widowControl/>
              <w:numPr>
                <w:ilvl w:val="0"/>
                <w:numId w:val="33"/>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按多条件查询检出菌明细，条件包括：时间类型（送检日期、检出日期），患者检索、科室类型、科室名称、重点菌和非重点菌、细菌名称、革兰氏G+/G-、菌属分类、感染类型、隔离医嘱情况、管辖科室/全院；</w:t>
            </w:r>
          </w:p>
          <w:p w14:paraId="1B9B3FBC">
            <w:pPr>
              <w:pStyle w:val="77"/>
              <w:widowControl/>
              <w:numPr>
                <w:ilvl w:val="0"/>
                <w:numId w:val="33"/>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支持对查询的菌结果，可直接导出XLS。</w:t>
            </w:r>
          </w:p>
          <w:p w14:paraId="2DE8C0FA">
            <w:pPr>
              <w:pStyle w:val="77"/>
              <w:widowControl/>
              <w:numPr>
                <w:ilvl w:val="0"/>
                <w:numId w:val="33"/>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可按多种条件进行查询统计，包括：时间类型（送检日期、检出日期）按月度、季度、年度、自定义时间段，科室类型、科室名称、细菌名称、标本名称、革兰氏G+/G-、菌属分类、感染类型、管辖科室/全院维度，自动剔除重复；</w:t>
            </w:r>
          </w:p>
          <w:p w14:paraId="553FFAB4">
            <w:pPr>
              <w:pStyle w:val="77"/>
              <w:widowControl/>
              <w:numPr>
                <w:ilvl w:val="0"/>
                <w:numId w:val="33"/>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指标包括：送检阳性率（科室）、送检多耐率（科室）、检出菌耐药率统计（按耐药率程度颜色标记）、检出菌标本分布、检出菌科室分布、感染类型分布、多重耐药菌感染人（例次）数、多重耐药菌感染发生（例次）率、多重耐药菌千日感染（例次）率、重点菌感染次数、检出菌标本分布、标本检出菌分布、体温异常血培养送检率；</w:t>
            </w:r>
          </w:p>
          <w:p w14:paraId="1281BAF6">
            <w:pPr>
              <w:pStyle w:val="77"/>
              <w:widowControl/>
              <w:numPr>
                <w:ilvl w:val="0"/>
                <w:numId w:val="33"/>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按月度、季度、年度的环比分析检出率趋势、多耐率趋势、菌的耐药率趋势</w:t>
            </w:r>
            <w:r>
              <w:rPr>
                <w:rFonts w:hint="eastAsia" w:ascii="宋体" w:hAnsi="宋体"/>
                <w:color w:val="auto"/>
                <w:highlight w:val="none"/>
                <w:lang w:val="zh-TW"/>
              </w:rPr>
              <w:t>。</w:t>
            </w:r>
          </w:p>
        </w:tc>
      </w:tr>
      <w:tr w14:paraId="56BDAB52">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right w:val="single" w:color="auto" w:sz="8" w:space="0"/>
            </w:tcBorders>
          </w:tcPr>
          <w:p w14:paraId="6E64CB7D">
            <w:pPr>
              <w:widowControl/>
              <w:jc w:val="left"/>
              <w:rPr>
                <w:color w:val="auto"/>
                <w:highlight w:val="none"/>
              </w:rPr>
            </w:pPr>
          </w:p>
        </w:tc>
        <w:tc>
          <w:tcPr>
            <w:tcW w:w="1277" w:type="dxa"/>
            <w:tcBorders>
              <w:top w:val="single" w:color="auto" w:sz="4" w:space="0"/>
              <w:left w:val="single" w:color="auto" w:sz="8" w:space="0"/>
              <w:bottom w:val="single" w:color="000000" w:sz="8" w:space="0"/>
              <w:right w:val="single" w:color="auto" w:sz="8" w:space="0"/>
            </w:tcBorders>
            <w:vAlign w:val="center"/>
          </w:tcPr>
          <w:p w14:paraId="2BDF688E">
            <w:pPr>
              <w:numPr>
                <w:ilvl w:val="1"/>
                <w:numId w:val="11"/>
              </w:numPr>
              <w:ind w:left="0" w:firstLine="0"/>
              <w:rPr>
                <w:rFonts w:ascii="宋体" w:hAnsi="宋体"/>
                <w:color w:val="auto"/>
                <w:szCs w:val="21"/>
                <w:highlight w:val="none"/>
              </w:rPr>
            </w:pPr>
            <w:r>
              <w:rPr>
                <w:rFonts w:hint="eastAsia" w:ascii="宋体" w:hAnsi="宋体"/>
                <w:color w:val="auto"/>
                <w:szCs w:val="21"/>
                <w:highlight w:val="none"/>
              </w:rPr>
              <w:t>多重耐药菌防控措施评估</w:t>
            </w:r>
          </w:p>
        </w:tc>
        <w:tc>
          <w:tcPr>
            <w:tcW w:w="11907" w:type="dxa"/>
            <w:tcBorders>
              <w:top w:val="nil"/>
              <w:left w:val="nil"/>
              <w:bottom w:val="single" w:color="auto" w:sz="8" w:space="0"/>
              <w:right w:val="single" w:color="auto" w:sz="8" w:space="0"/>
            </w:tcBorders>
          </w:tcPr>
          <w:p w14:paraId="34BAEA07">
            <w:pPr>
              <w:pStyle w:val="77"/>
              <w:widowControl/>
              <w:numPr>
                <w:ilvl w:val="0"/>
                <w:numId w:val="34"/>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w:t>
            </w:r>
            <w:r>
              <w:rPr>
                <w:rFonts w:hint="eastAsia" w:ascii="宋体" w:hAnsi="宋体"/>
                <w:color w:val="auto"/>
                <w:highlight w:val="none"/>
              </w:rPr>
              <w:t>多种耐药菌的防控措施进行评估及督导，对于检出的多重耐药菌，系统自动预警并发送防控措施表至管床医生、护士，院感科医生下到临床进行防控措施的督导，临床的防控措施记录，以及院感科的督导评价将全部记录在系统，可溯源。可对防控记录和督导表进行打印</w:t>
            </w:r>
          </w:p>
          <w:p w14:paraId="01B0CB3D">
            <w:pPr>
              <w:pStyle w:val="77"/>
              <w:widowControl/>
              <w:numPr>
                <w:ilvl w:val="0"/>
                <w:numId w:val="34"/>
              </w:numPr>
              <w:spacing w:line="360" w:lineRule="auto"/>
              <w:ind w:firstLineChars="0"/>
              <w:rPr>
                <w:rFonts w:ascii="宋体" w:hAnsi="宋体"/>
                <w:color w:val="auto"/>
                <w:highlight w:val="none"/>
                <w:lang w:val="zh-TW" w:eastAsia="zh-TW"/>
              </w:rPr>
            </w:pPr>
            <w:r>
              <w:rPr>
                <w:rFonts w:hint="eastAsia" w:ascii="宋体" w:hAnsi="宋体"/>
                <w:color w:val="auto"/>
                <w:highlight w:val="none"/>
              </w:rPr>
              <w:t>支持</w:t>
            </w:r>
            <w:r>
              <w:rPr>
                <w:rFonts w:hint="eastAsia" w:ascii="宋体" w:hAnsi="宋体"/>
                <w:color w:val="auto"/>
                <w:highlight w:val="none"/>
                <w:lang w:val="zh-TW" w:eastAsia="zh-TW"/>
              </w:rPr>
              <w:t>对防控措施评估表进行医院个性化的配置与设定；</w:t>
            </w:r>
          </w:p>
          <w:p w14:paraId="76719B94">
            <w:pPr>
              <w:pStyle w:val="77"/>
              <w:widowControl/>
              <w:numPr>
                <w:ilvl w:val="0"/>
                <w:numId w:val="34"/>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支持评估项的不限定项目数的新增；</w:t>
            </w:r>
          </w:p>
          <w:p w14:paraId="7F6A745A">
            <w:pPr>
              <w:pStyle w:val="77"/>
              <w:widowControl/>
              <w:numPr>
                <w:ilvl w:val="0"/>
                <w:numId w:val="34"/>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支持对评估项的分值设定；</w:t>
            </w:r>
          </w:p>
          <w:p w14:paraId="31FE8DB8">
            <w:pPr>
              <w:pStyle w:val="77"/>
              <w:widowControl/>
              <w:numPr>
                <w:ilvl w:val="0"/>
                <w:numId w:val="34"/>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支持对防控措施评估表的开启、暂停的设置；</w:t>
            </w:r>
          </w:p>
          <w:p w14:paraId="0D8F8A6A">
            <w:pPr>
              <w:pStyle w:val="77"/>
              <w:widowControl/>
              <w:numPr>
                <w:ilvl w:val="0"/>
                <w:numId w:val="34"/>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支持临床医生与护士对多重耐药菌患者的防控措施评估表的填报，评估结果直接同步至感控管理端。</w:t>
            </w:r>
          </w:p>
        </w:tc>
      </w:tr>
      <w:tr w14:paraId="6B9B882C">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right w:val="single" w:color="auto" w:sz="8" w:space="0"/>
            </w:tcBorders>
          </w:tcPr>
          <w:p w14:paraId="45624613">
            <w:pPr>
              <w:widowControl/>
              <w:jc w:val="left"/>
              <w:rPr>
                <w:rFonts w:ascii="宋体" w:hAnsi="宋体"/>
                <w:color w:val="auto"/>
                <w:highlight w:val="none"/>
              </w:rPr>
            </w:pPr>
          </w:p>
        </w:tc>
        <w:tc>
          <w:tcPr>
            <w:tcW w:w="1277" w:type="dxa"/>
            <w:tcBorders>
              <w:top w:val="single" w:color="auto" w:sz="4" w:space="0"/>
              <w:left w:val="single" w:color="auto" w:sz="8" w:space="0"/>
              <w:bottom w:val="single" w:color="000000" w:sz="8" w:space="0"/>
              <w:right w:val="single" w:color="auto" w:sz="8" w:space="0"/>
            </w:tcBorders>
            <w:vAlign w:val="center"/>
          </w:tcPr>
          <w:p w14:paraId="66272636">
            <w:pPr>
              <w:numPr>
                <w:ilvl w:val="1"/>
                <w:numId w:val="11"/>
              </w:numPr>
              <w:ind w:left="0" w:firstLine="0"/>
              <w:rPr>
                <w:rFonts w:ascii="宋体" w:hAnsi="宋体"/>
                <w:color w:val="auto"/>
                <w:szCs w:val="21"/>
                <w:highlight w:val="none"/>
              </w:rPr>
            </w:pPr>
            <w:r>
              <w:rPr>
                <w:rFonts w:ascii="宋体" w:hAnsi="宋体"/>
                <w:color w:val="auto"/>
                <w:szCs w:val="21"/>
                <w:highlight w:val="none"/>
              </w:rPr>
              <w:t>ICU</w:t>
            </w:r>
            <w:r>
              <w:rPr>
                <w:rFonts w:hint="eastAsia" w:ascii="宋体" w:hAnsi="宋体"/>
                <w:color w:val="auto"/>
                <w:szCs w:val="21"/>
                <w:highlight w:val="none"/>
              </w:rPr>
              <w:t>监测</w:t>
            </w:r>
          </w:p>
        </w:tc>
        <w:tc>
          <w:tcPr>
            <w:tcW w:w="11907" w:type="dxa"/>
            <w:tcBorders>
              <w:top w:val="nil"/>
              <w:left w:val="nil"/>
              <w:bottom w:val="single" w:color="auto" w:sz="8" w:space="0"/>
              <w:right w:val="single" w:color="auto" w:sz="8" w:space="0"/>
            </w:tcBorders>
          </w:tcPr>
          <w:p w14:paraId="06F1C142">
            <w:pPr>
              <w:pStyle w:val="77"/>
              <w:widowControl/>
              <w:numPr>
                <w:ilvl w:val="0"/>
                <w:numId w:val="35"/>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支持对全院ICU、PICU、CCU、MICU等ICU病房监测；</w:t>
            </w:r>
          </w:p>
          <w:p w14:paraId="038FBA13">
            <w:pPr>
              <w:pStyle w:val="77"/>
              <w:widowControl/>
              <w:numPr>
                <w:ilvl w:val="0"/>
                <w:numId w:val="35"/>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支持自动生成新住进患者数、住在患者数、留置导尿管使用患者数、中心静脉插管使用患者数、呼吸机使用患者数；</w:t>
            </w:r>
          </w:p>
          <w:p w14:paraId="3BE22E1D">
            <w:pPr>
              <w:pStyle w:val="77"/>
              <w:widowControl/>
              <w:numPr>
                <w:ilvl w:val="0"/>
                <w:numId w:val="35"/>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支持对监测月报中的患者数列表穿透，可查看插管使用开始时间、结束时间、使用天数、插管评估概况；</w:t>
            </w:r>
          </w:p>
          <w:p w14:paraId="6F0FE5C0">
            <w:pPr>
              <w:pStyle w:val="77"/>
              <w:widowControl/>
              <w:numPr>
                <w:ilvl w:val="0"/>
                <w:numId w:val="35"/>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支持对高危新生儿病房监测；</w:t>
            </w:r>
          </w:p>
          <w:p w14:paraId="4FEDE113">
            <w:pPr>
              <w:pStyle w:val="77"/>
              <w:widowControl/>
              <w:numPr>
                <w:ilvl w:val="0"/>
                <w:numId w:val="35"/>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能够自动生成监测月报按（≤1000g、（1001-1500）g、（1501-2500）g、≥2500g）进行分组的新生儿监测月报,同时也分组（≤751g、（751-1000）g、（1001-1500）g、（1501-2500）g、≥2500g）；分组的新住进患者数、住在患者数、脐/中心静脉插管使用患者数、呼吸机使用患者数；</w:t>
            </w:r>
          </w:p>
          <w:p w14:paraId="73E06626">
            <w:pPr>
              <w:pStyle w:val="77"/>
              <w:widowControl/>
              <w:numPr>
                <w:ilvl w:val="0"/>
                <w:numId w:val="35"/>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支持对未填写体重的新生儿提供维护窗口；</w:t>
            </w:r>
          </w:p>
          <w:p w14:paraId="02BBAE41">
            <w:pPr>
              <w:pStyle w:val="77"/>
              <w:widowControl/>
              <w:numPr>
                <w:ilvl w:val="0"/>
                <w:numId w:val="35"/>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支持对监测月报中的患儿数列表穿透，可查看插管使用开始时间、结束时间、使用天数、插管评估概况；</w:t>
            </w:r>
          </w:p>
          <w:p w14:paraId="75189D32">
            <w:pPr>
              <w:pStyle w:val="77"/>
              <w:widowControl/>
              <w:numPr>
                <w:ilvl w:val="0"/>
                <w:numId w:val="35"/>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支持临床病情等级评分功能，医生根据患者病情，对患者病情进行评分操作，一周内选定任意一日进行病情等级评定；</w:t>
            </w:r>
          </w:p>
          <w:p w14:paraId="4C53801A">
            <w:pPr>
              <w:pStyle w:val="77"/>
              <w:widowControl/>
              <w:numPr>
                <w:ilvl w:val="0"/>
                <w:numId w:val="35"/>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支持临床病情等级未评分人进行归纳，方便查询及评分；</w:t>
            </w:r>
          </w:p>
          <w:p w14:paraId="3A663672">
            <w:pPr>
              <w:pStyle w:val="77"/>
              <w:widowControl/>
              <w:numPr>
                <w:ilvl w:val="0"/>
                <w:numId w:val="35"/>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支持对普通病房的ICU床位进行ICU级别监测。</w:t>
            </w:r>
          </w:p>
          <w:p w14:paraId="7E437473">
            <w:pPr>
              <w:pStyle w:val="77"/>
              <w:widowControl/>
              <w:numPr>
                <w:ilvl w:val="0"/>
                <w:numId w:val="35"/>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CN" w:eastAsia="zh-TW"/>
              </w:rPr>
              <w:t>支持按照住院患者人数的时间段查询，</w:t>
            </w:r>
            <w:r>
              <w:rPr>
                <w:rFonts w:hint="eastAsia" w:ascii="宋体" w:hAnsi="宋体"/>
                <w:color w:val="auto"/>
                <w:highlight w:val="none"/>
                <w:lang w:val="zh-TW" w:eastAsia="zh-TW"/>
              </w:rPr>
              <w:t>科室感染率（%）、科室感染例次率（%）、日感染率（‰）调整感染率（%）、调整日感染率（‰）、中心静脉插管使用率（%）、呼吸机使用率（%）、总器械使用率（%）；</w:t>
            </w:r>
          </w:p>
          <w:p w14:paraId="7CD75317">
            <w:pPr>
              <w:pStyle w:val="77"/>
              <w:widowControl/>
              <w:numPr>
                <w:ilvl w:val="0"/>
                <w:numId w:val="35"/>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统计高危新生儿，按照体重进行分组的感染率（%）、感染例次率（%）、患儿日感染率（‰）、调整日感染率（‰）、脐/中心静脉插管使用率（%）、呼吸机使用率（%）、总器械使用率（%）、脐/中心静脉插管血流感染发病率（‰）、呼吸机相关肺炎发病率（‰）。</w:t>
            </w:r>
          </w:p>
        </w:tc>
      </w:tr>
      <w:tr w14:paraId="5CA0A7AB">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right w:val="single" w:color="auto" w:sz="8" w:space="0"/>
            </w:tcBorders>
          </w:tcPr>
          <w:p w14:paraId="48C3F2B3">
            <w:pPr>
              <w:widowControl/>
              <w:jc w:val="left"/>
              <w:rPr>
                <w:color w:val="auto"/>
                <w:highlight w:val="none"/>
                <w:lang w:val="zh-TW" w:eastAsia="zh-TW"/>
              </w:rPr>
            </w:pPr>
          </w:p>
        </w:tc>
        <w:tc>
          <w:tcPr>
            <w:tcW w:w="1277" w:type="dxa"/>
            <w:tcBorders>
              <w:top w:val="single" w:color="auto" w:sz="4" w:space="0"/>
              <w:left w:val="single" w:color="auto" w:sz="8" w:space="0"/>
              <w:bottom w:val="single" w:color="000000" w:sz="8" w:space="0"/>
              <w:right w:val="single" w:color="auto" w:sz="8" w:space="0"/>
            </w:tcBorders>
            <w:vAlign w:val="center"/>
          </w:tcPr>
          <w:p w14:paraId="20429A77">
            <w:pPr>
              <w:numPr>
                <w:ilvl w:val="1"/>
                <w:numId w:val="11"/>
              </w:numPr>
              <w:ind w:left="0" w:firstLine="0"/>
              <w:rPr>
                <w:rFonts w:ascii="宋体" w:hAnsi="宋体"/>
                <w:color w:val="auto"/>
                <w:szCs w:val="21"/>
                <w:highlight w:val="none"/>
              </w:rPr>
            </w:pPr>
            <w:r>
              <w:rPr>
                <w:rFonts w:hint="eastAsia" w:ascii="宋体" w:hAnsi="宋体"/>
                <w:color w:val="auto"/>
                <w:szCs w:val="21"/>
                <w:highlight w:val="none"/>
              </w:rPr>
              <w:t>抗菌药物监测</w:t>
            </w:r>
          </w:p>
        </w:tc>
        <w:tc>
          <w:tcPr>
            <w:tcW w:w="11907" w:type="dxa"/>
            <w:tcBorders>
              <w:top w:val="nil"/>
              <w:left w:val="nil"/>
              <w:bottom w:val="single" w:color="auto" w:sz="8" w:space="0"/>
              <w:right w:val="single" w:color="auto" w:sz="8" w:space="0"/>
            </w:tcBorders>
          </w:tcPr>
          <w:p w14:paraId="362C8E1D">
            <w:pPr>
              <w:pStyle w:val="77"/>
              <w:widowControl/>
              <w:numPr>
                <w:ilvl w:val="0"/>
                <w:numId w:val="36"/>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可按多种条件进行查询统计，包括：出院患者抗菌药物使用率、住院患者抗菌药物使用率、抗菌药物预防使用构成比、抗菌药物治疗使用构成比、出院患者人均使用抗菌药物品种数、出院患者人均使用抗菌药物天数、出院患者使用抗菌药物病原学送检率、出院患者治疗性使用抗菌药物病原学送检率、住院患者抗菌药物治疗前病原学送检率、住院患者限制使用级抗菌药物治疗前病原学送检率、住院患者特殊使用级抗菌药物治疗前病原学送检率、住院患者限制使用级抗菌药物治疗前血培养送检率、住院患者特殊使用级抗菌药物治疗前血培养送检率。</w:t>
            </w:r>
          </w:p>
          <w:p w14:paraId="6654C1EE">
            <w:pPr>
              <w:rPr>
                <w:color w:val="auto"/>
                <w:highlight w:val="none"/>
                <w:lang w:val="zh-TW" w:eastAsia="zh-TW"/>
              </w:rPr>
            </w:pPr>
          </w:p>
        </w:tc>
      </w:tr>
      <w:tr w14:paraId="7F81E5B4">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right w:val="single" w:color="auto" w:sz="8" w:space="0"/>
            </w:tcBorders>
          </w:tcPr>
          <w:p w14:paraId="1A4D2DA8">
            <w:pPr>
              <w:widowControl/>
              <w:spacing w:line="276" w:lineRule="auto"/>
              <w:jc w:val="center"/>
              <w:rPr>
                <w:color w:val="auto"/>
                <w:highlight w:val="none"/>
                <w:lang w:val="zh-TW"/>
              </w:rPr>
            </w:pPr>
          </w:p>
        </w:tc>
        <w:tc>
          <w:tcPr>
            <w:tcW w:w="1277" w:type="dxa"/>
            <w:tcBorders>
              <w:top w:val="single" w:color="auto" w:sz="4" w:space="0"/>
              <w:left w:val="single" w:color="auto" w:sz="8" w:space="0"/>
              <w:bottom w:val="single" w:color="000000" w:sz="8" w:space="0"/>
              <w:right w:val="single" w:color="auto" w:sz="8" w:space="0"/>
            </w:tcBorders>
            <w:vAlign w:val="center"/>
          </w:tcPr>
          <w:p w14:paraId="1DDD340A">
            <w:pPr>
              <w:numPr>
                <w:ilvl w:val="1"/>
                <w:numId w:val="11"/>
              </w:numPr>
              <w:ind w:left="0" w:firstLine="0"/>
              <w:rPr>
                <w:rFonts w:ascii="宋体" w:hAnsi="宋体"/>
                <w:color w:val="auto"/>
                <w:szCs w:val="21"/>
                <w:highlight w:val="none"/>
              </w:rPr>
            </w:pPr>
            <w:r>
              <w:rPr>
                <w:rFonts w:hint="eastAsia" w:ascii="宋体" w:hAnsi="宋体"/>
                <w:color w:val="auto"/>
                <w:szCs w:val="21"/>
                <w:highlight w:val="none"/>
              </w:rPr>
              <w:t>手术感染监测</w:t>
            </w:r>
          </w:p>
        </w:tc>
        <w:tc>
          <w:tcPr>
            <w:tcW w:w="11907" w:type="dxa"/>
            <w:tcBorders>
              <w:top w:val="nil"/>
              <w:left w:val="nil"/>
              <w:bottom w:val="single" w:color="auto" w:sz="8" w:space="0"/>
              <w:right w:val="single" w:color="auto" w:sz="8" w:space="0"/>
            </w:tcBorders>
          </w:tcPr>
          <w:p w14:paraId="4A222B57">
            <w:pPr>
              <w:pStyle w:val="77"/>
              <w:widowControl/>
              <w:numPr>
                <w:ilvl w:val="0"/>
                <w:numId w:val="37"/>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支持与医院HIS 手术记录单、手术麻醉系统自动匹配手术监测相关数据；</w:t>
            </w:r>
          </w:p>
          <w:p w14:paraId="1BE57BEE">
            <w:pPr>
              <w:pStyle w:val="77"/>
              <w:widowControl/>
              <w:numPr>
                <w:ilvl w:val="0"/>
                <w:numId w:val="37"/>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支持优先进行重点手术监测，重点监测手术可根据医院开展情况进行手术目录调整；</w:t>
            </w:r>
          </w:p>
          <w:p w14:paraId="4DD00C56">
            <w:pPr>
              <w:pStyle w:val="77"/>
              <w:widowControl/>
              <w:numPr>
                <w:ilvl w:val="0"/>
                <w:numId w:val="37"/>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支持手术与已上报的手术切口感染诊断自动关联；</w:t>
            </w:r>
          </w:p>
          <w:p w14:paraId="417625E5">
            <w:pPr>
              <w:pStyle w:val="77"/>
              <w:widowControl/>
              <w:numPr>
                <w:ilvl w:val="0"/>
                <w:numId w:val="37"/>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支持手术信息登记表信息修改补充，标红且优先显示影响统计分析的重要信息；</w:t>
            </w:r>
          </w:p>
          <w:p w14:paraId="6C98962F">
            <w:pPr>
              <w:pStyle w:val="77"/>
              <w:widowControl/>
              <w:numPr>
                <w:ilvl w:val="0"/>
                <w:numId w:val="37"/>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支持手术信息登记表归档功能，可进行归档和撤销归档操作；</w:t>
            </w:r>
          </w:p>
          <w:p w14:paraId="34C67AAB">
            <w:pPr>
              <w:pStyle w:val="77"/>
              <w:widowControl/>
              <w:numPr>
                <w:ilvl w:val="0"/>
                <w:numId w:val="37"/>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支持对手术用药自动匹配设定规则，选定手术后，直接一键自动匹配；</w:t>
            </w:r>
          </w:p>
          <w:p w14:paraId="3D5CB3AF">
            <w:pPr>
              <w:pStyle w:val="77"/>
              <w:widowControl/>
              <w:numPr>
                <w:ilvl w:val="0"/>
                <w:numId w:val="37"/>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支持外科手术监测多条件查询，包括：手术日期、患者姓名、申请科室、重点手术、手术操作类别、手术部位、切口等级、手术名称、手术医生、手术间、手术时长；</w:t>
            </w:r>
          </w:p>
          <w:p w14:paraId="286617F1">
            <w:pPr>
              <w:pStyle w:val="77"/>
              <w:widowControl/>
              <w:numPr>
                <w:ilvl w:val="0"/>
                <w:numId w:val="37"/>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能够根据手术搜索条件进行多条件搜索，并查询的结果导出为xls。</w:t>
            </w:r>
          </w:p>
          <w:p w14:paraId="6FB14A72">
            <w:pPr>
              <w:pStyle w:val="77"/>
              <w:widowControl/>
              <w:numPr>
                <w:ilvl w:val="0"/>
                <w:numId w:val="37"/>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可按多种条件进行查询月度、季度、年度、自定义时间、其他条件（住院患者、切口等级、愈合等级、麻醉方式、手术间、感染名称、重点手术、手术操作分类、手术部位分类）统计手术相关指标，包括：与手术相关医院感染发生率、手术部位感染发生率、手术患者肺部感染发生率、择期手术术后相关感染发生率、择期手术术后相关感染发生率、择期手术患者肺部感染发生率、急诊手术相关感染发生率、急诊手术患者肺部感染发生率、NNIS分级手术部位感染率、外科医生感染率（科室）、外科医生感染率（医生）、术前预防用药使用率、术中预防用药使用率、术前0.5-2小时预防用药使用率、术前0.5-1小时预防用药使用率、术后用药使用率、术后24小时内停药率、术后48小时内停药率</w:t>
            </w:r>
          </w:p>
        </w:tc>
      </w:tr>
      <w:tr w14:paraId="74BFD41F">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right w:val="single" w:color="auto" w:sz="8" w:space="0"/>
            </w:tcBorders>
          </w:tcPr>
          <w:p w14:paraId="355638FB">
            <w:pPr>
              <w:widowControl/>
              <w:spacing w:line="276" w:lineRule="auto"/>
              <w:jc w:val="center"/>
              <w:rPr>
                <w:color w:val="auto"/>
                <w:highlight w:val="none"/>
                <w:lang w:val="zh-TW" w:eastAsia="zh-TW"/>
              </w:rPr>
            </w:pPr>
          </w:p>
        </w:tc>
        <w:tc>
          <w:tcPr>
            <w:tcW w:w="1277" w:type="dxa"/>
            <w:tcBorders>
              <w:top w:val="single" w:color="auto" w:sz="4" w:space="0"/>
              <w:left w:val="single" w:color="auto" w:sz="8" w:space="0"/>
              <w:bottom w:val="single" w:color="000000" w:sz="8" w:space="0"/>
              <w:right w:val="single" w:color="auto" w:sz="8" w:space="0"/>
            </w:tcBorders>
            <w:vAlign w:val="center"/>
          </w:tcPr>
          <w:p w14:paraId="47D4C223">
            <w:pPr>
              <w:numPr>
                <w:ilvl w:val="1"/>
                <w:numId w:val="11"/>
              </w:numPr>
              <w:ind w:left="0" w:firstLine="0"/>
              <w:rPr>
                <w:rFonts w:ascii="宋体" w:hAnsi="宋体"/>
                <w:color w:val="auto"/>
                <w:szCs w:val="21"/>
                <w:highlight w:val="none"/>
              </w:rPr>
            </w:pPr>
            <w:r>
              <w:rPr>
                <w:rFonts w:hint="eastAsia" w:ascii="宋体" w:hAnsi="宋体"/>
                <w:color w:val="auto"/>
                <w:szCs w:val="21"/>
                <w:highlight w:val="none"/>
              </w:rPr>
              <w:t>全院三管监测</w:t>
            </w:r>
          </w:p>
        </w:tc>
        <w:tc>
          <w:tcPr>
            <w:tcW w:w="11907" w:type="dxa"/>
            <w:tcBorders>
              <w:top w:val="nil"/>
              <w:left w:val="nil"/>
              <w:bottom w:val="single" w:color="auto" w:sz="8" w:space="0"/>
              <w:right w:val="single" w:color="auto" w:sz="8" w:space="0"/>
            </w:tcBorders>
          </w:tcPr>
          <w:p w14:paraId="48288118">
            <w:pPr>
              <w:pStyle w:val="77"/>
              <w:widowControl/>
              <w:numPr>
                <w:ilvl w:val="0"/>
                <w:numId w:val="38"/>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支持进行全院各科室的侵入性操作监测日志；</w:t>
            </w:r>
          </w:p>
          <w:p w14:paraId="54ED6164">
            <w:pPr>
              <w:pStyle w:val="77"/>
              <w:widowControl/>
              <w:numPr>
                <w:ilvl w:val="0"/>
                <w:numId w:val="38"/>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支持进行全院各科室的侵入性操作监测月报；</w:t>
            </w:r>
          </w:p>
          <w:p w14:paraId="31BE13D8">
            <w:pPr>
              <w:pStyle w:val="77"/>
              <w:widowControl/>
              <w:numPr>
                <w:ilvl w:val="0"/>
                <w:numId w:val="38"/>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支持自动生成新住进患者数、住在患者数、发热人数、留置导尿管使用患者数、中心静脉插管使用患者数、呼吸机使用患者数；</w:t>
            </w:r>
          </w:p>
          <w:p w14:paraId="640C0921">
            <w:pPr>
              <w:pStyle w:val="77"/>
              <w:widowControl/>
              <w:numPr>
                <w:ilvl w:val="0"/>
                <w:numId w:val="38"/>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支持穿透监测日志中的患者数列表，可查看插管使用开始时间、结束时间、使用天数；</w:t>
            </w:r>
          </w:p>
          <w:p w14:paraId="3CC711A7">
            <w:pPr>
              <w:pStyle w:val="77"/>
              <w:widowControl/>
              <w:numPr>
                <w:ilvl w:val="0"/>
                <w:numId w:val="38"/>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提供三大插管匹配医嘱的维护界面；</w:t>
            </w:r>
          </w:p>
          <w:p w14:paraId="3BFD0544">
            <w:pPr>
              <w:pStyle w:val="77"/>
              <w:widowControl/>
              <w:numPr>
                <w:ilvl w:val="0"/>
                <w:numId w:val="38"/>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支持查看患者三管督导措施评估情况明细内容；</w:t>
            </w:r>
          </w:p>
        </w:tc>
      </w:tr>
      <w:tr w14:paraId="3BD243EB">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right w:val="single" w:color="auto" w:sz="8" w:space="0"/>
            </w:tcBorders>
          </w:tcPr>
          <w:p w14:paraId="7E39A1F8">
            <w:pPr>
              <w:jc w:val="center"/>
              <w:rPr>
                <w:rFonts w:ascii="MS Mincho" w:hAnsi="MS Mincho" w:eastAsia="MS Mincho" w:cs="MS Mincho"/>
                <w:color w:val="auto"/>
                <w:highlight w:val="none"/>
              </w:rPr>
            </w:pPr>
          </w:p>
        </w:tc>
        <w:tc>
          <w:tcPr>
            <w:tcW w:w="1277" w:type="dxa"/>
            <w:tcBorders>
              <w:top w:val="single" w:color="auto" w:sz="4" w:space="0"/>
              <w:left w:val="single" w:color="auto" w:sz="8" w:space="0"/>
              <w:bottom w:val="single" w:color="000000" w:sz="8" w:space="0"/>
              <w:right w:val="single" w:color="auto" w:sz="8" w:space="0"/>
            </w:tcBorders>
            <w:vAlign w:val="center"/>
          </w:tcPr>
          <w:p w14:paraId="040798EA">
            <w:pPr>
              <w:numPr>
                <w:ilvl w:val="1"/>
                <w:numId w:val="11"/>
              </w:numPr>
              <w:ind w:left="0" w:firstLine="0"/>
              <w:rPr>
                <w:rFonts w:ascii="宋体" w:hAnsi="宋体"/>
                <w:color w:val="auto"/>
                <w:szCs w:val="21"/>
                <w:highlight w:val="none"/>
              </w:rPr>
            </w:pPr>
            <w:r>
              <w:rPr>
                <w:rFonts w:ascii="宋体" w:hAnsi="宋体"/>
                <w:color w:val="auto"/>
                <w:szCs w:val="21"/>
                <w:highlight w:val="none"/>
              </w:rPr>
              <w:t>插管</w:t>
            </w:r>
            <w:r>
              <w:rPr>
                <w:rFonts w:hint="eastAsia" w:ascii="宋体" w:hAnsi="宋体"/>
                <w:color w:val="auto"/>
                <w:szCs w:val="21"/>
                <w:highlight w:val="none"/>
              </w:rPr>
              <w:t>风险评</w:t>
            </w:r>
            <w:r>
              <w:rPr>
                <w:rFonts w:ascii="宋体" w:hAnsi="宋体"/>
                <w:color w:val="auto"/>
                <w:szCs w:val="21"/>
                <w:highlight w:val="none"/>
              </w:rPr>
              <w:t>估</w:t>
            </w:r>
          </w:p>
        </w:tc>
        <w:tc>
          <w:tcPr>
            <w:tcW w:w="11907" w:type="dxa"/>
            <w:tcBorders>
              <w:top w:val="nil"/>
              <w:left w:val="nil"/>
              <w:bottom w:val="single" w:color="auto" w:sz="8" w:space="0"/>
              <w:right w:val="single" w:color="auto" w:sz="8" w:space="0"/>
            </w:tcBorders>
          </w:tcPr>
          <w:p w14:paraId="3281F930">
            <w:pPr>
              <w:pStyle w:val="77"/>
              <w:widowControl/>
              <w:numPr>
                <w:ilvl w:val="0"/>
                <w:numId w:val="39"/>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支持感控管理端以及临床科室打开系统便可看到插管未评估患者人数，点击进行未评估的具体科室与人员清单；</w:t>
            </w:r>
          </w:p>
          <w:p w14:paraId="3F417869">
            <w:pPr>
              <w:pStyle w:val="77"/>
              <w:widowControl/>
              <w:numPr>
                <w:ilvl w:val="0"/>
                <w:numId w:val="39"/>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支持点击插管患者后，直观展示患者的插管自然日历表，分析的结果来自患者三管的医嘱执行情况；</w:t>
            </w:r>
          </w:p>
          <w:p w14:paraId="4DB5230B">
            <w:pPr>
              <w:pStyle w:val="77"/>
              <w:widowControl/>
              <w:numPr>
                <w:ilvl w:val="0"/>
                <w:numId w:val="39"/>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插管日历表以红底白字表示患者插管但未评估，以白底</w:t>
            </w:r>
            <w:r>
              <w:rPr>
                <w:rFonts w:hint="eastAsia" w:ascii="宋体" w:hAnsi="宋体"/>
                <w:color w:val="auto"/>
                <w:highlight w:val="none"/>
              </w:rPr>
              <w:t>蓝</w:t>
            </w:r>
            <w:r>
              <w:rPr>
                <w:rFonts w:hint="eastAsia" w:ascii="宋体" w:hAnsi="宋体"/>
                <w:color w:val="auto"/>
                <w:highlight w:val="none"/>
                <w:lang w:val="zh-TW" w:eastAsia="zh-TW"/>
              </w:rPr>
              <w:t>字表示患者插管已评估；</w:t>
            </w:r>
          </w:p>
          <w:p w14:paraId="390E411A">
            <w:pPr>
              <w:pStyle w:val="77"/>
              <w:widowControl/>
              <w:numPr>
                <w:ilvl w:val="0"/>
                <w:numId w:val="39"/>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插管指征评估操作可由临床人员进行每日评估，系统不限定具体评估的人员角色；</w:t>
            </w:r>
          </w:p>
          <w:p w14:paraId="72E44FB2">
            <w:pPr>
              <w:pStyle w:val="77"/>
              <w:widowControl/>
              <w:numPr>
                <w:ilvl w:val="0"/>
                <w:numId w:val="39"/>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插管指征评估表可随医院具体开展评估内容自由灵活设定，设定后立即生效；</w:t>
            </w:r>
          </w:p>
        </w:tc>
      </w:tr>
      <w:tr w14:paraId="37F03F1C">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right w:val="single" w:color="auto" w:sz="8" w:space="0"/>
            </w:tcBorders>
          </w:tcPr>
          <w:p w14:paraId="0C8469B6">
            <w:pPr>
              <w:widowControl/>
              <w:spacing w:line="276" w:lineRule="auto"/>
              <w:jc w:val="center"/>
              <w:rPr>
                <w:color w:val="auto"/>
                <w:highlight w:val="none"/>
                <w:lang w:val="zh-TW" w:eastAsia="zh-TW"/>
              </w:rPr>
            </w:pPr>
          </w:p>
        </w:tc>
        <w:tc>
          <w:tcPr>
            <w:tcW w:w="1277" w:type="dxa"/>
            <w:tcBorders>
              <w:top w:val="single" w:color="auto" w:sz="4" w:space="0"/>
              <w:left w:val="single" w:color="auto" w:sz="8" w:space="0"/>
              <w:bottom w:val="single" w:color="000000" w:sz="8" w:space="0"/>
              <w:right w:val="single" w:color="auto" w:sz="8" w:space="0"/>
            </w:tcBorders>
            <w:vAlign w:val="center"/>
          </w:tcPr>
          <w:p w14:paraId="4ED82EB4">
            <w:pPr>
              <w:numPr>
                <w:ilvl w:val="1"/>
                <w:numId w:val="11"/>
              </w:numPr>
              <w:ind w:left="0" w:firstLine="0"/>
              <w:rPr>
                <w:rFonts w:ascii="宋体" w:hAnsi="宋体"/>
                <w:color w:val="auto"/>
                <w:szCs w:val="21"/>
                <w:highlight w:val="none"/>
              </w:rPr>
            </w:pPr>
            <w:r>
              <w:rPr>
                <w:rFonts w:hint="eastAsia" w:ascii="宋体" w:hAnsi="宋体"/>
                <w:color w:val="auto"/>
                <w:szCs w:val="21"/>
                <w:highlight w:val="none"/>
              </w:rPr>
              <w:t>消毒灭菌、环境卫生学监测</w:t>
            </w:r>
          </w:p>
        </w:tc>
        <w:tc>
          <w:tcPr>
            <w:tcW w:w="11907" w:type="dxa"/>
            <w:tcBorders>
              <w:top w:val="nil"/>
              <w:left w:val="nil"/>
              <w:bottom w:val="single" w:color="auto" w:sz="8" w:space="0"/>
              <w:right w:val="single" w:color="auto" w:sz="8" w:space="0"/>
            </w:tcBorders>
          </w:tcPr>
          <w:p w14:paraId="56848316">
            <w:pPr>
              <w:pStyle w:val="77"/>
              <w:widowControl/>
              <w:numPr>
                <w:ilvl w:val="0"/>
                <w:numId w:val="40"/>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支持对空气、物表、手卫生、医疗器械、消毒物品、灭菌物品、一次性物品、污水等项目监测单申请，并支持全院联网查看监测项目和监测结果；</w:t>
            </w:r>
          </w:p>
          <w:p w14:paraId="34A5B8B6">
            <w:pPr>
              <w:pStyle w:val="77"/>
              <w:widowControl/>
              <w:numPr>
                <w:ilvl w:val="0"/>
                <w:numId w:val="40"/>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支持临床科室监测项目自查与感控科抽查工作，可根据医院监测流程进行配置；</w:t>
            </w:r>
          </w:p>
          <w:p w14:paraId="54ABF02A">
            <w:pPr>
              <w:pStyle w:val="77"/>
              <w:widowControl/>
              <w:numPr>
                <w:ilvl w:val="0"/>
                <w:numId w:val="40"/>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监测单据直接查看送检科室、监测项目、监测类型、采样场所、采样标本、采样点数、采样方法、采样人、采样日期、检验日期、检验人、检验结果、是否需要复查；</w:t>
            </w:r>
          </w:p>
          <w:p w14:paraId="63295120">
            <w:pPr>
              <w:pStyle w:val="77"/>
              <w:widowControl/>
              <w:numPr>
                <w:ilvl w:val="0"/>
                <w:numId w:val="40"/>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支持对常用监测内容保存为常用模板，方便后续使用，常用模板支持科室级、全院级；</w:t>
            </w:r>
          </w:p>
          <w:p w14:paraId="431A189C">
            <w:pPr>
              <w:pStyle w:val="77"/>
              <w:widowControl/>
              <w:numPr>
                <w:ilvl w:val="0"/>
                <w:numId w:val="40"/>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支持监测结果报告单支持全院联网打印，以及在线查看监测结果报告；</w:t>
            </w:r>
          </w:p>
          <w:p w14:paraId="5B2EE64C">
            <w:pPr>
              <w:pStyle w:val="77"/>
              <w:widowControl/>
              <w:numPr>
                <w:ilvl w:val="0"/>
                <w:numId w:val="40"/>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具有独立的监测授权管理模块，灵活设定单个用户管辖多科室、监测项目授权等，与系统基础用户授权不冲突；</w:t>
            </w:r>
          </w:p>
          <w:p w14:paraId="3145D258">
            <w:pPr>
              <w:pStyle w:val="77"/>
              <w:widowControl/>
              <w:numPr>
                <w:ilvl w:val="0"/>
                <w:numId w:val="40"/>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可根据医院情况，在标准上修改、增加环境卫生消毒灭菌监测项目、监测标准、采样场所、采样标本、采样方法、采样点等相关的字典数据；</w:t>
            </w:r>
          </w:p>
          <w:p w14:paraId="5EA3408D">
            <w:pPr>
              <w:pStyle w:val="77"/>
              <w:widowControl/>
              <w:numPr>
                <w:ilvl w:val="0"/>
                <w:numId w:val="40"/>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支持自动按照监测项目类别、监测科室统计分析监测数目数、合格数、合格率、不合格数、不合格率</w:t>
            </w:r>
          </w:p>
        </w:tc>
      </w:tr>
      <w:tr w14:paraId="1C90891F">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right w:val="single" w:color="auto" w:sz="8" w:space="0"/>
            </w:tcBorders>
          </w:tcPr>
          <w:p w14:paraId="16B1DF81">
            <w:pPr>
              <w:widowControl/>
              <w:spacing w:line="276" w:lineRule="auto"/>
              <w:jc w:val="center"/>
              <w:rPr>
                <w:color w:val="auto"/>
                <w:highlight w:val="none"/>
                <w:lang w:val="zh-TW" w:eastAsia="zh-TW"/>
              </w:rPr>
            </w:pPr>
          </w:p>
        </w:tc>
        <w:tc>
          <w:tcPr>
            <w:tcW w:w="1277" w:type="dxa"/>
            <w:tcBorders>
              <w:top w:val="single" w:color="auto" w:sz="4" w:space="0"/>
              <w:left w:val="single" w:color="auto" w:sz="8" w:space="0"/>
              <w:bottom w:val="single" w:color="000000" w:sz="8" w:space="0"/>
              <w:right w:val="single" w:color="auto" w:sz="8" w:space="0"/>
            </w:tcBorders>
            <w:vAlign w:val="center"/>
          </w:tcPr>
          <w:p w14:paraId="40D81288">
            <w:pPr>
              <w:numPr>
                <w:ilvl w:val="1"/>
                <w:numId w:val="11"/>
              </w:numPr>
              <w:ind w:left="0" w:firstLine="0"/>
              <w:rPr>
                <w:rFonts w:ascii="宋体" w:hAnsi="宋体"/>
                <w:color w:val="auto"/>
                <w:szCs w:val="21"/>
                <w:highlight w:val="none"/>
              </w:rPr>
            </w:pPr>
            <w:r>
              <w:rPr>
                <w:rFonts w:hint="eastAsia" w:ascii="宋体" w:hAnsi="宋体"/>
                <w:color w:val="auto"/>
                <w:szCs w:val="21"/>
                <w:highlight w:val="none"/>
              </w:rPr>
              <w:t>职业暴露</w:t>
            </w:r>
          </w:p>
        </w:tc>
        <w:tc>
          <w:tcPr>
            <w:tcW w:w="11907" w:type="dxa"/>
            <w:tcBorders>
              <w:top w:val="nil"/>
              <w:left w:val="nil"/>
              <w:bottom w:val="single" w:color="auto" w:sz="8" w:space="0"/>
              <w:right w:val="single" w:color="auto" w:sz="8" w:space="0"/>
            </w:tcBorders>
          </w:tcPr>
          <w:p w14:paraId="3C4BCDDD">
            <w:pPr>
              <w:pStyle w:val="77"/>
              <w:widowControl/>
              <w:numPr>
                <w:ilvl w:val="0"/>
                <w:numId w:val="41"/>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支持医务人员及护工进行职业暴露内容的信息登记填写；</w:t>
            </w:r>
          </w:p>
          <w:p w14:paraId="432564B0">
            <w:pPr>
              <w:pStyle w:val="77"/>
              <w:widowControl/>
              <w:numPr>
                <w:ilvl w:val="0"/>
                <w:numId w:val="41"/>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支持暴露填报前告知《职业暴露的标准处置流程》及《职业暴露的处置制度》，要求暴露填报人员在线掌握了解，告知内容可随医院定制性调整；</w:t>
            </w:r>
          </w:p>
          <w:p w14:paraId="0C947FC5">
            <w:pPr>
              <w:pStyle w:val="77"/>
              <w:widowControl/>
              <w:numPr>
                <w:ilvl w:val="0"/>
                <w:numId w:val="41"/>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支持填报职业暴露登记表后，在感控管理端上实时提示新暴露填报消息；</w:t>
            </w:r>
          </w:p>
          <w:p w14:paraId="37F65526">
            <w:pPr>
              <w:pStyle w:val="77"/>
              <w:widowControl/>
              <w:numPr>
                <w:ilvl w:val="0"/>
                <w:numId w:val="41"/>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支持职业暴露信息登记、评估预防、临床观察、临床诊断完整随访闭环，感染性疾病科医生可对评估预防操作，支持跨部门联网的评估跟踪；</w:t>
            </w:r>
          </w:p>
          <w:p w14:paraId="002D6F92">
            <w:pPr>
              <w:pStyle w:val="77"/>
              <w:widowControl/>
              <w:numPr>
                <w:ilvl w:val="0"/>
                <w:numId w:val="41"/>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支持对检验复查项目多时间点设定，在监测面板首页显示当前暴露需进行复查人员提醒，钻取后展示需复查人员姓名、发生科室、暴露人员所属科室、暴露时间、检查项目、复查时间、上次复查时间；</w:t>
            </w:r>
          </w:p>
          <w:p w14:paraId="6A1DE291">
            <w:pPr>
              <w:pStyle w:val="77"/>
              <w:widowControl/>
              <w:numPr>
                <w:ilvl w:val="0"/>
                <w:numId w:val="41"/>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支持按照科室统计职业暴露情况，并计算科室构成比；</w:t>
            </w:r>
          </w:p>
          <w:p w14:paraId="1789CD2A">
            <w:pPr>
              <w:pStyle w:val="77"/>
              <w:widowControl/>
              <w:numPr>
                <w:ilvl w:val="0"/>
                <w:numId w:val="41"/>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支持按工别、年龄、性别等内容计算科室构成比。</w:t>
            </w:r>
          </w:p>
        </w:tc>
      </w:tr>
      <w:tr w14:paraId="0ADF35AA">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right w:val="single" w:color="auto" w:sz="8" w:space="0"/>
            </w:tcBorders>
          </w:tcPr>
          <w:p w14:paraId="6FE91AF6">
            <w:pPr>
              <w:widowControl/>
              <w:spacing w:line="276" w:lineRule="auto"/>
              <w:jc w:val="center"/>
              <w:rPr>
                <w:color w:val="auto"/>
                <w:highlight w:val="none"/>
                <w:lang w:val="zh-TW" w:eastAsia="zh-TW"/>
              </w:rPr>
            </w:pPr>
          </w:p>
        </w:tc>
        <w:tc>
          <w:tcPr>
            <w:tcW w:w="1277" w:type="dxa"/>
            <w:tcBorders>
              <w:top w:val="single" w:color="auto" w:sz="4" w:space="0"/>
              <w:left w:val="single" w:color="auto" w:sz="8" w:space="0"/>
              <w:bottom w:val="single" w:color="000000" w:sz="8" w:space="0"/>
              <w:right w:val="single" w:color="auto" w:sz="8" w:space="0"/>
            </w:tcBorders>
            <w:vAlign w:val="center"/>
          </w:tcPr>
          <w:p w14:paraId="5CBC521E">
            <w:pPr>
              <w:numPr>
                <w:ilvl w:val="1"/>
                <w:numId w:val="11"/>
              </w:numPr>
              <w:ind w:left="0" w:firstLine="0"/>
              <w:rPr>
                <w:rFonts w:ascii="宋体" w:hAnsi="宋体"/>
                <w:color w:val="auto"/>
                <w:szCs w:val="21"/>
                <w:highlight w:val="none"/>
              </w:rPr>
            </w:pPr>
            <w:r>
              <w:rPr>
                <w:rFonts w:hint="eastAsia" w:ascii="宋体" w:hAnsi="宋体"/>
                <w:color w:val="auto"/>
                <w:szCs w:val="21"/>
                <w:highlight w:val="none"/>
              </w:rPr>
              <w:t>手卫生监测</w:t>
            </w:r>
          </w:p>
        </w:tc>
        <w:tc>
          <w:tcPr>
            <w:tcW w:w="11907" w:type="dxa"/>
            <w:tcBorders>
              <w:top w:val="nil"/>
              <w:left w:val="nil"/>
              <w:bottom w:val="single" w:color="auto" w:sz="8" w:space="0"/>
              <w:right w:val="single" w:color="auto" w:sz="8" w:space="0"/>
            </w:tcBorders>
          </w:tcPr>
          <w:p w14:paraId="3FA72164">
            <w:pPr>
              <w:pStyle w:val="77"/>
              <w:widowControl/>
              <w:numPr>
                <w:ilvl w:val="0"/>
                <w:numId w:val="42"/>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掌握全院各科室手卫生用品消耗量情况，如手消毒液、抗菌洗手液、干手纸，分析手卫生依从性的，协同促进医务人员手卫生执行的依从率；</w:t>
            </w:r>
          </w:p>
          <w:p w14:paraId="09B8C0AA">
            <w:pPr>
              <w:pStyle w:val="77"/>
              <w:widowControl/>
              <w:numPr>
                <w:ilvl w:val="0"/>
                <w:numId w:val="42"/>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支持临床感控兼职人员进行本科科室用品本月领取量和库存量的在线录入；</w:t>
            </w:r>
          </w:p>
          <w:p w14:paraId="0FC3EA3D">
            <w:pPr>
              <w:pStyle w:val="77"/>
              <w:widowControl/>
              <w:numPr>
                <w:ilvl w:val="0"/>
                <w:numId w:val="42"/>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支持在线完成手卫生依从性调查，包括被调查人员类型、时机、指征、手卫生行为、正确性；</w:t>
            </w:r>
          </w:p>
          <w:p w14:paraId="69FDEDA4">
            <w:pPr>
              <w:pStyle w:val="77"/>
              <w:widowControl/>
              <w:numPr>
                <w:ilvl w:val="0"/>
                <w:numId w:val="42"/>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支持调查完成后，对本次调查结果进行回顾性分析，如医护人员手卫生意识低等内容；</w:t>
            </w:r>
          </w:p>
          <w:p w14:paraId="4D92915B">
            <w:pPr>
              <w:pStyle w:val="77"/>
              <w:widowControl/>
              <w:numPr>
                <w:ilvl w:val="0"/>
                <w:numId w:val="42"/>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支持按科室、人员类型、指征、时机多类型进行统计分析。</w:t>
            </w:r>
          </w:p>
        </w:tc>
      </w:tr>
      <w:tr w14:paraId="17C5C640">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right w:val="single" w:color="auto" w:sz="8" w:space="0"/>
            </w:tcBorders>
          </w:tcPr>
          <w:p w14:paraId="301A79EC">
            <w:pPr>
              <w:widowControl/>
              <w:spacing w:line="276" w:lineRule="auto"/>
              <w:rPr>
                <w:color w:val="auto"/>
                <w:highlight w:val="none"/>
                <w:lang w:val="zh-TW" w:eastAsia="zh-TW"/>
              </w:rPr>
            </w:pPr>
          </w:p>
        </w:tc>
        <w:tc>
          <w:tcPr>
            <w:tcW w:w="1277" w:type="dxa"/>
            <w:tcBorders>
              <w:top w:val="single" w:color="auto" w:sz="4" w:space="0"/>
              <w:left w:val="single" w:color="auto" w:sz="8" w:space="0"/>
              <w:bottom w:val="single" w:color="000000" w:sz="8" w:space="0"/>
              <w:right w:val="single" w:color="auto" w:sz="8" w:space="0"/>
            </w:tcBorders>
            <w:vAlign w:val="center"/>
          </w:tcPr>
          <w:p w14:paraId="02C4314C">
            <w:pPr>
              <w:numPr>
                <w:ilvl w:val="1"/>
                <w:numId w:val="11"/>
              </w:numPr>
              <w:ind w:left="0" w:firstLine="0"/>
              <w:rPr>
                <w:rFonts w:ascii="宋体" w:hAnsi="宋体"/>
                <w:color w:val="auto"/>
                <w:szCs w:val="21"/>
                <w:highlight w:val="none"/>
              </w:rPr>
            </w:pPr>
            <w:r>
              <w:rPr>
                <w:rFonts w:hint="eastAsia" w:ascii="宋体" w:hAnsi="宋体"/>
                <w:color w:val="auto"/>
                <w:szCs w:val="21"/>
                <w:highlight w:val="none"/>
              </w:rPr>
              <w:t>血透监测</w:t>
            </w:r>
          </w:p>
        </w:tc>
        <w:tc>
          <w:tcPr>
            <w:tcW w:w="11907" w:type="dxa"/>
            <w:tcBorders>
              <w:top w:val="nil"/>
              <w:left w:val="nil"/>
              <w:bottom w:val="single" w:color="auto" w:sz="8" w:space="0"/>
              <w:right w:val="single" w:color="auto" w:sz="8" w:space="0"/>
            </w:tcBorders>
          </w:tcPr>
          <w:p w14:paraId="3BA3ECED">
            <w:pPr>
              <w:pStyle w:val="77"/>
              <w:widowControl/>
              <w:numPr>
                <w:ilvl w:val="0"/>
                <w:numId w:val="43"/>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血透患者感染监测信息登记及上报，信息包括：患者基本信息、血透频率（曾经在几所医院接受过血透、当前每周几次血透、感染时血透机号、透析日期、累计透析次数）、透析前检查项目及时间、透析中复查项目及时间、感染日期、感染部位、相关病原学检查、相关抗菌药物使用情况；</w:t>
            </w:r>
          </w:p>
          <w:p w14:paraId="1AC52269">
            <w:pPr>
              <w:pStyle w:val="77"/>
              <w:widowControl/>
              <w:numPr>
                <w:ilvl w:val="0"/>
                <w:numId w:val="43"/>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对血液透析室血透日志的登记，登记信息包括：新入血液透析人次数、已在血液透析人次数、透析路径内瘘人次数、长期置管人数、临时置管人数、相关导管相关血流感染性操作人次数、乙肝丙肝等病毒感染人次数、其他医院感染人次数。</w:t>
            </w:r>
          </w:p>
        </w:tc>
      </w:tr>
      <w:tr w14:paraId="33DA54FF">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right w:val="single" w:color="auto" w:sz="8" w:space="0"/>
            </w:tcBorders>
          </w:tcPr>
          <w:p w14:paraId="19535042">
            <w:pPr>
              <w:widowControl/>
              <w:spacing w:line="276" w:lineRule="auto"/>
              <w:rPr>
                <w:color w:val="auto"/>
                <w:highlight w:val="none"/>
                <w:lang w:val="zh-TW" w:eastAsia="zh-TW"/>
              </w:rPr>
            </w:pPr>
          </w:p>
        </w:tc>
        <w:tc>
          <w:tcPr>
            <w:tcW w:w="1277" w:type="dxa"/>
            <w:tcBorders>
              <w:top w:val="single" w:color="auto" w:sz="4" w:space="0"/>
              <w:left w:val="single" w:color="auto" w:sz="8" w:space="0"/>
              <w:bottom w:val="single" w:color="000000" w:sz="8" w:space="0"/>
              <w:right w:val="single" w:color="auto" w:sz="8" w:space="0"/>
            </w:tcBorders>
            <w:vAlign w:val="center"/>
          </w:tcPr>
          <w:p w14:paraId="2C3AA0A3">
            <w:pPr>
              <w:numPr>
                <w:ilvl w:val="1"/>
                <w:numId w:val="11"/>
              </w:numPr>
              <w:ind w:left="0" w:firstLine="0"/>
              <w:rPr>
                <w:rFonts w:ascii="宋体" w:hAnsi="宋体"/>
                <w:color w:val="auto"/>
                <w:szCs w:val="21"/>
                <w:highlight w:val="none"/>
              </w:rPr>
            </w:pPr>
            <w:r>
              <w:rPr>
                <w:rFonts w:hint="eastAsia" w:ascii="宋体" w:hAnsi="宋体"/>
                <w:color w:val="auto"/>
                <w:szCs w:val="21"/>
                <w:highlight w:val="none"/>
              </w:rPr>
              <w:t>网络直报</w:t>
            </w:r>
          </w:p>
        </w:tc>
        <w:tc>
          <w:tcPr>
            <w:tcW w:w="11907" w:type="dxa"/>
            <w:tcBorders>
              <w:top w:val="nil"/>
              <w:left w:val="nil"/>
              <w:bottom w:val="single" w:color="auto" w:sz="8" w:space="0"/>
              <w:right w:val="single" w:color="auto" w:sz="8" w:space="0"/>
            </w:tcBorders>
          </w:tcPr>
          <w:p w14:paraId="60314A94">
            <w:pPr>
              <w:pStyle w:val="77"/>
              <w:widowControl/>
              <w:numPr>
                <w:ilvl w:val="0"/>
                <w:numId w:val="44"/>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支持建立“医院→全国医院感染监控管理培训基地”上报体系；</w:t>
            </w:r>
          </w:p>
          <w:p w14:paraId="5E0706E6">
            <w:pPr>
              <w:pStyle w:val="77"/>
              <w:widowControl/>
              <w:numPr>
                <w:ilvl w:val="0"/>
                <w:numId w:val="44"/>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支持自动分析出已上报记录数、总未上报记录数；</w:t>
            </w:r>
          </w:p>
          <w:p w14:paraId="4EA09E6A">
            <w:pPr>
              <w:pStyle w:val="77"/>
              <w:widowControl/>
              <w:numPr>
                <w:ilvl w:val="0"/>
                <w:numId w:val="44"/>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支持数据单项上报，也支持全选项上报，能够进行断点续传功能，多线程上报技术，上传速度快，不影响其他业务模块的操作；</w:t>
            </w:r>
          </w:p>
          <w:p w14:paraId="02EA21D4">
            <w:pPr>
              <w:pStyle w:val="77"/>
              <w:widowControl/>
              <w:numPr>
                <w:ilvl w:val="0"/>
                <w:numId w:val="44"/>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数据上报数据包括：感染病例监测（感染数、出院记录数）、现患率调查（实查数、应监测记录数）、外科手术感染监测、职业暴露监测、ICU病人感染监测（感染数、监测日志记录数）、高危新生儿监测（感染数、日志记录数）、抗菌药物监测、环境卫生消毒药械监测、一次性用品监测、污水监测；</w:t>
            </w:r>
          </w:p>
          <w:p w14:paraId="6B2062E8">
            <w:pPr>
              <w:pStyle w:val="77"/>
              <w:widowControl/>
              <w:numPr>
                <w:ilvl w:val="0"/>
                <w:numId w:val="44"/>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支持数据上报结果的日志查看及保存；</w:t>
            </w:r>
          </w:p>
          <w:p w14:paraId="547F5485">
            <w:pPr>
              <w:rPr>
                <w:color w:val="auto"/>
                <w:highlight w:val="none"/>
                <w:lang w:val="zh-TW" w:eastAsia="zh-TW"/>
              </w:rPr>
            </w:pPr>
          </w:p>
        </w:tc>
      </w:tr>
      <w:tr w14:paraId="3153D8E6">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right w:val="single" w:color="auto" w:sz="8" w:space="0"/>
            </w:tcBorders>
          </w:tcPr>
          <w:p w14:paraId="59FB9CF1">
            <w:pPr>
              <w:jc w:val="center"/>
              <w:rPr>
                <w:color w:val="auto"/>
                <w:highlight w:val="none"/>
              </w:rPr>
            </w:pPr>
          </w:p>
        </w:tc>
        <w:tc>
          <w:tcPr>
            <w:tcW w:w="1277" w:type="dxa"/>
            <w:tcBorders>
              <w:top w:val="single" w:color="auto" w:sz="4" w:space="0"/>
              <w:left w:val="single" w:color="auto" w:sz="8" w:space="0"/>
              <w:bottom w:val="single" w:color="000000" w:sz="8" w:space="0"/>
              <w:right w:val="single" w:color="auto" w:sz="8" w:space="0"/>
            </w:tcBorders>
            <w:vAlign w:val="center"/>
          </w:tcPr>
          <w:p w14:paraId="24C0AF61">
            <w:pPr>
              <w:numPr>
                <w:ilvl w:val="1"/>
                <w:numId w:val="11"/>
              </w:numPr>
              <w:ind w:left="0" w:firstLine="0"/>
              <w:rPr>
                <w:rFonts w:ascii="宋体" w:hAnsi="宋体"/>
                <w:color w:val="auto"/>
                <w:szCs w:val="21"/>
                <w:highlight w:val="none"/>
              </w:rPr>
            </w:pPr>
            <w:r>
              <w:rPr>
                <w:rFonts w:hint="eastAsia" w:ascii="宋体" w:hAnsi="宋体"/>
                <w:color w:val="auto"/>
                <w:szCs w:val="21"/>
                <w:highlight w:val="none"/>
              </w:rPr>
              <w:t>国家的感控指标</w:t>
            </w:r>
          </w:p>
        </w:tc>
        <w:tc>
          <w:tcPr>
            <w:tcW w:w="11907" w:type="dxa"/>
            <w:tcBorders>
              <w:top w:val="nil"/>
              <w:left w:val="nil"/>
              <w:bottom w:val="single" w:color="auto" w:sz="8" w:space="0"/>
              <w:right w:val="single" w:color="auto" w:sz="8" w:space="0"/>
            </w:tcBorders>
          </w:tcPr>
          <w:p w14:paraId="0F14F050">
            <w:pPr>
              <w:pStyle w:val="77"/>
              <w:widowControl/>
              <w:numPr>
                <w:ilvl w:val="0"/>
                <w:numId w:val="45"/>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可按患者维住院患者人数进行时间段查询；医院感染发病（例次）率、医院感染现患（例次）率、医院感染病例漏报率、多重耐药菌感染发现率、多重耐药菌检出率、医务人员手卫生依从率、住院患者抗菌药物使用率、抗菌药物治疗前病原学送检率、Ⅰ类切口手术部位感染率、Ⅰ类切口手术抗菌药物预防使用率、血管内导管相关血流感染发病率、呼吸机相关肺炎发病率、导尿管相关泌尿系统感染发病率</w:t>
            </w:r>
          </w:p>
        </w:tc>
      </w:tr>
      <w:tr w14:paraId="47533598">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right w:val="single" w:color="auto" w:sz="8" w:space="0"/>
            </w:tcBorders>
          </w:tcPr>
          <w:p w14:paraId="78B4ACFE">
            <w:pPr>
              <w:jc w:val="center"/>
              <w:rPr>
                <w:color w:val="auto"/>
                <w:highlight w:val="none"/>
              </w:rPr>
            </w:pPr>
          </w:p>
        </w:tc>
        <w:tc>
          <w:tcPr>
            <w:tcW w:w="1277" w:type="dxa"/>
            <w:tcBorders>
              <w:top w:val="single" w:color="auto" w:sz="4" w:space="0"/>
              <w:left w:val="single" w:color="auto" w:sz="8" w:space="0"/>
              <w:bottom w:val="single" w:color="000000" w:sz="8" w:space="0"/>
              <w:right w:val="single" w:color="auto" w:sz="8" w:space="0"/>
            </w:tcBorders>
            <w:vAlign w:val="center"/>
          </w:tcPr>
          <w:p w14:paraId="465D8A61">
            <w:pPr>
              <w:numPr>
                <w:ilvl w:val="1"/>
                <w:numId w:val="11"/>
              </w:numPr>
              <w:ind w:left="0" w:firstLine="0"/>
              <w:rPr>
                <w:rFonts w:ascii="宋体" w:hAnsi="宋体"/>
                <w:color w:val="auto"/>
                <w:szCs w:val="21"/>
                <w:highlight w:val="none"/>
              </w:rPr>
            </w:pPr>
            <w:r>
              <w:rPr>
                <w:rFonts w:hint="eastAsia" w:ascii="宋体" w:hAnsi="宋体"/>
                <w:color w:val="auto"/>
                <w:szCs w:val="21"/>
                <w:highlight w:val="none"/>
              </w:rPr>
              <w:t>提升抗菌药物治疗前病原学送检率哨点医院专项行动指标统计分析</w:t>
            </w:r>
          </w:p>
        </w:tc>
        <w:tc>
          <w:tcPr>
            <w:tcW w:w="11907" w:type="dxa"/>
            <w:tcBorders>
              <w:top w:val="nil"/>
              <w:left w:val="nil"/>
              <w:bottom w:val="single" w:color="auto" w:sz="8" w:space="0"/>
              <w:right w:val="single" w:color="auto" w:sz="8" w:space="0"/>
            </w:tcBorders>
          </w:tcPr>
          <w:p w14:paraId="0D9279B1">
            <w:pPr>
              <w:pStyle w:val="77"/>
              <w:widowControl/>
              <w:numPr>
                <w:ilvl w:val="0"/>
                <w:numId w:val="46"/>
              </w:numPr>
              <w:spacing w:line="360" w:lineRule="auto"/>
              <w:ind w:firstLineChars="0"/>
              <w:rPr>
                <w:rFonts w:ascii="宋体" w:hAnsi="宋体"/>
                <w:color w:val="auto"/>
                <w:highlight w:val="none"/>
              </w:rPr>
            </w:pPr>
            <w:r>
              <w:rPr>
                <w:rFonts w:hint="eastAsia" w:ascii="宋体" w:hAnsi="宋体"/>
                <w:color w:val="auto"/>
                <w:highlight w:val="none"/>
              </w:rPr>
              <w:t>统计分析抗菌药物（分级）治疗前病原学送检率、联合使用重点药物前病原学送检率、医院感染诊断相关病原学送检率。可按照不同条件进行筛选，如是否包含降钙素原、PRC、白介素、G试验、显微镜检查、免疫学检测、分子快速判断、相关标志物等。并且通过红色标志数字显示警戒线。</w:t>
            </w:r>
          </w:p>
        </w:tc>
      </w:tr>
      <w:tr w14:paraId="129C1EBF">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right w:val="single" w:color="auto" w:sz="8" w:space="0"/>
            </w:tcBorders>
          </w:tcPr>
          <w:p w14:paraId="5E3BEE32">
            <w:pPr>
              <w:jc w:val="center"/>
              <w:rPr>
                <w:color w:val="auto"/>
                <w:highlight w:val="none"/>
              </w:rPr>
            </w:pPr>
          </w:p>
        </w:tc>
        <w:tc>
          <w:tcPr>
            <w:tcW w:w="1277" w:type="dxa"/>
            <w:tcBorders>
              <w:top w:val="single" w:color="auto" w:sz="4" w:space="0"/>
              <w:left w:val="single" w:color="auto" w:sz="8" w:space="0"/>
              <w:bottom w:val="single" w:color="000000" w:sz="8" w:space="0"/>
              <w:right w:val="single" w:color="auto" w:sz="8" w:space="0"/>
            </w:tcBorders>
            <w:vAlign w:val="center"/>
          </w:tcPr>
          <w:p w14:paraId="3C2DD62C">
            <w:pPr>
              <w:numPr>
                <w:ilvl w:val="1"/>
                <w:numId w:val="11"/>
              </w:numPr>
              <w:ind w:left="0" w:firstLine="0"/>
              <w:rPr>
                <w:rFonts w:ascii="宋体" w:hAnsi="宋体"/>
                <w:color w:val="auto"/>
                <w:szCs w:val="21"/>
                <w:highlight w:val="none"/>
              </w:rPr>
            </w:pPr>
            <w:r>
              <w:rPr>
                <w:rFonts w:hint="eastAsia" w:ascii="宋体" w:hAnsi="宋体"/>
                <w:color w:val="auto"/>
                <w:szCs w:val="21"/>
                <w:highlight w:val="none"/>
              </w:rPr>
              <w:t>感染统计</w:t>
            </w:r>
          </w:p>
        </w:tc>
        <w:tc>
          <w:tcPr>
            <w:tcW w:w="11907" w:type="dxa"/>
            <w:tcBorders>
              <w:top w:val="nil"/>
              <w:left w:val="nil"/>
              <w:bottom w:val="single" w:color="auto" w:sz="8" w:space="0"/>
              <w:right w:val="single" w:color="auto" w:sz="8" w:space="0"/>
            </w:tcBorders>
          </w:tcPr>
          <w:p w14:paraId="457E1FF0">
            <w:pPr>
              <w:pStyle w:val="77"/>
              <w:widowControl/>
              <w:numPr>
                <w:ilvl w:val="0"/>
                <w:numId w:val="47"/>
              </w:numPr>
              <w:spacing w:line="360" w:lineRule="auto"/>
              <w:ind w:firstLineChars="0"/>
              <w:rPr>
                <w:rFonts w:ascii="宋体" w:hAnsi="宋体"/>
                <w:color w:val="auto"/>
                <w:highlight w:val="none"/>
                <w:lang w:val="zh-TW" w:eastAsia="zh-TW"/>
              </w:rPr>
            </w:pPr>
            <w:r>
              <w:rPr>
                <w:rFonts w:hint="eastAsia" w:ascii="宋体" w:hAnsi="宋体"/>
                <w:color w:val="auto"/>
                <w:highlight w:val="none"/>
              </w:rPr>
              <w:t>可按照时间段、患者科室等维度统计分析：</w:t>
            </w:r>
            <w:r>
              <w:rPr>
                <w:rFonts w:hint="eastAsia" w:ascii="宋体" w:hAnsi="宋体"/>
                <w:color w:val="auto"/>
                <w:highlight w:val="none"/>
                <w:lang w:val="zh-TW" w:eastAsia="zh-TW"/>
              </w:rPr>
              <w:t>医院感染率、社区感染率、医院感染日感染率、医院感染部位分布、社区感染部位分布、医院感染病原体部位分布、社区感染病原体部位分布、易感因素、CLABSI（血管内导管相关血流感染发病率）、VAP（呼吸机相关肺炎发病率）、CAUTI（导尿管相关泌尿系统感染发病率）</w:t>
            </w:r>
          </w:p>
        </w:tc>
      </w:tr>
      <w:tr w14:paraId="7E07C72D">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right w:val="single" w:color="auto" w:sz="8" w:space="0"/>
            </w:tcBorders>
          </w:tcPr>
          <w:p w14:paraId="0A542FBA">
            <w:pPr>
              <w:jc w:val="center"/>
              <w:rPr>
                <w:color w:val="auto"/>
                <w:highlight w:val="none"/>
              </w:rPr>
            </w:pPr>
          </w:p>
        </w:tc>
        <w:tc>
          <w:tcPr>
            <w:tcW w:w="1277" w:type="dxa"/>
            <w:tcBorders>
              <w:top w:val="single" w:color="auto" w:sz="4" w:space="0"/>
              <w:left w:val="single" w:color="auto" w:sz="8" w:space="0"/>
              <w:bottom w:val="single" w:color="000000" w:sz="8" w:space="0"/>
              <w:right w:val="single" w:color="auto" w:sz="8" w:space="0"/>
            </w:tcBorders>
            <w:vAlign w:val="center"/>
          </w:tcPr>
          <w:p w14:paraId="5AB797BC">
            <w:pPr>
              <w:numPr>
                <w:ilvl w:val="1"/>
                <w:numId w:val="11"/>
              </w:numPr>
              <w:ind w:left="0" w:firstLine="0"/>
              <w:rPr>
                <w:rFonts w:ascii="宋体" w:hAnsi="宋体"/>
                <w:color w:val="auto"/>
                <w:szCs w:val="21"/>
                <w:highlight w:val="none"/>
              </w:rPr>
            </w:pPr>
            <w:r>
              <w:rPr>
                <w:rFonts w:hint="eastAsia" w:ascii="宋体" w:hAnsi="宋体"/>
                <w:color w:val="auto"/>
                <w:szCs w:val="21"/>
                <w:highlight w:val="none"/>
              </w:rPr>
              <w:t>感染率趋势分析</w:t>
            </w:r>
          </w:p>
        </w:tc>
        <w:tc>
          <w:tcPr>
            <w:tcW w:w="11907" w:type="dxa"/>
            <w:tcBorders>
              <w:top w:val="nil"/>
              <w:left w:val="nil"/>
              <w:bottom w:val="single" w:color="auto" w:sz="8" w:space="0"/>
              <w:right w:val="single" w:color="auto" w:sz="8" w:space="0"/>
            </w:tcBorders>
            <w:vAlign w:val="center"/>
          </w:tcPr>
          <w:p w14:paraId="5044E4BB">
            <w:pPr>
              <w:pStyle w:val="77"/>
              <w:widowControl/>
              <w:numPr>
                <w:ilvl w:val="0"/>
                <w:numId w:val="48"/>
              </w:numPr>
              <w:spacing w:line="360" w:lineRule="auto"/>
              <w:ind w:firstLineChars="0"/>
              <w:rPr>
                <w:color w:val="auto"/>
                <w:highlight w:val="none"/>
                <w:lang w:val="zh-TW" w:eastAsia="zh-TW"/>
              </w:rPr>
            </w:pPr>
            <w:r>
              <w:rPr>
                <w:rFonts w:hint="eastAsia" w:ascii="宋体" w:hAnsi="宋体"/>
                <w:color w:val="auto"/>
                <w:highlight w:val="none"/>
                <w:lang w:val="zh-TW" w:eastAsia="zh-TW"/>
              </w:rPr>
              <w:t>医院感染率、社区感染率、医院感染日感染率、CLABSI（血管内导管相关血流感染发病率）、VAP（呼吸机相关肺炎发病率）、CAUTI（导尿管相关泌尿系统感染发病率）。</w:t>
            </w:r>
          </w:p>
        </w:tc>
      </w:tr>
      <w:tr w14:paraId="2CB30BCF">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right w:val="single" w:color="auto" w:sz="8" w:space="0"/>
            </w:tcBorders>
          </w:tcPr>
          <w:p w14:paraId="0B71031C">
            <w:pPr>
              <w:jc w:val="center"/>
              <w:rPr>
                <w:color w:val="auto"/>
                <w:highlight w:val="none"/>
              </w:rPr>
            </w:pPr>
          </w:p>
        </w:tc>
        <w:tc>
          <w:tcPr>
            <w:tcW w:w="1277" w:type="dxa"/>
            <w:tcBorders>
              <w:top w:val="single" w:color="auto" w:sz="4" w:space="0"/>
              <w:left w:val="single" w:color="auto" w:sz="8" w:space="0"/>
              <w:bottom w:val="single" w:color="000000" w:sz="8" w:space="0"/>
              <w:right w:val="single" w:color="auto" w:sz="8" w:space="0"/>
            </w:tcBorders>
            <w:vAlign w:val="center"/>
          </w:tcPr>
          <w:p w14:paraId="09910318">
            <w:pPr>
              <w:numPr>
                <w:ilvl w:val="1"/>
                <w:numId w:val="11"/>
              </w:numPr>
              <w:ind w:left="0" w:firstLine="0"/>
              <w:rPr>
                <w:rFonts w:ascii="宋体" w:hAnsi="宋体"/>
                <w:color w:val="auto"/>
                <w:szCs w:val="21"/>
                <w:highlight w:val="none"/>
              </w:rPr>
            </w:pPr>
            <w:r>
              <w:rPr>
                <w:rFonts w:hint="eastAsia" w:ascii="宋体" w:hAnsi="宋体"/>
                <w:color w:val="auto"/>
                <w:szCs w:val="21"/>
                <w:highlight w:val="none"/>
              </w:rPr>
              <w:t>现患率统计</w:t>
            </w:r>
          </w:p>
        </w:tc>
        <w:tc>
          <w:tcPr>
            <w:tcW w:w="11907" w:type="dxa"/>
            <w:tcBorders>
              <w:top w:val="nil"/>
              <w:left w:val="nil"/>
              <w:bottom w:val="single" w:color="auto" w:sz="8" w:space="0"/>
              <w:right w:val="single" w:color="auto" w:sz="8" w:space="0"/>
            </w:tcBorders>
          </w:tcPr>
          <w:p w14:paraId="1B3072DB">
            <w:pPr>
              <w:pStyle w:val="77"/>
              <w:widowControl/>
              <w:numPr>
                <w:ilvl w:val="0"/>
                <w:numId w:val="49"/>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根据横断面调查进行现患统计；医院感染率、社区感染率、医院感染病原体部位分布、抗菌药物使用情况、医院感染率现患趋势分析</w:t>
            </w:r>
          </w:p>
        </w:tc>
      </w:tr>
      <w:tr w14:paraId="29B9E152">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right w:val="single" w:color="auto" w:sz="8" w:space="0"/>
            </w:tcBorders>
          </w:tcPr>
          <w:p w14:paraId="6BD8CC47">
            <w:pPr>
              <w:widowControl/>
              <w:spacing w:line="276" w:lineRule="auto"/>
              <w:jc w:val="center"/>
              <w:rPr>
                <w:color w:val="auto"/>
                <w:highlight w:val="none"/>
                <w:lang w:val="zh-TW" w:eastAsia="zh-TW"/>
              </w:rPr>
            </w:pPr>
          </w:p>
        </w:tc>
        <w:tc>
          <w:tcPr>
            <w:tcW w:w="1277" w:type="dxa"/>
            <w:tcBorders>
              <w:top w:val="single" w:color="auto" w:sz="4" w:space="0"/>
              <w:left w:val="single" w:color="auto" w:sz="8" w:space="0"/>
              <w:bottom w:val="single" w:color="000000" w:sz="8" w:space="0"/>
              <w:right w:val="single" w:color="auto" w:sz="8" w:space="0"/>
            </w:tcBorders>
            <w:vAlign w:val="center"/>
          </w:tcPr>
          <w:p w14:paraId="7721B5F4">
            <w:pPr>
              <w:numPr>
                <w:ilvl w:val="1"/>
                <w:numId w:val="11"/>
              </w:numPr>
              <w:ind w:left="0" w:firstLine="0"/>
              <w:rPr>
                <w:rFonts w:ascii="宋体" w:hAnsi="宋体"/>
                <w:color w:val="auto"/>
                <w:szCs w:val="21"/>
                <w:highlight w:val="none"/>
              </w:rPr>
            </w:pPr>
            <w:r>
              <w:rPr>
                <w:rFonts w:hint="eastAsia" w:ascii="宋体" w:hAnsi="宋体"/>
                <w:color w:val="auto"/>
                <w:szCs w:val="21"/>
                <w:highlight w:val="none"/>
              </w:rPr>
              <w:t>患者诊疗信息</w:t>
            </w:r>
          </w:p>
        </w:tc>
        <w:tc>
          <w:tcPr>
            <w:tcW w:w="11907" w:type="dxa"/>
            <w:tcBorders>
              <w:top w:val="nil"/>
              <w:left w:val="nil"/>
              <w:bottom w:val="single" w:color="auto" w:sz="8" w:space="0"/>
              <w:right w:val="single" w:color="auto" w:sz="8" w:space="0"/>
            </w:tcBorders>
          </w:tcPr>
          <w:p w14:paraId="634E3CB6">
            <w:pPr>
              <w:pStyle w:val="77"/>
              <w:widowControl/>
              <w:numPr>
                <w:ilvl w:val="0"/>
                <w:numId w:val="50"/>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支持查看患者历次本院住院诊疗信息，包括住院号、入院科室、入院时间、出院科室、出院时间、入院诊断、住院次数；</w:t>
            </w:r>
          </w:p>
          <w:p w14:paraId="4B7C01AF">
            <w:pPr>
              <w:pStyle w:val="77"/>
              <w:widowControl/>
              <w:numPr>
                <w:ilvl w:val="0"/>
                <w:numId w:val="50"/>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支持查看患者基本信息，包括住院号、病案号、姓名、性别、年龄、住院次数、体重、入院诊断、当前科室信息；</w:t>
            </w:r>
          </w:p>
          <w:p w14:paraId="6F59822B">
            <w:pPr>
              <w:pStyle w:val="77"/>
              <w:widowControl/>
              <w:numPr>
                <w:ilvl w:val="0"/>
                <w:numId w:val="50"/>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支持查看患者住院综合图示重要关注因素的时序图，包括三大插管、三大常规、C反应蛋白、降钙素原、检出菌、隔离标识；</w:t>
            </w:r>
          </w:p>
          <w:p w14:paraId="57E3A587">
            <w:pPr>
              <w:pStyle w:val="77"/>
              <w:widowControl/>
              <w:numPr>
                <w:ilvl w:val="0"/>
                <w:numId w:val="50"/>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支持在综合图示中，可查看三大常规、C反应蛋白的历次送检信息及检验结果的趋势走向；</w:t>
            </w:r>
          </w:p>
          <w:p w14:paraId="53521A43">
            <w:pPr>
              <w:pStyle w:val="77"/>
              <w:widowControl/>
              <w:numPr>
                <w:ilvl w:val="0"/>
                <w:numId w:val="50"/>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支持查看住院综合图示重要风险因素明细，包括：抗菌药物使用、侵入性操作、检出菌、手术、体温异常；</w:t>
            </w:r>
          </w:p>
          <w:p w14:paraId="0FC65D9A">
            <w:pPr>
              <w:pStyle w:val="77"/>
              <w:widowControl/>
              <w:numPr>
                <w:ilvl w:val="0"/>
                <w:numId w:val="50"/>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支持查看医嘱信息，侵入性操作、抗菌药物优先置顶，并可进行关键词搜索医嘱；</w:t>
            </w:r>
          </w:p>
          <w:p w14:paraId="48018794">
            <w:pPr>
              <w:pStyle w:val="77"/>
              <w:widowControl/>
              <w:numPr>
                <w:ilvl w:val="0"/>
                <w:numId w:val="50"/>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支持查看检验信息，对存在异常检验项目，标记红点显目提示，异常检验结果优先置顶；</w:t>
            </w:r>
          </w:p>
          <w:p w14:paraId="7DBB202A">
            <w:pPr>
              <w:pStyle w:val="77"/>
              <w:widowControl/>
              <w:numPr>
                <w:ilvl w:val="0"/>
                <w:numId w:val="50"/>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支持查看菌培养信息，优先置顶，药敏结果为耐药标红显示；</w:t>
            </w:r>
          </w:p>
          <w:p w14:paraId="0ECDDE93">
            <w:pPr>
              <w:pStyle w:val="77"/>
              <w:widowControl/>
              <w:numPr>
                <w:ilvl w:val="0"/>
                <w:numId w:val="50"/>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支持查看手术信息，可穿透查看手术登记表；</w:t>
            </w:r>
          </w:p>
          <w:p w14:paraId="0AE075DD">
            <w:pPr>
              <w:pStyle w:val="77"/>
              <w:widowControl/>
              <w:numPr>
                <w:ilvl w:val="0"/>
                <w:numId w:val="50"/>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支持查看体温信息，时间段内体温走向，超过38℃显目提示；</w:t>
            </w:r>
          </w:p>
          <w:p w14:paraId="60164532">
            <w:pPr>
              <w:pStyle w:val="77"/>
              <w:widowControl/>
              <w:numPr>
                <w:ilvl w:val="0"/>
                <w:numId w:val="50"/>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支持查看病历信息，对存在感染因素的标记显示，分别展示分析后病历和原文病历，分析后病历中关键词按颜色区分否定式、阳性词；</w:t>
            </w:r>
          </w:p>
          <w:p w14:paraId="51698BEB">
            <w:pPr>
              <w:pStyle w:val="77"/>
              <w:widowControl/>
              <w:numPr>
                <w:ilvl w:val="0"/>
                <w:numId w:val="50"/>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支持查看影像信息，对存在感染因素的标记显示，分析后影像报告中关键词按颜色区分否定式、阳性词；</w:t>
            </w:r>
          </w:p>
          <w:p w14:paraId="5929A0C5">
            <w:pPr>
              <w:pStyle w:val="77"/>
              <w:widowControl/>
              <w:numPr>
                <w:ilvl w:val="0"/>
                <w:numId w:val="50"/>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支持查看诊断信息，包括入院诊断、出院诊断、其他诊断；</w:t>
            </w:r>
          </w:p>
          <w:p w14:paraId="2D097CB6">
            <w:pPr>
              <w:pStyle w:val="77"/>
              <w:widowControl/>
              <w:numPr>
                <w:ilvl w:val="0"/>
                <w:numId w:val="50"/>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支持查看在院期间出入科记录；</w:t>
            </w:r>
          </w:p>
          <w:p w14:paraId="60020F1B">
            <w:pPr>
              <w:pStyle w:val="77"/>
              <w:widowControl/>
              <w:numPr>
                <w:ilvl w:val="0"/>
                <w:numId w:val="50"/>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支持查看当前患者干预历史情况，并支持干预会话发起；</w:t>
            </w:r>
          </w:p>
          <w:p w14:paraId="4A0A7977">
            <w:pPr>
              <w:pStyle w:val="77"/>
              <w:widowControl/>
              <w:numPr>
                <w:ilvl w:val="0"/>
                <w:numId w:val="50"/>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支持查看当前患者疑似感染信息，并可直接进行干预、排除、确认操作；</w:t>
            </w:r>
          </w:p>
          <w:p w14:paraId="0EE2B156">
            <w:pPr>
              <w:pStyle w:val="77"/>
              <w:widowControl/>
              <w:numPr>
                <w:ilvl w:val="0"/>
                <w:numId w:val="50"/>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支持查看当前患者感染病例历史上报情况；</w:t>
            </w:r>
          </w:p>
        </w:tc>
      </w:tr>
      <w:tr w14:paraId="29E06CF7">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right w:val="single" w:color="auto" w:sz="8" w:space="0"/>
            </w:tcBorders>
          </w:tcPr>
          <w:p w14:paraId="5B05DFA7">
            <w:pPr>
              <w:widowControl/>
              <w:spacing w:line="276" w:lineRule="auto"/>
              <w:jc w:val="center"/>
              <w:rPr>
                <w:color w:val="auto"/>
                <w:highlight w:val="none"/>
                <w:lang w:val="zh-TW" w:eastAsia="zh-TW"/>
              </w:rPr>
            </w:pPr>
          </w:p>
        </w:tc>
        <w:tc>
          <w:tcPr>
            <w:tcW w:w="1277" w:type="dxa"/>
            <w:tcBorders>
              <w:top w:val="single" w:color="auto" w:sz="4" w:space="0"/>
              <w:left w:val="single" w:color="auto" w:sz="8" w:space="0"/>
              <w:bottom w:val="single" w:color="000000" w:sz="8" w:space="0"/>
              <w:right w:val="single" w:color="auto" w:sz="8" w:space="0"/>
            </w:tcBorders>
            <w:vAlign w:val="center"/>
          </w:tcPr>
          <w:p w14:paraId="0B61F3D8">
            <w:pPr>
              <w:numPr>
                <w:ilvl w:val="1"/>
                <w:numId w:val="11"/>
              </w:numPr>
              <w:ind w:left="0" w:firstLine="0"/>
              <w:rPr>
                <w:rFonts w:ascii="宋体" w:hAnsi="宋体"/>
                <w:color w:val="auto"/>
                <w:szCs w:val="21"/>
                <w:highlight w:val="none"/>
              </w:rPr>
            </w:pPr>
            <w:r>
              <w:rPr>
                <w:rFonts w:hint="eastAsia" w:ascii="宋体" w:hAnsi="宋体"/>
                <w:color w:val="auto"/>
                <w:szCs w:val="21"/>
                <w:highlight w:val="none"/>
              </w:rPr>
              <w:t>患者数据数据采集</w:t>
            </w:r>
          </w:p>
        </w:tc>
        <w:tc>
          <w:tcPr>
            <w:tcW w:w="11907" w:type="dxa"/>
            <w:tcBorders>
              <w:top w:val="nil"/>
              <w:left w:val="nil"/>
              <w:bottom w:val="single" w:color="auto" w:sz="8" w:space="0"/>
              <w:right w:val="single" w:color="auto" w:sz="8" w:space="0"/>
            </w:tcBorders>
          </w:tcPr>
          <w:p w14:paraId="47D467B5">
            <w:pPr>
              <w:pStyle w:val="77"/>
              <w:widowControl/>
              <w:numPr>
                <w:ilvl w:val="0"/>
                <w:numId w:val="51"/>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支持与医院现有系统的数据对接，自动完成HIS、LIS、PACS、EMR(电子病历)、手术麻醉、护理系统系统的数据加载，并自动完成各项院感数据匹配工作；</w:t>
            </w:r>
          </w:p>
          <w:p w14:paraId="3A9B541C">
            <w:pPr>
              <w:pStyle w:val="77"/>
              <w:widowControl/>
              <w:numPr>
                <w:ilvl w:val="0"/>
                <w:numId w:val="51"/>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支持对接Sqlserver、Mysql、Oracle、DB2、Cache数据库；</w:t>
            </w:r>
          </w:p>
          <w:p w14:paraId="73F68957">
            <w:pPr>
              <w:pStyle w:val="77"/>
              <w:widowControl/>
              <w:numPr>
                <w:ilvl w:val="0"/>
                <w:numId w:val="51"/>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支持完成自动加载患者基本信息；</w:t>
            </w:r>
          </w:p>
          <w:p w14:paraId="53FFC045">
            <w:pPr>
              <w:pStyle w:val="77"/>
              <w:widowControl/>
              <w:numPr>
                <w:ilvl w:val="0"/>
                <w:numId w:val="51"/>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支持完成自动加载患者出入院信息，包括出入院日期、科室、床位、住院总费用信息；</w:t>
            </w:r>
          </w:p>
          <w:p w14:paraId="1580060A">
            <w:pPr>
              <w:pStyle w:val="77"/>
              <w:widowControl/>
              <w:numPr>
                <w:ilvl w:val="0"/>
                <w:numId w:val="51"/>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支持完成自动加载患者转科信息；</w:t>
            </w:r>
          </w:p>
          <w:p w14:paraId="6B74617B">
            <w:pPr>
              <w:pStyle w:val="77"/>
              <w:widowControl/>
              <w:numPr>
                <w:ilvl w:val="0"/>
                <w:numId w:val="51"/>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支持完成自动加载患者诊断信息，入院诊断、疾病诊断、出院诊断；</w:t>
            </w:r>
          </w:p>
          <w:p w14:paraId="6ACCA032">
            <w:pPr>
              <w:pStyle w:val="77"/>
              <w:widowControl/>
              <w:numPr>
                <w:ilvl w:val="0"/>
                <w:numId w:val="51"/>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支持完成自动加载患者电子体温信息及大便次数信息；</w:t>
            </w:r>
          </w:p>
          <w:p w14:paraId="472A8963">
            <w:pPr>
              <w:pStyle w:val="77"/>
              <w:widowControl/>
              <w:numPr>
                <w:ilvl w:val="0"/>
                <w:numId w:val="51"/>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支持完成自动加载患者手术申请、安排，详细的手术情况，如麻醉类型、手术时间等；</w:t>
            </w:r>
          </w:p>
          <w:p w14:paraId="45E5721B">
            <w:pPr>
              <w:pStyle w:val="77"/>
              <w:widowControl/>
              <w:numPr>
                <w:ilvl w:val="0"/>
                <w:numId w:val="51"/>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支持完成自动加载患者医嘱信息，包括检验检查项目、用药情况等；</w:t>
            </w:r>
          </w:p>
          <w:p w14:paraId="0E57592B">
            <w:pPr>
              <w:pStyle w:val="77"/>
              <w:widowControl/>
              <w:numPr>
                <w:ilvl w:val="0"/>
                <w:numId w:val="51"/>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支持完成自动加载患者检验信息，包括常规检验、细菌培养、检验结果等；</w:t>
            </w:r>
          </w:p>
          <w:p w14:paraId="4804748D">
            <w:pPr>
              <w:pStyle w:val="77"/>
              <w:widowControl/>
              <w:numPr>
                <w:ilvl w:val="0"/>
                <w:numId w:val="51"/>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支持完成自动加载患者微生物培养情况（包括送检信息、病原体检出情况、药敏试验情况等）；</w:t>
            </w:r>
          </w:p>
          <w:p w14:paraId="6DF82C52">
            <w:pPr>
              <w:pStyle w:val="77"/>
              <w:widowControl/>
              <w:numPr>
                <w:ilvl w:val="0"/>
                <w:numId w:val="51"/>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支持完成自动加载患者抗菌药物使用情况；</w:t>
            </w:r>
          </w:p>
          <w:p w14:paraId="64C94397">
            <w:pPr>
              <w:pStyle w:val="77"/>
              <w:widowControl/>
              <w:numPr>
                <w:ilvl w:val="0"/>
                <w:numId w:val="51"/>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支持完成自动加载患者影像诊断信息；</w:t>
            </w:r>
          </w:p>
          <w:p w14:paraId="1832F729">
            <w:pPr>
              <w:pStyle w:val="77"/>
              <w:widowControl/>
              <w:numPr>
                <w:ilvl w:val="0"/>
                <w:numId w:val="51"/>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支持完成自动加载患者病历记录；</w:t>
            </w:r>
          </w:p>
          <w:p w14:paraId="7640AAAC">
            <w:pPr>
              <w:pStyle w:val="77"/>
              <w:widowControl/>
              <w:numPr>
                <w:ilvl w:val="0"/>
                <w:numId w:val="51"/>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科室信息、医生信息（包括职称）、药品信息等基础资料；</w:t>
            </w:r>
          </w:p>
        </w:tc>
      </w:tr>
      <w:tr w14:paraId="19F68674">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right w:val="single" w:color="auto" w:sz="8" w:space="0"/>
            </w:tcBorders>
          </w:tcPr>
          <w:p w14:paraId="21C10989">
            <w:pPr>
              <w:jc w:val="center"/>
              <w:rPr>
                <w:rFonts w:ascii="宋体" w:hAnsi="宋体" w:cs="仿宋"/>
                <w:color w:val="auto"/>
                <w:highlight w:val="none"/>
              </w:rPr>
            </w:pPr>
          </w:p>
        </w:tc>
        <w:tc>
          <w:tcPr>
            <w:tcW w:w="1277" w:type="dxa"/>
            <w:tcBorders>
              <w:top w:val="single" w:color="auto" w:sz="4" w:space="0"/>
              <w:left w:val="single" w:color="auto" w:sz="8" w:space="0"/>
              <w:bottom w:val="single" w:color="000000" w:sz="8" w:space="0"/>
              <w:right w:val="single" w:color="auto" w:sz="8" w:space="0"/>
            </w:tcBorders>
            <w:vAlign w:val="center"/>
          </w:tcPr>
          <w:p w14:paraId="0597A364">
            <w:pPr>
              <w:numPr>
                <w:ilvl w:val="1"/>
                <w:numId w:val="11"/>
              </w:numPr>
              <w:ind w:left="0" w:firstLine="0"/>
              <w:rPr>
                <w:rFonts w:ascii="宋体" w:hAnsi="宋体"/>
                <w:color w:val="auto"/>
                <w:szCs w:val="21"/>
                <w:highlight w:val="none"/>
              </w:rPr>
            </w:pPr>
            <w:r>
              <w:rPr>
                <w:rFonts w:hint="eastAsia" w:ascii="宋体" w:hAnsi="宋体"/>
                <w:color w:val="auto"/>
                <w:szCs w:val="21"/>
                <w:highlight w:val="none"/>
              </w:rPr>
              <w:t>重点监测细菌</w:t>
            </w:r>
          </w:p>
        </w:tc>
        <w:tc>
          <w:tcPr>
            <w:tcW w:w="11907" w:type="dxa"/>
            <w:tcBorders>
              <w:top w:val="nil"/>
              <w:left w:val="nil"/>
              <w:bottom w:val="single" w:color="auto" w:sz="8" w:space="0"/>
              <w:right w:val="single" w:color="auto" w:sz="8" w:space="0"/>
            </w:tcBorders>
          </w:tcPr>
          <w:p w14:paraId="2563E5E8">
            <w:pPr>
              <w:pStyle w:val="77"/>
              <w:widowControl/>
              <w:numPr>
                <w:ilvl w:val="0"/>
                <w:numId w:val="52"/>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对国家卫计委要求的重点监测菌的维护，重点监测菌包括：耐甲氧西林金黄色葡萄球菌（MRSA）、耐碳氢霉烯类抗菌药物铜绿假单胞菌（CR-PA）、耐碳氢霉烯类抗菌药物肠杆菌科细菌(CRE)、耐碳氢霉烯类抗菌药物鲍曼不动杆菌(CR-AB)、耐万古霉素肠球菌(VRE)、耐万古霉素金黄色葡萄球菌(VRSA)、产超广谱β-内酰胺酶疑似菌株（ESBLs）；</w:t>
            </w:r>
          </w:p>
          <w:p w14:paraId="0477C010">
            <w:pPr>
              <w:pStyle w:val="77"/>
              <w:widowControl/>
              <w:numPr>
                <w:ilvl w:val="0"/>
                <w:numId w:val="52"/>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提供重点监测细菌可定制化操作界面，通过简单的点与选可完成对重点监测细菌的增加、修改、停用的操作；</w:t>
            </w:r>
          </w:p>
          <w:p w14:paraId="010FE3EF">
            <w:pPr>
              <w:pStyle w:val="77"/>
              <w:widowControl/>
              <w:numPr>
                <w:ilvl w:val="0"/>
                <w:numId w:val="52"/>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重点监测细菌内容可随医院细菌监测业务的变化随之调整，如对金黄色葡萄球菌作为重点菌，则增加成功后；或增加大肠埃希菌对碳青霉烯类中亚胺培南、美罗培南、厄他培南任一耐药（CR-CEO），增加成功后，立即生效；</w:t>
            </w:r>
          </w:p>
          <w:p w14:paraId="59A7EB30">
            <w:pPr>
              <w:pStyle w:val="77"/>
              <w:widowControl/>
              <w:numPr>
                <w:ilvl w:val="0"/>
                <w:numId w:val="52"/>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重点监测菌的菌对药物药敏结果可以设定耐药或耐药+中介，两种方式，设定规则独立，互不影响；</w:t>
            </w:r>
          </w:p>
        </w:tc>
      </w:tr>
      <w:tr w14:paraId="7A02D8DB">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right w:val="single" w:color="auto" w:sz="8" w:space="0"/>
            </w:tcBorders>
          </w:tcPr>
          <w:p w14:paraId="2190D24E">
            <w:pPr>
              <w:widowControl/>
              <w:spacing w:line="276" w:lineRule="auto"/>
              <w:jc w:val="center"/>
              <w:rPr>
                <w:color w:val="auto"/>
                <w:highlight w:val="none"/>
                <w:lang w:val="zh-TW" w:eastAsia="zh-TW"/>
              </w:rPr>
            </w:pPr>
          </w:p>
        </w:tc>
        <w:tc>
          <w:tcPr>
            <w:tcW w:w="1277" w:type="dxa"/>
            <w:tcBorders>
              <w:top w:val="single" w:color="auto" w:sz="4" w:space="0"/>
              <w:left w:val="single" w:color="auto" w:sz="8" w:space="0"/>
              <w:bottom w:val="single" w:color="000000" w:sz="8" w:space="0"/>
              <w:right w:val="single" w:color="auto" w:sz="8" w:space="0"/>
            </w:tcBorders>
            <w:vAlign w:val="center"/>
          </w:tcPr>
          <w:p w14:paraId="4BE0BCB9">
            <w:pPr>
              <w:numPr>
                <w:ilvl w:val="1"/>
                <w:numId w:val="11"/>
              </w:numPr>
              <w:ind w:left="0" w:firstLine="0"/>
              <w:rPr>
                <w:rFonts w:ascii="宋体" w:hAnsi="宋体"/>
                <w:color w:val="auto"/>
                <w:szCs w:val="21"/>
                <w:highlight w:val="none"/>
              </w:rPr>
            </w:pPr>
            <w:r>
              <w:rPr>
                <w:rFonts w:hint="eastAsia" w:ascii="宋体" w:hAnsi="宋体"/>
                <w:color w:val="auto"/>
                <w:szCs w:val="21"/>
                <w:highlight w:val="none"/>
              </w:rPr>
              <w:t>临床感控工作站</w:t>
            </w:r>
          </w:p>
        </w:tc>
        <w:tc>
          <w:tcPr>
            <w:tcW w:w="11907" w:type="dxa"/>
            <w:tcBorders>
              <w:top w:val="nil"/>
              <w:left w:val="nil"/>
              <w:bottom w:val="single" w:color="auto" w:sz="8" w:space="0"/>
              <w:right w:val="single" w:color="auto" w:sz="8" w:space="0"/>
            </w:tcBorders>
          </w:tcPr>
          <w:p w14:paraId="07B4DC81">
            <w:pPr>
              <w:pStyle w:val="77"/>
              <w:widowControl/>
              <w:numPr>
                <w:ilvl w:val="0"/>
                <w:numId w:val="53"/>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支持单个用户管辖多科室时，提供临床用户进行科室切换的操作；</w:t>
            </w:r>
          </w:p>
          <w:p w14:paraId="407BE56E">
            <w:pPr>
              <w:pStyle w:val="77"/>
              <w:widowControl/>
              <w:numPr>
                <w:ilvl w:val="0"/>
                <w:numId w:val="53"/>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支持打开工作站直接查看当前科室的疑似感染病例，并可对疑似并进行上报或排除操作；</w:t>
            </w:r>
          </w:p>
          <w:p w14:paraId="6C1D7903">
            <w:pPr>
              <w:pStyle w:val="77"/>
              <w:widowControl/>
              <w:numPr>
                <w:ilvl w:val="0"/>
                <w:numId w:val="53"/>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支持按管床医生视角查看所管患者的疑似感染病例；</w:t>
            </w:r>
          </w:p>
          <w:p w14:paraId="41B84FF1">
            <w:pPr>
              <w:pStyle w:val="77"/>
              <w:widowControl/>
              <w:numPr>
                <w:ilvl w:val="0"/>
                <w:numId w:val="53"/>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支持查看患者历史上报感染病例报卡合计数，并可穿透感染病例报卡明细内容；</w:t>
            </w:r>
          </w:p>
          <w:p w14:paraId="56DFA119">
            <w:pPr>
              <w:pStyle w:val="77"/>
              <w:widowControl/>
              <w:numPr>
                <w:ilvl w:val="0"/>
                <w:numId w:val="53"/>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支持对患者主动感染病例的上报，自动获取患者基本信息，完善感染病例信息、易感因素、插管相关性、致病菌信息，对既往已报过同类感染诊断友好提示，并可穿透查看此病例；</w:t>
            </w:r>
          </w:p>
          <w:p w14:paraId="5C342009">
            <w:pPr>
              <w:pStyle w:val="77"/>
              <w:widowControl/>
              <w:numPr>
                <w:ilvl w:val="0"/>
                <w:numId w:val="53"/>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支持对曾转科至本科室及从本科室出院的患者搜索，并进行病例上报；</w:t>
            </w:r>
          </w:p>
          <w:p w14:paraId="56BDDEF2">
            <w:pPr>
              <w:pStyle w:val="77"/>
              <w:widowControl/>
              <w:numPr>
                <w:ilvl w:val="0"/>
                <w:numId w:val="53"/>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支持临床用户对ICU患者进行临床病情等级评定；</w:t>
            </w:r>
          </w:p>
          <w:p w14:paraId="4D1ED669">
            <w:pPr>
              <w:pStyle w:val="77"/>
              <w:widowControl/>
              <w:numPr>
                <w:ilvl w:val="0"/>
                <w:numId w:val="53"/>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支持20</w:t>
            </w:r>
            <w:r>
              <w:rPr>
                <w:rFonts w:hint="eastAsia" w:ascii="宋体" w:hAnsi="宋体"/>
                <w:color w:val="auto"/>
                <w:highlight w:val="none"/>
              </w:rPr>
              <w:t>23</w:t>
            </w:r>
            <w:r>
              <w:rPr>
                <w:rFonts w:hint="eastAsia" w:ascii="宋体" w:hAnsi="宋体"/>
                <w:color w:val="auto"/>
                <w:highlight w:val="none"/>
                <w:lang w:val="zh-TW" w:eastAsia="zh-TW"/>
              </w:rPr>
              <w:t>年版医院感染横断面调查信息的录入；</w:t>
            </w:r>
          </w:p>
          <w:p w14:paraId="33145496">
            <w:pPr>
              <w:pStyle w:val="77"/>
              <w:widowControl/>
              <w:numPr>
                <w:ilvl w:val="0"/>
                <w:numId w:val="53"/>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支持职业暴露在线填写暴露信息，并上报至感控科；</w:t>
            </w:r>
          </w:p>
          <w:p w14:paraId="2DFDBB2F">
            <w:pPr>
              <w:pStyle w:val="77"/>
              <w:widowControl/>
              <w:numPr>
                <w:ilvl w:val="0"/>
                <w:numId w:val="53"/>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支持感控兼职人员及微生物室对环境卫生消毒药械监测内容填报，单个用户可管辖多科室。</w:t>
            </w:r>
          </w:p>
        </w:tc>
      </w:tr>
      <w:tr w14:paraId="55FDED9B">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right w:val="single" w:color="auto" w:sz="8" w:space="0"/>
            </w:tcBorders>
          </w:tcPr>
          <w:p w14:paraId="5A464125">
            <w:pPr>
              <w:widowControl/>
              <w:spacing w:line="276" w:lineRule="auto"/>
              <w:jc w:val="center"/>
              <w:rPr>
                <w:color w:val="auto"/>
                <w:highlight w:val="none"/>
                <w:lang w:val="zh-TW" w:eastAsia="zh-TW"/>
              </w:rPr>
            </w:pPr>
          </w:p>
        </w:tc>
        <w:tc>
          <w:tcPr>
            <w:tcW w:w="1277" w:type="dxa"/>
            <w:tcBorders>
              <w:top w:val="single" w:color="auto" w:sz="4" w:space="0"/>
              <w:left w:val="single" w:color="auto" w:sz="8" w:space="0"/>
              <w:bottom w:val="single" w:color="000000" w:sz="8" w:space="0"/>
              <w:right w:val="single" w:color="auto" w:sz="8" w:space="0"/>
            </w:tcBorders>
            <w:vAlign w:val="center"/>
          </w:tcPr>
          <w:p w14:paraId="543DFE62">
            <w:pPr>
              <w:numPr>
                <w:ilvl w:val="1"/>
                <w:numId w:val="11"/>
              </w:numPr>
              <w:ind w:left="0" w:firstLine="0"/>
              <w:rPr>
                <w:rFonts w:ascii="宋体" w:hAnsi="宋体"/>
                <w:color w:val="auto"/>
                <w:szCs w:val="21"/>
                <w:highlight w:val="none"/>
              </w:rPr>
            </w:pPr>
            <w:r>
              <w:rPr>
                <w:rFonts w:hint="eastAsia" w:ascii="宋体" w:hAnsi="宋体"/>
                <w:color w:val="auto"/>
                <w:szCs w:val="21"/>
                <w:highlight w:val="none"/>
              </w:rPr>
              <w:t>嵌入式报卡</w:t>
            </w:r>
          </w:p>
        </w:tc>
        <w:tc>
          <w:tcPr>
            <w:tcW w:w="11907" w:type="dxa"/>
            <w:tcBorders>
              <w:top w:val="nil"/>
              <w:left w:val="nil"/>
              <w:bottom w:val="single" w:color="auto" w:sz="8" w:space="0"/>
              <w:right w:val="single" w:color="auto" w:sz="8" w:space="0"/>
            </w:tcBorders>
          </w:tcPr>
          <w:p w14:paraId="6954DC8D">
            <w:pPr>
              <w:pStyle w:val="77"/>
              <w:widowControl/>
              <w:numPr>
                <w:ilvl w:val="0"/>
                <w:numId w:val="54"/>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支持嵌入式调用页面链接给HIS、电子病历系统进行院感相关功能的调用，实现与HIS、电子病历系统的无缝对接；</w:t>
            </w:r>
          </w:p>
          <w:p w14:paraId="779DFD16">
            <w:pPr>
              <w:pStyle w:val="77"/>
              <w:widowControl/>
              <w:numPr>
                <w:ilvl w:val="0"/>
                <w:numId w:val="54"/>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支持多种开发语言的程序调用，如DELPHI、PB、C#、JAVA、PHP常用开发语言的实例，调用简单；</w:t>
            </w:r>
          </w:p>
          <w:p w14:paraId="03033C77">
            <w:pPr>
              <w:pStyle w:val="77"/>
              <w:widowControl/>
              <w:numPr>
                <w:ilvl w:val="0"/>
                <w:numId w:val="54"/>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支持报卡完全B/S（浏览器）模式，更加方便、快捷、灵活；</w:t>
            </w:r>
          </w:p>
          <w:p w14:paraId="2E33644B">
            <w:pPr>
              <w:pStyle w:val="77"/>
              <w:widowControl/>
              <w:numPr>
                <w:ilvl w:val="0"/>
                <w:numId w:val="54"/>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支持感染病例报卡、现患率横断面登记表、职业暴露登记的可调用；</w:t>
            </w:r>
          </w:p>
          <w:p w14:paraId="049B5A88">
            <w:pPr>
              <w:pStyle w:val="77"/>
              <w:widowControl/>
              <w:numPr>
                <w:ilvl w:val="0"/>
                <w:numId w:val="54"/>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支持医生仅需用鼠标点选各项内容（如感染诊断、切口等级、易感因素等），操作方便快捷；</w:t>
            </w:r>
          </w:p>
          <w:p w14:paraId="56ECD03F">
            <w:pPr>
              <w:pStyle w:val="77"/>
              <w:widowControl/>
              <w:numPr>
                <w:ilvl w:val="0"/>
                <w:numId w:val="54"/>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支持自动提示院感科报告情况。</w:t>
            </w:r>
          </w:p>
        </w:tc>
      </w:tr>
      <w:tr w14:paraId="48B0BD49">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right w:val="single" w:color="auto" w:sz="8" w:space="0"/>
            </w:tcBorders>
          </w:tcPr>
          <w:p w14:paraId="099142A8">
            <w:pPr>
              <w:widowControl/>
              <w:spacing w:line="276" w:lineRule="auto"/>
              <w:jc w:val="center"/>
              <w:rPr>
                <w:color w:val="auto"/>
                <w:highlight w:val="none"/>
                <w:lang w:val="zh-TW" w:eastAsia="zh-TW"/>
              </w:rPr>
            </w:pPr>
          </w:p>
        </w:tc>
        <w:tc>
          <w:tcPr>
            <w:tcW w:w="1277" w:type="dxa"/>
            <w:tcBorders>
              <w:top w:val="single" w:color="auto" w:sz="4" w:space="0"/>
              <w:left w:val="single" w:color="auto" w:sz="8" w:space="0"/>
              <w:bottom w:val="single" w:color="000000" w:sz="8" w:space="0"/>
              <w:right w:val="single" w:color="auto" w:sz="8" w:space="0"/>
            </w:tcBorders>
            <w:vAlign w:val="center"/>
          </w:tcPr>
          <w:p w14:paraId="24B6D75D">
            <w:pPr>
              <w:numPr>
                <w:ilvl w:val="1"/>
                <w:numId w:val="11"/>
              </w:numPr>
              <w:ind w:left="0" w:firstLine="0"/>
              <w:rPr>
                <w:rFonts w:ascii="宋体" w:hAnsi="宋体"/>
                <w:color w:val="auto"/>
                <w:szCs w:val="21"/>
                <w:highlight w:val="none"/>
              </w:rPr>
            </w:pPr>
            <w:r>
              <w:rPr>
                <w:rFonts w:hint="eastAsia" w:ascii="宋体" w:hAnsi="宋体"/>
                <w:color w:val="auto"/>
                <w:szCs w:val="21"/>
                <w:highlight w:val="none"/>
              </w:rPr>
              <w:t>资料分享</w:t>
            </w:r>
          </w:p>
        </w:tc>
        <w:tc>
          <w:tcPr>
            <w:tcW w:w="11907" w:type="dxa"/>
            <w:tcBorders>
              <w:top w:val="nil"/>
              <w:left w:val="nil"/>
              <w:bottom w:val="single" w:color="auto" w:sz="8" w:space="0"/>
              <w:right w:val="single" w:color="auto" w:sz="8" w:space="0"/>
            </w:tcBorders>
          </w:tcPr>
          <w:p w14:paraId="1570C455">
            <w:pPr>
              <w:pStyle w:val="77"/>
              <w:widowControl/>
              <w:numPr>
                <w:ilvl w:val="0"/>
                <w:numId w:val="55"/>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支持感控专职人员对本院感控相关资料分类进行新建、停用；</w:t>
            </w:r>
          </w:p>
          <w:p w14:paraId="2228B78A">
            <w:pPr>
              <w:pStyle w:val="77"/>
              <w:widowControl/>
              <w:numPr>
                <w:ilvl w:val="0"/>
                <w:numId w:val="55"/>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支持对资料进行上传，归类操作，以便临床人员的下载学习；</w:t>
            </w:r>
          </w:p>
          <w:p w14:paraId="0F15E7A0">
            <w:pPr>
              <w:pStyle w:val="77"/>
              <w:widowControl/>
              <w:numPr>
                <w:ilvl w:val="0"/>
                <w:numId w:val="55"/>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院内网用户均可登录后下载本院内的感控相关资讯；</w:t>
            </w:r>
          </w:p>
          <w:p w14:paraId="5663AB55">
            <w:pPr>
              <w:pStyle w:val="77"/>
              <w:widowControl/>
              <w:numPr>
                <w:ilvl w:val="0"/>
                <w:numId w:val="55"/>
              </w:numPr>
              <w:spacing w:line="360" w:lineRule="auto"/>
              <w:ind w:firstLineChars="0"/>
              <w:rPr>
                <w:rFonts w:ascii="宋体" w:hAnsi="宋体"/>
                <w:color w:val="auto"/>
                <w:highlight w:val="none"/>
                <w:lang w:val="zh-TW" w:eastAsia="zh-TW"/>
              </w:rPr>
            </w:pPr>
            <w:r>
              <w:rPr>
                <w:rFonts w:hint="eastAsia" w:ascii="宋体" w:hAnsi="宋体"/>
                <w:color w:val="auto"/>
                <w:highlight w:val="none"/>
                <w:lang w:val="zh-TW" w:eastAsia="zh-TW"/>
              </w:rPr>
              <w:t>支持多种格式文件的上传（包括但不止ppt、word、excel、pdf）</w:t>
            </w:r>
          </w:p>
        </w:tc>
      </w:tr>
      <w:tr w14:paraId="39CFB5E6">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right w:val="single" w:color="auto" w:sz="8" w:space="0"/>
            </w:tcBorders>
          </w:tcPr>
          <w:p w14:paraId="3F5A7874">
            <w:pPr>
              <w:widowControl/>
              <w:spacing w:line="276" w:lineRule="auto"/>
              <w:jc w:val="center"/>
              <w:rPr>
                <w:color w:val="auto"/>
                <w:highlight w:val="none"/>
              </w:rPr>
            </w:pPr>
          </w:p>
        </w:tc>
        <w:tc>
          <w:tcPr>
            <w:tcW w:w="1277" w:type="dxa"/>
            <w:tcBorders>
              <w:top w:val="single" w:color="auto" w:sz="4" w:space="0"/>
              <w:left w:val="single" w:color="auto" w:sz="8" w:space="0"/>
              <w:bottom w:val="single" w:color="000000" w:sz="8" w:space="0"/>
              <w:right w:val="single" w:color="auto" w:sz="8" w:space="0"/>
            </w:tcBorders>
            <w:vAlign w:val="center"/>
          </w:tcPr>
          <w:p w14:paraId="0CCBD94E">
            <w:pPr>
              <w:numPr>
                <w:ilvl w:val="1"/>
                <w:numId w:val="11"/>
              </w:numPr>
              <w:ind w:left="0" w:firstLine="0"/>
              <w:rPr>
                <w:rFonts w:ascii="宋体" w:hAnsi="宋体"/>
                <w:color w:val="auto"/>
                <w:szCs w:val="21"/>
                <w:highlight w:val="none"/>
              </w:rPr>
            </w:pPr>
            <w:r>
              <w:rPr>
                <w:rFonts w:hint="eastAsia" w:ascii="宋体" w:hAnsi="宋体"/>
                <w:color w:val="auto"/>
                <w:szCs w:val="21"/>
                <w:highlight w:val="none"/>
              </w:rPr>
              <w:t>院感预警配置</w:t>
            </w:r>
          </w:p>
        </w:tc>
        <w:tc>
          <w:tcPr>
            <w:tcW w:w="11907" w:type="dxa"/>
            <w:tcBorders>
              <w:top w:val="nil"/>
              <w:left w:val="nil"/>
              <w:bottom w:val="single" w:color="auto" w:sz="8" w:space="0"/>
              <w:right w:val="single" w:color="auto" w:sz="8" w:space="0"/>
            </w:tcBorders>
          </w:tcPr>
          <w:p w14:paraId="035C2CAD">
            <w:pPr>
              <w:pStyle w:val="77"/>
              <w:widowControl/>
              <w:numPr>
                <w:ilvl w:val="0"/>
                <w:numId w:val="56"/>
              </w:numPr>
              <w:spacing w:line="360" w:lineRule="auto"/>
              <w:ind w:firstLineChars="0"/>
              <w:rPr>
                <w:rFonts w:ascii="宋体" w:hAnsi="宋体"/>
                <w:color w:val="auto"/>
                <w:highlight w:val="none"/>
              </w:rPr>
            </w:pPr>
            <w:r>
              <w:rPr>
                <w:rFonts w:hint="eastAsia" w:ascii="宋体" w:hAnsi="宋体"/>
                <w:color w:val="auto"/>
                <w:highlight w:val="none"/>
              </w:rPr>
              <w:t>针对每种医院感染的疾病，可根据用户个性化需求，灵活配置预警方案。包括预警关键词的增删改，关键词的同义词、权重值、预警规则等</w:t>
            </w:r>
          </w:p>
          <w:p w14:paraId="022AAA30">
            <w:pPr>
              <w:pStyle w:val="77"/>
              <w:widowControl/>
              <w:numPr>
                <w:ilvl w:val="0"/>
                <w:numId w:val="56"/>
              </w:numPr>
              <w:spacing w:line="360" w:lineRule="auto"/>
              <w:ind w:firstLineChars="0"/>
              <w:rPr>
                <w:rFonts w:ascii="宋体" w:hAnsi="宋体"/>
                <w:color w:val="auto"/>
                <w:highlight w:val="none"/>
              </w:rPr>
            </w:pPr>
            <w:r>
              <w:rPr>
                <w:rFonts w:hint="eastAsia" w:ascii="宋体" w:hAnsi="宋体"/>
                <w:color w:val="auto"/>
                <w:highlight w:val="none"/>
              </w:rPr>
              <w:t>预警方案配置：不同类型医院的特征（如：精神专科医院、中医医院、口腔医院等）可配置不同的预警方案，针对预警五大依据来源：病例影响记录、检查信息、细菌培养、抗菌药物、特异性指标，分配不同的权重百分比配置预警方案</w:t>
            </w:r>
          </w:p>
        </w:tc>
      </w:tr>
      <w:tr w14:paraId="231E1EC1">
        <w:tblPrEx>
          <w:tblCellMar>
            <w:top w:w="0" w:type="dxa"/>
            <w:left w:w="108" w:type="dxa"/>
            <w:bottom w:w="0" w:type="dxa"/>
            <w:right w:w="108" w:type="dxa"/>
          </w:tblCellMar>
        </w:tblPrEx>
        <w:trPr>
          <w:trHeight w:val="680" w:hRule="atLeast"/>
          <w:jc w:val="center"/>
        </w:trPr>
        <w:tc>
          <w:tcPr>
            <w:tcW w:w="1277" w:type="dxa"/>
            <w:vMerge w:val="continue"/>
            <w:tcBorders>
              <w:left w:val="single" w:color="auto" w:sz="8" w:space="0"/>
              <w:bottom w:val="single" w:color="000000" w:sz="8" w:space="0"/>
              <w:right w:val="single" w:color="auto" w:sz="8" w:space="0"/>
            </w:tcBorders>
          </w:tcPr>
          <w:p w14:paraId="708216D0">
            <w:pPr>
              <w:widowControl/>
              <w:spacing w:line="276" w:lineRule="auto"/>
              <w:jc w:val="center"/>
              <w:rPr>
                <w:color w:val="auto"/>
                <w:highlight w:val="none"/>
              </w:rPr>
            </w:pPr>
          </w:p>
        </w:tc>
        <w:tc>
          <w:tcPr>
            <w:tcW w:w="1277" w:type="dxa"/>
            <w:tcBorders>
              <w:top w:val="single" w:color="auto" w:sz="4" w:space="0"/>
              <w:left w:val="single" w:color="auto" w:sz="8" w:space="0"/>
              <w:bottom w:val="single" w:color="000000" w:sz="8" w:space="0"/>
              <w:right w:val="single" w:color="auto" w:sz="8" w:space="0"/>
            </w:tcBorders>
            <w:vAlign w:val="center"/>
          </w:tcPr>
          <w:p w14:paraId="49B22DBC">
            <w:pPr>
              <w:numPr>
                <w:ilvl w:val="1"/>
                <w:numId w:val="11"/>
              </w:numPr>
              <w:ind w:left="0" w:firstLine="0"/>
              <w:rPr>
                <w:rFonts w:ascii="宋体" w:hAnsi="宋体"/>
                <w:color w:val="auto"/>
                <w:szCs w:val="21"/>
                <w:highlight w:val="none"/>
              </w:rPr>
            </w:pPr>
            <w:r>
              <w:rPr>
                <w:rFonts w:hint="eastAsia" w:ascii="宋体" w:hAnsi="宋体"/>
                <w:color w:val="auto"/>
                <w:szCs w:val="21"/>
                <w:highlight w:val="none"/>
              </w:rPr>
              <w:t>知识库(考试系统)</w:t>
            </w:r>
          </w:p>
        </w:tc>
        <w:tc>
          <w:tcPr>
            <w:tcW w:w="11907" w:type="dxa"/>
            <w:tcBorders>
              <w:top w:val="nil"/>
              <w:left w:val="nil"/>
              <w:bottom w:val="single" w:color="auto" w:sz="8" w:space="0"/>
              <w:right w:val="single" w:color="auto" w:sz="8" w:space="0"/>
            </w:tcBorders>
          </w:tcPr>
          <w:p w14:paraId="53916F05">
            <w:pPr>
              <w:pStyle w:val="77"/>
              <w:widowControl/>
              <w:numPr>
                <w:ilvl w:val="0"/>
                <w:numId w:val="57"/>
              </w:numPr>
              <w:spacing w:line="360" w:lineRule="auto"/>
              <w:ind w:firstLineChars="0"/>
              <w:rPr>
                <w:rFonts w:ascii="宋体" w:hAnsi="宋体"/>
                <w:color w:val="auto"/>
                <w:highlight w:val="none"/>
              </w:rPr>
            </w:pPr>
            <w:r>
              <w:rPr>
                <w:rFonts w:hint="eastAsia" w:ascii="宋体" w:hAnsi="宋体"/>
                <w:color w:val="auto"/>
                <w:highlight w:val="none"/>
              </w:rPr>
              <w:t>提供在线考试平台管理模块；</w:t>
            </w:r>
          </w:p>
          <w:p w14:paraId="0D5CF7F9">
            <w:pPr>
              <w:pStyle w:val="77"/>
              <w:widowControl/>
              <w:numPr>
                <w:ilvl w:val="0"/>
                <w:numId w:val="57"/>
              </w:numPr>
              <w:spacing w:line="360" w:lineRule="auto"/>
              <w:ind w:firstLineChars="0"/>
              <w:rPr>
                <w:rFonts w:ascii="宋体" w:hAnsi="宋体"/>
                <w:color w:val="auto"/>
                <w:highlight w:val="none"/>
              </w:rPr>
            </w:pPr>
            <w:r>
              <w:rPr>
                <w:rFonts w:hint="eastAsia" w:ascii="宋体" w:hAnsi="宋体"/>
                <w:color w:val="auto"/>
                <w:highlight w:val="none"/>
              </w:rPr>
              <w:t>多种文件格式学习材料提供上传和下载管理；</w:t>
            </w:r>
          </w:p>
          <w:p w14:paraId="42A1C72D">
            <w:pPr>
              <w:pStyle w:val="77"/>
              <w:widowControl/>
              <w:numPr>
                <w:ilvl w:val="0"/>
                <w:numId w:val="57"/>
              </w:numPr>
              <w:spacing w:line="360" w:lineRule="auto"/>
              <w:ind w:firstLineChars="0"/>
              <w:rPr>
                <w:rFonts w:ascii="宋体" w:hAnsi="宋体"/>
                <w:color w:val="auto"/>
                <w:highlight w:val="none"/>
              </w:rPr>
            </w:pPr>
            <w:r>
              <w:rPr>
                <w:rFonts w:hint="eastAsia" w:ascii="宋体" w:hAnsi="宋体"/>
                <w:color w:val="auto"/>
                <w:highlight w:val="none"/>
              </w:rPr>
              <w:t>内置医院感染考试题库数达5400+，每个题目设有知识标签分类，包括行业标准、感染性疾病诊断、职业防护、医疗废物、手卫生、消毒灭菌、医院感染与暴发、织物清洗等；</w:t>
            </w:r>
          </w:p>
          <w:p w14:paraId="5362DA45">
            <w:pPr>
              <w:pStyle w:val="77"/>
              <w:widowControl/>
              <w:numPr>
                <w:ilvl w:val="0"/>
                <w:numId w:val="57"/>
              </w:numPr>
              <w:spacing w:line="360" w:lineRule="auto"/>
              <w:ind w:firstLineChars="0"/>
              <w:rPr>
                <w:rFonts w:ascii="宋体" w:hAnsi="宋体"/>
                <w:color w:val="auto"/>
                <w:highlight w:val="none"/>
              </w:rPr>
            </w:pPr>
            <w:r>
              <w:rPr>
                <w:rFonts w:hint="eastAsia" w:ascii="宋体" w:hAnsi="宋体"/>
                <w:color w:val="auto"/>
                <w:highlight w:val="none"/>
              </w:rPr>
              <w:t>支持考试题库新增、编辑、删除、统计功能；</w:t>
            </w:r>
          </w:p>
          <w:p w14:paraId="125C6981">
            <w:pPr>
              <w:pStyle w:val="77"/>
              <w:widowControl/>
              <w:numPr>
                <w:ilvl w:val="0"/>
                <w:numId w:val="57"/>
              </w:numPr>
              <w:spacing w:line="360" w:lineRule="auto"/>
              <w:ind w:firstLineChars="0"/>
              <w:rPr>
                <w:rFonts w:ascii="宋体" w:hAnsi="宋体"/>
                <w:color w:val="auto"/>
                <w:highlight w:val="none"/>
              </w:rPr>
            </w:pPr>
            <w:r>
              <w:rPr>
                <w:rFonts w:hint="eastAsia" w:ascii="宋体" w:hAnsi="宋体"/>
                <w:color w:val="auto"/>
                <w:highlight w:val="none"/>
              </w:rPr>
              <w:t>支持视频学习，可在线发布与查看视频，系统记录学员的有效学习时间，并对学员的学习效果进行评估。支持学习后，学员进行对应的考试测评，测评后记录保存学员的测评时间及分数；</w:t>
            </w:r>
          </w:p>
          <w:p w14:paraId="7E482492">
            <w:pPr>
              <w:pStyle w:val="77"/>
              <w:widowControl/>
              <w:numPr>
                <w:ilvl w:val="0"/>
                <w:numId w:val="57"/>
              </w:numPr>
              <w:spacing w:line="360" w:lineRule="auto"/>
              <w:ind w:firstLineChars="0"/>
              <w:rPr>
                <w:rFonts w:ascii="宋体" w:hAnsi="宋体"/>
                <w:color w:val="auto"/>
                <w:highlight w:val="none"/>
              </w:rPr>
            </w:pPr>
            <w:r>
              <w:rPr>
                <w:rFonts w:hint="eastAsia" w:ascii="宋体" w:hAnsi="宋体"/>
                <w:color w:val="auto"/>
                <w:highlight w:val="none"/>
              </w:rPr>
              <w:t>批量导入题库及题目功能；</w:t>
            </w:r>
          </w:p>
          <w:p w14:paraId="30AFE369">
            <w:pPr>
              <w:pStyle w:val="77"/>
              <w:widowControl/>
              <w:numPr>
                <w:ilvl w:val="0"/>
                <w:numId w:val="57"/>
              </w:numPr>
              <w:spacing w:line="360" w:lineRule="auto"/>
              <w:ind w:firstLineChars="0"/>
              <w:rPr>
                <w:rFonts w:ascii="宋体" w:hAnsi="宋体"/>
                <w:color w:val="auto"/>
                <w:highlight w:val="none"/>
              </w:rPr>
            </w:pPr>
            <w:r>
              <w:rPr>
                <w:rFonts w:hint="eastAsia" w:ascii="宋体" w:hAnsi="宋体"/>
                <w:color w:val="auto"/>
                <w:highlight w:val="none"/>
              </w:rPr>
              <w:t>对题目进行编辑、删除、新增功能；</w:t>
            </w:r>
          </w:p>
          <w:p w14:paraId="66B3FC0C">
            <w:pPr>
              <w:pStyle w:val="77"/>
              <w:widowControl/>
              <w:numPr>
                <w:ilvl w:val="0"/>
                <w:numId w:val="57"/>
              </w:numPr>
              <w:spacing w:line="360" w:lineRule="auto"/>
              <w:ind w:firstLineChars="0"/>
              <w:rPr>
                <w:rFonts w:ascii="宋体" w:hAnsi="宋体"/>
                <w:color w:val="auto"/>
                <w:highlight w:val="none"/>
              </w:rPr>
            </w:pPr>
            <w:r>
              <w:rPr>
                <w:rFonts w:hint="eastAsia" w:ascii="宋体" w:hAnsi="宋体"/>
                <w:color w:val="auto"/>
                <w:highlight w:val="none"/>
              </w:rPr>
              <w:t>试卷新增 、删除、编辑、导出、统计分析功能；</w:t>
            </w:r>
          </w:p>
          <w:p w14:paraId="21D94E73">
            <w:pPr>
              <w:pStyle w:val="77"/>
              <w:widowControl/>
              <w:numPr>
                <w:ilvl w:val="0"/>
                <w:numId w:val="57"/>
              </w:numPr>
              <w:spacing w:line="360" w:lineRule="auto"/>
              <w:ind w:firstLineChars="0"/>
              <w:rPr>
                <w:rFonts w:ascii="宋体" w:hAnsi="宋体"/>
                <w:color w:val="auto"/>
                <w:highlight w:val="none"/>
              </w:rPr>
            </w:pPr>
            <w:r>
              <w:rPr>
                <w:rFonts w:hint="eastAsia" w:ascii="宋体" w:hAnsi="宋体"/>
                <w:color w:val="auto"/>
                <w:highlight w:val="none"/>
              </w:rPr>
              <w:t>系统自动随机试卷功能；</w:t>
            </w:r>
          </w:p>
          <w:p w14:paraId="28A34F72">
            <w:pPr>
              <w:pStyle w:val="77"/>
              <w:widowControl/>
              <w:numPr>
                <w:ilvl w:val="0"/>
                <w:numId w:val="57"/>
              </w:numPr>
              <w:spacing w:line="360" w:lineRule="auto"/>
              <w:ind w:firstLineChars="0"/>
              <w:rPr>
                <w:rFonts w:ascii="宋体" w:hAnsi="宋体"/>
                <w:color w:val="auto"/>
                <w:highlight w:val="none"/>
              </w:rPr>
            </w:pPr>
            <w:r>
              <w:rPr>
                <w:rFonts w:hint="eastAsia" w:ascii="宋体" w:hAnsi="宋体"/>
                <w:color w:val="auto"/>
                <w:highlight w:val="none"/>
              </w:rPr>
              <w:t>可以创建固定试卷功能；</w:t>
            </w:r>
          </w:p>
          <w:p w14:paraId="1C2B8EB3">
            <w:pPr>
              <w:pStyle w:val="77"/>
              <w:widowControl/>
              <w:numPr>
                <w:ilvl w:val="0"/>
                <w:numId w:val="57"/>
              </w:numPr>
              <w:spacing w:line="360" w:lineRule="auto"/>
              <w:ind w:firstLineChars="0"/>
              <w:rPr>
                <w:rFonts w:ascii="宋体" w:hAnsi="宋体"/>
                <w:color w:val="auto"/>
                <w:highlight w:val="none"/>
              </w:rPr>
            </w:pPr>
            <w:r>
              <w:rPr>
                <w:rFonts w:hint="eastAsia" w:ascii="宋体" w:hAnsi="宋体"/>
                <w:color w:val="auto"/>
                <w:highlight w:val="none"/>
              </w:rPr>
              <w:t>对单选、多选、判断等多种题型自动算分、自动解析功能；</w:t>
            </w:r>
          </w:p>
          <w:p w14:paraId="4E0E2B0A">
            <w:pPr>
              <w:pStyle w:val="77"/>
              <w:widowControl/>
              <w:numPr>
                <w:ilvl w:val="0"/>
                <w:numId w:val="57"/>
              </w:numPr>
              <w:spacing w:line="360" w:lineRule="auto"/>
              <w:ind w:firstLineChars="0"/>
              <w:rPr>
                <w:rFonts w:ascii="宋体" w:hAnsi="宋体"/>
                <w:color w:val="auto"/>
                <w:highlight w:val="none"/>
              </w:rPr>
            </w:pPr>
            <w:r>
              <w:rPr>
                <w:rFonts w:hint="eastAsia" w:ascii="宋体" w:hAnsi="宋体"/>
                <w:color w:val="auto"/>
                <w:highlight w:val="none"/>
              </w:rPr>
              <w:t>对试题正确率详细分析；</w:t>
            </w:r>
          </w:p>
          <w:p w14:paraId="1095F973">
            <w:pPr>
              <w:pStyle w:val="77"/>
              <w:widowControl/>
              <w:numPr>
                <w:ilvl w:val="0"/>
                <w:numId w:val="57"/>
              </w:numPr>
              <w:spacing w:line="360" w:lineRule="auto"/>
              <w:ind w:firstLineChars="0"/>
              <w:rPr>
                <w:rFonts w:ascii="宋体" w:hAnsi="宋体"/>
                <w:color w:val="auto"/>
                <w:highlight w:val="none"/>
              </w:rPr>
            </w:pPr>
            <w:r>
              <w:rPr>
                <w:rFonts w:hint="eastAsia" w:ascii="宋体" w:hAnsi="宋体"/>
                <w:color w:val="auto"/>
                <w:highlight w:val="none"/>
              </w:rPr>
              <w:t>对分数统计，包括最高分、最低分、低分人数、低分率、 平均分、及格人数、及格率、优分人数、优分率及参加人数、缺考人数等；</w:t>
            </w:r>
          </w:p>
          <w:p w14:paraId="648F69F2">
            <w:pPr>
              <w:pStyle w:val="77"/>
              <w:widowControl/>
              <w:numPr>
                <w:ilvl w:val="0"/>
                <w:numId w:val="57"/>
              </w:numPr>
              <w:spacing w:line="360" w:lineRule="auto"/>
              <w:ind w:firstLineChars="0"/>
              <w:rPr>
                <w:rFonts w:ascii="宋体" w:hAnsi="宋体"/>
                <w:color w:val="auto"/>
                <w:highlight w:val="none"/>
              </w:rPr>
            </w:pPr>
            <w:r>
              <w:rPr>
                <w:rFonts w:hint="eastAsia" w:ascii="宋体" w:hAnsi="宋体"/>
                <w:color w:val="auto"/>
                <w:highlight w:val="none"/>
              </w:rPr>
              <w:t>可以按科室统计不同分数区间得分人数；</w:t>
            </w:r>
          </w:p>
          <w:p w14:paraId="6CE05974">
            <w:pPr>
              <w:pStyle w:val="77"/>
              <w:widowControl/>
              <w:numPr>
                <w:ilvl w:val="0"/>
                <w:numId w:val="57"/>
              </w:numPr>
              <w:spacing w:line="360" w:lineRule="auto"/>
              <w:ind w:firstLineChars="0"/>
              <w:rPr>
                <w:rFonts w:ascii="宋体" w:hAnsi="宋体"/>
                <w:color w:val="auto"/>
                <w:highlight w:val="none"/>
              </w:rPr>
            </w:pPr>
            <w:r>
              <w:rPr>
                <w:rFonts w:hint="eastAsia" w:ascii="宋体" w:hAnsi="宋体"/>
                <w:color w:val="auto"/>
                <w:highlight w:val="none"/>
              </w:rPr>
              <w:t>用户自主选择在线考试时间，考试时自动时间提示；</w:t>
            </w:r>
          </w:p>
          <w:p w14:paraId="75D4B099">
            <w:pPr>
              <w:pStyle w:val="77"/>
              <w:widowControl/>
              <w:numPr>
                <w:ilvl w:val="0"/>
                <w:numId w:val="57"/>
              </w:numPr>
              <w:spacing w:line="360" w:lineRule="auto"/>
              <w:ind w:firstLineChars="0"/>
              <w:rPr>
                <w:rFonts w:ascii="宋体" w:hAnsi="宋体"/>
                <w:color w:val="auto"/>
                <w:highlight w:val="none"/>
              </w:rPr>
            </w:pPr>
            <w:r>
              <w:rPr>
                <w:rFonts w:hint="eastAsia" w:ascii="宋体" w:hAnsi="宋体"/>
                <w:color w:val="auto"/>
                <w:highlight w:val="none"/>
              </w:rPr>
              <w:t>试卷对不同用户、用户组配置功能；</w:t>
            </w:r>
          </w:p>
          <w:p w14:paraId="7B87C85A">
            <w:pPr>
              <w:pStyle w:val="77"/>
              <w:widowControl/>
              <w:numPr>
                <w:ilvl w:val="0"/>
                <w:numId w:val="57"/>
              </w:numPr>
              <w:spacing w:line="360" w:lineRule="auto"/>
              <w:ind w:firstLineChars="0"/>
              <w:rPr>
                <w:color w:val="auto"/>
                <w:highlight w:val="none"/>
              </w:rPr>
            </w:pPr>
            <w:r>
              <w:rPr>
                <w:rFonts w:hint="eastAsia" w:ascii="宋体" w:hAnsi="宋体"/>
                <w:color w:val="auto"/>
                <w:highlight w:val="none"/>
              </w:rPr>
              <w:t>提供在线专题练习、自动评分、自动解析功能；</w:t>
            </w:r>
          </w:p>
        </w:tc>
      </w:tr>
    </w:tbl>
    <w:p w14:paraId="558EA7E8">
      <w:pPr>
        <w:rPr>
          <w:rFonts w:ascii="宋体" w:hAnsi="宋体"/>
          <w:color w:val="auto"/>
          <w:highlight w:val="none"/>
        </w:rPr>
      </w:pPr>
    </w:p>
    <w:p w14:paraId="5927D27B">
      <w:pPr>
        <w:pStyle w:val="3"/>
        <w:keepNext/>
        <w:keepLines/>
        <w:pageBreakBefore/>
        <w:numPr>
          <w:ilvl w:val="1"/>
          <w:numId w:val="9"/>
        </w:numPr>
        <w:spacing w:before="480" w:after="80"/>
        <w:ind w:left="992" w:hanging="567"/>
        <w:jc w:val="both"/>
        <w:rPr>
          <w:rFonts w:ascii="宋体" w:hAnsi="宋体"/>
          <w:b/>
          <w:bCs/>
          <w:color w:val="auto"/>
          <w:sz w:val="30"/>
          <w:szCs w:val="30"/>
          <w:highlight w:val="none"/>
        </w:rPr>
      </w:pPr>
      <w:r>
        <w:rPr>
          <w:rFonts w:hint="eastAsia" w:ascii="宋体" w:hAnsi="宋体"/>
          <w:b/>
          <w:bCs/>
          <w:color w:val="auto"/>
          <w:kern w:val="2"/>
          <w:sz w:val="30"/>
          <w:szCs w:val="30"/>
          <w:highlight w:val="none"/>
        </w:rPr>
        <w:t>基础信息维护系统建设需求</w:t>
      </w:r>
    </w:p>
    <w:tbl>
      <w:tblPr>
        <w:tblStyle w:val="4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7"/>
        <w:gridCol w:w="1542"/>
        <w:gridCol w:w="17"/>
        <w:gridCol w:w="10941"/>
      </w:tblGrid>
      <w:tr w14:paraId="0EC09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 w:hRule="atLeast"/>
          <w:jc w:val="center"/>
        </w:trPr>
        <w:tc>
          <w:tcPr>
            <w:tcW w:w="1377" w:type="dxa"/>
            <w:shd w:val="clear" w:color="auto" w:fill="FFFFFF"/>
            <w:vAlign w:val="center"/>
          </w:tcPr>
          <w:p w14:paraId="67C29C09">
            <w:pPr>
              <w:jc w:val="center"/>
              <w:rPr>
                <w:rFonts w:ascii="宋体" w:hAnsi="宋体" w:cs="宋体"/>
                <w:color w:val="auto"/>
                <w:szCs w:val="21"/>
                <w:highlight w:val="none"/>
              </w:rPr>
            </w:pPr>
            <w:r>
              <w:rPr>
                <w:rFonts w:hint="eastAsia" w:ascii="宋体" w:hAnsi="宋体" w:cs="宋体"/>
                <w:color w:val="auto"/>
                <w:kern w:val="0"/>
                <w:szCs w:val="21"/>
                <w:highlight w:val="none"/>
              </w:rPr>
              <w:t>需求名称</w:t>
            </w:r>
          </w:p>
        </w:tc>
        <w:tc>
          <w:tcPr>
            <w:tcW w:w="1542" w:type="dxa"/>
            <w:shd w:val="clear" w:color="auto" w:fill="FFFFFF"/>
            <w:vAlign w:val="center"/>
          </w:tcPr>
          <w:p w14:paraId="2FE8FFEE">
            <w:pPr>
              <w:jc w:val="center"/>
              <w:rPr>
                <w:rFonts w:ascii="宋体" w:hAnsi="宋体"/>
                <w:color w:val="auto"/>
                <w:szCs w:val="21"/>
                <w:highlight w:val="none"/>
              </w:rPr>
            </w:pPr>
            <w:r>
              <w:rPr>
                <w:rFonts w:hint="eastAsia" w:ascii="宋体" w:hAnsi="宋体" w:cs="宋体"/>
                <w:color w:val="auto"/>
                <w:kern w:val="0"/>
                <w:szCs w:val="21"/>
                <w:highlight w:val="none"/>
              </w:rPr>
              <w:t>序号</w:t>
            </w:r>
          </w:p>
        </w:tc>
        <w:tc>
          <w:tcPr>
            <w:tcW w:w="10958" w:type="dxa"/>
            <w:gridSpan w:val="2"/>
            <w:shd w:val="clear" w:color="auto" w:fill="FFFFFF"/>
            <w:vAlign w:val="center"/>
          </w:tcPr>
          <w:p w14:paraId="18AF0E34">
            <w:pPr>
              <w:jc w:val="center"/>
              <w:rPr>
                <w:rFonts w:ascii="宋体" w:hAnsi="宋体"/>
                <w:color w:val="auto"/>
                <w:szCs w:val="21"/>
                <w:highlight w:val="none"/>
              </w:rPr>
            </w:pPr>
            <w:r>
              <w:rPr>
                <w:rFonts w:hint="eastAsia" w:ascii="宋体" w:hAnsi="宋体" w:cs="宋体"/>
                <w:color w:val="auto"/>
                <w:kern w:val="0"/>
                <w:szCs w:val="21"/>
                <w:highlight w:val="none"/>
              </w:rPr>
              <w:t>需求描述</w:t>
            </w:r>
          </w:p>
        </w:tc>
      </w:tr>
      <w:tr w14:paraId="5BC98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 w:hRule="atLeast"/>
          <w:jc w:val="center"/>
        </w:trPr>
        <w:tc>
          <w:tcPr>
            <w:tcW w:w="1377" w:type="dxa"/>
            <w:vMerge w:val="restart"/>
            <w:shd w:val="clear" w:color="auto" w:fill="FFFFFF"/>
            <w:vAlign w:val="center"/>
          </w:tcPr>
          <w:p w14:paraId="0CACAFF6">
            <w:pPr>
              <w:numPr>
                <w:ilvl w:val="0"/>
                <w:numId w:val="11"/>
              </w:numPr>
              <w:rPr>
                <w:rFonts w:ascii="宋体" w:hAnsi="宋体" w:cs="宋体"/>
                <w:color w:val="auto"/>
                <w:szCs w:val="21"/>
                <w:highlight w:val="none"/>
              </w:rPr>
            </w:pPr>
            <w:r>
              <w:rPr>
                <w:rFonts w:hint="eastAsia" w:ascii="宋体" w:hAnsi="宋体" w:cs="宋体"/>
                <w:color w:val="auto"/>
                <w:szCs w:val="21"/>
                <w:highlight w:val="none"/>
              </w:rPr>
              <w:t>基础信息维护系统</w:t>
            </w:r>
          </w:p>
        </w:tc>
        <w:tc>
          <w:tcPr>
            <w:tcW w:w="12500" w:type="dxa"/>
            <w:gridSpan w:val="3"/>
            <w:shd w:val="clear" w:color="auto" w:fill="FFFFFF"/>
            <w:vAlign w:val="center"/>
          </w:tcPr>
          <w:p w14:paraId="57E7342D">
            <w:pPr>
              <w:numPr>
                <w:ilvl w:val="1"/>
                <w:numId w:val="11"/>
              </w:numPr>
              <w:ind w:left="0" w:firstLine="0"/>
              <w:rPr>
                <w:rFonts w:ascii="宋体" w:hAnsi="宋体" w:cs="宋体"/>
                <w:color w:val="auto"/>
                <w:kern w:val="0"/>
                <w:szCs w:val="21"/>
                <w:highlight w:val="none"/>
              </w:rPr>
            </w:pPr>
            <w:r>
              <w:rPr>
                <w:rFonts w:hint="eastAsia" w:ascii="宋体" w:hAnsi="宋体"/>
                <w:color w:val="auto"/>
                <w:szCs w:val="21"/>
                <w:highlight w:val="none"/>
              </w:rPr>
              <w:t>统一门户域</w:t>
            </w:r>
          </w:p>
        </w:tc>
      </w:tr>
      <w:tr w14:paraId="534F0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5DE455A1">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1BB5FB06">
            <w:pPr>
              <w:numPr>
                <w:ilvl w:val="2"/>
                <w:numId w:val="11"/>
              </w:numPr>
              <w:ind w:left="0" w:firstLine="0"/>
              <w:rPr>
                <w:rFonts w:ascii="宋体" w:hAnsi="宋体"/>
                <w:color w:val="auto"/>
                <w:highlight w:val="none"/>
              </w:rPr>
            </w:pPr>
            <w:r>
              <w:rPr>
                <w:rFonts w:hint="eastAsia" w:ascii="宋体" w:hAnsi="宋体"/>
                <w:color w:val="auto"/>
                <w:highlight w:val="none"/>
              </w:rPr>
              <w:t>租户管理</w:t>
            </w:r>
          </w:p>
        </w:tc>
        <w:tc>
          <w:tcPr>
            <w:tcW w:w="10941" w:type="dxa"/>
            <w:shd w:val="clear" w:color="auto" w:fill="FFFFFF"/>
            <w:vAlign w:val="center"/>
          </w:tcPr>
          <w:p w14:paraId="2F6BE07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提供产品销售包配置，针对不同规模的医院可制定对应的产品销售包，每个销售包可自行选择需要的产品及产品功能；</w:t>
            </w:r>
          </w:p>
          <w:p w14:paraId="588FBD9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提供租户产品配置，每个租户可关联一个产品销售包，允许修改所关联产品销售包预定义的产品功能；租户一般为医联体、医疗集团、多院区医院，一个租户下存在多个医疗机构；</w:t>
            </w:r>
          </w:p>
          <w:p w14:paraId="1D68AA0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提供基础数据账户配置，每个基础数据账户下包含一套基础数据；支持一个租户下的多个医疗机构可共用一套基础数据，也可分开管理；</w:t>
            </w:r>
          </w:p>
        </w:tc>
      </w:tr>
      <w:tr w14:paraId="518CB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19DA3F33">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64B734C8">
            <w:pPr>
              <w:numPr>
                <w:ilvl w:val="2"/>
                <w:numId w:val="11"/>
              </w:numPr>
              <w:ind w:left="0" w:firstLine="0"/>
              <w:rPr>
                <w:rFonts w:ascii="宋体" w:hAnsi="宋体"/>
                <w:color w:val="auto"/>
                <w:highlight w:val="none"/>
              </w:rPr>
            </w:pPr>
            <w:r>
              <w:rPr>
                <w:rFonts w:hint="eastAsia" w:ascii="宋体" w:hAnsi="宋体"/>
                <w:color w:val="auto"/>
                <w:highlight w:val="none"/>
              </w:rPr>
              <w:t>组织管理</w:t>
            </w:r>
          </w:p>
        </w:tc>
        <w:tc>
          <w:tcPr>
            <w:tcW w:w="10941" w:type="dxa"/>
            <w:shd w:val="clear" w:color="auto" w:fill="FFFFFF"/>
            <w:vAlign w:val="center"/>
          </w:tcPr>
          <w:p w14:paraId="6370D1C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提供机构配置功能，包括医疗机构、供应商、生产厂家、合作单位、客户单位等机构的维护；</w:t>
            </w:r>
          </w:p>
          <w:p w14:paraId="7A2C48B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机构归属于租户，默认使用租户的基础数据账户，但也可以设置独立的基础数据账户；</w:t>
            </w:r>
          </w:p>
          <w:p w14:paraId="0FEF29C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支持机构间业务关系维护，如机构间相互转诊业务、机构间互相挂号、机构间互相结算等；</w:t>
            </w:r>
          </w:p>
          <w:p w14:paraId="65230DF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提供部门配置功能，包括部门/科室、小组/团队、医疗组、护理组、窗口、诊室等部门的维护；</w:t>
            </w:r>
          </w:p>
          <w:p w14:paraId="0CDB7F9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部门区分类型，包括医疗、专科、全科、护理、治疗、药房、放射、检验等，根据不同的类型维护不同的属性；</w:t>
            </w:r>
          </w:p>
          <w:p w14:paraId="5BB9B86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支持部门间业务关系维护，如就诊科室与护理单元关系、药房与病区发放关系、手术室与麻醉室关系等；</w:t>
            </w:r>
          </w:p>
          <w:p w14:paraId="7EE4931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提供人员配置功能，新增医疗机构的用户信息，设置用户角色和所属部门；</w:t>
            </w:r>
          </w:p>
          <w:p w14:paraId="21EB0E3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提供库存配置功能；</w:t>
            </w:r>
          </w:p>
        </w:tc>
      </w:tr>
      <w:tr w14:paraId="4FD1A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1DD635C4">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3DD956FA">
            <w:pPr>
              <w:numPr>
                <w:ilvl w:val="2"/>
                <w:numId w:val="11"/>
              </w:numPr>
              <w:ind w:left="0" w:firstLine="0"/>
              <w:rPr>
                <w:rFonts w:ascii="宋体" w:hAnsi="宋体"/>
                <w:color w:val="auto"/>
                <w:highlight w:val="none"/>
              </w:rPr>
            </w:pPr>
            <w:r>
              <w:rPr>
                <w:rFonts w:hint="eastAsia" w:ascii="宋体" w:hAnsi="宋体"/>
                <w:color w:val="auto"/>
                <w:highlight w:val="none"/>
              </w:rPr>
              <w:t>权限管理</w:t>
            </w:r>
          </w:p>
        </w:tc>
        <w:tc>
          <w:tcPr>
            <w:tcW w:w="10941" w:type="dxa"/>
            <w:shd w:val="clear" w:color="auto" w:fill="FFFFFF"/>
            <w:vAlign w:val="center"/>
          </w:tcPr>
          <w:p w14:paraId="55EA863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提供用户角色配置功能，包括管理员、收费员、主治医师、主任医师、病区护士、技师、药剂师等；</w:t>
            </w:r>
          </w:p>
          <w:p w14:paraId="212AE9A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提供功能配置，自定义系统的产品功能；</w:t>
            </w:r>
          </w:p>
          <w:p w14:paraId="065396E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提供部门权限配置；</w:t>
            </w:r>
          </w:p>
        </w:tc>
      </w:tr>
      <w:tr w14:paraId="33C24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38D9B4FA">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13009B09">
            <w:pPr>
              <w:numPr>
                <w:ilvl w:val="2"/>
                <w:numId w:val="11"/>
              </w:numPr>
              <w:ind w:left="0" w:firstLine="0"/>
              <w:rPr>
                <w:rFonts w:ascii="宋体" w:hAnsi="宋体"/>
                <w:color w:val="auto"/>
                <w:highlight w:val="none"/>
              </w:rPr>
            </w:pPr>
            <w:r>
              <w:rPr>
                <w:rFonts w:hint="eastAsia" w:ascii="宋体" w:hAnsi="宋体"/>
                <w:color w:val="auto"/>
                <w:highlight w:val="none"/>
              </w:rPr>
              <w:t>标准管理</w:t>
            </w:r>
          </w:p>
        </w:tc>
        <w:tc>
          <w:tcPr>
            <w:tcW w:w="10941" w:type="dxa"/>
            <w:shd w:val="clear" w:color="auto" w:fill="FFFFFF"/>
            <w:vAlign w:val="center"/>
          </w:tcPr>
          <w:p w14:paraId="1948754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支持数据类字典维护功能，如保险计划、皮试液类型、包装单位类型、疾病分类等等；</w:t>
            </w:r>
          </w:p>
          <w:p w14:paraId="0BC8B3F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支持系统参数配置，包括参数生效时间、失效时间、默认值的设置；</w:t>
            </w:r>
          </w:p>
          <w:p w14:paraId="2DACA58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提供字典回收站功能；</w:t>
            </w:r>
          </w:p>
          <w:p w14:paraId="5358137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提供参数限定配置功能，可设置参数使用的限定条件；</w:t>
            </w:r>
          </w:p>
          <w:p w14:paraId="74EFEF7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提供标准编码配置功能，如静配中心配置条码、打包条码、装箱条码的生成规则配置；</w:t>
            </w:r>
          </w:p>
        </w:tc>
      </w:tr>
      <w:tr w14:paraId="2AD59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3F4E22A5">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3393DBB9">
            <w:pPr>
              <w:numPr>
                <w:ilvl w:val="2"/>
                <w:numId w:val="11"/>
              </w:numPr>
              <w:ind w:left="0" w:firstLine="0"/>
              <w:rPr>
                <w:rFonts w:ascii="宋体" w:hAnsi="宋体"/>
                <w:color w:val="auto"/>
                <w:highlight w:val="none"/>
              </w:rPr>
            </w:pPr>
            <w:r>
              <w:rPr>
                <w:rFonts w:hint="eastAsia" w:ascii="宋体" w:hAnsi="宋体"/>
                <w:color w:val="auto"/>
                <w:highlight w:val="none"/>
              </w:rPr>
              <w:t>日历日期</w:t>
            </w:r>
          </w:p>
        </w:tc>
        <w:tc>
          <w:tcPr>
            <w:tcW w:w="10941" w:type="dxa"/>
            <w:shd w:val="clear" w:color="auto" w:fill="FFFFFF"/>
            <w:vAlign w:val="center"/>
          </w:tcPr>
          <w:p w14:paraId="4A61227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提供日历日期维护；</w:t>
            </w:r>
          </w:p>
          <w:p w14:paraId="0B75374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提供日历日期分组维护，用来维护每一种排班（比如门诊排班）的时间划分；</w:t>
            </w:r>
          </w:p>
        </w:tc>
      </w:tr>
      <w:tr w14:paraId="7DB19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605A270D">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7D98FAB5">
            <w:pPr>
              <w:numPr>
                <w:ilvl w:val="2"/>
                <w:numId w:val="11"/>
              </w:numPr>
              <w:ind w:left="0" w:firstLine="0"/>
              <w:rPr>
                <w:rFonts w:ascii="宋体" w:hAnsi="宋体"/>
                <w:color w:val="auto"/>
                <w:highlight w:val="none"/>
              </w:rPr>
            </w:pPr>
            <w:r>
              <w:rPr>
                <w:rFonts w:hint="eastAsia" w:ascii="宋体" w:hAnsi="宋体"/>
                <w:color w:val="auto"/>
                <w:highlight w:val="none"/>
              </w:rPr>
              <w:t>选项设置</w:t>
            </w:r>
          </w:p>
        </w:tc>
        <w:tc>
          <w:tcPr>
            <w:tcW w:w="10941" w:type="dxa"/>
            <w:shd w:val="clear" w:color="auto" w:fill="FFFFFF"/>
            <w:vAlign w:val="center"/>
          </w:tcPr>
          <w:p w14:paraId="70D6DB8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提供用户设置、系统设置、全局设置、单点登录维护功能；</w:t>
            </w:r>
          </w:p>
        </w:tc>
      </w:tr>
      <w:tr w14:paraId="1CB72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21C7BA02">
            <w:pPr>
              <w:numPr>
                <w:ilvl w:val="1"/>
                <w:numId w:val="11"/>
              </w:numPr>
              <w:ind w:left="0" w:firstLine="0"/>
              <w:rPr>
                <w:rFonts w:ascii="宋体" w:hAnsi="宋体"/>
                <w:color w:val="auto"/>
                <w:szCs w:val="21"/>
                <w:highlight w:val="none"/>
              </w:rPr>
            </w:pPr>
          </w:p>
        </w:tc>
        <w:tc>
          <w:tcPr>
            <w:tcW w:w="12500" w:type="dxa"/>
            <w:gridSpan w:val="3"/>
            <w:shd w:val="clear" w:color="auto" w:fill="FFFFFF"/>
            <w:vAlign w:val="center"/>
          </w:tcPr>
          <w:p w14:paraId="063790B5">
            <w:pPr>
              <w:numPr>
                <w:ilvl w:val="1"/>
                <w:numId w:val="11"/>
              </w:numPr>
              <w:ind w:left="0" w:firstLine="0"/>
              <w:rPr>
                <w:rFonts w:ascii="宋体" w:hAnsi="宋体"/>
                <w:color w:val="auto"/>
                <w:szCs w:val="21"/>
                <w:highlight w:val="none"/>
              </w:rPr>
            </w:pPr>
            <w:r>
              <w:rPr>
                <w:rFonts w:hint="eastAsia" w:ascii="宋体" w:hAnsi="宋体"/>
                <w:color w:val="auto"/>
                <w:szCs w:val="21"/>
                <w:highlight w:val="none"/>
              </w:rPr>
              <w:t>基础数据域</w:t>
            </w:r>
          </w:p>
        </w:tc>
      </w:tr>
      <w:tr w14:paraId="6C1F9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39B275E4">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0E617290">
            <w:pPr>
              <w:numPr>
                <w:ilvl w:val="2"/>
                <w:numId w:val="11"/>
              </w:numPr>
              <w:ind w:left="0" w:firstLine="0"/>
              <w:rPr>
                <w:rFonts w:ascii="宋体" w:hAnsi="宋体"/>
                <w:color w:val="auto"/>
                <w:highlight w:val="none"/>
              </w:rPr>
            </w:pPr>
            <w:r>
              <w:rPr>
                <w:rFonts w:hint="eastAsia" w:ascii="宋体" w:hAnsi="宋体"/>
                <w:color w:val="auto"/>
                <w:highlight w:val="none"/>
              </w:rPr>
              <w:t>医健服务</w:t>
            </w:r>
          </w:p>
        </w:tc>
        <w:tc>
          <w:tcPr>
            <w:tcW w:w="10941" w:type="dxa"/>
            <w:shd w:val="clear" w:color="auto" w:fill="FFFFFF"/>
            <w:vAlign w:val="center"/>
          </w:tcPr>
          <w:p w14:paraId="4B74C3C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支持医健服务项目的增加，修改与注销；</w:t>
            </w:r>
          </w:p>
          <w:p w14:paraId="5987450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支持医健服务项目变动的审核功能；</w:t>
            </w:r>
          </w:p>
          <w:p w14:paraId="356F8C3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支持各类医健服务的组合类型，包括非组合项、指标组合项、服务组合项、服务组合包；</w:t>
            </w:r>
          </w:p>
          <w:p w14:paraId="1363B53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支持检验、检查、手术、治疗、护理、饮食、出院、会诊、转科、费用项目维护，可设置基本属性、扩展属性；</w:t>
            </w:r>
          </w:p>
          <w:p w14:paraId="732BA32B">
            <w:pPr>
              <w:numPr>
                <w:ilvl w:val="0"/>
                <w:numId w:val="12"/>
              </w:numPr>
              <w:tabs>
                <w:tab w:val="left" w:pos="525"/>
                <w:tab w:val="left" w:pos="630"/>
              </w:tabs>
              <w:rPr>
                <w:rFonts w:ascii="宋体" w:hAnsi="宋体" w:cs="宋体"/>
                <w:bCs/>
                <w:color w:val="auto"/>
                <w:szCs w:val="21"/>
                <w:highlight w:val="none"/>
              </w:rPr>
            </w:pPr>
            <w:r>
              <w:rPr>
                <w:rFonts w:hint="eastAsia" w:ascii="宋体" w:hAnsi="宋体" w:cs="宋体"/>
                <w:bCs/>
                <w:color w:val="auto"/>
                <w:szCs w:val="21"/>
                <w:highlight w:val="none"/>
              </w:rPr>
              <w:t>支持服务项目可配置指定医嘱医疗单，实现个性化开嘱；</w:t>
            </w:r>
          </w:p>
        </w:tc>
      </w:tr>
      <w:tr w14:paraId="6B4B1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1412AA32">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2B17F657">
            <w:pPr>
              <w:numPr>
                <w:ilvl w:val="2"/>
                <w:numId w:val="11"/>
              </w:numPr>
              <w:ind w:left="0" w:firstLine="0"/>
              <w:rPr>
                <w:rFonts w:ascii="宋体" w:hAnsi="宋体"/>
                <w:color w:val="auto"/>
                <w:highlight w:val="none"/>
              </w:rPr>
            </w:pPr>
            <w:r>
              <w:rPr>
                <w:rFonts w:hint="eastAsia" w:ascii="宋体" w:hAnsi="宋体"/>
                <w:color w:val="auto"/>
                <w:highlight w:val="none"/>
              </w:rPr>
              <w:t>医健物品</w:t>
            </w:r>
          </w:p>
        </w:tc>
        <w:tc>
          <w:tcPr>
            <w:tcW w:w="10941" w:type="dxa"/>
            <w:shd w:val="clear" w:color="auto" w:fill="FFFFFF"/>
            <w:vAlign w:val="center"/>
          </w:tcPr>
          <w:p w14:paraId="5152279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药品、材料等医疗物品维护，包括生产厂商、规格、基本单位、库存单位、价格、条码等信息维护。医健物品必须关联药品/耗材类服务项目，医生按服务项目(药品通用名、耗材通用名)开立医嘱，在执行节点绑定具体医疗物品扣减库存并计费；</w:t>
            </w:r>
          </w:p>
          <w:p w14:paraId="57C5D0B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提供医用耗材标准字典库，以国家药品监督管理局耗材为依据建立；</w:t>
            </w:r>
          </w:p>
          <w:p w14:paraId="5AE4651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支持医用耗材分类管理，共8大类，下分47个子类,121个子类。依据《医保耗材分类与代码》、《医院财务会计制度》标准分类；</w:t>
            </w:r>
          </w:p>
          <w:p w14:paraId="07077CE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支持医疗器械类耗材目录按68码分类进行管理；</w:t>
            </w:r>
          </w:p>
          <w:p w14:paraId="454E5C7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支持药品供应协议维护，维护物品与供应商之间的合同，一种医疗物品会有多家供应商，不同的供应商的价格不同；</w:t>
            </w:r>
          </w:p>
          <w:p w14:paraId="6A3E18D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支持仓库申领关系维护，维护药品库房、或材料库房之间物品的申领关系；</w:t>
            </w:r>
          </w:p>
        </w:tc>
      </w:tr>
      <w:tr w14:paraId="3F42C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3AC1AF4A">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336E6CF2">
            <w:pPr>
              <w:numPr>
                <w:ilvl w:val="2"/>
                <w:numId w:val="11"/>
              </w:numPr>
              <w:ind w:left="0" w:firstLine="0"/>
              <w:rPr>
                <w:rFonts w:ascii="宋体" w:hAnsi="宋体"/>
                <w:color w:val="auto"/>
                <w:highlight w:val="none"/>
              </w:rPr>
            </w:pPr>
            <w:r>
              <w:rPr>
                <w:rFonts w:hint="eastAsia" w:ascii="宋体" w:hAnsi="宋体"/>
                <w:color w:val="auto"/>
                <w:highlight w:val="none"/>
              </w:rPr>
              <w:t>手术项</w:t>
            </w:r>
          </w:p>
        </w:tc>
        <w:tc>
          <w:tcPr>
            <w:tcW w:w="10941" w:type="dxa"/>
            <w:shd w:val="clear" w:color="auto" w:fill="FFFFFF"/>
            <w:vAlign w:val="center"/>
          </w:tcPr>
          <w:p w14:paraId="2E56493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手术项目维护，遵循医保部门ICD-9-CM-3的编码规则，维护手术编码(章、类目、亚目、细目)、手术名称、手术时长、手术分级等信息，手术项必须关联手术类服务项目，医生按服务项目(手术通用名)申请手术，在执行节点绑定具体手术项进行计费；</w:t>
            </w:r>
          </w:p>
        </w:tc>
      </w:tr>
      <w:tr w14:paraId="39FEF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011A1894">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612D878E">
            <w:pPr>
              <w:numPr>
                <w:ilvl w:val="2"/>
                <w:numId w:val="11"/>
              </w:numPr>
              <w:ind w:left="0" w:firstLine="0"/>
              <w:rPr>
                <w:rFonts w:ascii="宋体" w:hAnsi="宋体"/>
                <w:color w:val="auto"/>
                <w:highlight w:val="none"/>
              </w:rPr>
            </w:pPr>
            <w:r>
              <w:rPr>
                <w:rFonts w:hint="eastAsia" w:ascii="宋体" w:hAnsi="宋体"/>
                <w:color w:val="auto"/>
                <w:highlight w:val="none"/>
              </w:rPr>
              <w:t>指标项</w:t>
            </w:r>
          </w:p>
        </w:tc>
        <w:tc>
          <w:tcPr>
            <w:tcW w:w="10941" w:type="dxa"/>
            <w:shd w:val="clear" w:color="auto" w:fill="FFFFFF"/>
            <w:vAlign w:val="center"/>
          </w:tcPr>
          <w:p w14:paraId="2AB64FB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支持检验项目指标项维护，一个检验类服务项目可以关联多个检验项目指标项，医嘱开立时可以选择开立一个或多个指标项；</w:t>
            </w:r>
          </w:p>
          <w:p w14:paraId="2F1D11D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支持检查部位指标项维护，一个检查类服务项目可以对应多个检查部位指标项，医嘱开立时可以选择开立一个或多个指标项；</w:t>
            </w:r>
          </w:p>
          <w:p w14:paraId="0941862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支持护理指标项维护，一个护理类服务项目可以对应多个护理指标项，医嘱开立时可以选择开立一个或多个指标项；</w:t>
            </w:r>
          </w:p>
          <w:p w14:paraId="31C51A8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支持血液成分指标项维护，一个血液类服务项目只可以对应一个护理指标项；</w:t>
            </w:r>
          </w:p>
          <w:p w14:paraId="71969C8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支持指标组合服务项目按指标个数范围进行定价。</w:t>
            </w:r>
          </w:p>
        </w:tc>
      </w:tr>
      <w:tr w14:paraId="7A419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04A2747B">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675B3380">
            <w:pPr>
              <w:numPr>
                <w:ilvl w:val="2"/>
                <w:numId w:val="11"/>
              </w:numPr>
              <w:ind w:left="0" w:firstLine="0"/>
              <w:rPr>
                <w:rFonts w:ascii="宋体" w:hAnsi="宋体"/>
                <w:color w:val="auto"/>
                <w:highlight w:val="none"/>
              </w:rPr>
            </w:pPr>
            <w:r>
              <w:rPr>
                <w:rFonts w:hint="eastAsia" w:ascii="宋体" w:hAnsi="宋体"/>
                <w:color w:val="auto"/>
                <w:highlight w:val="none"/>
              </w:rPr>
              <w:t>疾病与健康</w:t>
            </w:r>
          </w:p>
        </w:tc>
        <w:tc>
          <w:tcPr>
            <w:tcW w:w="10941" w:type="dxa"/>
            <w:shd w:val="clear" w:color="auto" w:fill="FFFFFF"/>
            <w:vAlign w:val="center"/>
          </w:tcPr>
          <w:p w14:paraId="30D3A4C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支持疾病编码维护，包括中医疾病编码和西医疾病编码，采用国际疾病分类ICD10标准，维护疾病名称、代码及疾病的限制条件，如性别、年龄、治愈方式、控制方式；</w:t>
            </w:r>
          </w:p>
          <w:p w14:paraId="4264E94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支持健康问题维护，按照国家标准维护一套健康问题，说明健康所属的国家体系。同时，健康必须关联疾病；</w:t>
            </w:r>
          </w:p>
          <w:p w14:paraId="34569FE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支持主诉术语维护，设计一套医嘱陈述的标准。如程度术语、方位术语、部位术语、症状术语、期间术语；</w:t>
            </w:r>
          </w:p>
        </w:tc>
      </w:tr>
      <w:tr w14:paraId="3D5D5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41C8F142">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54DC4BDD">
            <w:pPr>
              <w:numPr>
                <w:ilvl w:val="2"/>
                <w:numId w:val="11"/>
              </w:numPr>
              <w:ind w:left="0" w:firstLine="0"/>
              <w:rPr>
                <w:rFonts w:ascii="宋体" w:hAnsi="宋体"/>
                <w:color w:val="auto"/>
                <w:highlight w:val="none"/>
              </w:rPr>
            </w:pPr>
            <w:r>
              <w:rPr>
                <w:rFonts w:hint="eastAsia" w:ascii="宋体" w:hAnsi="宋体"/>
                <w:color w:val="auto"/>
                <w:highlight w:val="none"/>
              </w:rPr>
              <w:t>频次用法</w:t>
            </w:r>
          </w:p>
        </w:tc>
        <w:tc>
          <w:tcPr>
            <w:tcW w:w="10941" w:type="dxa"/>
            <w:shd w:val="clear" w:color="auto" w:fill="FFFFFF"/>
            <w:vAlign w:val="center"/>
          </w:tcPr>
          <w:p w14:paraId="225743C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支持服务频次维护，频次类型包括重复类型(Bid、Tid)、临时类型(St、Qd)、持续类型(q1h、q8h)、计划类型和备用类型；</w:t>
            </w:r>
          </w:p>
          <w:p w14:paraId="08D0627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支持服务用法及用法要求维护，用法需绑定服务类型，如西药及中成药用法及用法要求(口服，早晚各一次)，草药用法及用法要求(煎服，睡前复用)；</w:t>
            </w:r>
          </w:p>
        </w:tc>
      </w:tr>
      <w:tr w14:paraId="47744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41B3417E">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14E45D30">
            <w:pPr>
              <w:numPr>
                <w:ilvl w:val="2"/>
                <w:numId w:val="11"/>
              </w:numPr>
              <w:ind w:left="0" w:firstLine="0"/>
              <w:rPr>
                <w:rFonts w:ascii="宋体" w:hAnsi="宋体"/>
                <w:color w:val="auto"/>
                <w:highlight w:val="none"/>
              </w:rPr>
            </w:pPr>
            <w:r>
              <w:rPr>
                <w:rFonts w:hint="eastAsia" w:ascii="宋体" w:hAnsi="宋体"/>
                <w:color w:val="auto"/>
                <w:highlight w:val="none"/>
              </w:rPr>
              <w:t>服务模板</w:t>
            </w:r>
          </w:p>
        </w:tc>
        <w:tc>
          <w:tcPr>
            <w:tcW w:w="10941" w:type="dxa"/>
            <w:shd w:val="clear" w:color="auto" w:fill="FFFFFF"/>
            <w:vAlign w:val="center"/>
          </w:tcPr>
          <w:p w14:paraId="17D7A8D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支持服务开立模板维护，将多个服务项目进行组合，形成一个服务模板，在医嘱开立时直接调用预定义的服务模板就可以将这组服务项目一并开立。服务模板的应用范围可以是机构、部门/科室、个人；</w:t>
            </w:r>
          </w:p>
        </w:tc>
      </w:tr>
      <w:tr w14:paraId="5E401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5273BB09">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3CDB2362">
            <w:pPr>
              <w:numPr>
                <w:ilvl w:val="2"/>
                <w:numId w:val="11"/>
              </w:numPr>
              <w:ind w:left="0" w:firstLine="0"/>
              <w:rPr>
                <w:rFonts w:ascii="宋体" w:hAnsi="宋体"/>
                <w:color w:val="auto"/>
                <w:highlight w:val="none"/>
              </w:rPr>
            </w:pPr>
            <w:r>
              <w:rPr>
                <w:rFonts w:hint="eastAsia" w:ascii="宋体" w:hAnsi="宋体"/>
                <w:color w:val="auto"/>
                <w:highlight w:val="none"/>
              </w:rPr>
              <w:t>医健服务其他</w:t>
            </w:r>
          </w:p>
        </w:tc>
        <w:tc>
          <w:tcPr>
            <w:tcW w:w="10941" w:type="dxa"/>
            <w:shd w:val="clear" w:color="auto" w:fill="FFFFFF"/>
            <w:vAlign w:val="center"/>
          </w:tcPr>
          <w:p w14:paraId="3DE93BA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支持药品、手术、检查、检验等服务开立权限维护，对开立人员、开立级别、开立数量、开立天数进行控制，如抗生素开立权限管理，精神类药品开立权限管理；</w:t>
            </w:r>
          </w:p>
          <w:p w14:paraId="37A2090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支持多个服务同时开立的互斥规则维护，有提醒、禁止、停止、全排斥；</w:t>
            </w:r>
          </w:p>
        </w:tc>
      </w:tr>
      <w:tr w14:paraId="2B2B3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5C22B8D4">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3B198A56">
            <w:pPr>
              <w:numPr>
                <w:ilvl w:val="2"/>
                <w:numId w:val="11"/>
              </w:numPr>
              <w:ind w:left="0" w:firstLine="0"/>
              <w:rPr>
                <w:rFonts w:ascii="宋体" w:hAnsi="宋体"/>
                <w:color w:val="auto"/>
                <w:highlight w:val="none"/>
              </w:rPr>
            </w:pPr>
            <w:r>
              <w:rPr>
                <w:rFonts w:hint="eastAsia" w:ascii="宋体" w:hAnsi="宋体"/>
                <w:color w:val="auto"/>
                <w:highlight w:val="none"/>
              </w:rPr>
              <w:t>医健流程及记录</w:t>
            </w:r>
          </w:p>
        </w:tc>
        <w:tc>
          <w:tcPr>
            <w:tcW w:w="10941" w:type="dxa"/>
            <w:shd w:val="clear" w:color="auto" w:fill="FFFFFF"/>
            <w:vAlign w:val="center"/>
          </w:tcPr>
          <w:p w14:paraId="5DDCDF9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支持院内就诊流程维护，患者院内就医进入一个具体的流程，就医结束流程。院内流程包括门诊、住院、体检、急诊等流程。在进入流程时，需要关联不同的流程点和票据；</w:t>
            </w:r>
          </w:p>
          <w:p w14:paraId="7D7B196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支持医嘱流向维护，在医嘱执行中，服务项目的流向科室，可以根据服务类型、用法、时刻确定执行科室；</w:t>
            </w:r>
          </w:p>
          <w:p w14:paraId="768A1A9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支持医健记录模板维护，满足业务中对于不同模板的需求，包括病历概要、门急诊病历、住院病案首页、入院记录、出院记录、住院病程记录、出院小结、护理计划等等；</w:t>
            </w:r>
          </w:p>
        </w:tc>
      </w:tr>
      <w:tr w14:paraId="2E1FF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32EDC580">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66BE9BA9">
            <w:pPr>
              <w:numPr>
                <w:ilvl w:val="2"/>
                <w:numId w:val="11"/>
              </w:numPr>
              <w:ind w:left="0" w:firstLine="0"/>
              <w:rPr>
                <w:rFonts w:ascii="宋体" w:hAnsi="宋体"/>
                <w:color w:val="auto"/>
                <w:highlight w:val="none"/>
              </w:rPr>
            </w:pPr>
            <w:r>
              <w:rPr>
                <w:rFonts w:hint="eastAsia" w:ascii="宋体" w:hAnsi="宋体"/>
                <w:color w:val="auto"/>
                <w:highlight w:val="none"/>
              </w:rPr>
              <w:t>医嘱状态</w:t>
            </w:r>
          </w:p>
        </w:tc>
        <w:tc>
          <w:tcPr>
            <w:tcW w:w="10941" w:type="dxa"/>
            <w:shd w:val="clear" w:color="auto" w:fill="FFFFFF"/>
            <w:vAlign w:val="center"/>
          </w:tcPr>
          <w:p w14:paraId="39668C4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支持医嘱状态维护，根据医健流程类型、服务项目类型定义医嘱过程状态，如住院流程的药品医嘱状态包括新开立、新签署、已提交、已复核、已退回、已发药等；</w:t>
            </w:r>
          </w:p>
        </w:tc>
      </w:tr>
      <w:tr w14:paraId="76BCF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1CA4E896">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7D7B9429">
            <w:pPr>
              <w:numPr>
                <w:ilvl w:val="2"/>
                <w:numId w:val="11"/>
              </w:numPr>
              <w:ind w:left="0" w:firstLine="0"/>
              <w:rPr>
                <w:rFonts w:ascii="宋体" w:hAnsi="宋体"/>
                <w:color w:val="auto"/>
                <w:highlight w:val="none"/>
              </w:rPr>
            </w:pPr>
            <w:r>
              <w:rPr>
                <w:rFonts w:hint="eastAsia" w:ascii="宋体" w:hAnsi="宋体"/>
                <w:color w:val="auto"/>
                <w:highlight w:val="none"/>
              </w:rPr>
              <w:t>价格策略</w:t>
            </w:r>
          </w:p>
        </w:tc>
        <w:tc>
          <w:tcPr>
            <w:tcW w:w="10941" w:type="dxa"/>
            <w:shd w:val="clear" w:color="auto" w:fill="FFFFFF"/>
            <w:vAlign w:val="center"/>
          </w:tcPr>
          <w:p w14:paraId="08EFE8A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支持价格策略维护，不同机构有着不同的价格策略；价格可以面向机构，也可以面向患者。面向机构一个机构使用统一的价格分类，面向患者提供多套价格体系；</w:t>
            </w:r>
          </w:p>
        </w:tc>
      </w:tr>
      <w:tr w14:paraId="6EDE6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4A4D6B07">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170FD9C4">
            <w:pPr>
              <w:numPr>
                <w:ilvl w:val="2"/>
                <w:numId w:val="11"/>
              </w:numPr>
              <w:ind w:left="0" w:firstLine="0"/>
              <w:rPr>
                <w:rFonts w:ascii="宋体" w:hAnsi="宋体"/>
                <w:color w:val="auto"/>
                <w:highlight w:val="none"/>
              </w:rPr>
            </w:pPr>
            <w:r>
              <w:rPr>
                <w:rFonts w:hint="eastAsia" w:ascii="宋体" w:hAnsi="宋体"/>
                <w:color w:val="auto"/>
                <w:highlight w:val="none"/>
              </w:rPr>
              <w:t>定价模式</w:t>
            </w:r>
          </w:p>
        </w:tc>
        <w:tc>
          <w:tcPr>
            <w:tcW w:w="10941" w:type="dxa"/>
            <w:shd w:val="clear" w:color="auto" w:fill="FFFFFF"/>
            <w:vAlign w:val="center"/>
          </w:tcPr>
          <w:p w14:paraId="5621EF1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提供定价模式维护，支持本服务定价、物品定价、服务组成员合计价、指标成员个数加收、指标成员个数定价、服务包成员合计价、服务包定价模式；</w:t>
            </w:r>
          </w:p>
        </w:tc>
      </w:tr>
      <w:tr w14:paraId="26B31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648BDDAA">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64C3B612">
            <w:pPr>
              <w:numPr>
                <w:ilvl w:val="2"/>
                <w:numId w:val="11"/>
              </w:numPr>
              <w:ind w:left="0" w:firstLine="0"/>
              <w:rPr>
                <w:rFonts w:ascii="宋体" w:hAnsi="宋体"/>
                <w:color w:val="auto"/>
                <w:highlight w:val="none"/>
              </w:rPr>
            </w:pPr>
            <w:r>
              <w:rPr>
                <w:rFonts w:hint="eastAsia" w:ascii="宋体" w:hAnsi="宋体"/>
                <w:color w:val="auto"/>
                <w:highlight w:val="none"/>
              </w:rPr>
              <w:t>执行策略</w:t>
            </w:r>
          </w:p>
        </w:tc>
        <w:tc>
          <w:tcPr>
            <w:tcW w:w="10941" w:type="dxa"/>
            <w:shd w:val="clear" w:color="auto" w:fill="FFFFFF"/>
            <w:vAlign w:val="center"/>
          </w:tcPr>
          <w:p w14:paraId="432CBF4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提供执行策略维护，根据流程类型、服务项目类型定义服务执行模式是院外执行_全部、在院执行_全部、在院执行_部分；</w:t>
            </w:r>
          </w:p>
        </w:tc>
      </w:tr>
      <w:tr w14:paraId="3135D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3FCC5788">
            <w:pPr>
              <w:rPr>
                <w:rFonts w:ascii="宋体" w:hAnsi="宋体" w:cs="宋体"/>
                <w:color w:val="auto"/>
                <w:szCs w:val="21"/>
                <w:highlight w:val="none"/>
              </w:rPr>
            </w:pPr>
          </w:p>
        </w:tc>
        <w:tc>
          <w:tcPr>
            <w:tcW w:w="1559" w:type="dxa"/>
            <w:gridSpan w:val="2"/>
            <w:shd w:val="clear" w:color="auto" w:fill="FFFFFF"/>
            <w:vAlign w:val="center"/>
          </w:tcPr>
          <w:p w14:paraId="1D46C012">
            <w:pPr>
              <w:rPr>
                <w:rFonts w:ascii="宋体" w:hAnsi="宋体"/>
                <w:color w:val="auto"/>
                <w:highlight w:val="none"/>
              </w:rPr>
            </w:pPr>
            <w:r>
              <w:rPr>
                <w:rFonts w:ascii="宋体" w:hAnsi="宋体"/>
                <w:color w:val="auto"/>
                <w:highlight w:val="none"/>
              </w:rPr>
              <w:t>530.1.1 床位维护管理</w:t>
            </w:r>
          </w:p>
        </w:tc>
        <w:tc>
          <w:tcPr>
            <w:tcW w:w="10941" w:type="dxa"/>
            <w:shd w:val="clear" w:color="auto" w:fill="FFFFFF"/>
            <w:vAlign w:val="center"/>
          </w:tcPr>
          <w:p w14:paraId="3E4326D7">
            <w:pPr>
              <w:tabs>
                <w:tab w:val="left" w:pos="525"/>
                <w:tab w:val="left" w:pos="630"/>
              </w:tabs>
              <w:spacing w:line="360" w:lineRule="auto"/>
              <w:rPr>
                <w:rFonts w:ascii="宋体" w:hAnsi="宋体" w:cs="宋体"/>
                <w:b/>
                <w:bCs/>
                <w:color w:val="auto"/>
                <w:szCs w:val="21"/>
                <w:highlight w:val="none"/>
                <w:shd w:val="clear" w:color="auto" w:fill="FFFF00"/>
              </w:rPr>
            </w:pPr>
            <w:r>
              <w:rPr>
                <w:rFonts w:hint="eastAsia" w:ascii="宋体" w:hAnsi="宋体" w:cs="宋体"/>
                <w:bCs/>
                <w:color w:val="auto"/>
                <w:szCs w:val="21"/>
                <w:highlight w:val="none"/>
              </w:rPr>
              <w:t>支持科室申请增加、减少或调整床位；支持批量增加、减少或调整床位；支持床位数量、床位属性、收费类型、床位位置、床位图标等编辑和维护；支持按科室、床位属性等检索、统计，支持统计结果导出。</w:t>
            </w:r>
          </w:p>
        </w:tc>
      </w:tr>
      <w:tr w14:paraId="7783A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79A0E6CF">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2CC38BE9">
            <w:pPr>
              <w:rPr>
                <w:rFonts w:ascii="宋体" w:hAnsi="宋体"/>
                <w:color w:val="auto"/>
                <w:highlight w:val="none"/>
              </w:rPr>
            </w:pPr>
            <w:r>
              <w:rPr>
                <w:rFonts w:hint="eastAsia" w:ascii="宋体" w:hAnsi="宋体"/>
                <w:color w:val="auto"/>
                <w:highlight w:val="none"/>
              </w:rPr>
              <w:t>531.1.1其它维护</w:t>
            </w:r>
          </w:p>
        </w:tc>
        <w:tc>
          <w:tcPr>
            <w:tcW w:w="10941" w:type="dxa"/>
            <w:shd w:val="clear" w:color="auto" w:fill="FFFFFF"/>
            <w:vAlign w:val="center"/>
          </w:tcPr>
          <w:p w14:paraId="64DB351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支持住院公共维护，如催款维护、床位维护、床位属性维护、累计费用维护、床位图标维护等；</w:t>
            </w:r>
          </w:p>
          <w:p w14:paraId="4890D68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支持公共数据维护，如待办任务维护、自定义项目维护、窗口功能权限维护、短语模板维护；</w:t>
            </w:r>
          </w:p>
        </w:tc>
      </w:tr>
      <w:tr w14:paraId="3BED4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11264618">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045BC417">
            <w:pPr>
              <w:numPr>
                <w:ilvl w:val="2"/>
                <w:numId w:val="11"/>
              </w:numPr>
              <w:ind w:left="0" w:firstLine="0"/>
              <w:rPr>
                <w:rFonts w:ascii="宋体" w:hAnsi="宋体"/>
                <w:color w:val="auto"/>
                <w:highlight w:val="none"/>
              </w:rPr>
            </w:pPr>
            <w:r>
              <w:rPr>
                <w:rFonts w:hint="eastAsia" w:ascii="宋体" w:hAnsi="宋体"/>
                <w:color w:val="auto"/>
                <w:highlight w:val="none"/>
              </w:rPr>
              <w:t>保险计划</w:t>
            </w:r>
          </w:p>
        </w:tc>
        <w:tc>
          <w:tcPr>
            <w:tcW w:w="10941" w:type="dxa"/>
            <w:shd w:val="clear" w:color="auto" w:fill="FFFFFF"/>
            <w:vAlign w:val="center"/>
          </w:tcPr>
          <w:p w14:paraId="4F7E50C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支持保险计划维护、公费维护、特殊病种维护、特殊病种对照项目；</w:t>
            </w:r>
          </w:p>
        </w:tc>
      </w:tr>
      <w:tr w14:paraId="57BA8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17FE4958">
            <w:pPr>
              <w:numPr>
                <w:ilvl w:val="0"/>
                <w:numId w:val="11"/>
              </w:numPr>
              <w:rPr>
                <w:rFonts w:ascii="宋体" w:hAnsi="宋体" w:cs="宋体"/>
                <w:color w:val="auto"/>
                <w:szCs w:val="21"/>
                <w:highlight w:val="none"/>
              </w:rPr>
            </w:pPr>
          </w:p>
        </w:tc>
        <w:tc>
          <w:tcPr>
            <w:tcW w:w="12500" w:type="dxa"/>
            <w:gridSpan w:val="3"/>
            <w:shd w:val="clear" w:color="auto" w:fill="FFFFFF"/>
            <w:vAlign w:val="center"/>
          </w:tcPr>
          <w:p w14:paraId="11507C3B">
            <w:pPr>
              <w:numPr>
                <w:ilvl w:val="1"/>
                <w:numId w:val="11"/>
              </w:numPr>
              <w:ind w:left="0" w:firstLine="0"/>
              <w:rPr>
                <w:rFonts w:ascii="宋体" w:hAnsi="宋体" w:cs="宋体"/>
                <w:color w:val="auto"/>
                <w:kern w:val="0"/>
                <w:szCs w:val="21"/>
                <w:highlight w:val="none"/>
              </w:rPr>
            </w:pPr>
            <w:r>
              <w:rPr>
                <w:rFonts w:hint="eastAsia" w:ascii="宋体" w:hAnsi="宋体"/>
                <w:color w:val="auto"/>
                <w:szCs w:val="21"/>
                <w:highlight w:val="none"/>
              </w:rPr>
              <w:t>资源数据域</w:t>
            </w:r>
          </w:p>
        </w:tc>
      </w:tr>
      <w:tr w14:paraId="0A715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2ABDEB85">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53010B5B">
            <w:pPr>
              <w:numPr>
                <w:ilvl w:val="2"/>
                <w:numId w:val="11"/>
              </w:numPr>
              <w:ind w:left="0" w:firstLine="0"/>
              <w:rPr>
                <w:rFonts w:ascii="宋体" w:hAnsi="宋体"/>
                <w:color w:val="auto"/>
                <w:highlight w:val="none"/>
              </w:rPr>
            </w:pPr>
            <w:r>
              <w:rPr>
                <w:rFonts w:hint="eastAsia" w:ascii="宋体" w:hAnsi="宋体"/>
                <w:color w:val="auto"/>
                <w:highlight w:val="none"/>
              </w:rPr>
              <w:t>排班资源</w:t>
            </w:r>
          </w:p>
        </w:tc>
        <w:tc>
          <w:tcPr>
            <w:tcW w:w="10941" w:type="dxa"/>
            <w:shd w:val="clear" w:color="auto" w:fill="FFFFFF"/>
            <w:vAlign w:val="center"/>
          </w:tcPr>
          <w:p w14:paraId="6A1D8B2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针对门诊、住院、手术、医技可维护不同的排班资源，包括：部门/科室、人员、医技资源、手术台、床位等，并以领域服务的形式供应用系统调用；</w:t>
            </w:r>
          </w:p>
        </w:tc>
      </w:tr>
      <w:tr w14:paraId="2F5B8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3A2A0428">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78EE4074">
            <w:pPr>
              <w:numPr>
                <w:ilvl w:val="2"/>
                <w:numId w:val="11"/>
              </w:numPr>
              <w:ind w:left="0" w:firstLine="0"/>
              <w:rPr>
                <w:rFonts w:ascii="宋体" w:hAnsi="宋体"/>
                <w:color w:val="auto"/>
                <w:highlight w:val="none"/>
              </w:rPr>
            </w:pPr>
            <w:r>
              <w:rPr>
                <w:rFonts w:hint="eastAsia" w:ascii="宋体" w:hAnsi="宋体"/>
                <w:color w:val="auto"/>
                <w:highlight w:val="none"/>
              </w:rPr>
              <w:t>预约渠道</w:t>
            </w:r>
          </w:p>
        </w:tc>
        <w:tc>
          <w:tcPr>
            <w:tcW w:w="10941" w:type="dxa"/>
            <w:shd w:val="clear" w:color="auto" w:fill="FFFFFF"/>
            <w:vAlign w:val="center"/>
          </w:tcPr>
          <w:p w14:paraId="672B9EB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提供预约渠道维护，支持医院内部、医院外部、医生、患者、区域以及医联体等渠道，并以领域服务的形式供应用系统调用；</w:t>
            </w:r>
          </w:p>
          <w:p w14:paraId="0F75E1E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提供号源池配置，每个预约渠道可关联独立的号源池，并以领域服务的形式供应用系统调用；</w:t>
            </w:r>
          </w:p>
          <w:p w14:paraId="3869011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提供排班服务配置，每个预约渠道可关联独立的排班服务，并以领域服务的形式供应用系统调用；</w:t>
            </w:r>
          </w:p>
        </w:tc>
      </w:tr>
      <w:tr w14:paraId="73C1F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65692F08">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0F3E2C56">
            <w:pPr>
              <w:numPr>
                <w:ilvl w:val="2"/>
                <w:numId w:val="11"/>
              </w:numPr>
              <w:ind w:left="0" w:firstLine="0"/>
              <w:rPr>
                <w:rFonts w:ascii="宋体" w:hAnsi="宋体"/>
                <w:color w:val="auto"/>
                <w:highlight w:val="none"/>
              </w:rPr>
            </w:pPr>
            <w:r>
              <w:rPr>
                <w:rFonts w:hint="eastAsia" w:ascii="宋体" w:hAnsi="宋体"/>
                <w:color w:val="auto"/>
                <w:highlight w:val="none"/>
              </w:rPr>
              <w:t>预约规则</w:t>
            </w:r>
          </w:p>
        </w:tc>
        <w:tc>
          <w:tcPr>
            <w:tcW w:w="10941" w:type="dxa"/>
            <w:shd w:val="clear" w:color="auto" w:fill="FFFFFF"/>
            <w:vAlign w:val="center"/>
          </w:tcPr>
          <w:p w14:paraId="5F379E5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针对门诊、住院、手术、医技可制定不同的预约规则以及特殊预约规则，特殊预约规则可以细化到机构、部门、渠道、服务以及资源，并以领域服务的形式供应用系统调用；</w:t>
            </w:r>
          </w:p>
        </w:tc>
      </w:tr>
      <w:tr w14:paraId="6CE49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73B2B464">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29BF68A0">
            <w:pPr>
              <w:numPr>
                <w:ilvl w:val="2"/>
                <w:numId w:val="11"/>
              </w:numPr>
              <w:ind w:left="0" w:firstLine="0"/>
              <w:rPr>
                <w:rFonts w:ascii="宋体" w:hAnsi="宋体"/>
                <w:color w:val="auto"/>
                <w:highlight w:val="none"/>
              </w:rPr>
            </w:pPr>
            <w:r>
              <w:rPr>
                <w:rFonts w:hint="eastAsia" w:ascii="宋体" w:hAnsi="宋体"/>
                <w:color w:val="auto"/>
                <w:highlight w:val="none"/>
              </w:rPr>
              <w:t>排班计划</w:t>
            </w:r>
          </w:p>
        </w:tc>
        <w:tc>
          <w:tcPr>
            <w:tcW w:w="10941" w:type="dxa"/>
            <w:shd w:val="clear" w:color="auto" w:fill="FFFFFF"/>
            <w:vAlign w:val="center"/>
          </w:tcPr>
          <w:p w14:paraId="2F1D853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提供可以按不同时间跨度周期的排班计划，包括周计划、月计划、季度计划、年计划以及版本计划等，并以领域服务的形式供应用系统调用；</w:t>
            </w:r>
          </w:p>
          <w:p w14:paraId="1A8B4BB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提供排班计划中的预约渠道配置、号源池配置以及预约规则配置，并以领域服务的形式供应用系统调用；</w:t>
            </w:r>
          </w:p>
        </w:tc>
      </w:tr>
      <w:tr w14:paraId="071EC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199001C9">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44A1442D">
            <w:pPr>
              <w:numPr>
                <w:ilvl w:val="2"/>
                <w:numId w:val="11"/>
              </w:numPr>
              <w:ind w:left="0" w:firstLine="0"/>
              <w:rPr>
                <w:rFonts w:ascii="宋体" w:hAnsi="宋体"/>
                <w:color w:val="auto"/>
                <w:highlight w:val="none"/>
              </w:rPr>
            </w:pPr>
            <w:r>
              <w:rPr>
                <w:rFonts w:hint="eastAsia" w:ascii="宋体" w:hAnsi="宋体"/>
                <w:color w:val="auto"/>
                <w:highlight w:val="none"/>
              </w:rPr>
              <w:t>排班日期</w:t>
            </w:r>
          </w:p>
        </w:tc>
        <w:tc>
          <w:tcPr>
            <w:tcW w:w="10941" w:type="dxa"/>
            <w:shd w:val="clear" w:color="auto" w:fill="FFFFFF"/>
            <w:vAlign w:val="center"/>
          </w:tcPr>
          <w:p w14:paraId="79C1491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提供可以基于排班计划的排班日期服务，并以领域服务的形式供应用系统调用；</w:t>
            </w:r>
          </w:p>
        </w:tc>
      </w:tr>
      <w:tr w14:paraId="6CCE5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4261D91F">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3ED34018">
            <w:pPr>
              <w:numPr>
                <w:ilvl w:val="2"/>
                <w:numId w:val="11"/>
              </w:numPr>
              <w:ind w:left="0" w:firstLine="0"/>
              <w:rPr>
                <w:rFonts w:ascii="宋体" w:hAnsi="宋体"/>
                <w:color w:val="auto"/>
                <w:highlight w:val="none"/>
              </w:rPr>
            </w:pPr>
            <w:r>
              <w:rPr>
                <w:rFonts w:hint="eastAsia" w:ascii="宋体" w:hAnsi="宋体"/>
                <w:color w:val="auto"/>
                <w:highlight w:val="none"/>
              </w:rPr>
              <w:t>排班服务</w:t>
            </w:r>
          </w:p>
        </w:tc>
        <w:tc>
          <w:tcPr>
            <w:tcW w:w="10941" w:type="dxa"/>
            <w:shd w:val="clear" w:color="auto" w:fill="FFFFFF"/>
            <w:vAlign w:val="center"/>
          </w:tcPr>
          <w:p w14:paraId="494EBDA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提供排班服务预约的排斥规则管理，并以领域服务的形式供应用系统调用；</w:t>
            </w:r>
          </w:p>
        </w:tc>
      </w:tr>
      <w:tr w14:paraId="7BEF5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42D889F8">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0831CE7B">
            <w:pPr>
              <w:numPr>
                <w:ilvl w:val="2"/>
                <w:numId w:val="11"/>
              </w:numPr>
              <w:ind w:left="0" w:firstLine="0"/>
              <w:rPr>
                <w:rFonts w:ascii="宋体" w:hAnsi="宋体"/>
                <w:color w:val="auto"/>
                <w:highlight w:val="none"/>
              </w:rPr>
            </w:pPr>
            <w:r>
              <w:rPr>
                <w:rFonts w:hint="eastAsia" w:ascii="宋体" w:hAnsi="宋体"/>
                <w:color w:val="auto"/>
                <w:highlight w:val="none"/>
              </w:rPr>
              <w:t>医嘱预约合并规则</w:t>
            </w:r>
          </w:p>
        </w:tc>
        <w:tc>
          <w:tcPr>
            <w:tcW w:w="10941" w:type="dxa"/>
            <w:shd w:val="clear" w:color="auto" w:fill="FFFFFF"/>
            <w:vAlign w:val="center"/>
          </w:tcPr>
          <w:p w14:paraId="79CB00E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提供医嘱预约合并规则服务，并以领域服务的形式供应用系统调用；</w:t>
            </w:r>
          </w:p>
        </w:tc>
      </w:tr>
      <w:tr w14:paraId="49AF1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292D0F59">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40B2A412">
            <w:pPr>
              <w:numPr>
                <w:ilvl w:val="2"/>
                <w:numId w:val="11"/>
              </w:numPr>
              <w:ind w:left="0" w:firstLine="0"/>
              <w:rPr>
                <w:rFonts w:ascii="宋体" w:hAnsi="宋体"/>
                <w:color w:val="auto"/>
                <w:highlight w:val="none"/>
              </w:rPr>
            </w:pPr>
            <w:r>
              <w:rPr>
                <w:rFonts w:hint="eastAsia" w:ascii="宋体" w:hAnsi="宋体"/>
                <w:color w:val="auto"/>
                <w:highlight w:val="none"/>
              </w:rPr>
              <w:t>号源限制条件</w:t>
            </w:r>
          </w:p>
        </w:tc>
        <w:tc>
          <w:tcPr>
            <w:tcW w:w="10941" w:type="dxa"/>
            <w:shd w:val="clear" w:color="auto" w:fill="FFFFFF"/>
            <w:vAlign w:val="center"/>
          </w:tcPr>
          <w:p w14:paraId="204D1F1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提供号源限制条件维护以及相关项目配置，并以领域服务的形式供应用系统调用；</w:t>
            </w:r>
          </w:p>
        </w:tc>
      </w:tr>
      <w:tr w14:paraId="6B447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5DFC8DE4">
            <w:pPr>
              <w:numPr>
                <w:ilvl w:val="0"/>
                <w:numId w:val="11"/>
              </w:numPr>
              <w:rPr>
                <w:rFonts w:ascii="宋体" w:hAnsi="宋体" w:cs="宋体"/>
                <w:color w:val="auto"/>
                <w:szCs w:val="21"/>
                <w:highlight w:val="none"/>
              </w:rPr>
            </w:pPr>
          </w:p>
        </w:tc>
        <w:tc>
          <w:tcPr>
            <w:tcW w:w="12500" w:type="dxa"/>
            <w:gridSpan w:val="3"/>
            <w:shd w:val="clear" w:color="auto" w:fill="FFFFFF"/>
            <w:vAlign w:val="center"/>
          </w:tcPr>
          <w:p w14:paraId="3CDC520C">
            <w:pPr>
              <w:numPr>
                <w:ilvl w:val="1"/>
                <w:numId w:val="11"/>
              </w:numPr>
              <w:ind w:left="0" w:firstLine="0"/>
              <w:rPr>
                <w:rFonts w:ascii="宋体" w:hAnsi="宋体" w:cs="宋体"/>
                <w:color w:val="auto"/>
                <w:kern w:val="0"/>
                <w:szCs w:val="21"/>
                <w:highlight w:val="none"/>
              </w:rPr>
            </w:pPr>
            <w:r>
              <w:rPr>
                <w:rFonts w:hint="eastAsia" w:ascii="宋体" w:hAnsi="宋体"/>
                <w:color w:val="auto"/>
                <w:szCs w:val="21"/>
                <w:highlight w:val="none"/>
              </w:rPr>
              <w:t>医健患者域</w:t>
            </w:r>
          </w:p>
        </w:tc>
      </w:tr>
      <w:tr w14:paraId="269F7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3CADB965">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6FAE3F2A">
            <w:pPr>
              <w:numPr>
                <w:ilvl w:val="2"/>
                <w:numId w:val="11"/>
              </w:numPr>
              <w:ind w:left="0" w:firstLine="0"/>
              <w:rPr>
                <w:rFonts w:ascii="宋体" w:hAnsi="宋体"/>
                <w:color w:val="auto"/>
                <w:highlight w:val="none"/>
              </w:rPr>
            </w:pPr>
            <w:r>
              <w:rPr>
                <w:rFonts w:hint="eastAsia" w:ascii="宋体" w:hAnsi="宋体"/>
                <w:color w:val="auto"/>
                <w:highlight w:val="none"/>
              </w:rPr>
              <w:t>个人档案</w:t>
            </w:r>
          </w:p>
        </w:tc>
        <w:tc>
          <w:tcPr>
            <w:tcW w:w="10941" w:type="dxa"/>
            <w:shd w:val="clear" w:color="auto" w:fill="FFFFFF"/>
            <w:vAlign w:val="center"/>
          </w:tcPr>
          <w:p w14:paraId="0ABA288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提供个人档案管理，包括基本信息、地址信息、联系人信息、卡信息等，并以领域服务的形式供应用系统调用；</w:t>
            </w:r>
          </w:p>
          <w:p w14:paraId="22B220C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提供个人摘要信息管理，包括健康问题、关键服务项目、关键检查、关键检验、出生信息、家族史、手术史、生命体征、疾病史、输血史以及过敏史等，并以领域服务的形式供应用系统调用；</w:t>
            </w:r>
          </w:p>
        </w:tc>
      </w:tr>
      <w:tr w14:paraId="2DA82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4ED193E3">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592340E2">
            <w:pPr>
              <w:numPr>
                <w:ilvl w:val="2"/>
                <w:numId w:val="11"/>
              </w:numPr>
              <w:ind w:left="0" w:firstLine="0"/>
              <w:rPr>
                <w:rFonts w:ascii="宋体" w:hAnsi="宋体"/>
                <w:color w:val="auto"/>
                <w:highlight w:val="none"/>
              </w:rPr>
            </w:pPr>
            <w:r>
              <w:rPr>
                <w:rFonts w:hint="eastAsia" w:ascii="宋体" w:hAnsi="宋体"/>
                <w:color w:val="auto"/>
                <w:highlight w:val="none"/>
              </w:rPr>
              <w:t>个人账户</w:t>
            </w:r>
          </w:p>
        </w:tc>
        <w:tc>
          <w:tcPr>
            <w:tcW w:w="10941" w:type="dxa"/>
            <w:shd w:val="clear" w:color="auto" w:fill="FFFFFF"/>
            <w:vAlign w:val="center"/>
          </w:tcPr>
          <w:p w14:paraId="387CFAA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提供个人账户管理，含信用账户，并以领域服务的形式供应用系统调用；</w:t>
            </w:r>
          </w:p>
        </w:tc>
      </w:tr>
      <w:tr w14:paraId="035AF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26B60A2A">
            <w:pPr>
              <w:numPr>
                <w:ilvl w:val="0"/>
                <w:numId w:val="11"/>
              </w:numPr>
              <w:rPr>
                <w:rFonts w:ascii="宋体" w:hAnsi="宋体" w:cs="宋体"/>
                <w:color w:val="auto"/>
                <w:szCs w:val="21"/>
                <w:highlight w:val="none"/>
              </w:rPr>
            </w:pPr>
          </w:p>
        </w:tc>
        <w:tc>
          <w:tcPr>
            <w:tcW w:w="12500" w:type="dxa"/>
            <w:gridSpan w:val="3"/>
            <w:shd w:val="clear" w:color="auto" w:fill="FFFFFF"/>
            <w:vAlign w:val="center"/>
          </w:tcPr>
          <w:p w14:paraId="30B0A29C">
            <w:pPr>
              <w:numPr>
                <w:ilvl w:val="1"/>
                <w:numId w:val="11"/>
              </w:numPr>
              <w:ind w:left="0" w:firstLine="0"/>
              <w:rPr>
                <w:rFonts w:ascii="宋体" w:hAnsi="宋体" w:cs="宋体"/>
                <w:color w:val="auto"/>
                <w:kern w:val="0"/>
                <w:szCs w:val="21"/>
                <w:highlight w:val="none"/>
              </w:rPr>
            </w:pPr>
            <w:r>
              <w:rPr>
                <w:rFonts w:hint="eastAsia" w:ascii="宋体" w:hAnsi="宋体"/>
                <w:color w:val="auto"/>
                <w:szCs w:val="21"/>
                <w:highlight w:val="none"/>
              </w:rPr>
              <w:t>医健流程域</w:t>
            </w:r>
          </w:p>
        </w:tc>
      </w:tr>
      <w:tr w14:paraId="34AF5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5451E3C0">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649B1457">
            <w:pPr>
              <w:numPr>
                <w:ilvl w:val="2"/>
                <w:numId w:val="11"/>
              </w:numPr>
              <w:ind w:left="0" w:firstLine="0"/>
              <w:rPr>
                <w:rFonts w:ascii="宋体" w:hAnsi="宋体"/>
                <w:color w:val="auto"/>
                <w:highlight w:val="none"/>
              </w:rPr>
            </w:pPr>
            <w:r>
              <w:rPr>
                <w:rFonts w:hint="eastAsia" w:ascii="宋体" w:hAnsi="宋体"/>
                <w:color w:val="auto"/>
                <w:highlight w:val="none"/>
              </w:rPr>
              <w:t>医疗就诊流程申请</w:t>
            </w:r>
          </w:p>
        </w:tc>
        <w:tc>
          <w:tcPr>
            <w:tcW w:w="10941" w:type="dxa"/>
            <w:shd w:val="clear" w:color="auto" w:fill="FFFFFF"/>
            <w:vAlign w:val="center"/>
          </w:tcPr>
          <w:p w14:paraId="2C68346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提供医护及个人医疗就诊流程申请，包含门诊、住院、体检以及急诊，并以领域服务的形式供应用系统调用；</w:t>
            </w:r>
          </w:p>
        </w:tc>
      </w:tr>
      <w:tr w14:paraId="25576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465E3E77">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288F43E8">
            <w:pPr>
              <w:numPr>
                <w:ilvl w:val="2"/>
                <w:numId w:val="11"/>
              </w:numPr>
              <w:ind w:left="0" w:firstLine="0"/>
              <w:rPr>
                <w:rFonts w:ascii="宋体" w:hAnsi="宋体"/>
                <w:color w:val="auto"/>
                <w:highlight w:val="none"/>
              </w:rPr>
            </w:pPr>
            <w:r>
              <w:rPr>
                <w:rFonts w:hint="eastAsia" w:ascii="宋体" w:hAnsi="宋体"/>
                <w:color w:val="auto"/>
                <w:highlight w:val="none"/>
              </w:rPr>
              <w:t>医疗就诊流程</w:t>
            </w:r>
          </w:p>
        </w:tc>
        <w:tc>
          <w:tcPr>
            <w:tcW w:w="10941" w:type="dxa"/>
            <w:shd w:val="clear" w:color="auto" w:fill="FFFFFF"/>
            <w:vAlign w:val="center"/>
          </w:tcPr>
          <w:p w14:paraId="1B2CEB9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提供医疗就诊流程管理，包含门急诊、住院、体检、分床、转科、换病区、他科治疗等，并以领域服务的形式供应用系统调用；</w:t>
            </w:r>
          </w:p>
        </w:tc>
      </w:tr>
      <w:tr w14:paraId="383D0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254B5D1A">
            <w:pPr>
              <w:numPr>
                <w:ilvl w:val="0"/>
                <w:numId w:val="11"/>
              </w:numPr>
              <w:rPr>
                <w:rFonts w:ascii="宋体" w:hAnsi="宋体" w:cs="宋体"/>
                <w:color w:val="auto"/>
                <w:szCs w:val="21"/>
                <w:highlight w:val="none"/>
              </w:rPr>
            </w:pPr>
          </w:p>
        </w:tc>
        <w:tc>
          <w:tcPr>
            <w:tcW w:w="12500" w:type="dxa"/>
            <w:gridSpan w:val="3"/>
            <w:shd w:val="clear" w:color="auto" w:fill="FFFFFF"/>
            <w:vAlign w:val="center"/>
          </w:tcPr>
          <w:p w14:paraId="573F7374">
            <w:pPr>
              <w:numPr>
                <w:ilvl w:val="1"/>
                <w:numId w:val="11"/>
              </w:numPr>
              <w:ind w:left="0" w:firstLine="0"/>
              <w:rPr>
                <w:rFonts w:ascii="宋体" w:hAnsi="宋体" w:cs="宋体"/>
                <w:color w:val="auto"/>
                <w:kern w:val="0"/>
                <w:szCs w:val="21"/>
                <w:highlight w:val="none"/>
              </w:rPr>
            </w:pPr>
            <w:r>
              <w:rPr>
                <w:rFonts w:hint="eastAsia" w:ascii="宋体" w:hAnsi="宋体"/>
                <w:color w:val="auto"/>
                <w:szCs w:val="21"/>
                <w:highlight w:val="none"/>
              </w:rPr>
              <w:t>医健计划域</w:t>
            </w:r>
          </w:p>
        </w:tc>
      </w:tr>
      <w:tr w14:paraId="56D41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19547597">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582FD4A8">
            <w:pPr>
              <w:numPr>
                <w:ilvl w:val="2"/>
                <w:numId w:val="11"/>
              </w:numPr>
              <w:ind w:left="0" w:firstLine="0"/>
              <w:rPr>
                <w:rFonts w:ascii="宋体" w:hAnsi="宋体"/>
                <w:color w:val="auto"/>
                <w:highlight w:val="none"/>
              </w:rPr>
            </w:pPr>
            <w:r>
              <w:rPr>
                <w:rFonts w:hint="eastAsia" w:ascii="宋体" w:hAnsi="宋体"/>
                <w:color w:val="auto"/>
                <w:highlight w:val="none"/>
              </w:rPr>
              <w:t>医疗诊断</w:t>
            </w:r>
          </w:p>
        </w:tc>
        <w:tc>
          <w:tcPr>
            <w:tcW w:w="10941" w:type="dxa"/>
            <w:shd w:val="clear" w:color="auto" w:fill="FFFFFF"/>
            <w:vAlign w:val="center"/>
          </w:tcPr>
          <w:p w14:paraId="3DFE10B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提供医疗诊断服务，包括中西医诊断及中医证候，并以领域服务的形式供应用系统调用；</w:t>
            </w:r>
          </w:p>
        </w:tc>
      </w:tr>
      <w:tr w14:paraId="7C1D1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2126FC70">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6FAF19C5">
            <w:pPr>
              <w:numPr>
                <w:ilvl w:val="2"/>
                <w:numId w:val="11"/>
              </w:numPr>
              <w:ind w:left="0" w:firstLine="0"/>
              <w:rPr>
                <w:rFonts w:ascii="宋体" w:hAnsi="宋体"/>
                <w:color w:val="auto"/>
                <w:highlight w:val="none"/>
              </w:rPr>
            </w:pPr>
            <w:r>
              <w:rPr>
                <w:rFonts w:hint="eastAsia" w:ascii="宋体" w:hAnsi="宋体"/>
                <w:color w:val="auto"/>
                <w:highlight w:val="none"/>
              </w:rPr>
              <w:t>医疗医嘱</w:t>
            </w:r>
          </w:p>
        </w:tc>
        <w:tc>
          <w:tcPr>
            <w:tcW w:w="10941" w:type="dxa"/>
            <w:shd w:val="clear" w:color="auto" w:fill="FFFFFF"/>
            <w:vAlign w:val="center"/>
          </w:tcPr>
          <w:p w14:paraId="2B7C868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提供医疗医嘱服务，包括检验、检查、药品、病理、手术、治疗、会诊、输血以及转科等，并以领域服务的形式供应用系统调用；</w:t>
            </w:r>
          </w:p>
          <w:p w14:paraId="63422C3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提供医嘱闭环服务，并以领域服务的形式供应用系统调用；</w:t>
            </w:r>
          </w:p>
          <w:p w14:paraId="7CA7B3F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提供医嘱计划服务，包含院内执行以及院外执行，并以领域服务的形式供应用系统调用；</w:t>
            </w:r>
          </w:p>
          <w:p w14:paraId="48AEFC9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提供医嘱取药处方服务，并以领域服务的形式供应用系统调用；</w:t>
            </w:r>
          </w:p>
        </w:tc>
      </w:tr>
      <w:tr w14:paraId="224A1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030F0FE3">
            <w:pPr>
              <w:numPr>
                <w:ilvl w:val="0"/>
                <w:numId w:val="11"/>
              </w:numPr>
              <w:rPr>
                <w:rFonts w:ascii="宋体" w:hAnsi="宋体" w:cs="宋体"/>
                <w:color w:val="auto"/>
                <w:szCs w:val="21"/>
                <w:highlight w:val="none"/>
              </w:rPr>
            </w:pPr>
          </w:p>
        </w:tc>
        <w:tc>
          <w:tcPr>
            <w:tcW w:w="12500" w:type="dxa"/>
            <w:gridSpan w:val="3"/>
            <w:shd w:val="clear" w:color="auto" w:fill="FFFFFF"/>
            <w:vAlign w:val="center"/>
          </w:tcPr>
          <w:p w14:paraId="73E138B9">
            <w:pPr>
              <w:numPr>
                <w:ilvl w:val="1"/>
                <w:numId w:val="11"/>
              </w:numPr>
              <w:ind w:left="0" w:firstLine="0"/>
              <w:rPr>
                <w:rFonts w:ascii="宋体" w:hAnsi="宋体" w:cs="宋体"/>
                <w:color w:val="auto"/>
                <w:kern w:val="0"/>
                <w:szCs w:val="21"/>
                <w:highlight w:val="none"/>
              </w:rPr>
            </w:pPr>
            <w:r>
              <w:rPr>
                <w:rFonts w:hint="eastAsia" w:ascii="宋体" w:hAnsi="宋体"/>
                <w:color w:val="auto"/>
                <w:szCs w:val="21"/>
                <w:highlight w:val="none"/>
              </w:rPr>
              <w:t>医健费用域</w:t>
            </w:r>
          </w:p>
        </w:tc>
      </w:tr>
      <w:tr w14:paraId="62784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0FBE640F">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161157C9">
            <w:pPr>
              <w:numPr>
                <w:ilvl w:val="2"/>
                <w:numId w:val="11"/>
              </w:numPr>
              <w:ind w:left="0" w:firstLine="0"/>
              <w:rPr>
                <w:rFonts w:ascii="宋体" w:hAnsi="宋体"/>
                <w:color w:val="auto"/>
                <w:highlight w:val="none"/>
              </w:rPr>
            </w:pPr>
            <w:r>
              <w:rPr>
                <w:rFonts w:hint="eastAsia" w:ascii="宋体" w:hAnsi="宋体"/>
                <w:color w:val="auto"/>
                <w:highlight w:val="none"/>
              </w:rPr>
              <w:t>医疗计退费</w:t>
            </w:r>
          </w:p>
        </w:tc>
        <w:tc>
          <w:tcPr>
            <w:tcW w:w="10941" w:type="dxa"/>
            <w:shd w:val="clear" w:color="auto" w:fill="FFFFFF"/>
            <w:vAlign w:val="center"/>
          </w:tcPr>
          <w:p w14:paraId="326186A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提供医疗计退费服务，包含住院、门急诊、体检，并以领域服务的形式供应用系统调用；</w:t>
            </w:r>
          </w:p>
        </w:tc>
      </w:tr>
      <w:tr w14:paraId="6287F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3B5643DA">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7775DB35">
            <w:pPr>
              <w:numPr>
                <w:ilvl w:val="2"/>
                <w:numId w:val="11"/>
              </w:numPr>
              <w:ind w:left="0" w:firstLine="0"/>
              <w:rPr>
                <w:rFonts w:ascii="宋体" w:hAnsi="宋体"/>
                <w:color w:val="auto"/>
                <w:highlight w:val="none"/>
              </w:rPr>
            </w:pPr>
            <w:r>
              <w:rPr>
                <w:rFonts w:hint="eastAsia" w:ascii="宋体" w:hAnsi="宋体"/>
                <w:color w:val="auto"/>
                <w:highlight w:val="none"/>
              </w:rPr>
              <w:t>医疗结算</w:t>
            </w:r>
          </w:p>
        </w:tc>
        <w:tc>
          <w:tcPr>
            <w:tcW w:w="10941" w:type="dxa"/>
            <w:shd w:val="clear" w:color="auto" w:fill="FFFFFF"/>
            <w:vAlign w:val="center"/>
          </w:tcPr>
          <w:p w14:paraId="7F67785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提供医疗结算服务，包含住院、门急诊、体检，并以领域服务的形式供应用系统调用；</w:t>
            </w:r>
          </w:p>
          <w:p w14:paraId="3F81683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提供医疗取消结算服务，包含住院、门急诊、体检，并以领域服务的形式供应用系统调用；</w:t>
            </w:r>
          </w:p>
        </w:tc>
      </w:tr>
      <w:tr w14:paraId="105CA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161499C0">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2F5B1F76">
            <w:pPr>
              <w:numPr>
                <w:ilvl w:val="2"/>
                <w:numId w:val="11"/>
              </w:numPr>
              <w:ind w:left="0" w:firstLine="0"/>
              <w:rPr>
                <w:rFonts w:ascii="宋体" w:hAnsi="宋体"/>
                <w:color w:val="auto"/>
                <w:highlight w:val="none"/>
              </w:rPr>
            </w:pPr>
            <w:r>
              <w:rPr>
                <w:rFonts w:hint="eastAsia" w:ascii="宋体" w:hAnsi="宋体"/>
                <w:color w:val="auto"/>
                <w:highlight w:val="none"/>
              </w:rPr>
              <w:t>医疗收退款</w:t>
            </w:r>
          </w:p>
        </w:tc>
        <w:tc>
          <w:tcPr>
            <w:tcW w:w="10941" w:type="dxa"/>
            <w:shd w:val="clear" w:color="auto" w:fill="FFFFFF"/>
            <w:vAlign w:val="center"/>
          </w:tcPr>
          <w:p w14:paraId="55D2BAF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提供医疗收退款服务，支持多种付款方式，并以领域服务的形式供应用系统调用；</w:t>
            </w:r>
          </w:p>
        </w:tc>
      </w:tr>
      <w:tr w14:paraId="2CE19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4E6FE15E">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3525C0EB">
            <w:pPr>
              <w:numPr>
                <w:ilvl w:val="2"/>
                <w:numId w:val="11"/>
              </w:numPr>
              <w:ind w:left="0" w:firstLine="0"/>
              <w:rPr>
                <w:rFonts w:ascii="宋体" w:hAnsi="宋体"/>
                <w:color w:val="auto"/>
                <w:highlight w:val="none"/>
              </w:rPr>
            </w:pPr>
            <w:r>
              <w:rPr>
                <w:rFonts w:hint="eastAsia" w:ascii="宋体" w:hAnsi="宋体"/>
                <w:color w:val="auto"/>
                <w:highlight w:val="none"/>
              </w:rPr>
              <w:t>储值金</w:t>
            </w:r>
          </w:p>
        </w:tc>
        <w:tc>
          <w:tcPr>
            <w:tcW w:w="10941" w:type="dxa"/>
            <w:shd w:val="clear" w:color="auto" w:fill="FFFFFF"/>
            <w:vAlign w:val="center"/>
          </w:tcPr>
          <w:p w14:paraId="0466D52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提供储值金充值服务，并以领域服务的形式供应用系统调用；</w:t>
            </w:r>
          </w:p>
          <w:p w14:paraId="780D2F6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提供储值金消费服务，并以领域服务的形式供应用系统调用；</w:t>
            </w:r>
          </w:p>
        </w:tc>
      </w:tr>
      <w:tr w14:paraId="496F7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65F01C8D">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47842C15">
            <w:pPr>
              <w:numPr>
                <w:ilvl w:val="2"/>
                <w:numId w:val="11"/>
              </w:numPr>
              <w:ind w:left="0" w:firstLine="0"/>
              <w:rPr>
                <w:rFonts w:ascii="宋体" w:hAnsi="宋体"/>
                <w:color w:val="auto"/>
                <w:highlight w:val="none"/>
              </w:rPr>
            </w:pPr>
            <w:r>
              <w:rPr>
                <w:rFonts w:hint="eastAsia" w:ascii="宋体" w:hAnsi="宋体"/>
                <w:color w:val="auto"/>
                <w:highlight w:val="none"/>
              </w:rPr>
              <w:t>票据</w:t>
            </w:r>
          </w:p>
        </w:tc>
        <w:tc>
          <w:tcPr>
            <w:tcW w:w="10941" w:type="dxa"/>
            <w:shd w:val="clear" w:color="auto" w:fill="FFFFFF"/>
            <w:vAlign w:val="center"/>
          </w:tcPr>
          <w:p w14:paraId="349BF9D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提供票据开立服务，并以领域服务的形式供应用系统调用；</w:t>
            </w:r>
          </w:p>
          <w:p w14:paraId="5ECBBF1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提供票据作废服务，并以领域服务的形式供应用系统调用；</w:t>
            </w:r>
          </w:p>
        </w:tc>
      </w:tr>
      <w:tr w14:paraId="4DFCF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5508007B">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2F07618D">
            <w:pPr>
              <w:numPr>
                <w:ilvl w:val="2"/>
                <w:numId w:val="11"/>
              </w:numPr>
              <w:ind w:left="0" w:firstLine="0"/>
              <w:rPr>
                <w:rFonts w:ascii="宋体" w:hAnsi="宋体"/>
                <w:color w:val="auto"/>
                <w:highlight w:val="none"/>
              </w:rPr>
            </w:pPr>
            <w:r>
              <w:rPr>
                <w:rFonts w:hint="eastAsia" w:ascii="宋体" w:hAnsi="宋体"/>
                <w:color w:val="auto"/>
                <w:highlight w:val="none"/>
              </w:rPr>
              <w:t>操作员结账</w:t>
            </w:r>
          </w:p>
        </w:tc>
        <w:tc>
          <w:tcPr>
            <w:tcW w:w="10941" w:type="dxa"/>
            <w:shd w:val="clear" w:color="auto" w:fill="FFFFFF"/>
            <w:vAlign w:val="center"/>
          </w:tcPr>
          <w:p w14:paraId="4936232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提供操作员结账服务，并以领域服务的形式供应用系统调用；</w:t>
            </w:r>
          </w:p>
          <w:p w14:paraId="3CEF939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提供操作员取消结账服务，并以领域服务的形式供应用系统调用；</w:t>
            </w:r>
          </w:p>
        </w:tc>
      </w:tr>
    </w:tbl>
    <w:p w14:paraId="7D0D6B56">
      <w:pPr>
        <w:pStyle w:val="187"/>
        <w:ind w:firstLine="0" w:firstLineChars="0"/>
        <w:rPr>
          <w:rFonts w:ascii="宋体" w:hAnsi="宋体"/>
          <w:color w:val="auto"/>
          <w:highlight w:val="none"/>
        </w:rPr>
      </w:pPr>
    </w:p>
    <w:p w14:paraId="06DBCBD0">
      <w:pPr>
        <w:pStyle w:val="187"/>
        <w:ind w:firstLine="0" w:firstLineChars="0"/>
        <w:rPr>
          <w:rFonts w:ascii="宋体" w:hAnsi="宋体"/>
          <w:color w:val="auto"/>
          <w:highlight w:val="none"/>
        </w:rPr>
      </w:pPr>
    </w:p>
    <w:p w14:paraId="3926B0EC">
      <w:pPr>
        <w:pStyle w:val="3"/>
        <w:keepNext/>
        <w:keepLines/>
        <w:pageBreakBefore/>
        <w:numPr>
          <w:ilvl w:val="1"/>
          <w:numId w:val="9"/>
        </w:numPr>
        <w:spacing w:before="480" w:after="80"/>
        <w:ind w:left="992" w:hanging="567"/>
        <w:jc w:val="both"/>
        <w:rPr>
          <w:rFonts w:ascii="宋体" w:hAnsi="宋体"/>
          <w:b/>
          <w:bCs/>
          <w:color w:val="auto"/>
          <w:sz w:val="30"/>
          <w:szCs w:val="30"/>
          <w:highlight w:val="none"/>
        </w:rPr>
      </w:pPr>
      <w:r>
        <w:rPr>
          <w:rFonts w:hint="eastAsia" w:ascii="宋体" w:hAnsi="宋体"/>
          <w:b/>
          <w:bCs/>
          <w:color w:val="auto"/>
          <w:kern w:val="2"/>
          <w:sz w:val="30"/>
          <w:szCs w:val="30"/>
          <w:highlight w:val="none"/>
        </w:rPr>
        <w:t>技术中台建设需求</w:t>
      </w:r>
    </w:p>
    <w:tbl>
      <w:tblPr>
        <w:tblStyle w:val="4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266"/>
        <w:gridCol w:w="12240"/>
      </w:tblGrid>
      <w:tr w14:paraId="0F055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46" w:type="dxa"/>
            <w:shd w:val="clear" w:color="auto" w:fill="FFFFFF"/>
            <w:vAlign w:val="center"/>
          </w:tcPr>
          <w:p w14:paraId="1C5E16B8">
            <w:pPr>
              <w:jc w:val="center"/>
              <w:rPr>
                <w:rFonts w:ascii="宋体" w:hAnsi="宋体" w:cs="宋体"/>
                <w:color w:val="auto"/>
                <w:szCs w:val="21"/>
                <w:highlight w:val="none"/>
              </w:rPr>
            </w:pPr>
            <w:r>
              <w:rPr>
                <w:rFonts w:hint="eastAsia" w:ascii="宋体" w:hAnsi="宋体" w:cs="宋体"/>
                <w:color w:val="auto"/>
                <w:kern w:val="0"/>
                <w:szCs w:val="21"/>
                <w:highlight w:val="none"/>
              </w:rPr>
              <w:t>需求名称</w:t>
            </w:r>
          </w:p>
        </w:tc>
        <w:tc>
          <w:tcPr>
            <w:tcW w:w="1266" w:type="dxa"/>
            <w:shd w:val="clear" w:color="auto" w:fill="FFFFFF"/>
            <w:vAlign w:val="center"/>
          </w:tcPr>
          <w:p w14:paraId="609A412C">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序号</w:t>
            </w:r>
          </w:p>
        </w:tc>
        <w:tc>
          <w:tcPr>
            <w:tcW w:w="12240" w:type="dxa"/>
            <w:shd w:val="clear" w:color="auto" w:fill="FFFFFF"/>
            <w:vAlign w:val="center"/>
          </w:tcPr>
          <w:p w14:paraId="18C314E5">
            <w:pPr>
              <w:jc w:val="center"/>
              <w:rPr>
                <w:rFonts w:ascii="宋体" w:hAnsi="宋体" w:cs="宋体"/>
                <w:color w:val="auto"/>
                <w:kern w:val="0"/>
                <w:szCs w:val="21"/>
                <w:highlight w:val="none"/>
              </w:rPr>
            </w:pPr>
            <w:r>
              <w:rPr>
                <w:rFonts w:hint="eastAsia" w:ascii="宋体" w:hAnsi="宋体" w:cs="宋体"/>
                <w:color w:val="auto"/>
                <w:kern w:val="0"/>
                <w:szCs w:val="21"/>
                <w:highlight w:val="none"/>
              </w:rPr>
              <w:t>需求描述</w:t>
            </w:r>
          </w:p>
        </w:tc>
      </w:tr>
      <w:tr w14:paraId="774E7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846" w:type="dxa"/>
            <w:vMerge w:val="restart"/>
            <w:shd w:val="clear" w:color="auto" w:fill="FFFFFF"/>
            <w:vAlign w:val="center"/>
          </w:tcPr>
          <w:p w14:paraId="5BA178AF">
            <w:pPr>
              <w:numPr>
                <w:ilvl w:val="0"/>
                <w:numId w:val="11"/>
              </w:numPr>
              <w:rPr>
                <w:rFonts w:ascii="宋体" w:hAnsi="宋体" w:cs="宋体"/>
                <w:color w:val="auto"/>
                <w:szCs w:val="21"/>
                <w:highlight w:val="none"/>
              </w:rPr>
            </w:pPr>
            <w:r>
              <w:rPr>
                <w:rFonts w:hint="eastAsia" w:ascii="宋体" w:hAnsi="宋体" w:cs="宋体"/>
                <w:color w:val="auto"/>
                <w:szCs w:val="21"/>
                <w:highlight w:val="none"/>
              </w:rPr>
              <w:t>技术中台</w:t>
            </w:r>
          </w:p>
        </w:tc>
        <w:tc>
          <w:tcPr>
            <w:tcW w:w="13506" w:type="dxa"/>
            <w:gridSpan w:val="2"/>
            <w:shd w:val="clear" w:color="auto" w:fill="FFFFFF"/>
            <w:vAlign w:val="center"/>
          </w:tcPr>
          <w:p w14:paraId="5C9FBE25">
            <w:pPr>
              <w:numPr>
                <w:ilvl w:val="1"/>
                <w:numId w:val="11"/>
              </w:numPr>
              <w:ind w:left="0" w:firstLine="0"/>
              <w:rPr>
                <w:rFonts w:ascii="宋体" w:hAnsi="宋体" w:cs="宋体"/>
                <w:bCs/>
                <w:color w:val="auto"/>
                <w:szCs w:val="21"/>
                <w:highlight w:val="none"/>
              </w:rPr>
            </w:pPr>
            <w:r>
              <w:rPr>
                <w:rFonts w:hint="eastAsia" w:ascii="宋体" w:hAnsi="宋体"/>
                <w:color w:val="auto"/>
                <w:szCs w:val="21"/>
                <w:highlight w:val="none"/>
              </w:rPr>
              <w:t>标准体系建设</w:t>
            </w:r>
          </w:p>
        </w:tc>
      </w:tr>
      <w:tr w14:paraId="148FC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846" w:type="dxa"/>
            <w:vMerge w:val="continue"/>
            <w:shd w:val="clear" w:color="auto" w:fill="FFFFFF"/>
            <w:vAlign w:val="center"/>
          </w:tcPr>
          <w:p w14:paraId="1798CDC5">
            <w:pPr>
              <w:numPr>
                <w:ilvl w:val="0"/>
                <w:numId w:val="11"/>
              </w:numPr>
              <w:rPr>
                <w:rFonts w:ascii="宋体" w:hAnsi="宋体" w:cs="宋体"/>
                <w:color w:val="auto"/>
                <w:szCs w:val="21"/>
                <w:highlight w:val="none"/>
              </w:rPr>
            </w:pPr>
          </w:p>
        </w:tc>
        <w:tc>
          <w:tcPr>
            <w:tcW w:w="1266" w:type="dxa"/>
            <w:shd w:val="clear" w:color="auto" w:fill="FFFFFF"/>
            <w:vAlign w:val="center"/>
          </w:tcPr>
          <w:p w14:paraId="5C1AB770">
            <w:pPr>
              <w:numPr>
                <w:ilvl w:val="2"/>
                <w:numId w:val="11"/>
              </w:numPr>
              <w:ind w:left="0" w:firstLine="0"/>
              <w:rPr>
                <w:rFonts w:ascii="宋体" w:hAnsi="宋体"/>
                <w:color w:val="auto"/>
                <w:highlight w:val="none"/>
              </w:rPr>
            </w:pPr>
            <w:r>
              <w:rPr>
                <w:rFonts w:hint="eastAsia" w:ascii="宋体" w:hAnsi="宋体"/>
                <w:color w:val="auto"/>
                <w:highlight w:val="none"/>
              </w:rPr>
              <w:t>应用门户</w:t>
            </w:r>
          </w:p>
        </w:tc>
        <w:tc>
          <w:tcPr>
            <w:tcW w:w="12240" w:type="dxa"/>
            <w:shd w:val="clear" w:color="auto" w:fill="FFFFFF"/>
            <w:vAlign w:val="center"/>
          </w:tcPr>
          <w:p w14:paraId="07FC185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系统注册：将需要通过平台进行整合的系统在系统注册模块中进行注册登记，供基础平台上的主数据管理，集成平台上的数据采集、数据交换等模块中使用。</w:t>
            </w:r>
          </w:p>
          <w:p w14:paraId="6D3F3EA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功能配置：对平台上的子系统功能模块进行配置，支持B/S和C/S架构类型的功能菜单配置，可兼容自研和合作厂商产品的配置。</w:t>
            </w:r>
          </w:p>
          <w:p w14:paraId="2E52DC6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角色权限：基础平台提供配置用户角色，对于不同角色的用户登录后能够查看和使用的系统模块进行配置，并根据用户角色配置用户单点登录能够登录的系统，以及对于医院平台的数据、功能、应用等的查看和使用权限。</w:t>
            </w:r>
          </w:p>
          <w:p w14:paraId="3BDEA93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个性化首页：用户可根据当前登录角色的不同，配置查看不同的个性化首页，适用于医院不同角色人员的业务需求。</w:t>
            </w:r>
          </w:p>
          <w:p w14:paraId="680FAE7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用户日志：用于记录用户何时登录/登出，登录IP、访问曲线等详细信息，方便管理者能够直观地看到登录到平台的并发量和高峰时间段，便于低峰时运维以及查看详细的用户登录信息。</w:t>
            </w:r>
          </w:p>
          <w:p w14:paraId="3CA4667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统一认证入口：提供基于统一身份认证机制的单点登录系统，用户只经过一次身份认证即可访问不同的业务系统；</w:t>
            </w:r>
          </w:p>
          <w:p w14:paraId="09FACFC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统一用户管理：提供用户管理、角色管理、访问控制和单点登录等方面的服务；</w:t>
            </w:r>
          </w:p>
          <w:p w14:paraId="7601A6C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统一认证服务：支持门户和业务系统的用户、角色对照功能，获取对应的数据和业务权限，实现全流程的统一认证体系；</w:t>
            </w:r>
          </w:p>
          <w:p w14:paraId="38684E4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统一权限管理：门户系统提供多种身份认证方式，例如：用户名和密码、CA认证或其他第三方认证等方式；</w:t>
            </w:r>
          </w:p>
        </w:tc>
      </w:tr>
      <w:tr w14:paraId="06DFC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8" w:hRule="atLeast"/>
          <w:jc w:val="center"/>
        </w:trPr>
        <w:tc>
          <w:tcPr>
            <w:tcW w:w="846" w:type="dxa"/>
            <w:vMerge w:val="continue"/>
            <w:shd w:val="clear" w:color="auto" w:fill="FFFFFF"/>
            <w:vAlign w:val="center"/>
          </w:tcPr>
          <w:p w14:paraId="6B694E86">
            <w:pPr>
              <w:numPr>
                <w:ilvl w:val="0"/>
                <w:numId w:val="11"/>
              </w:numPr>
              <w:rPr>
                <w:rFonts w:ascii="宋体" w:hAnsi="宋体" w:cs="宋体"/>
                <w:color w:val="auto"/>
                <w:szCs w:val="21"/>
                <w:highlight w:val="none"/>
              </w:rPr>
            </w:pPr>
          </w:p>
        </w:tc>
        <w:tc>
          <w:tcPr>
            <w:tcW w:w="1266" w:type="dxa"/>
            <w:shd w:val="clear" w:color="auto" w:fill="FFFFFF"/>
            <w:vAlign w:val="center"/>
          </w:tcPr>
          <w:p w14:paraId="41F655C1">
            <w:pPr>
              <w:numPr>
                <w:ilvl w:val="2"/>
                <w:numId w:val="11"/>
              </w:numPr>
              <w:ind w:left="0" w:firstLine="0"/>
              <w:rPr>
                <w:rFonts w:ascii="宋体" w:hAnsi="宋体"/>
                <w:color w:val="auto"/>
                <w:highlight w:val="none"/>
              </w:rPr>
            </w:pPr>
            <w:r>
              <w:rPr>
                <w:rFonts w:hint="eastAsia" w:ascii="宋体" w:hAnsi="宋体"/>
                <w:color w:val="auto"/>
                <w:highlight w:val="none"/>
              </w:rPr>
              <w:t>主数据管理</w:t>
            </w:r>
          </w:p>
        </w:tc>
        <w:tc>
          <w:tcPr>
            <w:tcW w:w="12240" w:type="dxa"/>
            <w:shd w:val="clear" w:color="auto" w:fill="FFFFFF"/>
            <w:vAlign w:val="center"/>
          </w:tcPr>
          <w:p w14:paraId="2244965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基础数据管理：构建基础的数据模型，统一院内的基础数据，并能够保证基础数据的同步更新，支持发布。</w:t>
            </w:r>
          </w:p>
          <w:p w14:paraId="3C478D0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国家标准管理：根据国家各项政策文件的要求，支持OID（对象标识符）、数据元数据集以及CDA和HL7 V2.x/HL7 V3.x的模型维护。</w:t>
            </w:r>
          </w:p>
          <w:p w14:paraId="1FF9F2B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标准值域字典：标准值域字典是根据《卫生信息数据元值域代码WS364-2011》维护的CV卫生部值域代码表，也包含互联互通要求的GB国家类值域代码表以及互联互通要求的CC自定义类值域代码表。包含卫生部值域代码表（CV）271个，国家类值域代码表（GB/T）17个，自定义值域代码表（CC）107个，ICD-10诊断编码1个，ICD-9手术编码1个。</w:t>
            </w:r>
          </w:p>
          <w:p w14:paraId="52E1915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临床字典管理：临床字典是为了方便临床医务人员对一些医学专用名词给予统一的解释，成为各业务系统公用的临床字典去使用。支持满足各业务需求的临床字典维护，如检查/检验项目字典、样本类型字典、药品字典、诊断字典等。</w:t>
            </w:r>
          </w:p>
          <w:p w14:paraId="329203F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临床术语管理：提供主流医学术语的维护功能，供医务人员参考使用。主要包括LONIC、药品 ATC、 国际系统医学临床术语（SONMED CT中文版V3.4）、 ICD-10 、ICD-9等。</w:t>
            </w:r>
          </w:p>
          <w:p w14:paraId="26AFAFA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主数据维护：平台支持维护机构、科室、人员等组织架构基础数据，对组织架构基础数据进行增删改查操作；</w:t>
            </w:r>
          </w:p>
          <w:p w14:paraId="3CF2F3C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平台支持维护平台使用和各个业务系统使用的检验项目、检查项目、疾病编码、药品编码等临床基础数据，对临床基础数据进行增删改查操作；</w:t>
            </w:r>
          </w:p>
          <w:p w14:paraId="4F7F367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平台支持对数据元、数据集进行增删改查操作；</w:t>
            </w:r>
          </w:p>
          <w:p w14:paraId="5E5A5CC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为了实现全院所有字典的映射管理，平台维护所有国家标准、卫生行业标准、业务交互标准的基础字典，也统一管理各个业务域的字典；</w:t>
            </w:r>
          </w:p>
          <w:p w14:paraId="4BA5684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支持以上数据信息的导出操作，支持字典的导入操作。</w:t>
            </w:r>
          </w:p>
          <w:p w14:paraId="239E318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提供主数据的审核管理，针对重要的主数据必须经过人工审核后，才能发布到集成平台。支持查看哪些字典已审核、未审核列表，支持对未审核的字典进行一键审核。</w:t>
            </w:r>
          </w:p>
        </w:tc>
      </w:tr>
      <w:tr w14:paraId="10B6B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8" w:hRule="atLeast"/>
          <w:jc w:val="center"/>
        </w:trPr>
        <w:tc>
          <w:tcPr>
            <w:tcW w:w="846" w:type="dxa"/>
            <w:vMerge w:val="continue"/>
            <w:shd w:val="clear" w:color="auto" w:fill="FFFFFF"/>
            <w:vAlign w:val="center"/>
          </w:tcPr>
          <w:p w14:paraId="52A8F85F">
            <w:pPr>
              <w:numPr>
                <w:ilvl w:val="0"/>
                <w:numId w:val="11"/>
              </w:numPr>
              <w:rPr>
                <w:rFonts w:ascii="宋体" w:hAnsi="宋体" w:cs="宋体"/>
                <w:color w:val="auto"/>
                <w:szCs w:val="21"/>
                <w:highlight w:val="none"/>
              </w:rPr>
            </w:pPr>
          </w:p>
        </w:tc>
        <w:tc>
          <w:tcPr>
            <w:tcW w:w="1266" w:type="dxa"/>
            <w:shd w:val="clear" w:color="auto" w:fill="FFFFFF"/>
            <w:vAlign w:val="center"/>
          </w:tcPr>
          <w:p w14:paraId="374D316C">
            <w:pPr>
              <w:numPr>
                <w:ilvl w:val="2"/>
                <w:numId w:val="11"/>
              </w:numPr>
              <w:ind w:left="0" w:firstLine="0"/>
              <w:rPr>
                <w:rFonts w:ascii="宋体" w:hAnsi="宋体"/>
                <w:color w:val="auto"/>
                <w:highlight w:val="none"/>
              </w:rPr>
            </w:pPr>
            <w:r>
              <w:rPr>
                <w:rFonts w:hint="eastAsia" w:ascii="宋体" w:hAnsi="宋体"/>
                <w:color w:val="auto"/>
                <w:highlight w:val="none"/>
              </w:rPr>
              <w:t>患者</w:t>
            </w:r>
            <w:r>
              <w:rPr>
                <w:rFonts w:hint="eastAsia" w:ascii="宋体" w:hAnsi="宋体" w:cs="宋体"/>
                <w:color w:val="auto"/>
                <w:kern w:val="0"/>
                <w:szCs w:val="21"/>
                <w:highlight w:val="none"/>
              </w:rPr>
              <w:t>索引管理</w:t>
            </w:r>
          </w:p>
        </w:tc>
        <w:tc>
          <w:tcPr>
            <w:tcW w:w="12240" w:type="dxa"/>
            <w:shd w:val="clear" w:color="auto" w:fill="FFFFFF"/>
            <w:vAlign w:val="center"/>
          </w:tcPr>
          <w:p w14:paraId="276DDF1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权重规则设置：权重规则设置是患者主索引注册时进行患者模糊匹配所依照的权重匹配条件。将各项匹配条件设置不同的分值，分为三个级别：相同、疑似、不同，在模糊匹配计算出分值后，进而得出新注册患者与系统中已有患者的匹配度。当达到设置的匹配分值时，表明新注册患者在系统中已存在，将其关联并产生交叉索引，记录匹配分值；当达到疑似分值时，产生新的主索引，记录疑似重复记录；未达到疑似分值时，产生新的主索引</w:t>
            </w:r>
          </w:p>
          <w:p w14:paraId="3D13590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校验规则配置:校验规则设置用户患者信息注册时对特定的字段进行校验，如身份证号无效时，不参与权重的匹配计算，电话号码无效时自动清空处理等。</w:t>
            </w:r>
          </w:p>
          <w:p w14:paraId="2A4C4BA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系统日志查看:主要提供三类操作日志的展示：注册请求日志、更新日志、错误日志。</w:t>
            </w:r>
          </w:p>
          <w:p w14:paraId="4BFFDA4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查询患者主索引信息:患者主索引列表默认显示所有的全局主索引记录，允许系统管理操作人员使用全局患者标识或业务系统本地患者标识检索患者。或者输入患者部分信息，如姓名、性别、出生日期、身份证号等检索患者，检索结果包括患者的主索引、交叉索引记录以及患者基本信息。</w:t>
            </w:r>
          </w:p>
          <w:p w14:paraId="3166AD7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合并患者主索引:患者主索引列表中根据搜索的结果，选择要进行主索引合并的记录进行主索引合并。合并时可选择需要合并、替换的内容。</w:t>
            </w:r>
          </w:p>
          <w:p w14:paraId="4B1A755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患者主索引轨迹:选中某个患者主索引，可查看该主索引的整个生命周期的变更轨迹，包括新增、更新、合并等。</w:t>
            </w:r>
          </w:p>
          <w:p w14:paraId="511572A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疑似主索引列表对第一次匹配到的全局主索引标记为“主”，后续匹配上来的主索引记录标记为“疑”，可选中一条主记录和一条或多条疑记录进行合并或解除疑似的操作，也可选中某一条记录查看其相关联的交叉主索引或患者主索引的轨迹记录，功能同主索引管理中的交叉索引记录和患者轨迹。</w:t>
            </w:r>
          </w:p>
          <w:p w14:paraId="3EDBA8B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主索引注册服务：主索引注册服务根据患者基本信息建立交叉索引记录、更新主索引/交叉索引记录。并且在更新主索引后，发布主索引更新通知。</w:t>
            </w:r>
          </w:p>
          <w:p w14:paraId="0BE5261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主索引标识查询服务：根据业务系统提供患者在业务系统中的注册信息，以及业务系统在平台上的注册信息，和平台上已存在的患者进行绝对匹配后返回患者对应的主索引标识。如果没有匹配到，则根据患者信息进行条件模糊匹配，返回所有的匹配记录。</w:t>
            </w:r>
          </w:p>
          <w:p w14:paraId="70F3FD0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患者信息查询服务:交叉索引系统存储了患者在多个系统中的标识信息，并由此维护一个主索引，记录最准确的患者基本信息，该信息可以提供给业务系统使用。患者主索引信息可由业务系统提供全局标识获取，也可由业务系统提供患者本地信息获取。</w:t>
            </w:r>
          </w:p>
          <w:p w14:paraId="5B3DDA5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交叉索引查询服务：交叉索引系统为业务系统提供业务系统交叉索引表，业务系统可以通过两种方式获取交叉索引：通过全局标识获取、通过患者信息获取。</w:t>
            </w:r>
          </w:p>
          <w:p w14:paraId="6EEF1B3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主索引更新服务:业务系统可以向交叉索引系统订阅主索引，交叉索引系统在对一个患者的主索引更新或增加新索引后，要向订阅主索引的业务系统发布更新。</w:t>
            </w:r>
          </w:p>
          <w:p w14:paraId="65F5043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主索引合并服务：主索引注册时，会记录模糊匹配的记录，当模糊匹配记录为1条时，业务系统直接发起请求，两个不同的全局主索引进行合并为一个主索引，当模糊匹配记录不止1条时，默认合并匹配分值最高的一条，并记录其余疑似匹配记录。完成后对外发布主索引变更通知。</w:t>
            </w:r>
          </w:p>
          <w:p w14:paraId="03AFCB5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试采集管理：用于对项目上的患者数据进行试采集，并生成对应的数据分析报告，为正式环境的权重分值配置提供支撑；</w:t>
            </w:r>
          </w:p>
          <w:p w14:paraId="0A195B4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主索引变更通知：对主索引进行的修改、注销、合并、拆分等操作完成后需要对外部发布主索引变更通知，通知外部系统做更新。通知的内容包括变更前主索引信息和变更后的信息。</w:t>
            </w:r>
          </w:p>
          <w:p w14:paraId="09D0220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统计出主索引总量、原始注册档案数和合并总量</w:t>
            </w:r>
          </w:p>
        </w:tc>
      </w:tr>
      <w:tr w14:paraId="1BE55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jc w:val="center"/>
        </w:trPr>
        <w:tc>
          <w:tcPr>
            <w:tcW w:w="846" w:type="dxa"/>
            <w:vMerge w:val="continue"/>
            <w:shd w:val="clear" w:color="auto" w:fill="FFFFFF"/>
            <w:vAlign w:val="center"/>
          </w:tcPr>
          <w:p w14:paraId="4BF05C0D">
            <w:pPr>
              <w:numPr>
                <w:ilvl w:val="0"/>
                <w:numId w:val="11"/>
              </w:numPr>
              <w:rPr>
                <w:rFonts w:ascii="宋体" w:hAnsi="宋体" w:cs="宋体"/>
                <w:color w:val="auto"/>
                <w:szCs w:val="21"/>
                <w:highlight w:val="none"/>
              </w:rPr>
            </w:pPr>
          </w:p>
        </w:tc>
        <w:tc>
          <w:tcPr>
            <w:tcW w:w="1266" w:type="dxa"/>
            <w:shd w:val="clear" w:color="auto" w:fill="FFFFFF"/>
            <w:vAlign w:val="center"/>
          </w:tcPr>
          <w:p w14:paraId="5F083F14">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统一消息平台</w:t>
            </w:r>
          </w:p>
        </w:tc>
        <w:tc>
          <w:tcPr>
            <w:tcW w:w="12240" w:type="dxa"/>
            <w:shd w:val="clear" w:color="auto" w:fill="FFFFFF"/>
            <w:vAlign w:val="center"/>
          </w:tcPr>
          <w:p w14:paraId="5A68D2B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微信通讯：能够通过微信公众号、小程序实现对所有订阅者发送即时消息；</w:t>
            </w:r>
          </w:p>
          <w:p w14:paraId="0269426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邮件通讯：支持配置多个邮件终端，如Foxmail、QQ邮箱等</w:t>
            </w:r>
          </w:p>
          <w:p w14:paraId="1B26180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短信通讯：支持对接医院已开通的不同类型的短信服务平台，实现短信的收发；</w:t>
            </w:r>
          </w:p>
          <w:p w14:paraId="1F759D5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钉钉通讯：支持配置钉钉终端，实现钉钉消息的收发</w:t>
            </w:r>
          </w:p>
          <w:p w14:paraId="7E22E62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站内通讯：支持平台间的通讯。</w:t>
            </w:r>
          </w:p>
        </w:tc>
      </w:tr>
      <w:tr w14:paraId="71C2A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46" w:type="dxa"/>
            <w:vMerge w:val="continue"/>
            <w:shd w:val="clear" w:color="auto" w:fill="FFFFFF"/>
            <w:vAlign w:val="center"/>
          </w:tcPr>
          <w:p w14:paraId="47D60209">
            <w:pPr>
              <w:numPr>
                <w:ilvl w:val="0"/>
                <w:numId w:val="11"/>
              </w:numPr>
              <w:rPr>
                <w:rFonts w:ascii="宋体" w:hAnsi="宋体" w:cs="宋体"/>
                <w:color w:val="auto"/>
                <w:szCs w:val="21"/>
                <w:highlight w:val="none"/>
              </w:rPr>
            </w:pPr>
          </w:p>
        </w:tc>
        <w:tc>
          <w:tcPr>
            <w:tcW w:w="13506" w:type="dxa"/>
            <w:gridSpan w:val="2"/>
            <w:shd w:val="clear" w:color="auto" w:fill="FFFFFF"/>
            <w:vAlign w:val="center"/>
          </w:tcPr>
          <w:p w14:paraId="7818FD84">
            <w:pPr>
              <w:numPr>
                <w:ilvl w:val="1"/>
                <w:numId w:val="11"/>
              </w:numPr>
              <w:ind w:left="0" w:firstLine="0"/>
              <w:rPr>
                <w:rFonts w:ascii="宋体" w:hAnsi="宋体" w:cs="宋体"/>
                <w:color w:val="auto"/>
                <w:kern w:val="0"/>
                <w:szCs w:val="21"/>
                <w:highlight w:val="none"/>
              </w:rPr>
            </w:pPr>
            <w:r>
              <w:rPr>
                <w:rFonts w:hint="eastAsia" w:ascii="宋体" w:hAnsi="宋体"/>
                <w:color w:val="auto"/>
                <w:szCs w:val="21"/>
                <w:highlight w:val="none"/>
              </w:rPr>
              <w:t>信息集成平台</w:t>
            </w:r>
          </w:p>
        </w:tc>
      </w:tr>
      <w:tr w14:paraId="74974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1" w:hRule="atLeast"/>
          <w:jc w:val="center"/>
        </w:trPr>
        <w:tc>
          <w:tcPr>
            <w:tcW w:w="846" w:type="dxa"/>
            <w:vMerge w:val="continue"/>
            <w:shd w:val="clear" w:color="auto" w:fill="FFFFFF"/>
            <w:vAlign w:val="center"/>
          </w:tcPr>
          <w:p w14:paraId="5294F9FD">
            <w:pPr>
              <w:numPr>
                <w:ilvl w:val="0"/>
                <w:numId w:val="11"/>
              </w:numPr>
              <w:rPr>
                <w:rFonts w:ascii="宋体" w:hAnsi="宋体" w:cs="宋体"/>
                <w:color w:val="auto"/>
                <w:szCs w:val="21"/>
                <w:highlight w:val="none"/>
              </w:rPr>
            </w:pPr>
          </w:p>
        </w:tc>
        <w:tc>
          <w:tcPr>
            <w:tcW w:w="1266" w:type="dxa"/>
            <w:shd w:val="clear" w:color="auto" w:fill="FFFFFF"/>
            <w:vAlign w:val="center"/>
          </w:tcPr>
          <w:p w14:paraId="38473980">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消息标准</w:t>
            </w:r>
          </w:p>
        </w:tc>
        <w:tc>
          <w:tcPr>
            <w:tcW w:w="12240" w:type="dxa"/>
            <w:shd w:val="clear" w:color="auto" w:fill="FFFFFF"/>
            <w:vAlign w:val="center"/>
          </w:tcPr>
          <w:p w14:paraId="1F75AE2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标准定义：各个系统之间进行交流的信息是以消息的形式在平台上流转。消息的标准管理主要为交换信息的语义和内容结构制定标准。</w:t>
            </w:r>
          </w:p>
          <w:p w14:paraId="00A5FE8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协议转换：交换协议的转换是对异构系统各种交换协议之间格式的转换功能，该组件能够通过使用模板的方式将数据和格式分离。</w:t>
            </w:r>
          </w:p>
          <w:p w14:paraId="7B22796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调用统计分析：用于统计平台内部纤细模型的调用情况，记录平台内消息模型数量、服务调用趋势、各模型调用次数、映射调用情况、映射转换时间</w:t>
            </w:r>
          </w:p>
        </w:tc>
      </w:tr>
      <w:tr w14:paraId="13B5D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9" w:hRule="atLeast"/>
          <w:jc w:val="center"/>
        </w:trPr>
        <w:tc>
          <w:tcPr>
            <w:tcW w:w="846" w:type="dxa"/>
            <w:vMerge w:val="continue"/>
            <w:shd w:val="clear" w:color="auto" w:fill="FFFFFF"/>
            <w:vAlign w:val="center"/>
          </w:tcPr>
          <w:p w14:paraId="6B77276E">
            <w:pPr>
              <w:numPr>
                <w:ilvl w:val="0"/>
                <w:numId w:val="11"/>
              </w:numPr>
              <w:rPr>
                <w:rFonts w:ascii="宋体" w:hAnsi="宋体" w:cs="宋体"/>
                <w:color w:val="auto"/>
                <w:szCs w:val="21"/>
                <w:highlight w:val="none"/>
              </w:rPr>
            </w:pPr>
          </w:p>
        </w:tc>
        <w:tc>
          <w:tcPr>
            <w:tcW w:w="1266" w:type="dxa"/>
            <w:shd w:val="clear" w:color="auto" w:fill="FFFFFF"/>
            <w:vAlign w:val="center"/>
          </w:tcPr>
          <w:p w14:paraId="5530A092">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服务注册</w:t>
            </w:r>
          </w:p>
        </w:tc>
        <w:tc>
          <w:tcPr>
            <w:tcW w:w="12240" w:type="dxa"/>
            <w:shd w:val="clear" w:color="auto" w:fill="FFFFFF"/>
            <w:vAlign w:val="center"/>
          </w:tcPr>
          <w:p w14:paraId="458CD36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通用数据库访问组件：支持SQL及SQL节点的查询、插入、更新、删除，存储过程、函数、迭代器的使用，同时可自定义设置执行条件和超时时间。</w:t>
            </w:r>
          </w:p>
          <w:p w14:paraId="4696485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分布式事物处理：针对webservice接入和HTTP接入支持分布式事物处理，当消息路由到多方时，其中一方失败，能通知调用成功方撤回操作，保障事物的一致性。</w:t>
            </w:r>
          </w:p>
          <w:p w14:paraId="0E62277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流程路由组件：提供了可编程的流程路由功能，根据传入的参数判断走哪个流程（通过入参和设置在路由后面组件的标签值来确定）。</w:t>
            </w:r>
          </w:p>
          <w:p w14:paraId="6690F5B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通用字符串转换组件：通用字符串转换就是把数据库查询到的结果输出到字符串，字符串的整体格式固定，实际内容可由用户自定义。</w:t>
            </w:r>
          </w:p>
          <w:p w14:paraId="622F667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脱敏组件：脱敏组件是用于数据脱敏，根据传入的数据，获取对应的系统或角色和消息类型，然后根据这些信息找到对应的脱敏配置，根据配置来脱敏指定节点的指定位置。</w:t>
            </w:r>
          </w:p>
          <w:p w14:paraId="4F7BB0A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消息处理组件：消息处理组件可以实现对消息的增加、修改、删除、取值、拼接、截取、字符替换、获取节点、克隆节点等操作。这些功能的处理主要差异在消息组件的语法格式和输入的内容。</w:t>
            </w:r>
          </w:p>
          <w:p w14:paraId="573528C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加解密工具组件：加解密工具组件主要用于实现MD5加密、Base64加密、Base64解密等功能。只要选择MD5、Base64加密或者Base64解密，不需要其他操作（加解密过程在程序中已经实现）。</w:t>
            </w:r>
          </w:p>
          <w:p w14:paraId="2D6A048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接入代理组件：接入代理组件主要提供webservice、http、socket几种接入代理方式。</w:t>
            </w:r>
          </w:p>
          <w:p w14:paraId="573D802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通用消息转换组件：提供通用的消息转换服务</w:t>
            </w:r>
          </w:p>
          <w:p w14:paraId="6D69ECF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通用JS脚本组件：编写Js脚本，用于控制流程、修改数据等程序化操作。</w:t>
            </w:r>
          </w:p>
        </w:tc>
      </w:tr>
      <w:tr w14:paraId="6FD71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4" w:hRule="atLeast"/>
          <w:jc w:val="center"/>
        </w:trPr>
        <w:tc>
          <w:tcPr>
            <w:tcW w:w="846" w:type="dxa"/>
            <w:vMerge w:val="continue"/>
            <w:shd w:val="clear" w:color="auto" w:fill="FFFFFF"/>
            <w:vAlign w:val="center"/>
          </w:tcPr>
          <w:p w14:paraId="434C5538">
            <w:pPr>
              <w:numPr>
                <w:ilvl w:val="0"/>
                <w:numId w:val="11"/>
              </w:numPr>
              <w:rPr>
                <w:rFonts w:ascii="宋体" w:hAnsi="宋体" w:cs="宋体"/>
                <w:color w:val="auto"/>
                <w:szCs w:val="21"/>
                <w:highlight w:val="none"/>
              </w:rPr>
            </w:pPr>
          </w:p>
        </w:tc>
        <w:tc>
          <w:tcPr>
            <w:tcW w:w="1266" w:type="dxa"/>
            <w:shd w:val="clear" w:color="auto" w:fill="FFFFFF"/>
            <w:vAlign w:val="center"/>
          </w:tcPr>
          <w:p w14:paraId="626E1AC3">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服务编排</w:t>
            </w:r>
          </w:p>
        </w:tc>
        <w:tc>
          <w:tcPr>
            <w:tcW w:w="12240" w:type="dxa"/>
            <w:shd w:val="clear" w:color="auto" w:fill="FFFFFF"/>
            <w:vAlign w:val="center"/>
          </w:tcPr>
          <w:p w14:paraId="3505876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编排视图支持用户按照院内实际的业务流程和业务系统数据传递情况，将平台上的服务和组件通过拖拽连线的方式进行编排，形成数据处理的流转路径，实现数据的处理、转换、字典翻转、格式校验等操作。</w:t>
            </w:r>
          </w:p>
          <w:p w14:paraId="3027543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概览视图可设置服务流程的等级，为后续流程的网关控制做准备，另外，控制流程的启禁用、删除、复制、编辑等，查看流程的状态及流程排序。</w:t>
            </w:r>
          </w:p>
        </w:tc>
      </w:tr>
      <w:tr w14:paraId="3A7B6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46" w:type="dxa"/>
            <w:vMerge w:val="continue"/>
            <w:shd w:val="clear" w:color="auto" w:fill="FFFFFF"/>
            <w:vAlign w:val="center"/>
          </w:tcPr>
          <w:p w14:paraId="29160A4D">
            <w:pPr>
              <w:numPr>
                <w:ilvl w:val="0"/>
                <w:numId w:val="11"/>
              </w:numPr>
              <w:rPr>
                <w:rFonts w:ascii="宋体" w:hAnsi="宋体" w:cs="宋体"/>
                <w:color w:val="auto"/>
                <w:szCs w:val="21"/>
                <w:highlight w:val="none"/>
              </w:rPr>
            </w:pPr>
          </w:p>
        </w:tc>
        <w:tc>
          <w:tcPr>
            <w:tcW w:w="1266" w:type="dxa"/>
            <w:shd w:val="clear" w:color="auto" w:fill="FFFFFF"/>
            <w:vAlign w:val="center"/>
          </w:tcPr>
          <w:p w14:paraId="4D95EC09">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服务测试</w:t>
            </w:r>
          </w:p>
        </w:tc>
        <w:tc>
          <w:tcPr>
            <w:tcW w:w="12240" w:type="dxa"/>
            <w:shd w:val="clear" w:color="auto" w:fill="FFFFFF"/>
            <w:vAlign w:val="center"/>
          </w:tcPr>
          <w:p w14:paraId="0B8CFAB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服务测试是针对整个服务流程的测试。通过输入服务的接入类型（Webservice、http、https、rpc、socket、MQ）、服务地址、接入名、用户名、密码等属性信息，进行模拟调用测试。</w:t>
            </w:r>
          </w:p>
        </w:tc>
      </w:tr>
      <w:tr w14:paraId="05606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46" w:type="dxa"/>
            <w:vMerge w:val="continue"/>
            <w:shd w:val="clear" w:color="auto" w:fill="FFFFFF"/>
            <w:vAlign w:val="center"/>
          </w:tcPr>
          <w:p w14:paraId="2A8A12EA">
            <w:pPr>
              <w:numPr>
                <w:ilvl w:val="0"/>
                <w:numId w:val="11"/>
              </w:numPr>
              <w:rPr>
                <w:rFonts w:ascii="宋体" w:hAnsi="宋体" w:cs="宋体"/>
                <w:color w:val="auto"/>
                <w:szCs w:val="21"/>
                <w:highlight w:val="none"/>
              </w:rPr>
            </w:pPr>
          </w:p>
        </w:tc>
        <w:tc>
          <w:tcPr>
            <w:tcW w:w="1266" w:type="dxa"/>
            <w:shd w:val="clear" w:color="auto" w:fill="FFFFFF"/>
            <w:vAlign w:val="center"/>
          </w:tcPr>
          <w:p w14:paraId="0E045694">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服务发布</w:t>
            </w:r>
          </w:p>
        </w:tc>
        <w:tc>
          <w:tcPr>
            <w:tcW w:w="12240" w:type="dxa"/>
            <w:shd w:val="clear" w:color="auto" w:fill="FFFFFF"/>
            <w:vAlign w:val="center"/>
          </w:tcPr>
          <w:p w14:paraId="577A2EC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服务发布分：灰度环境发布和正式环境发布，发布时可选择发布到灰度环境或正式环境，同时可以便捷的切换正式环境和测试环境。</w:t>
            </w:r>
          </w:p>
        </w:tc>
      </w:tr>
      <w:tr w14:paraId="0D308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46" w:type="dxa"/>
            <w:vMerge w:val="continue"/>
            <w:shd w:val="clear" w:color="auto" w:fill="FFFFFF"/>
            <w:vAlign w:val="center"/>
          </w:tcPr>
          <w:p w14:paraId="5DF979EB">
            <w:pPr>
              <w:numPr>
                <w:ilvl w:val="0"/>
                <w:numId w:val="11"/>
              </w:numPr>
              <w:rPr>
                <w:rFonts w:ascii="宋体" w:hAnsi="宋体" w:cs="宋体"/>
                <w:color w:val="auto"/>
                <w:szCs w:val="21"/>
                <w:highlight w:val="none"/>
              </w:rPr>
            </w:pPr>
          </w:p>
        </w:tc>
        <w:tc>
          <w:tcPr>
            <w:tcW w:w="1266" w:type="dxa"/>
            <w:shd w:val="clear" w:color="auto" w:fill="FFFFFF"/>
            <w:vAlign w:val="center"/>
          </w:tcPr>
          <w:p w14:paraId="46C721C9">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异常处理</w:t>
            </w:r>
          </w:p>
        </w:tc>
        <w:tc>
          <w:tcPr>
            <w:tcW w:w="12240" w:type="dxa"/>
            <w:shd w:val="clear" w:color="auto" w:fill="FFFFFF"/>
            <w:vAlign w:val="center"/>
          </w:tcPr>
          <w:p w14:paraId="6067E7B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集成平台提供了服务流程的异步异常处理功能，当调用集成平台上的异步服务时，不确定是否发送成功，可通过此组件对消息进行重发（发送到错误步骤或指定步骤）、转发（转发到其他流程处理）、暂存（暂时保存到库中）、删除（只保留错误调用记录，详细的消息删除）、忽略（不保留任何信息，相当于调过异常处理）。</w:t>
            </w:r>
          </w:p>
        </w:tc>
      </w:tr>
      <w:tr w14:paraId="73506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4" w:hRule="atLeast"/>
          <w:jc w:val="center"/>
        </w:trPr>
        <w:tc>
          <w:tcPr>
            <w:tcW w:w="846" w:type="dxa"/>
            <w:vMerge w:val="continue"/>
            <w:shd w:val="clear" w:color="auto" w:fill="FFFFFF"/>
            <w:vAlign w:val="center"/>
          </w:tcPr>
          <w:p w14:paraId="191FD547">
            <w:pPr>
              <w:numPr>
                <w:ilvl w:val="0"/>
                <w:numId w:val="11"/>
              </w:numPr>
              <w:rPr>
                <w:rFonts w:ascii="宋体" w:hAnsi="宋体" w:cs="宋体"/>
                <w:color w:val="auto"/>
                <w:szCs w:val="21"/>
                <w:highlight w:val="none"/>
              </w:rPr>
            </w:pPr>
          </w:p>
        </w:tc>
        <w:tc>
          <w:tcPr>
            <w:tcW w:w="1266" w:type="dxa"/>
            <w:shd w:val="clear" w:color="auto" w:fill="FFFFFF"/>
            <w:vAlign w:val="center"/>
          </w:tcPr>
          <w:p w14:paraId="7545B292">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集成监控</w:t>
            </w:r>
          </w:p>
        </w:tc>
        <w:tc>
          <w:tcPr>
            <w:tcW w:w="12240" w:type="dxa"/>
            <w:shd w:val="clear" w:color="auto" w:fill="FFFFFF"/>
            <w:vAlign w:val="center"/>
          </w:tcPr>
          <w:p w14:paraId="0DE08A9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集成综合监控：展示集成平台中主要模块的概要信息监控，方便管理者对系统的整体情况进行监控查看。</w:t>
            </w:r>
          </w:p>
          <w:p w14:paraId="7A30BC8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服务健康状态：服务状态监控，针对异常记录，可追踪异常发生节点，以及异常节点的输入输出、错误信息提示，准确掌握错误，精准修复。</w:t>
            </w:r>
          </w:p>
          <w:p w14:paraId="3ABCAD4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服务日志分析：支持对每一个消息传输环节的监控和审核，针对流程每个步骤进行调用量、平均响应时间、最大响应时间、成功次数、错误次数、异常处理次数等监控，能够查看发生错误的环节、错误类型、耗时等，对于数据传输状况有较灵活的反馈。</w:t>
            </w:r>
          </w:p>
        </w:tc>
      </w:tr>
      <w:tr w14:paraId="48D37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jc w:val="center"/>
        </w:trPr>
        <w:tc>
          <w:tcPr>
            <w:tcW w:w="846" w:type="dxa"/>
            <w:vMerge w:val="continue"/>
            <w:shd w:val="clear" w:color="auto" w:fill="FFFFFF"/>
            <w:vAlign w:val="center"/>
          </w:tcPr>
          <w:p w14:paraId="6E62BC23">
            <w:pPr>
              <w:numPr>
                <w:ilvl w:val="0"/>
                <w:numId w:val="11"/>
              </w:numPr>
              <w:rPr>
                <w:rFonts w:ascii="宋体" w:hAnsi="宋体" w:cs="宋体"/>
                <w:color w:val="auto"/>
                <w:szCs w:val="21"/>
                <w:highlight w:val="none"/>
              </w:rPr>
            </w:pPr>
          </w:p>
        </w:tc>
        <w:tc>
          <w:tcPr>
            <w:tcW w:w="1266" w:type="dxa"/>
            <w:shd w:val="clear" w:color="auto" w:fill="FFFFFF"/>
            <w:vAlign w:val="center"/>
          </w:tcPr>
          <w:p w14:paraId="5CD88DEA">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消息检索</w:t>
            </w:r>
          </w:p>
        </w:tc>
        <w:tc>
          <w:tcPr>
            <w:tcW w:w="12240" w:type="dxa"/>
            <w:shd w:val="clear" w:color="auto" w:fill="FFFFFF"/>
            <w:vAlign w:val="center"/>
          </w:tcPr>
          <w:p w14:paraId="7AC925F1">
            <w:pPr>
              <w:numPr>
                <w:ilvl w:val="0"/>
                <w:numId w:val="12"/>
              </w:numPr>
              <w:tabs>
                <w:tab w:val="left" w:pos="525"/>
                <w:tab w:val="left" w:pos="630"/>
              </w:tabs>
              <w:spacing w:line="360" w:lineRule="auto"/>
              <w:rPr>
                <w:rFonts w:ascii="宋体" w:hAnsi="宋体"/>
                <w:color w:val="auto"/>
                <w:sz w:val="20"/>
                <w:szCs w:val="20"/>
                <w:highlight w:val="none"/>
              </w:rPr>
            </w:pPr>
            <w:r>
              <w:rPr>
                <w:rFonts w:hint="eastAsia" w:ascii="宋体" w:hAnsi="宋体"/>
                <w:color w:val="auto"/>
                <w:sz w:val="20"/>
                <w:szCs w:val="20"/>
                <w:highlight w:val="none"/>
              </w:rPr>
              <w:t>消息日志检索：基于消息服务日志存储功能，提供快速、高性能的消息搜索服务，便于系统排错追踪，查看出入参详情，便于错误分析。</w:t>
            </w:r>
          </w:p>
          <w:p w14:paraId="11C189E3">
            <w:pPr>
              <w:numPr>
                <w:ilvl w:val="0"/>
                <w:numId w:val="12"/>
              </w:numPr>
              <w:tabs>
                <w:tab w:val="left" w:pos="525"/>
                <w:tab w:val="left" w:pos="630"/>
              </w:tabs>
              <w:spacing w:line="360" w:lineRule="auto"/>
              <w:rPr>
                <w:rFonts w:ascii="宋体" w:hAnsi="宋体"/>
                <w:color w:val="auto"/>
                <w:sz w:val="20"/>
                <w:szCs w:val="20"/>
                <w:highlight w:val="none"/>
              </w:rPr>
            </w:pPr>
            <w:r>
              <w:rPr>
                <w:rFonts w:hint="eastAsia" w:ascii="宋体" w:hAnsi="宋体" w:cs="宋体"/>
                <w:bCs/>
                <w:color w:val="auto"/>
                <w:szCs w:val="21"/>
                <w:highlight w:val="none"/>
              </w:rPr>
              <w:t>患者日志检索：可基于单个患者或对应的门诊号、住院号等，检索出所有和该患者相关的日志消息，进而判断是否涵盖了该患者在本医院的所有诊疗活动。</w:t>
            </w:r>
          </w:p>
        </w:tc>
      </w:tr>
      <w:tr w14:paraId="282B7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46" w:type="dxa"/>
            <w:vMerge w:val="continue"/>
            <w:shd w:val="clear" w:color="auto" w:fill="FFFFFF"/>
            <w:vAlign w:val="center"/>
          </w:tcPr>
          <w:p w14:paraId="7455FC41">
            <w:pPr>
              <w:numPr>
                <w:ilvl w:val="0"/>
                <w:numId w:val="11"/>
              </w:numPr>
              <w:rPr>
                <w:rFonts w:ascii="宋体" w:hAnsi="宋体" w:cs="宋体"/>
                <w:color w:val="auto"/>
                <w:szCs w:val="21"/>
                <w:highlight w:val="none"/>
              </w:rPr>
            </w:pPr>
          </w:p>
        </w:tc>
        <w:tc>
          <w:tcPr>
            <w:tcW w:w="13506" w:type="dxa"/>
            <w:gridSpan w:val="2"/>
            <w:shd w:val="clear" w:color="auto" w:fill="FFFFFF"/>
            <w:vAlign w:val="center"/>
          </w:tcPr>
          <w:p w14:paraId="21BB43F9">
            <w:pPr>
              <w:numPr>
                <w:ilvl w:val="1"/>
                <w:numId w:val="11"/>
              </w:numPr>
              <w:ind w:left="0" w:firstLine="0"/>
              <w:rPr>
                <w:rFonts w:ascii="宋体" w:hAnsi="宋体"/>
                <w:color w:val="auto"/>
                <w:szCs w:val="21"/>
                <w:highlight w:val="none"/>
              </w:rPr>
            </w:pPr>
            <w:r>
              <w:rPr>
                <w:rFonts w:hint="eastAsia" w:ascii="宋体" w:hAnsi="宋体"/>
                <w:color w:val="auto"/>
                <w:szCs w:val="21"/>
                <w:highlight w:val="none"/>
              </w:rPr>
              <w:t>基于集成平台的一体化集成</w:t>
            </w:r>
          </w:p>
        </w:tc>
      </w:tr>
      <w:tr w14:paraId="66D4A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7" w:hRule="atLeast"/>
          <w:jc w:val="center"/>
        </w:trPr>
        <w:tc>
          <w:tcPr>
            <w:tcW w:w="846" w:type="dxa"/>
            <w:vMerge w:val="continue"/>
            <w:shd w:val="clear" w:color="auto" w:fill="FFFFFF"/>
            <w:vAlign w:val="center"/>
          </w:tcPr>
          <w:p w14:paraId="25DE6B5F">
            <w:pPr>
              <w:numPr>
                <w:ilvl w:val="0"/>
                <w:numId w:val="11"/>
              </w:numPr>
              <w:rPr>
                <w:rFonts w:ascii="宋体" w:hAnsi="宋体" w:cs="宋体"/>
                <w:color w:val="auto"/>
                <w:szCs w:val="21"/>
                <w:highlight w:val="none"/>
              </w:rPr>
            </w:pPr>
          </w:p>
        </w:tc>
        <w:tc>
          <w:tcPr>
            <w:tcW w:w="1266" w:type="dxa"/>
            <w:shd w:val="clear" w:color="auto" w:fill="FFFFFF"/>
            <w:vAlign w:val="center"/>
          </w:tcPr>
          <w:p w14:paraId="60C9EEC1">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临床服务系统整合</w:t>
            </w:r>
          </w:p>
        </w:tc>
        <w:tc>
          <w:tcPr>
            <w:tcW w:w="12240" w:type="dxa"/>
            <w:shd w:val="clear" w:color="auto" w:fill="FFFFFF"/>
            <w:vAlign w:val="center"/>
          </w:tcPr>
          <w:p w14:paraId="3DD95AC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门诊就诊流程整合：基于集成平台的门诊挂号就诊流程交互服务，包括挂号、就诊、诊断等业务流程服务。</w:t>
            </w:r>
          </w:p>
          <w:p w14:paraId="567B3C2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住院入出院流程整合：平台的住院入出院流程交互服务，包括登记、入科、诊断、换床/转床、医嘱、出科、出院等业务服务</w:t>
            </w:r>
          </w:p>
          <w:p w14:paraId="50BFC48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检验业务流程整合：平台的检验流程交互服务，包含检验申请单提交和接受服务、检验申请单回写和取消服务、检验条码发送和撤销服务、检验条码打印、检验样本采集送检核收退回流程服务、检验报告发送和撤销服务。</w:t>
            </w:r>
          </w:p>
          <w:p w14:paraId="67E2CAB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检查业务流程整合：基于医院信息平台，建立涵盖检查申请单的管理、检查申请接收与安排、检查结果的共享、优质检查医疗资源整合和共享等业务应用，提供医院间检查的转诊服务。</w:t>
            </w:r>
          </w:p>
          <w:p w14:paraId="0287319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手术业务流程整合：基于集成平台的手术流程交互服务，包含手术申请单提交、手术预约安排、手术执行等流程服务，手术麻醉记录的发送服务和调阅服务</w:t>
            </w:r>
          </w:p>
          <w:p w14:paraId="1785107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用血业务流程整合：基于集成平台的用血流程交互服务，依托血袋条码实现用血申请、大量用血审批、标本采集、备血、交叉配血、发血、取血、用血、输血记录、血袋回收等流程服务。</w:t>
            </w:r>
          </w:p>
        </w:tc>
      </w:tr>
      <w:tr w14:paraId="08A25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846" w:type="dxa"/>
            <w:vMerge w:val="continue"/>
            <w:shd w:val="clear" w:color="auto" w:fill="FFFFFF"/>
            <w:vAlign w:val="center"/>
          </w:tcPr>
          <w:p w14:paraId="066D1AD3">
            <w:pPr>
              <w:numPr>
                <w:ilvl w:val="0"/>
                <w:numId w:val="11"/>
              </w:numPr>
              <w:rPr>
                <w:rFonts w:ascii="宋体" w:hAnsi="宋体" w:cs="宋体"/>
                <w:color w:val="auto"/>
                <w:szCs w:val="21"/>
                <w:highlight w:val="none"/>
              </w:rPr>
            </w:pPr>
          </w:p>
        </w:tc>
        <w:tc>
          <w:tcPr>
            <w:tcW w:w="1266" w:type="dxa"/>
            <w:shd w:val="clear" w:color="auto" w:fill="FFFFFF"/>
            <w:vAlign w:val="center"/>
          </w:tcPr>
          <w:p w14:paraId="22AAC016">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医疗管理系统整合</w:t>
            </w:r>
          </w:p>
        </w:tc>
        <w:tc>
          <w:tcPr>
            <w:tcW w:w="12240" w:type="dxa"/>
            <w:shd w:val="clear" w:color="auto" w:fill="FFFFFF"/>
            <w:vAlign w:val="center"/>
          </w:tcPr>
          <w:p w14:paraId="0B97BEA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血液管理业务交换服务：用于对血液管理与集成平台之间的基本服务和各种应用程序进行统一的管理与监控。</w:t>
            </w:r>
          </w:p>
          <w:p w14:paraId="577991B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静脉配制中心业务系统交互：通过集成文档自动获取相关信息为其他信息系统的信息交互提供所需的数据。</w:t>
            </w:r>
          </w:p>
          <w:p w14:paraId="6DD6ED4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与院感业务系统交互：通过集成文档自动获取相关信息为其他信息系统的信息交互提供所需的数据。</w:t>
            </w:r>
          </w:p>
          <w:p w14:paraId="695A46B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消毒供应室业务交换服务用于对消毒供应室与集成平台之间的基本服务和各种应用程序进行统一的管理与监控。</w:t>
            </w:r>
          </w:p>
          <w:p w14:paraId="4757A6A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病案统计业务系统交互：通过集成文档自动获取相关信息为其他信息系统的信息交互提供所需的数据。</w:t>
            </w:r>
          </w:p>
        </w:tc>
      </w:tr>
      <w:tr w14:paraId="32A25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846" w:type="dxa"/>
            <w:vMerge w:val="continue"/>
            <w:shd w:val="clear" w:color="auto" w:fill="FFFFFF"/>
            <w:vAlign w:val="center"/>
          </w:tcPr>
          <w:p w14:paraId="56F06328">
            <w:pPr>
              <w:numPr>
                <w:ilvl w:val="0"/>
                <w:numId w:val="11"/>
              </w:numPr>
              <w:rPr>
                <w:rFonts w:ascii="宋体" w:hAnsi="宋体" w:cs="宋体"/>
                <w:color w:val="auto"/>
                <w:szCs w:val="21"/>
                <w:highlight w:val="none"/>
              </w:rPr>
            </w:pPr>
          </w:p>
        </w:tc>
        <w:tc>
          <w:tcPr>
            <w:tcW w:w="1266" w:type="dxa"/>
            <w:shd w:val="clear" w:color="auto" w:fill="FFFFFF"/>
            <w:vAlign w:val="center"/>
          </w:tcPr>
          <w:p w14:paraId="5F18CC4C">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运营管理系统整合</w:t>
            </w:r>
          </w:p>
        </w:tc>
        <w:tc>
          <w:tcPr>
            <w:tcW w:w="12240" w:type="dxa"/>
            <w:shd w:val="clear" w:color="auto" w:fill="FFFFFF"/>
            <w:vAlign w:val="center"/>
          </w:tcPr>
          <w:p w14:paraId="5562667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OA业务系统交互：通过集成文档自动获取相关信息为其他信息系统的信息交互提供所需的数据。</w:t>
            </w:r>
          </w:p>
          <w:p w14:paraId="3B028BF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院内全成本核算系统交互：通过集成文档自动获取相关信息为其他信息系统的信息交互提供所需的数据。</w:t>
            </w:r>
          </w:p>
          <w:p w14:paraId="6BBFA82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物资设备业务交换服务用于对物资设备与集成平台之间的基本服务和各种应用程序进行统一的管理与监控。</w:t>
            </w:r>
          </w:p>
        </w:tc>
      </w:tr>
      <w:tr w14:paraId="3EBEE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4" w:hRule="atLeast"/>
          <w:jc w:val="center"/>
        </w:trPr>
        <w:tc>
          <w:tcPr>
            <w:tcW w:w="846" w:type="dxa"/>
            <w:vMerge w:val="continue"/>
            <w:shd w:val="clear" w:color="auto" w:fill="FFFFFF"/>
            <w:vAlign w:val="center"/>
          </w:tcPr>
          <w:p w14:paraId="18CEFCF1">
            <w:pPr>
              <w:numPr>
                <w:ilvl w:val="0"/>
                <w:numId w:val="11"/>
              </w:numPr>
              <w:rPr>
                <w:rFonts w:ascii="宋体" w:hAnsi="宋体" w:cs="宋体"/>
                <w:color w:val="auto"/>
                <w:szCs w:val="21"/>
                <w:highlight w:val="none"/>
              </w:rPr>
            </w:pPr>
          </w:p>
        </w:tc>
        <w:tc>
          <w:tcPr>
            <w:tcW w:w="1266" w:type="dxa"/>
            <w:shd w:val="clear" w:color="auto" w:fill="FFFFFF"/>
            <w:vAlign w:val="center"/>
          </w:tcPr>
          <w:p w14:paraId="57CA71EE">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患者服务系统整合</w:t>
            </w:r>
          </w:p>
        </w:tc>
        <w:tc>
          <w:tcPr>
            <w:tcW w:w="12240" w:type="dxa"/>
            <w:shd w:val="clear" w:color="auto" w:fill="FFFFFF"/>
            <w:vAlign w:val="center"/>
          </w:tcPr>
          <w:p w14:paraId="0C81A32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患者自助终端应用服务整合：通过信息平台服务总线，基于已实现的业务服务和整合后数据，根据医院业务需求，实现医院平台与病人自助服务类应用系统的整合</w:t>
            </w:r>
          </w:p>
          <w:p w14:paraId="645C29D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患者公共门户应用服务整合：通过信息平台服务总线，基于已实现的业务服务和整合后数据，根据医院业务需求，实现医院平台与病人自助服务类应用系统的整合</w:t>
            </w:r>
          </w:p>
        </w:tc>
      </w:tr>
      <w:tr w14:paraId="70D46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46" w:type="dxa"/>
            <w:vMerge w:val="continue"/>
            <w:shd w:val="clear" w:color="auto" w:fill="FFFFFF"/>
            <w:vAlign w:val="center"/>
          </w:tcPr>
          <w:p w14:paraId="3DA2CA5D">
            <w:pPr>
              <w:numPr>
                <w:ilvl w:val="0"/>
                <w:numId w:val="11"/>
              </w:numPr>
              <w:rPr>
                <w:rFonts w:ascii="宋体" w:hAnsi="宋体" w:cs="宋体"/>
                <w:color w:val="auto"/>
                <w:szCs w:val="21"/>
                <w:highlight w:val="none"/>
              </w:rPr>
            </w:pPr>
          </w:p>
        </w:tc>
        <w:tc>
          <w:tcPr>
            <w:tcW w:w="1266" w:type="dxa"/>
            <w:shd w:val="clear" w:color="auto" w:fill="FFFFFF"/>
            <w:vAlign w:val="center"/>
          </w:tcPr>
          <w:p w14:paraId="293A2362">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上级信息平台对接</w:t>
            </w:r>
          </w:p>
        </w:tc>
        <w:tc>
          <w:tcPr>
            <w:tcW w:w="12240" w:type="dxa"/>
            <w:shd w:val="clear" w:color="auto" w:fill="FFFFFF"/>
            <w:vAlign w:val="center"/>
          </w:tcPr>
          <w:p w14:paraId="366C390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通过信息平台服务总线能够提供与上级信息平台的信息共享、健康档案的上传与共享，同时在业务协同（如区域一卡通）、区域远程医疗、区域医疗公众服务方面实现消息的对接，完成院内与上级平台的服务管道</w:t>
            </w:r>
          </w:p>
        </w:tc>
      </w:tr>
      <w:tr w14:paraId="19B58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46" w:type="dxa"/>
            <w:vMerge w:val="continue"/>
            <w:shd w:val="clear" w:color="auto" w:fill="FFFFFF"/>
            <w:vAlign w:val="center"/>
          </w:tcPr>
          <w:p w14:paraId="207A9F6C">
            <w:pPr>
              <w:numPr>
                <w:ilvl w:val="0"/>
                <w:numId w:val="11"/>
              </w:numPr>
              <w:rPr>
                <w:rFonts w:ascii="宋体" w:hAnsi="宋体" w:cs="宋体"/>
                <w:color w:val="auto"/>
                <w:szCs w:val="21"/>
                <w:highlight w:val="none"/>
              </w:rPr>
            </w:pPr>
          </w:p>
        </w:tc>
        <w:tc>
          <w:tcPr>
            <w:tcW w:w="1266" w:type="dxa"/>
            <w:shd w:val="clear" w:color="auto" w:fill="FFFFFF"/>
            <w:vAlign w:val="center"/>
          </w:tcPr>
          <w:p w14:paraId="1B42C1E3">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外部机构对接</w:t>
            </w:r>
          </w:p>
        </w:tc>
        <w:tc>
          <w:tcPr>
            <w:tcW w:w="12240" w:type="dxa"/>
            <w:shd w:val="clear" w:color="auto" w:fill="FFFFFF"/>
            <w:vAlign w:val="center"/>
          </w:tcPr>
          <w:p w14:paraId="6B14D82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包括银行、医保及新农合、保险、计生、急救中心、CDC（疾控中心）、血液中心等外部机构的接入。</w:t>
            </w:r>
          </w:p>
        </w:tc>
      </w:tr>
    </w:tbl>
    <w:p w14:paraId="65087478">
      <w:pPr>
        <w:pStyle w:val="187"/>
        <w:ind w:firstLine="0" w:firstLineChars="0"/>
        <w:rPr>
          <w:rFonts w:ascii="宋体" w:hAnsi="宋体"/>
          <w:color w:val="auto"/>
          <w:highlight w:val="none"/>
        </w:rPr>
      </w:pPr>
    </w:p>
    <w:p w14:paraId="106904E6">
      <w:pPr>
        <w:pStyle w:val="3"/>
        <w:keepNext/>
        <w:keepLines/>
        <w:pageBreakBefore/>
        <w:numPr>
          <w:ilvl w:val="1"/>
          <w:numId w:val="9"/>
        </w:numPr>
        <w:spacing w:before="480" w:after="80"/>
        <w:ind w:left="992" w:hanging="567"/>
        <w:jc w:val="both"/>
        <w:rPr>
          <w:rFonts w:ascii="宋体" w:hAnsi="宋体"/>
          <w:b/>
          <w:bCs/>
          <w:color w:val="auto"/>
          <w:sz w:val="30"/>
          <w:szCs w:val="30"/>
          <w:highlight w:val="none"/>
        </w:rPr>
      </w:pPr>
      <w:r>
        <w:rPr>
          <w:rFonts w:hint="eastAsia" w:ascii="宋体" w:hAnsi="宋体"/>
          <w:b/>
          <w:bCs/>
          <w:color w:val="auto"/>
          <w:kern w:val="2"/>
          <w:sz w:val="30"/>
          <w:szCs w:val="30"/>
          <w:highlight w:val="none"/>
        </w:rPr>
        <w:t>数据中台建设需求</w:t>
      </w:r>
    </w:p>
    <w:tbl>
      <w:tblPr>
        <w:tblStyle w:val="4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7"/>
        <w:gridCol w:w="1531"/>
        <w:gridCol w:w="28"/>
        <w:gridCol w:w="10941"/>
      </w:tblGrid>
      <w:tr w14:paraId="05E45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shd w:val="clear" w:color="auto" w:fill="FFFFFF"/>
            <w:vAlign w:val="center"/>
          </w:tcPr>
          <w:p w14:paraId="27EDB536">
            <w:pPr>
              <w:jc w:val="center"/>
              <w:rPr>
                <w:rFonts w:ascii="宋体" w:hAnsi="宋体" w:cs="宋体"/>
                <w:color w:val="auto"/>
                <w:szCs w:val="21"/>
                <w:highlight w:val="none"/>
              </w:rPr>
            </w:pPr>
            <w:r>
              <w:rPr>
                <w:rFonts w:hint="eastAsia" w:ascii="宋体" w:hAnsi="宋体" w:cs="宋体"/>
                <w:color w:val="auto"/>
                <w:kern w:val="0"/>
                <w:szCs w:val="21"/>
                <w:highlight w:val="none"/>
              </w:rPr>
              <w:t>需求名称</w:t>
            </w:r>
          </w:p>
        </w:tc>
        <w:tc>
          <w:tcPr>
            <w:tcW w:w="1531" w:type="dxa"/>
            <w:shd w:val="clear" w:color="auto" w:fill="FFFFFF"/>
            <w:vAlign w:val="center"/>
          </w:tcPr>
          <w:p w14:paraId="654DA14C">
            <w:pPr>
              <w:jc w:val="center"/>
              <w:rPr>
                <w:rFonts w:ascii="宋体" w:hAnsi="宋体" w:cs="宋体"/>
                <w:color w:val="auto"/>
                <w:kern w:val="0"/>
                <w:szCs w:val="21"/>
                <w:highlight w:val="none"/>
              </w:rPr>
            </w:pPr>
            <w:r>
              <w:rPr>
                <w:rFonts w:hint="eastAsia" w:ascii="宋体" w:hAnsi="宋体" w:cs="宋体"/>
                <w:color w:val="auto"/>
                <w:kern w:val="0"/>
                <w:szCs w:val="21"/>
                <w:highlight w:val="none"/>
              </w:rPr>
              <w:t>序号</w:t>
            </w:r>
          </w:p>
        </w:tc>
        <w:tc>
          <w:tcPr>
            <w:tcW w:w="10969" w:type="dxa"/>
            <w:gridSpan w:val="2"/>
            <w:shd w:val="clear" w:color="auto" w:fill="FFFFFF"/>
            <w:vAlign w:val="center"/>
          </w:tcPr>
          <w:p w14:paraId="6E31C1CA">
            <w:pPr>
              <w:jc w:val="center"/>
              <w:rPr>
                <w:rFonts w:ascii="宋体" w:hAnsi="宋体" w:cs="宋体"/>
                <w:color w:val="auto"/>
                <w:kern w:val="0"/>
                <w:szCs w:val="21"/>
                <w:highlight w:val="none"/>
              </w:rPr>
            </w:pPr>
            <w:r>
              <w:rPr>
                <w:rFonts w:hint="eastAsia" w:ascii="宋体" w:hAnsi="宋体" w:cs="宋体"/>
                <w:color w:val="auto"/>
                <w:kern w:val="0"/>
                <w:szCs w:val="21"/>
                <w:highlight w:val="none"/>
              </w:rPr>
              <w:t>需求描述</w:t>
            </w:r>
          </w:p>
        </w:tc>
      </w:tr>
      <w:tr w14:paraId="72643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restart"/>
            <w:shd w:val="clear" w:color="auto" w:fill="FFFFFF"/>
            <w:vAlign w:val="center"/>
          </w:tcPr>
          <w:p w14:paraId="23486174">
            <w:pPr>
              <w:numPr>
                <w:ilvl w:val="0"/>
                <w:numId w:val="11"/>
              </w:numPr>
              <w:rPr>
                <w:rFonts w:ascii="宋体" w:hAnsi="宋体" w:cs="宋体"/>
                <w:color w:val="auto"/>
                <w:szCs w:val="21"/>
                <w:highlight w:val="none"/>
              </w:rPr>
            </w:pPr>
            <w:r>
              <w:rPr>
                <w:rFonts w:hint="eastAsia" w:ascii="宋体" w:hAnsi="宋体" w:cs="宋体"/>
                <w:color w:val="auto"/>
                <w:szCs w:val="21"/>
                <w:highlight w:val="none"/>
              </w:rPr>
              <w:t>数据中台</w:t>
            </w:r>
          </w:p>
        </w:tc>
        <w:tc>
          <w:tcPr>
            <w:tcW w:w="12500" w:type="dxa"/>
            <w:gridSpan w:val="3"/>
            <w:shd w:val="clear" w:color="auto" w:fill="FFFFFF"/>
            <w:vAlign w:val="center"/>
          </w:tcPr>
          <w:p w14:paraId="2ACF6BB8">
            <w:pPr>
              <w:numPr>
                <w:ilvl w:val="1"/>
                <w:numId w:val="11"/>
              </w:numPr>
              <w:ind w:left="0" w:firstLine="0"/>
              <w:rPr>
                <w:rFonts w:ascii="宋体" w:hAnsi="宋体"/>
                <w:color w:val="auto"/>
                <w:sz w:val="20"/>
                <w:szCs w:val="20"/>
                <w:highlight w:val="none"/>
              </w:rPr>
            </w:pPr>
            <w:r>
              <w:rPr>
                <w:rFonts w:hint="eastAsia" w:ascii="宋体" w:hAnsi="宋体" w:cs="宋体"/>
                <w:color w:val="auto"/>
                <w:kern w:val="0"/>
                <w:szCs w:val="21"/>
                <w:highlight w:val="none"/>
              </w:rPr>
              <w:t>临床数据中心</w:t>
            </w:r>
          </w:p>
        </w:tc>
      </w:tr>
      <w:tr w14:paraId="432D0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0AA1A24E">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75DC3C9C">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基础信息库（MDM</w:t>
            </w:r>
          </w:p>
        </w:tc>
        <w:tc>
          <w:tcPr>
            <w:tcW w:w="10941" w:type="dxa"/>
            <w:shd w:val="clear" w:color="auto" w:fill="FFFFFF"/>
            <w:vAlign w:val="center"/>
          </w:tcPr>
          <w:p w14:paraId="1D0E284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基础信息库主要存放两方面数据，一是患者主索引信息，二是主数据信息。</w:t>
            </w:r>
          </w:p>
        </w:tc>
      </w:tr>
      <w:tr w14:paraId="2BAE9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4" w:hRule="atLeast"/>
          <w:jc w:val="center"/>
        </w:trPr>
        <w:tc>
          <w:tcPr>
            <w:tcW w:w="1377" w:type="dxa"/>
            <w:vMerge w:val="continue"/>
            <w:shd w:val="clear" w:color="auto" w:fill="FFFFFF"/>
            <w:vAlign w:val="center"/>
          </w:tcPr>
          <w:p w14:paraId="3175AD29">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0A80D364">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操作数据存储库（ODS）</w:t>
            </w:r>
          </w:p>
        </w:tc>
        <w:tc>
          <w:tcPr>
            <w:tcW w:w="10941" w:type="dxa"/>
            <w:shd w:val="clear" w:color="auto" w:fill="FFFFFF"/>
            <w:vAlign w:val="center"/>
          </w:tcPr>
          <w:p w14:paraId="0B3A607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为数据中心建立数据隔离层：通过ODS 来存储从业务系统镜像过来的数据，这些数据从数据结构、数据逻辑关系上都与业务系统基本保持一致，极大降低了数据转化的复杂性，让用户聚焦于数据接口、数据增量以及抽取方式等问题。</w:t>
            </w:r>
          </w:p>
          <w:p w14:paraId="5993BDD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实现数据查询压力转移：ODS库具备从粒度、组织方式等都与业务系统保持高度一致的特性，就可以将原来嫁接在业务系统的数据查询压力转移到ODS上，同时ODS无需担忧业务的运行负担，与业务系统查询具备同样的效果且大大降低了性能风险，同时为后续的数据抽取、清洗、归一以及数仓的建设提供了前置环境。</w:t>
            </w:r>
          </w:p>
          <w:p w14:paraId="13E6268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为数仓提供贴源支撑：通过ODS实现明细数据的查询分析，ODS的数据模型是面向主题的方式进行存储，更快捷的支持多维分析等查询功能。</w:t>
            </w:r>
          </w:p>
          <w:p w14:paraId="7F6047C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电子病历临床文档库（EMR文档库）：与某一具体临床活动相关的临床活动的信息与数据记录形成了相对独立的电子病历（EMR）文档。而在临床活动过程中产生的对医疗活动的文字、图像、或多媒体的电子格式记录文档均称之为EMR文档。</w:t>
            </w:r>
          </w:p>
        </w:tc>
      </w:tr>
      <w:tr w14:paraId="34340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4" w:hRule="atLeast"/>
          <w:jc w:val="center"/>
        </w:trPr>
        <w:tc>
          <w:tcPr>
            <w:tcW w:w="1377" w:type="dxa"/>
            <w:vMerge w:val="continue"/>
            <w:shd w:val="clear" w:color="auto" w:fill="FFFFFF"/>
            <w:vAlign w:val="center"/>
          </w:tcPr>
          <w:p w14:paraId="63A950A5">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7187B649">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临床数据库（CDR）</w:t>
            </w:r>
          </w:p>
        </w:tc>
        <w:tc>
          <w:tcPr>
            <w:tcW w:w="10941" w:type="dxa"/>
            <w:shd w:val="clear" w:color="auto" w:fill="FFFFFF"/>
            <w:vAlign w:val="center"/>
          </w:tcPr>
          <w:p w14:paraId="7E69016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电子病历临床文档库（EMR文档库）：与某一具体临床活动相关的临床活动的信息与数据记录形成了相对独立的电子病历（EMR）文档。而在临床活动过程中产生的对医疗活动的文字、图像、或多媒体的电子格式记录文档均称之为EMR文档。</w:t>
            </w:r>
          </w:p>
          <w:p w14:paraId="1D66F7F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临床数据存储库（CDR）：按照以患者为中心建立的EMR文档的存储带来了临床数据存储库CDR（Clinical Data Repository）的形成。临床数据存储库CDR采用标准化的数据集和数据元，根据临床文档信息模型以及各类医疗服务活动的业务规则，通过对数据集和数据元的基数约束以及数据元允许值约束，生成各类实际应用的结构化、标准化临床文档，以保证电子病历数据采集的一致性。</w:t>
            </w:r>
          </w:p>
          <w:p w14:paraId="1243F08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EMR文档存储：患者在某一医疗机构内发生的各类临床活动形成的EMR文档集应当在患者主索引（MPI）的指引下进行汇总归集，并通过MPI完成EMR浏览器及非电子病历编辑器环境下的患者EMR文档浏览。</w:t>
            </w:r>
          </w:p>
          <w:p w14:paraId="536F92E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EMR文档数据来源：所有的临床活动所产生的信息记录均为EMR文档的数据来源，基于电子病历医院信息平台将各个系统中产生的临床活动数据与信息进行集成与共享后，通过生成规定格式的EMR文档进行归档与储存。</w:t>
            </w:r>
          </w:p>
          <w:p w14:paraId="7A62BD2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EMR文档注册：每一类需要在临床文档仓库中进行存储的EMR文档都需要在CDR中进行注册。并且还需要在CDR中注册其文档的模板信息与数据。而在实际临床业务活动发生过程中所产生的EMR文档都能够通过注册系统对应其使用的文档模板信息与数据。</w:t>
            </w:r>
          </w:p>
          <w:p w14:paraId="38FF148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临床数据存储库与临床文档存储库：EMR文档以符合HL7 CDA的文档结构的方式产生后按照以患者为中心的索引方式进行存储，形成临床数据存储库。由于患者的临床数据是以EMR文档的方式进行存储并以HL7 CDA的方式进行组织，这样组织的存储方式也称之为临床文档存储库。</w:t>
            </w:r>
          </w:p>
          <w:p w14:paraId="2CC2473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olor w:val="auto"/>
                <w:sz w:val="20"/>
                <w:szCs w:val="20"/>
                <w:highlight w:val="none"/>
              </w:rPr>
              <w:t>EMR文档版本管理：患者的临床业务活动的发生时一个持续并且连续的过程，并且主观描述部分，或者非数据接口内的数据内容会因为某些特定条件下发生修订或者修改，这是EMR文档作为临床活动发生情景的真实记录数据应当能够客观地反应出各种主客观数据或者描述的变化与修改过程，这时就对EMR文档提出了文档版本的管理要求。</w:t>
            </w:r>
          </w:p>
        </w:tc>
      </w:tr>
      <w:tr w14:paraId="73526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49F3979E">
            <w:pPr>
              <w:numPr>
                <w:ilvl w:val="0"/>
                <w:numId w:val="11"/>
              </w:numPr>
              <w:rPr>
                <w:rFonts w:ascii="宋体" w:hAnsi="宋体" w:cs="宋体"/>
                <w:color w:val="auto"/>
                <w:szCs w:val="21"/>
                <w:highlight w:val="none"/>
              </w:rPr>
            </w:pPr>
          </w:p>
        </w:tc>
        <w:tc>
          <w:tcPr>
            <w:tcW w:w="12500" w:type="dxa"/>
            <w:gridSpan w:val="3"/>
            <w:shd w:val="clear" w:color="auto" w:fill="FFFFFF"/>
            <w:vAlign w:val="center"/>
          </w:tcPr>
          <w:p w14:paraId="210C6383">
            <w:pPr>
              <w:numPr>
                <w:ilvl w:val="1"/>
                <w:numId w:val="11"/>
              </w:numPr>
              <w:ind w:left="0" w:firstLine="0"/>
              <w:rPr>
                <w:rFonts w:ascii="宋体" w:hAnsi="宋体"/>
                <w:color w:val="auto"/>
                <w:sz w:val="20"/>
                <w:szCs w:val="20"/>
                <w:highlight w:val="none"/>
              </w:rPr>
            </w:pPr>
            <w:r>
              <w:rPr>
                <w:rFonts w:hint="eastAsia" w:ascii="宋体" w:hAnsi="宋体"/>
                <w:color w:val="auto"/>
                <w:sz w:val="20"/>
                <w:szCs w:val="20"/>
                <w:highlight w:val="none"/>
              </w:rPr>
              <w:t>数据采集管理</w:t>
            </w:r>
          </w:p>
        </w:tc>
      </w:tr>
      <w:tr w14:paraId="4F113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1" w:hRule="atLeast"/>
          <w:jc w:val="center"/>
        </w:trPr>
        <w:tc>
          <w:tcPr>
            <w:tcW w:w="1377" w:type="dxa"/>
            <w:vMerge w:val="continue"/>
            <w:shd w:val="clear" w:color="auto" w:fill="FFFFFF"/>
            <w:vAlign w:val="center"/>
          </w:tcPr>
          <w:p w14:paraId="3C44BFE9">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34832264">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数据采集（ETL）</w:t>
            </w:r>
          </w:p>
        </w:tc>
        <w:tc>
          <w:tcPr>
            <w:tcW w:w="10941" w:type="dxa"/>
            <w:shd w:val="clear" w:color="auto" w:fill="FFFFFF"/>
            <w:vAlign w:val="center"/>
          </w:tcPr>
          <w:p w14:paraId="25CB1A8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数据模型管理：数据模型管理是构建数据中心的基础，建立了数据模型与数据中心表之间的关系，实现模型与表、模型元素与表字段一一对应</w:t>
            </w:r>
          </w:p>
          <w:p w14:paraId="7BC4F8A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数据采集管理：系统根据数据集标准内容编写SQL采集语句，实现医院业务数据库与临床数据中心数据集标准的匹配与对应</w:t>
            </w:r>
          </w:p>
          <w:p w14:paraId="4E84933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采集调度管理：采集调度采用轻量级的分布式任务调度平台XXL-JOB，自身并不承担业务逻辑，只是负责任务的统一管理和调度执行</w:t>
            </w:r>
          </w:p>
        </w:tc>
      </w:tr>
      <w:tr w14:paraId="212E3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5" w:hRule="atLeast"/>
          <w:jc w:val="center"/>
        </w:trPr>
        <w:tc>
          <w:tcPr>
            <w:tcW w:w="1377" w:type="dxa"/>
            <w:vMerge w:val="continue"/>
            <w:shd w:val="clear" w:color="auto" w:fill="FFFFFF"/>
            <w:vAlign w:val="center"/>
          </w:tcPr>
          <w:p w14:paraId="62E4CD29">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7E9F98D9">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共享文档管理</w:t>
            </w:r>
          </w:p>
        </w:tc>
        <w:tc>
          <w:tcPr>
            <w:tcW w:w="10941" w:type="dxa"/>
            <w:shd w:val="clear" w:color="auto" w:fill="FFFFFF"/>
            <w:vAlign w:val="center"/>
          </w:tcPr>
          <w:p w14:paraId="4BB7BFC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文档生成管理：通过内置文档转换器程序，开放的文档生成调度管理功能，实现针对53类共享文档的转换任务管理，通过对转换任务的调度频率、调度时间等属性设置，完成共享文档的统一生成管理。</w:t>
            </w:r>
          </w:p>
          <w:p w14:paraId="63462F2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文档检索管理：基于文档库，提供基于患者基础信息、文档信息的统一查询页面，能够直观根据患者门诊号、住院号、患者姓名等信息进行文档检索，直观的查阅患者的历史病历文档，文档检索，以患者为中心，搜索患者，进而展示该患者的共享文档；搜索结果按照共享文档分类进行归纳展示</w:t>
            </w:r>
          </w:p>
          <w:p w14:paraId="168BEBE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文档统计分析：当文档库存储了大量不同类型的文档后，我们需要有一个文档统计页面，可以方便的从页面上，实时看到当前文档库的文档数量统计以及文档类型分布情况。</w:t>
            </w:r>
          </w:p>
          <w:p w14:paraId="10E58C4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文档库监控：对文件库的系统监控，主要针对跟踪服务器的多机器集群的机器数、每台机器的IP、服务器运行的状态进行监控；对存储服务器按组分类进行监控，主要包括每组的机器数、每台及其的IP、状态、总容量、使用容量。</w:t>
            </w:r>
          </w:p>
          <w:p w14:paraId="514362B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通过文档库的监控，可以直观的看到当前文档库的运行状态、存储空间，以便出现问题运维人员及时处理。</w:t>
            </w:r>
          </w:p>
        </w:tc>
      </w:tr>
      <w:tr w14:paraId="28417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4" w:hRule="atLeast"/>
          <w:jc w:val="center"/>
        </w:trPr>
        <w:tc>
          <w:tcPr>
            <w:tcW w:w="1377" w:type="dxa"/>
            <w:vMerge w:val="continue"/>
            <w:shd w:val="clear" w:color="auto" w:fill="FFFFFF"/>
            <w:vAlign w:val="center"/>
          </w:tcPr>
          <w:p w14:paraId="060893D8">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121C744D">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CDC数据同步</w:t>
            </w:r>
          </w:p>
        </w:tc>
        <w:tc>
          <w:tcPr>
            <w:tcW w:w="10941" w:type="dxa"/>
            <w:shd w:val="clear" w:color="auto" w:fill="FFFFFF"/>
            <w:vAlign w:val="center"/>
          </w:tcPr>
          <w:p w14:paraId="68A6759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平台通过图形化的配置界面实现分布的、异构的、跨网络的各业务数据信息资源的交换汇聚，通过单一平台就可以完成各部门各类数据信息资源的汇聚。汇聚的过程中，可以按照指定的标准、行业标准、国标对数据资源进行标准化，从而利于汇聚后的数据对外提供服务，使数据按一定业务规则成为可复用的信息资源服务。</w:t>
            </w:r>
          </w:p>
          <w:p w14:paraId="54FA87A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支持丰富的数据源和目标源，可以为ODS的数据提供良好的互联互通，实现业务库镜像的建设，同时实现全量和增量的数据同步功能</w:t>
            </w:r>
          </w:p>
          <w:p w14:paraId="2A333BC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实现不同的数据库类型数据能够同步到异构数据库中，会出现数据类型不一致的情况，需要提供保证数据类型转换功能，实现数据同步；针对所有同步数据需要追加更新时间戳字段以及操作类型字段，用于记录数据实现发生变更的时间以及操作；实现字段级、表级的映射；在建设过程中，会出现不断完善ODS数据的情况，能实现动态扩展表、字段映射功能。</w:t>
            </w:r>
          </w:p>
          <w:p w14:paraId="0A88416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平台支持各种数据流向，均可以通过配置大屏将数据流动的信息展现出来，展现的形式可以根据用户的需求订制。用户可以通过数据可视化，从宏观上看到平台中管理数据的健康状态、数据发展的意识形态。</w:t>
            </w:r>
          </w:p>
        </w:tc>
      </w:tr>
      <w:tr w14:paraId="48B4A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7" w:hRule="atLeast"/>
          <w:jc w:val="center"/>
        </w:trPr>
        <w:tc>
          <w:tcPr>
            <w:tcW w:w="1377" w:type="dxa"/>
            <w:vMerge w:val="continue"/>
            <w:shd w:val="clear" w:color="auto" w:fill="FFFFFF"/>
            <w:vAlign w:val="center"/>
          </w:tcPr>
          <w:p w14:paraId="7192EE4D">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2CCCE607">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数据质量管理</w:t>
            </w:r>
          </w:p>
        </w:tc>
        <w:tc>
          <w:tcPr>
            <w:tcW w:w="10941" w:type="dxa"/>
            <w:shd w:val="clear" w:color="auto" w:fill="FFFFFF"/>
            <w:vAlign w:val="center"/>
          </w:tcPr>
          <w:p w14:paraId="4BA15D4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稽核规则管理：为了数据质量稽核，首先需要稽核规则，这是数据质量稽核任务的依据。</w:t>
            </w:r>
          </w:p>
          <w:p w14:paraId="08854D1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按照数据质量的数据种类，维护数据质量稽核规则组，以及规则组中的规则、规则的计算项、计算公式以及计算项sql等，区分质量类型（一致性、完整性、整合性、及时性、准确性、唯一性、规范性等）。</w:t>
            </w:r>
          </w:p>
          <w:p w14:paraId="7CEBE17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稽核任务管理：稽核任务管理支持创建多调度任务，并创建执行计划，选择需要稽核的机构，按校验时间稽核该机构下分配的方案包含的规则，汇总得出质量分数保存数据质量明细库。稽核任务列表可展示稽核任务的执行状态，添加调度，配置调度频率、执行时刻及自定义调度，关联调度对应的稽核规则。对稽核任务启停、删除等操作，查看稽核任务的子任务，查看选中稽核任务的历史执行记录。</w:t>
            </w:r>
          </w:p>
          <w:p w14:paraId="0036931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数据质量报告：1.电子病历数据质量报告是依托于系统内置的电子病历数据质量稽核规则及相关的稽核任务产生的数据质量明细数据，从不同维度汇总展示的结果。2.临床数据中心数据质量报告是依托于系统内置的临床数据中心数据质量稽核规则及相关的稽核任务产生的数据质量明细数据，从不同维度汇总展示的结果。</w:t>
            </w:r>
          </w:p>
        </w:tc>
      </w:tr>
      <w:tr w14:paraId="7764D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54E02C8C">
            <w:pPr>
              <w:numPr>
                <w:ilvl w:val="0"/>
                <w:numId w:val="11"/>
              </w:numPr>
              <w:rPr>
                <w:rFonts w:ascii="宋体" w:hAnsi="宋体" w:cs="宋体"/>
                <w:color w:val="auto"/>
                <w:szCs w:val="21"/>
                <w:highlight w:val="none"/>
              </w:rPr>
            </w:pPr>
          </w:p>
        </w:tc>
        <w:tc>
          <w:tcPr>
            <w:tcW w:w="12500" w:type="dxa"/>
            <w:gridSpan w:val="3"/>
            <w:shd w:val="clear" w:color="auto" w:fill="FFFFFF"/>
            <w:vAlign w:val="center"/>
          </w:tcPr>
          <w:p w14:paraId="3719E4A1">
            <w:pPr>
              <w:numPr>
                <w:ilvl w:val="1"/>
                <w:numId w:val="11"/>
              </w:numPr>
              <w:ind w:left="0" w:firstLine="0"/>
              <w:rPr>
                <w:rFonts w:ascii="宋体" w:hAnsi="宋体"/>
                <w:color w:val="auto"/>
                <w:sz w:val="20"/>
                <w:szCs w:val="20"/>
                <w:highlight w:val="none"/>
              </w:rPr>
            </w:pPr>
            <w:r>
              <w:rPr>
                <w:rFonts w:hint="eastAsia" w:ascii="宋体" w:hAnsi="宋体"/>
                <w:color w:val="auto"/>
                <w:sz w:val="20"/>
                <w:szCs w:val="20"/>
                <w:highlight w:val="none"/>
              </w:rPr>
              <w:t>临床数据应用</w:t>
            </w:r>
          </w:p>
        </w:tc>
      </w:tr>
      <w:tr w14:paraId="41E18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5" w:hRule="atLeast"/>
          <w:jc w:val="center"/>
        </w:trPr>
        <w:tc>
          <w:tcPr>
            <w:tcW w:w="1377" w:type="dxa"/>
            <w:vMerge w:val="continue"/>
            <w:shd w:val="clear" w:color="auto" w:fill="FFFFFF"/>
            <w:vAlign w:val="center"/>
          </w:tcPr>
          <w:p w14:paraId="71E49755">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698E7D1B">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患者全息视图</w:t>
            </w:r>
          </w:p>
        </w:tc>
        <w:tc>
          <w:tcPr>
            <w:tcW w:w="10941" w:type="dxa"/>
            <w:shd w:val="clear" w:color="auto" w:fill="FFFFFF"/>
            <w:vAlign w:val="center"/>
          </w:tcPr>
          <w:p w14:paraId="1A625DF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病历夹视图：满足医护人员查看纸质病历的习惯，参照卫生行业标准《电子病历基本数据集》，制定出以病历夹的方式按照病历类型展现电子病历文档的视图</w:t>
            </w:r>
          </w:p>
          <w:p w14:paraId="4ABA6D9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概览视图：展示患者基本信息、病人史、就诊记录等概要信息，并可切换查看其他视图</w:t>
            </w:r>
          </w:p>
          <w:p w14:paraId="6D0B3CE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就诊视图：可查询患者所有就诊记录，展示就诊记录时间轴及相关文书、病历、报告、医嘱等文书的阅览、对比</w:t>
            </w:r>
          </w:p>
          <w:p w14:paraId="632C5E3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人体视图：以人体图（正反面）形象的展示不同部位的疾病及相关就诊记录，对需要详细查看的就诊记录点击跳转对应的门诊或住院视图</w:t>
            </w:r>
          </w:p>
          <w:p w14:paraId="3826ED7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门诊视图：展示门诊类型的单次就诊记录相关的文书、病历、报告、医嘱等的阅览、对比，并可切换查看患者所有门诊就诊记录相关的文书</w:t>
            </w:r>
          </w:p>
          <w:p w14:paraId="4871FD9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住院视图：以时序的方式展示患者整个某次住院过程每天的体征信息及文书、病历、报告、医嘱等的阅览、对比</w:t>
            </w:r>
          </w:p>
          <w:p w14:paraId="581AB5F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病历视图：以病历文书分类为目录，展示病人相关的所有病历文书</w:t>
            </w:r>
          </w:p>
          <w:p w14:paraId="13C3A75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全息病历模板：病历模版可进行模版分类的维护、模版样式的维护，控制模版的启用</w:t>
            </w:r>
          </w:p>
          <w:p w14:paraId="53F7699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全息病历目录：对视图下的菜单进行分层维护，菜单可分两层，可维护菜单名称、菜单模版、菜单顺序、菜单内容显示顺序</w:t>
            </w:r>
          </w:p>
          <w:p w14:paraId="559A3CB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病历目录权限：对不同的系统域以及不同的角色分别配置不同的视图访问权限；配置系统控制按钮的使用权限，以及机构信息</w:t>
            </w:r>
          </w:p>
          <w:p w14:paraId="19180C2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全息视图访问统计：将系统的访问量通过图形化的形式进行展示，可以更直观的掌握系统的使用情况</w:t>
            </w:r>
          </w:p>
          <w:p w14:paraId="4A97F01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系统参数配置：对系统的公用参数进行统一配置管理</w:t>
            </w:r>
          </w:p>
        </w:tc>
      </w:tr>
      <w:tr w14:paraId="168B9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7" w:hRule="atLeast"/>
          <w:jc w:val="center"/>
        </w:trPr>
        <w:tc>
          <w:tcPr>
            <w:tcW w:w="1377" w:type="dxa"/>
            <w:vMerge w:val="continue"/>
            <w:shd w:val="clear" w:color="auto" w:fill="FFFFFF"/>
            <w:vAlign w:val="center"/>
          </w:tcPr>
          <w:p w14:paraId="0519F694">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50154563">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临床专科视图</w:t>
            </w:r>
          </w:p>
        </w:tc>
        <w:tc>
          <w:tcPr>
            <w:tcW w:w="10941" w:type="dxa"/>
            <w:shd w:val="clear" w:color="auto" w:fill="FFFFFF"/>
            <w:vAlign w:val="center"/>
          </w:tcPr>
          <w:p w14:paraId="5B13B49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临床专科视图一是减少病历信息过载情况的发生，二是突出显示重要的病历信息，以防止重要信息被忽略。</w:t>
            </w:r>
          </w:p>
          <w:p w14:paraId="1E03E59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根据不同科室、不同病种，将该科室的医务人员对于该病种需要关注的患者健康状况聚集在一个视图中。临床专科视图基于配置组件，满足医护人员对患者重点信息的聚焦和对病情变化的实时掌握。</w:t>
            </w:r>
          </w:p>
        </w:tc>
      </w:tr>
      <w:tr w14:paraId="71242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0463DE94">
            <w:pPr>
              <w:numPr>
                <w:ilvl w:val="0"/>
                <w:numId w:val="11"/>
              </w:numPr>
              <w:rPr>
                <w:rFonts w:ascii="宋体" w:hAnsi="宋体" w:cs="宋体"/>
                <w:color w:val="auto"/>
                <w:szCs w:val="21"/>
                <w:highlight w:val="none"/>
              </w:rPr>
            </w:pPr>
          </w:p>
        </w:tc>
        <w:tc>
          <w:tcPr>
            <w:tcW w:w="12500" w:type="dxa"/>
            <w:gridSpan w:val="3"/>
            <w:shd w:val="clear" w:color="auto" w:fill="FFFFFF"/>
            <w:vAlign w:val="center"/>
          </w:tcPr>
          <w:p w14:paraId="065E77BC">
            <w:pPr>
              <w:numPr>
                <w:ilvl w:val="1"/>
                <w:numId w:val="11"/>
              </w:numPr>
              <w:ind w:left="0" w:firstLine="0"/>
              <w:rPr>
                <w:rFonts w:ascii="宋体" w:hAnsi="宋体"/>
                <w:color w:val="auto"/>
                <w:sz w:val="20"/>
                <w:szCs w:val="20"/>
                <w:highlight w:val="none"/>
              </w:rPr>
            </w:pPr>
            <w:r>
              <w:rPr>
                <w:rFonts w:hint="eastAsia" w:ascii="宋体" w:hAnsi="宋体"/>
                <w:color w:val="auto"/>
                <w:sz w:val="20"/>
                <w:szCs w:val="20"/>
                <w:highlight w:val="none"/>
              </w:rPr>
              <w:t>管理数据中心</w:t>
            </w:r>
          </w:p>
        </w:tc>
      </w:tr>
      <w:tr w14:paraId="74024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7" w:hRule="atLeast"/>
          <w:jc w:val="center"/>
        </w:trPr>
        <w:tc>
          <w:tcPr>
            <w:tcW w:w="1377" w:type="dxa"/>
            <w:vMerge w:val="continue"/>
            <w:shd w:val="clear" w:color="auto" w:fill="FFFFFF"/>
            <w:vAlign w:val="center"/>
          </w:tcPr>
          <w:p w14:paraId="1237E330">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051375FE">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管理运营数据中心（MDR）</w:t>
            </w:r>
          </w:p>
        </w:tc>
        <w:tc>
          <w:tcPr>
            <w:tcW w:w="10941" w:type="dxa"/>
            <w:shd w:val="clear" w:color="auto" w:fill="FFFFFF"/>
            <w:vAlign w:val="center"/>
          </w:tcPr>
          <w:p w14:paraId="56A244A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数据建模：管理指标数据库内集中存放着经过标准化处理以后形成的、按管理主题门类组织的标准管理指标数据信息，管理指标数据是按照统一的口径将业务数据库的清洗汇总后形成的。管理指标数据库可用于医疗综合管理、质量监测、绩效考核和成本核算等应用。</w:t>
            </w:r>
          </w:p>
          <w:p w14:paraId="2A316B8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指标中心：指标中心的维度表示指标的统计维度。目前指标中心的维度库中包括时间、地科室、人员、手术、药品、疾病等等维度。支持对维度的增加、修改、删除操作，支持对每个维度中维度字典项的增加、修改、删除操作。</w:t>
            </w:r>
          </w:p>
          <w:p w14:paraId="44F7DDB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数据采集：数据采集是对指标库中指定的指标数据进行业务数据采集，指标中心对指标和指标的统计维度进行维护，并将两者进行关联，以在后续的数据采集和指标数据展示中使用。实现面对复杂的医疗环境中不同的业务系统数据来源实现数据的汇聚，支持通过表、视图、存储过程等方式，满足汇总数据准实时的要求</w:t>
            </w:r>
          </w:p>
        </w:tc>
      </w:tr>
      <w:tr w14:paraId="4B4A8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6" w:hRule="atLeast"/>
          <w:jc w:val="center"/>
        </w:trPr>
        <w:tc>
          <w:tcPr>
            <w:tcW w:w="1377" w:type="dxa"/>
            <w:vMerge w:val="continue"/>
            <w:shd w:val="clear" w:color="auto" w:fill="FFFFFF"/>
            <w:vAlign w:val="center"/>
          </w:tcPr>
          <w:p w14:paraId="15D6D815">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6E2C57FF">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数智可视化引擎</w:t>
            </w:r>
          </w:p>
        </w:tc>
        <w:tc>
          <w:tcPr>
            <w:tcW w:w="10941" w:type="dxa"/>
            <w:shd w:val="clear" w:color="auto" w:fill="FFFFFF"/>
            <w:vAlign w:val="center"/>
          </w:tcPr>
          <w:p w14:paraId="3638BE9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数据填报：当院内缺少某方面的业务系统，无法从院内业务系统采集数据，但需要对该业务方面的数据进行查询利用时，管理数据中心提供数据填报页面手工录入业务数据。包括模板构建、指标录入和指标审核三个模块。</w:t>
            </w:r>
          </w:p>
          <w:p w14:paraId="39F4382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指标录入：支持对单维度和多维度模板的指标录入，</w:t>
            </w:r>
          </w:p>
          <w:p w14:paraId="691B7B8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指标审核：支持对指标数据的确认、编辑功能。</w:t>
            </w:r>
          </w:p>
          <w:p w14:paraId="5E5E9C7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智能主题设计器：主题反映医院运营管理的某个具体方面，比如门诊费用、住院负荷等。主题展示是反映医院运营管理的某个具体方面情况的一张视图。不同用户角色需要查看的主题不同，因而要能够实现不同用户角色要查看主题视图的灵活配置。</w:t>
            </w:r>
          </w:p>
          <w:p w14:paraId="6EA58AC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主题编辑器：对信息中包含的5种关系，构成：占总体的百分比比较：项目的排名趋势：如何随着时间变化分布：项目的频率情况联系：变量之间的关系。面向上述的五种关系，主题编辑器内置表格、饼图、柱状图、趋势图、仪表盘、地图、聚合组件等9大图形组件分类，以满足不同人群的月度偏好，为展示多样数据信息提供全面支持。</w:t>
            </w:r>
          </w:p>
          <w:p w14:paraId="5FCAA0D4">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报表工具：面向报表类需求主要实现各类复杂的应用场景：轻松实现分页、分栏、分组的设置，支持柱子报表、属性报表等多种个性化报表，同时支持动态格间运算满足复杂统计对比需求；针对不规则大型报表提供方案，实现自由拼接聚合快，减少模块间反复合并操作，支持各类报表的自由展现方式，提供多种图标、控件、表格组件，实现不同组件对应不同主题，绑定不同数据源，完美呈现多维分析驾驶舱模型；同时能够实现基于管理运营中心MDR的现有数据实现数据源统一口径，降低数据不一致性的发生，实现web报表工具与BI数仓的完美融合，实现多态复杂场景下的数据可视化。</w:t>
            </w:r>
          </w:p>
          <w:p w14:paraId="7B88D46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移动智能决策分析：管理者轻松、实时掌握医院经营数据，准确识别业务发展规律，为管理者随时随地、快速决策提供有力保障的目标。</w:t>
            </w:r>
          </w:p>
        </w:tc>
      </w:tr>
      <w:tr w14:paraId="749B5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04B6367D">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5D550804">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综合运营分析</w:t>
            </w:r>
          </w:p>
        </w:tc>
        <w:tc>
          <w:tcPr>
            <w:tcW w:w="10941" w:type="dxa"/>
            <w:shd w:val="clear" w:color="auto" w:fill="FFFFFF"/>
            <w:vAlign w:val="center"/>
          </w:tcPr>
          <w:p w14:paraId="22215A8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综合运营分析供医院管理者监测与了解医院日常运行的基本情况。全院综合运营分析包括院长决策分析、门诊业务分析、住院业务分析、医技业务分析、手术业务分析、药品业务分析、医疗质量分析、人力资源分析等</w:t>
            </w:r>
          </w:p>
        </w:tc>
      </w:tr>
      <w:tr w14:paraId="278A5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07A076DC">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31FC7A1D">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医院等级评审辅助</w:t>
            </w:r>
          </w:p>
        </w:tc>
        <w:tc>
          <w:tcPr>
            <w:tcW w:w="10941" w:type="dxa"/>
            <w:shd w:val="clear" w:color="auto" w:fill="FFFFFF"/>
            <w:vAlign w:val="center"/>
          </w:tcPr>
          <w:p w14:paraId="3DE57A1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医院等级评审辅助的指标来源于《三级综合医院等级评审》的第七章日常统计学。医院等级评审辅助包括以下专题：基本运行监测、医疗质量与安全监测、单病种监测、重症医学监测、合理用药监测、医院感染监测。</w:t>
            </w:r>
          </w:p>
        </w:tc>
      </w:tr>
      <w:tr w14:paraId="46307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8" w:hRule="atLeast"/>
          <w:jc w:val="center"/>
        </w:trPr>
        <w:tc>
          <w:tcPr>
            <w:tcW w:w="1377" w:type="dxa"/>
            <w:vMerge w:val="continue"/>
            <w:shd w:val="clear" w:color="auto" w:fill="FFFFFF"/>
            <w:vAlign w:val="center"/>
          </w:tcPr>
          <w:p w14:paraId="01B5B13B">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325CE5B3">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医疗质量管理与控制分析</w:t>
            </w:r>
          </w:p>
        </w:tc>
        <w:tc>
          <w:tcPr>
            <w:tcW w:w="10941" w:type="dxa"/>
            <w:shd w:val="clear" w:color="auto" w:fill="FFFFFF"/>
            <w:vAlign w:val="center"/>
          </w:tcPr>
          <w:p w14:paraId="30E4BF8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住院死亡类指标：住院总死亡率、新生儿患者住院死亡率、手术患者住院死亡率、重点病种住院死亡率、恶性肿瘤手术患者住院死亡率、重返手术室再次手术患者住院死亡率、重点手术麻醉分级（ASA分级）住院死亡率</w:t>
            </w:r>
          </w:p>
          <w:p w14:paraId="52944AB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重返类指标：住院患者出院31天内再住院率、重返手术室再次手术发生率、重症监护室患者转出后重返重症监护室总发生率、经皮冠状动脉腔内成形术后同一天进行冠状动脉旁路移植术手术率</w:t>
            </w:r>
          </w:p>
          <w:p w14:paraId="1E0298C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医院感染类指标：医院感染总发生率、与手术相关医院感染发生率、手术患者肺部感染发生率、新生儿患者医院感染发生率、手术部位感染总发生率、、择期手术患者医院感染发生率、手术风险分级（NNIS分级）手术部位感染率、重症监护室与中心静脉置管相关血液感染发生率、重症监护室中与呼吸机相关肺部感染发生率、重症监护室与导尿管相关泌尿系统感染发生率与血液透析相关血液感染发生率</w:t>
            </w:r>
          </w:p>
          <w:p w14:paraId="64AB1B3F">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手术并发症类指标：手术患者并发症发生率、手术患者手术后肺栓塞发生率、手术患者手术后深静脉血栓发生率、手术患者手术后败血症发生率、手术患者手术后出血或血肿发生率</w:t>
            </w:r>
          </w:p>
          <w:p w14:paraId="134138C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手术患者手术伤口裂开发生率、手术患者手术后猝死发生率、手术死亡患者手术并发症发生率、手术患者手术后呼吸衰竭发生率、手术患者手术后生理/代谢紊乱发生率、手术患者麻醉并发症发生率</w:t>
            </w:r>
          </w:p>
          <w:p w14:paraId="482AD0B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患者安全类指标:住院患者压疮发生率、新生儿产伤发生率、阴道分娩产妇产伤发生率、输血输液反应发生率、手术过程中异物遗留发生率、医源性气胸发生率、医源性意外穿刺伤或撕裂伤发生率、医院内跌倒/坠床发生率及伤害严重程度、剖宫产率</w:t>
            </w:r>
          </w:p>
          <w:p w14:paraId="2D9550A6">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医疗机构合理用药指标:处方指标、抗菌药物用药指标、外科清洁手术预防用药指标</w:t>
            </w:r>
          </w:p>
          <w:p w14:paraId="5443C02D">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医院运行管理类指标、:资源配置、工作负荷、治疗质量、工作效率、患者负担、资产运营、科研成果</w:t>
            </w:r>
          </w:p>
        </w:tc>
      </w:tr>
      <w:tr w14:paraId="7A63C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7" w:hRule="atLeast"/>
          <w:jc w:val="center"/>
        </w:trPr>
        <w:tc>
          <w:tcPr>
            <w:tcW w:w="1377" w:type="dxa"/>
            <w:vMerge w:val="continue"/>
            <w:shd w:val="clear" w:color="auto" w:fill="FFFFFF"/>
            <w:vAlign w:val="center"/>
          </w:tcPr>
          <w:p w14:paraId="4B519177">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13466B5C">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医院资源优化分析</w:t>
            </w:r>
          </w:p>
        </w:tc>
        <w:tc>
          <w:tcPr>
            <w:tcW w:w="10941" w:type="dxa"/>
            <w:shd w:val="clear" w:color="auto" w:fill="FFFFFF"/>
            <w:vAlign w:val="center"/>
          </w:tcPr>
          <w:p w14:paraId="0F9155D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门诊挂号预约分析：根据日期（年或月）、科室维度统计就诊人次、预约人次、预约率，各个渠道的预约人次</w:t>
            </w:r>
          </w:p>
          <w:p w14:paraId="559682B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医技等候时间分析：根据日期统计每个医技科室的候诊时间；医技科室等候时间排名；预约、检查等候时间分析等。</w:t>
            </w:r>
          </w:p>
          <w:p w14:paraId="0A21015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医技预约分析：医技科室分开统计一段时间内每个科室的检查人次、预约人次、预约率、各个渠道的预约人次、检查等候时间。</w:t>
            </w:r>
          </w:p>
          <w:p w14:paraId="2F3C56AB">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门诊采血监控：门诊采血等候分析，按时间段统计门诊采血等待时间；采血工作量分析。</w:t>
            </w:r>
          </w:p>
          <w:p w14:paraId="38D5BA95">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olor w:val="auto"/>
                <w:sz w:val="20"/>
                <w:szCs w:val="20"/>
                <w:highlight w:val="none"/>
              </w:rPr>
              <w:t>门诊医生工作量：统计一段时间内医院的门诊总人次；选择一条记录，显示出该时间段内各个科室的门诊人次；选择一个科室，显示该科室下的每个医生的门诊人次数。</w:t>
            </w:r>
          </w:p>
        </w:tc>
      </w:tr>
      <w:tr w14:paraId="4CCE2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4" w:hRule="atLeast"/>
          <w:jc w:val="center"/>
        </w:trPr>
        <w:tc>
          <w:tcPr>
            <w:tcW w:w="1377" w:type="dxa"/>
            <w:vMerge w:val="continue"/>
            <w:shd w:val="clear" w:color="auto" w:fill="FFFFFF"/>
            <w:vAlign w:val="center"/>
          </w:tcPr>
          <w:p w14:paraId="609D1532">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0542FA81">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公立医院绩效考核指标分析</w:t>
            </w:r>
          </w:p>
        </w:tc>
        <w:tc>
          <w:tcPr>
            <w:tcW w:w="10941" w:type="dxa"/>
            <w:shd w:val="clear" w:color="auto" w:fill="FFFFFF"/>
            <w:vAlign w:val="center"/>
          </w:tcPr>
          <w:p w14:paraId="7590EA7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三级公立医院绩效考核指标体系由医疗质量、运营效率、持续发展、满意度评价等4个方面的指标构成。通过《三级公立医院绩效考核指标》实现整体医疗质量的监测与提升。</w:t>
            </w:r>
          </w:p>
          <w:p w14:paraId="537F117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三级公立医院绩效考核指标体系中，包含一级指标4个、二级指标14个、三级指标55个（定量50个，定性5个）。</w:t>
            </w:r>
          </w:p>
        </w:tc>
      </w:tr>
      <w:tr w14:paraId="00A04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vMerge w:val="continue"/>
            <w:shd w:val="clear" w:color="auto" w:fill="FFFFFF"/>
            <w:vAlign w:val="center"/>
          </w:tcPr>
          <w:p w14:paraId="1B64B2C4">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012ADAF4">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医院数据上报分析</w:t>
            </w:r>
          </w:p>
        </w:tc>
        <w:tc>
          <w:tcPr>
            <w:tcW w:w="10941" w:type="dxa"/>
            <w:shd w:val="clear" w:color="auto" w:fill="FFFFFF"/>
            <w:vAlign w:val="center"/>
          </w:tcPr>
          <w:p w14:paraId="641E7CA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依据2019年4月国家卫健委下发的《全国医院上报数据统计分析指标集(试行)》文件，提供从医疗服务、医疗质量安全、医疗效率、用药管理、输血管理、医院收入情况、财务管理、医疗负担、医疗保障和医疗资源多方面加强医院上报数据的分析和应用。</w:t>
            </w:r>
          </w:p>
        </w:tc>
      </w:tr>
      <w:tr w14:paraId="60A6E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7" w:hRule="atLeast"/>
          <w:jc w:val="center"/>
        </w:trPr>
        <w:tc>
          <w:tcPr>
            <w:tcW w:w="1377" w:type="dxa"/>
            <w:vMerge w:val="continue"/>
            <w:shd w:val="clear" w:color="auto" w:fill="FFFFFF"/>
            <w:vAlign w:val="center"/>
          </w:tcPr>
          <w:p w14:paraId="1F437862">
            <w:pPr>
              <w:numPr>
                <w:ilvl w:val="0"/>
                <w:numId w:val="11"/>
              </w:numPr>
              <w:rPr>
                <w:rFonts w:ascii="宋体" w:hAnsi="宋体" w:cs="宋体"/>
                <w:color w:val="auto"/>
                <w:szCs w:val="21"/>
                <w:highlight w:val="none"/>
              </w:rPr>
            </w:pPr>
          </w:p>
        </w:tc>
        <w:tc>
          <w:tcPr>
            <w:tcW w:w="1559" w:type="dxa"/>
            <w:gridSpan w:val="2"/>
            <w:shd w:val="clear" w:color="auto" w:fill="FFFFFF"/>
            <w:vAlign w:val="center"/>
          </w:tcPr>
          <w:p w14:paraId="7A6E080A">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数智中心（驾驶舱）</w:t>
            </w:r>
          </w:p>
        </w:tc>
        <w:tc>
          <w:tcPr>
            <w:tcW w:w="10941" w:type="dxa"/>
            <w:shd w:val="clear" w:color="auto" w:fill="FFFFFF"/>
            <w:vAlign w:val="center"/>
          </w:tcPr>
          <w:p w14:paraId="6A37551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门诊驾驶舱：主要对门诊就诊人次、门诊候诊人次、急诊就诊人次、门诊预约人次、健康体检人次以及门急诊患者年龄构成、患者来源构成、门急诊就诊时间分布趋势及门急诊患者预约方式统计进行展现</w:t>
            </w:r>
          </w:p>
          <w:p w14:paraId="67C73EEC">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住院驾驶舱：主要对入院人次、出院人次、转入/转出人数、住院预约人次以及出院患者性质构成、入院患者年龄段构成、患者入院时间趋势分析、各科室住院患者变动情况等进行展现</w:t>
            </w:r>
          </w:p>
          <w:p w14:paraId="61C5C417">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医院运营驾驶舱：主要从门急诊量、入出院量、床位使用情况、患者平均住院天数，同时展现挂号量排名前十的医生/科室情况以及当前医院的住院收入、门诊收入、总收入情况，针对住院的出入院患者数排名前十科室和各级手术的例数情况、针对院内优势病种的构成分析</w:t>
            </w:r>
          </w:p>
          <w:p w14:paraId="7B0096D2">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公立医院绩效考核驾驶舱：主要对入院人次、出院人次、转入/转出人数、住院预约人次以及出院患者性质构成、入院患者年龄段构成、患者入院时间趋势分析、各科室住院患者变动情况等进行展现</w:t>
            </w:r>
          </w:p>
        </w:tc>
      </w:tr>
    </w:tbl>
    <w:p w14:paraId="7E3D091C">
      <w:pPr>
        <w:pStyle w:val="187"/>
        <w:ind w:firstLine="0" w:firstLineChars="0"/>
        <w:rPr>
          <w:rFonts w:ascii="宋体" w:hAnsi="宋体"/>
          <w:color w:val="auto"/>
          <w:highlight w:val="none"/>
        </w:rPr>
      </w:pPr>
    </w:p>
    <w:p w14:paraId="069369D1">
      <w:pPr>
        <w:pStyle w:val="187"/>
        <w:ind w:firstLine="0" w:firstLineChars="0"/>
        <w:rPr>
          <w:rFonts w:ascii="宋体" w:hAnsi="宋体"/>
          <w:color w:val="auto"/>
          <w:highlight w:val="none"/>
        </w:rPr>
      </w:pPr>
    </w:p>
    <w:p w14:paraId="604F271A">
      <w:pPr>
        <w:pStyle w:val="187"/>
        <w:ind w:firstLine="0" w:firstLineChars="0"/>
        <w:rPr>
          <w:rFonts w:ascii="宋体" w:hAnsi="宋体"/>
          <w:color w:val="auto"/>
          <w:highlight w:val="none"/>
        </w:rPr>
      </w:pPr>
    </w:p>
    <w:p w14:paraId="579C08C7">
      <w:pPr>
        <w:pStyle w:val="187"/>
        <w:ind w:firstLine="0" w:firstLineChars="0"/>
        <w:rPr>
          <w:rFonts w:ascii="宋体" w:hAnsi="宋体"/>
          <w:color w:val="auto"/>
          <w:highlight w:val="none"/>
        </w:rPr>
      </w:pPr>
    </w:p>
    <w:p w14:paraId="1809AF8F">
      <w:pPr>
        <w:pStyle w:val="187"/>
        <w:ind w:firstLine="0" w:firstLineChars="0"/>
        <w:rPr>
          <w:rFonts w:ascii="宋体" w:hAnsi="宋体"/>
          <w:color w:val="auto"/>
          <w:highlight w:val="none"/>
        </w:rPr>
      </w:pPr>
    </w:p>
    <w:p w14:paraId="46A0BEB1">
      <w:pPr>
        <w:pStyle w:val="187"/>
        <w:ind w:firstLine="0" w:firstLineChars="0"/>
        <w:rPr>
          <w:rFonts w:ascii="宋体" w:hAnsi="宋体"/>
          <w:color w:val="auto"/>
          <w:highlight w:val="none"/>
        </w:rPr>
      </w:pPr>
    </w:p>
    <w:p w14:paraId="6D3A0B10">
      <w:pPr>
        <w:pStyle w:val="187"/>
        <w:ind w:firstLine="0" w:firstLineChars="0"/>
        <w:rPr>
          <w:rFonts w:ascii="宋体" w:hAnsi="宋体"/>
          <w:color w:val="auto"/>
          <w:highlight w:val="none"/>
        </w:rPr>
      </w:pPr>
    </w:p>
    <w:p w14:paraId="66C76098">
      <w:pPr>
        <w:pStyle w:val="3"/>
        <w:keepNext/>
        <w:keepLines/>
        <w:numPr>
          <w:ilvl w:val="1"/>
          <w:numId w:val="9"/>
        </w:numPr>
        <w:spacing w:before="480" w:after="80"/>
        <w:ind w:left="992" w:hanging="567"/>
        <w:jc w:val="both"/>
        <w:rPr>
          <w:rFonts w:ascii="宋体" w:hAnsi="宋体"/>
          <w:b/>
          <w:bCs/>
          <w:color w:val="auto"/>
          <w:sz w:val="30"/>
          <w:szCs w:val="30"/>
          <w:highlight w:val="none"/>
        </w:rPr>
      </w:pPr>
      <w:r>
        <w:rPr>
          <w:rFonts w:hint="eastAsia" w:ascii="宋体" w:hAnsi="宋体"/>
          <w:b/>
          <w:bCs/>
          <w:color w:val="auto"/>
          <w:kern w:val="2"/>
          <w:sz w:val="30"/>
          <w:szCs w:val="30"/>
          <w:highlight w:val="none"/>
        </w:rPr>
        <w:t>其他技术需求</w:t>
      </w:r>
    </w:p>
    <w:tbl>
      <w:tblPr>
        <w:tblStyle w:val="4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1686"/>
        <w:gridCol w:w="10815"/>
      </w:tblGrid>
      <w:tr w14:paraId="3E30C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376" w:type="dxa"/>
            <w:shd w:val="clear" w:color="auto" w:fill="FFFFFF"/>
            <w:vAlign w:val="center"/>
          </w:tcPr>
          <w:p w14:paraId="09D183C2">
            <w:pPr>
              <w:jc w:val="center"/>
              <w:rPr>
                <w:rFonts w:ascii="宋体" w:hAnsi="宋体" w:cs="宋体"/>
                <w:color w:val="auto"/>
                <w:szCs w:val="21"/>
                <w:highlight w:val="none"/>
              </w:rPr>
            </w:pPr>
            <w:r>
              <w:rPr>
                <w:rFonts w:hint="eastAsia" w:ascii="宋体" w:hAnsi="宋体" w:cs="宋体"/>
                <w:color w:val="auto"/>
                <w:kern w:val="0"/>
                <w:szCs w:val="21"/>
                <w:highlight w:val="none"/>
              </w:rPr>
              <w:t>需求名称</w:t>
            </w:r>
          </w:p>
        </w:tc>
        <w:tc>
          <w:tcPr>
            <w:tcW w:w="1686" w:type="dxa"/>
            <w:shd w:val="clear" w:color="auto" w:fill="FFFFFF"/>
            <w:vAlign w:val="center"/>
          </w:tcPr>
          <w:p w14:paraId="45B86977">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序号</w:t>
            </w:r>
          </w:p>
        </w:tc>
        <w:tc>
          <w:tcPr>
            <w:tcW w:w="10815" w:type="dxa"/>
            <w:shd w:val="clear" w:color="auto" w:fill="FFFFFF"/>
            <w:vAlign w:val="center"/>
          </w:tcPr>
          <w:p w14:paraId="4EB2D8B7">
            <w:pPr>
              <w:jc w:val="center"/>
              <w:rPr>
                <w:rFonts w:ascii="宋体" w:hAnsi="宋体" w:cs="宋体"/>
                <w:color w:val="auto"/>
                <w:kern w:val="0"/>
                <w:szCs w:val="21"/>
                <w:highlight w:val="none"/>
              </w:rPr>
            </w:pPr>
            <w:r>
              <w:rPr>
                <w:rFonts w:hint="eastAsia" w:ascii="宋体" w:hAnsi="宋体" w:cs="宋体"/>
                <w:color w:val="auto"/>
                <w:kern w:val="0"/>
                <w:szCs w:val="21"/>
                <w:highlight w:val="none"/>
              </w:rPr>
              <w:t>需求描述</w:t>
            </w:r>
          </w:p>
        </w:tc>
      </w:tr>
      <w:tr w14:paraId="04AAD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3877" w:type="dxa"/>
            <w:gridSpan w:val="3"/>
            <w:vAlign w:val="center"/>
          </w:tcPr>
          <w:p w14:paraId="6F49FE3A">
            <w:pPr>
              <w:numPr>
                <w:ilvl w:val="0"/>
                <w:numId w:val="11"/>
              </w:numPr>
              <w:rPr>
                <w:rFonts w:ascii="宋体" w:hAnsi="宋体" w:cs="宋体"/>
                <w:color w:val="auto"/>
                <w:kern w:val="0"/>
                <w:szCs w:val="21"/>
                <w:highlight w:val="none"/>
              </w:rPr>
            </w:pPr>
            <w:r>
              <w:rPr>
                <w:rFonts w:hint="eastAsia" w:ascii="宋体" w:hAnsi="宋体"/>
                <w:color w:val="auto"/>
                <w:highlight w:val="none"/>
              </w:rPr>
              <w:t>双向</w:t>
            </w:r>
            <w:r>
              <w:rPr>
                <w:rFonts w:hint="eastAsia" w:ascii="宋体" w:hAnsi="宋体" w:cs="宋体"/>
                <w:color w:val="auto"/>
                <w:kern w:val="0"/>
                <w:szCs w:val="21"/>
                <w:highlight w:val="none"/>
              </w:rPr>
              <w:t>对接</w:t>
            </w:r>
            <w:r>
              <w:rPr>
                <w:rFonts w:hint="eastAsia" w:ascii="宋体" w:hAnsi="宋体"/>
                <w:color w:val="auto"/>
                <w:highlight w:val="none"/>
              </w:rPr>
              <w:t>（</w:t>
            </w:r>
            <w:r>
              <w:rPr>
                <w:rFonts w:ascii="宋体" w:hAnsi="宋体"/>
                <w:color w:val="auto"/>
                <w:highlight w:val="none"/>
              </w:rPr>
              <w:t>HIS提供接口、HIS接入）</w:t>
            </w:r>
          </w:p>
        </w:tc>
      </w:tr>
      <w:tr w14:paraId="48DBD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restart"/>
            <w:vAlign w:val="center"/>
          </w:tcPr>
          <w:p w14:paraId="29DAD86C">
            <w:pPr>
              <w:numPr>
                <w:ilvl w:val="1"/>
                <w:numId w:val="11"/>
              </w:numPr>
              <w:ind w:left="0" w:firstLine="0"/>
              <w:rPr>
                <w:rFonts w:ascii="宋体" w:hAnsi="宋体" w:cs="宋体"/>
                <w:color w:val="auto"/>
                <w:kern w:val="0"/>
                <w:szCs w:val="21"/>
                <w:highlight w:val="none"/>
              </w:rPr>
            </w:pPr>
            <w:r>
              <w:rPr>
                <w:rFonts w:hint="eastAsia" w:ascii="宋体" w:hAnsi="宋体"/>
                <w:color w:val="auto"/>
                <w:highlight w:val="none"/>
              </w:rPr>
              <w:t>医疗业务系统对接</w:t>
            </w:r>
          </w:p>
        </w:tc>
        <w:tc>
          <w:tcPr>
            <w:tcW w:w="1686" w:type="dxa"/>
            <w:vAlign w:val="center"/>
          </w:tcPr>
          <w:p w14:paraId="4BAD759C">
            <w:pPr>
              <w:numPr>
                <w:ilvl w:val="2"/>
                <w:numId w:val="11"/>
              </w:numPr>
              <w:ind w:left="0" w:firstLine="0"/>
              <w:rPr>
                <w:rFonts w:ascii="宋体" w:hAnsi="宋体" w:cs="宋体"/>
                <w:color w:val="auto"/>
                <w:kern w:val="0"/>
                <w:szCs w:val="21"/>
                <w:highlight w:val="none"/>
                <w:shd w:val="clear" w:color="auto" w:fill="FFFF00"/>
              </w:rPr>
            </w:pPr>
            <w:r>
              <w:rPr>
                <w:rFonts w:hint="eastAsia" w:ascii="宋体" w:hAnsi="宋体" w:cs="宋体"/>
                <w:color w:val="auto"/>
                <w:kern w:val="0"/>
                <w:szCs w:val="21"/>
                <w:highlight w:val="none"/>
                <w:shd w:val="clear" w:color="auto"/>
              </w:rPr>
              <w:t>住院电子病历系统</w:t>
            </w:r>
          </w:p>
        </w:tc>
        <w:tc>
          <w:tcPr>
            <w:tcW w:w="10815" w:type="dxa"/>
            <w:vAlign w:val="center"/>
          </w:tcPr>
          <w:p w14:paraId="5885BB5C">
            <w:pPr>
              <w:numPr>
                <w:ilvl w:val="0"/>
                <w:numId w:val="58"/>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1D71A286">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患者基本信息查询接口：支持住院电子病历系统按患者 ID、住院号等条件，快速查询患者姓名、性别、年龄、联系方式、既往病史等基本信息，为病历书写提供基础数据。</w:t>
            </w:r>
          </w:p>
          <w:p w14:paraId="2B74A9F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住院医嘱信息查询接口：允许住院电子病历系统获取患者在 HIS 系统中的医嘱信息，包括医嘱类型（长期医嘱、临时医嘱）、医嘱内容、开立时间、执行状态等，便于医生 在病历中记录医嘱执行情况。</w:t>
            </w:r>
          </w:p>
          <w:p w14:paraId="35A89CC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患者费用信息查询接口：提供患者住院期间各项医疗费用明细查询功能，住院电子病历系统可获取药品费用、检查检验费用、治疗费用等信息，辅助医生合理控制医疗成本，并在病历中进行费用相关记录。</w:t>
            </w:r>
          </w:p>
          <w:p w14:paraId="20926AE9">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床位信息查询与分配接口：住院电子病历系统可通过该接口查询病房床位使用情况（空床、占用、预订等状态），并根据患者病情和科室需求，向 HIS 系统提交床位分配申请，由 HIS 系统完成床位实际分配操作。</w:t>
            </w:r>
          </w:p>
          <w:p w14:paraId="2C1C3B78">
            <w:pPr>
              <w:numPr>
                <w:ilvl w:val="0"/>
                <w:numId w:val="58"/>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住院电子病历系统提供接口</w:t>
            </w:r>
          </w:p>
          <w:p w14:paraId="522247B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病历文档上传接口：将医生书写完成的病历文档（包括入院记录、病程记录、手术记录等）上传至 HIS 系统，实现病历数据的集中存储和管理，方便其他系统调用查阅。</w:t>
            </w:r>
          </w:p>
          <w:p w14:paraId="0826A24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病历状态更新通知接口：当病历处于新建、修改、审核、归档等不同状态时，通过该接口向 HIS 系统发送状态变更通知，HIS 系统可根据病历状态控制相关业务流程（如未审核病历对应的医嘱暂不执行）。</w:t>
            </w:r>
          </w:p>
          <w:p w14:paraId="4D2D6E3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诊断信息同步接口：将医生在病历中录入的诊断信息（包括初步诊断、修正诊断、出院诊断等）同步至 HIS 系统，为医疗统计分析、医保结算等业务提供准确的诊断数据。</w:t>
            </w:r>
          </w:p>
          <w:p w14:paraId="62EA12B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手术信息同步接口：在手术完成后，将手术名称、手术时间、手术医生、手术方式等手术相关信息同步到 HIS 系统，便于 HIS 系统更新患者住院信息和费用结算。</w:t>
            </w:r>
          </w:p>
        </w:tc>
      </w:tr>
      <w:tr w14:paraId="4A656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355C53A7">
            <w:pPr>
              <w:widowControl/>
              <w:jc w:val="center"/>
              <w:rPr>
                <w:rFonts w:ascii="宋体" w:hAnsi="宋体"/>
                <w:color w:val="auto"/>
                <w:highlight w:val="none"/>
              </w:rPr>
            </w:pPr>
          </w:p>
        </w:tc>
        <w:tc>
          <w:tcPr>
            <w:tcW w:w="1686" w:type="dxa"/>
            <w:vAlign w:val="center"/>
          </w:tcPr>
          <w:p w14:paraId="3201EDE2">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住院护理平台</w:t>
            </w:r>
          </w:p>
        </w:tc>
        <w:tc>
          <w:tcPr>
            <w:tcW w:w="10815" w:type="dxa"/>
            <w:vAlign w:val="center"/>
          </w:tcPr>
          <w:p w14:paraId="0F0FC422">
            <w:pPr>
              <w:numPr>
                <w:ilvl w:val="0"/>
                <w:numId w:val="59"/>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6AE3F556">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患者基本信息查询接口：住院护理平台可查询患者基本信息，以便护理人员了解患者情况，开展护理工作。</w:t>
            </w:r>
          </w:p>
          <w:p w14:paraId="4647CBC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医嘱执行状态查询接口：用于获取医嘱在 HIS 系统中的执行状态（已执行、未执行、执行中），帮助护理人员及时掌握医嘱执行进度，安排护理任务。</w:t>
            </w:r>
          </w:p>
          <w:p w14:paraId="4B6205C9">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床位信息查询接口：提供病房床位使用状态信息，方便护理人员进行床位管理、患者转床安排等工作。</w:t>
            </w:r>
          </w:p>
          <w:p w14:paraId="0A84BE19">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护理级别信息查询接口：支持查询医生为患者开具的护理级别（特级护理、一级护理等），指导护理人员按照相应标准提供护理服务。</w:t>
            </w:r>
          </w:p>
          <w:p w14:paraId="217D82E6">
            <w:pPr>
              <w:numPr>
                <w:ilvl w:val="0"/>
                <w:numId w:val="59"/>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住院护理平台提供接口</w:t>
            </w:r>
          </w:p>
          <w:p w14:paraId="671385C6">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护理记录上传接口：将护理人员记录的日常护理内容（如生命体征测量结果、护理措施实施情况、患者病情变化等）上传至 HIS 系统，实现护理记录的统一存储和共享，为医生诊疗提供参考。</w:t>
            </w:r>
          </w:p>
          <w:p w14:paraId="72FFDD0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生命体征数据同步接口：实时将患者的体温、脉搏、呼吸、血压等生命体征数据同步到 HIS 系统，HIS 系统可对数据进行分析，当出现异常时及时提醒医护人员。</w:t>
            </w:r>
          </w:p>
          <w:p w14:paraId="5CD08A6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护理计划执行反馈接口：针对医生制定的护理计划，护理人员通过该接口反馈执行情况（已完成、部分完成、未完成及原因），便于医生调整护理计划。</w:t>
            </w:r>
          </w:p>
          <w:p w14:paraId="47595D84">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护理评估结果同步接口：将对患者进行的压疮风险评估、跌倒风险评估等护理评估结果同步至 HIS 系统，为护理质量管理和患者安全管理提供数据支持。</w:t>
            </w:r>
          </w:p>
        </w:tc>
      </w:tr>
      <w:tr w14:paraId="0783D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2F0F674F">
            <w:pPr>
              <w:widowControl/>
              <w:jc w:val="center"/>
              <w:rPr>
                <w:rFonts w:ascii="宋体" w:hAnsi="宋体"/>
                <w:color w:val="auto"/>
                <w:highlight w:val="none"/>
              </w:rPr>
            </w:pPr>
          </w:p>
        </w:tc>
        <w:tc>
          <w:tcPr>
            <w:tcW w:w="1686" w:type="dxa"/>
            <w:vAlign w:val="center"/>
          </w:tcPr>
          <w:p w14:paraId="7CFB09ED">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康复诊疗管理系统</w:t>
            </w:r>
          </w:p>
        </w:tc>
        <w:tc>
          <w:tcPr>
            <w:tcW w:w="10815" w:type="dxa"/>
            <w:vAlign w:val="center"/>
          </w:tcPr>
          <w:p w14:paraId="45B8CD32">
            <w:pPr>
              <w:numPr>
                <w:ilvl w:val="0"/>
                <w:numId w:val="60"/>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5DA4D9F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患者基本信息同步接口：支持康复诊疗管理系统获取患者姓名、性别、年龄、既往病史等基础信息，便于快速建立康复档案。提供按住院号、身份证号等多条件检索方式，保障数据获取的准确性与及时性。</w:t>
            </w:r>
          </w:p>
          <w:p w14:paraId="184BD58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诊断信息交互接口：推送患者在 HIS 系统中的诊断结果，包含疾病名称、诊断时间、诊断医师等内容。同时支持康复系统反馈修正诊断信息，确保诊疗数据动态更新。</w:t>
            </w:r>
          </w:p>
          <w:p w14:paraId="304B068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医嘱查询与执行反馈接口：康复系统可查询患者的康复相关医嘱，如理疗项目、康复训练计划等。执行完成后，通过该接口将执行时间、执行效果等信息回传至 HIS 系统，形成闭环管理。</w:t>
            </w:r>
          </w:p>
          <w:p w14:paraId="4946B0F4">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费用明细获取接口：提供患者康复治疗过程中的费用明细，包括项目名称、单价、数量、总金额等，方便康复系统进行费用核对与统计，辅助患者费用告知与结算工作。</w:t>
            </w:r>
          </w:p>
          <w:p w14:paraId="37FF4BCB">
            <w:pPr>
              <w:numPr>
                <w:ilvl w:val="0"/>
                <w:numId w:val="60"/>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康复诊疗管理系统提供接口</w:t>
            </w:r>
          </w:p>
          <w:p w14:paraId="580B8BB4">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康复评估报告上传接口：将患者的初期评估、中期评估及末期评估报告同步至 HIS系统，报告内容涵盖肢体功能、认知能力等多维度评估数据，为临床医师调整治疗方案提供依据。</w:t>
            </w:r>
          </w:p>
          <w:p w14:paraId="4DFB53E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治疗计划与进度同步接口：向 HIS 系统推送个性化康复治疗计划，包括治疗项目、频次、时长等信息。治疗过程中，实时更新治疗进度，如已完成次数、剩余次数等，便于医护人员整体把控康复进程。</w:t>
            </w:r>
          </w:p>
          <w:p w14:paraId="3DCDB04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设备使用记录共享接口：记录康复设备的使用情况，如设备名称、使用时间、患者信息等，同步至 HIS 系统。有助于医院进行设备管理与维护，同时为成本核算提供数据支持。</w:t>
            </w:r>
          </w:p>
          <w:p w14:paraId="16EFC5C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患者康复效果反馈接口：将患者在康复过程中的症状改善情况、功能恢复程度等信息反馈至 HIS 系统，为医疗质量评估与科研数据分析提供真实数据。</w:t>
            </w:r>
          </w:p>
        </w:tc>
      </w:tr>
      <w:tr w14:paraId="7C6C5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674AAFFB">
            <w:pPr>
              <w:widowControl/>
              <w:jc w:val="center"/>
              <w:rPr>
                <w:rFonts w:ascii="宋体" w:hAnsi="宋体"/>
                <w:color w:val="auto"/>
                <w:highlight w:val="none"/>
              </w:rPr>
            </w:pPr>
          </w:p>
        </w:tc>
        <w:tc>
          <w:tcPr>
            <w:tcW w:w="1686" w:type="dxa"/>
            <w:vAlign w:val="center"/>
          </w:tcPr>
          <w:p w14:paraId="374E2991">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产前诊断系统</w:t>
            </w:r>
          </w:p>
        </w:tc>
        <w:tc>
          <w:tcPr>
            <w:tcW w:w="10815" w:type="dxa"/>
            <w:vAlign w:val="center"/>
          </w:tcPr>
          <w:p w14:paraId="4C9D8368">
            <w:pPr>
              <w:numPr>
                <w:ilvl w:val="0"/>
                <w:numId w:val="61"/>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51C6FD8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孕妇档案信息接口：提供孕妇基本信息、既往孕产史、家族遗传病史等详细档案资料，支持按孕周、预产期等条件筛选，助力产前诊断系统精准分析孕妇情况。</w:t>
            </w:r>
          </w:p>
          <w:p w14:paraId="59FA031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产检记录同步接口：推送孕妇历次产检的检查结果，如唐筛、B 超等数据，以及产检医师的诊断建议。确保产前诊断系统全面了解孕妇孕期状况，辅助诊断决策。</w:t>
            </w:r>
          </w:p>
          <w:p w14:paraId="675515F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医嘱与用药信息接口：共享孕期医嘱及用药情况，包括药物名称、剂量、服用时间等。产前诊断系统可据此评估药物对胎儿的潜在影响，保障孕期用药安全。</w:t>
            </w:r>
          </w:p>
          <w:p w14:paraId="4637AC2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预约信息管理接口：实现产前诊断相关检查的预约信息交互，包括预约时间、检查项目、预约状态等，方便孕妇管理检查日程，同时便于医院合理安排资源。</w:t>
            </w:r>
          </w:p>
          <w:p w14:paraId="60D4E3DB">
            <w:pPr>
              <w:numPr>
                <w:ilvl w:val="0"/>
                <w:numId w:val="61"/>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产前诊断系统提供接口</w:t>
            </w:r>
          </w:p>
          <w:p w14:paraId="62363A86">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筛查与诊断结果上传接口：将唐筛、羊水穿刺等筛查诊断结果，以及胎儿基因检测报告等同步至 HIS 系统，使临床医师及时掌握胎儿健康状况，制定后续诊疗方案。</w:t>
            </w:r>
          </w:p>
          <w:p w14:paraId="55700B1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遗传咨询记录共享接口：记录孕妇接受遗传咨询的内容，如咨询问题、专家建议等，反馈至 HIS 系统。为孕妇的全孕期管理提供完整的医疗记录，也为遗传疾病研究积累数据。</w:t>
            </w:r>
          </w:p>
          <w:p w14:paraId="46660DC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高危孕妇预警接口：当发现孕妇存在高危因素时，通过该接口向 HIS 系统发送预警信息，包括高危原因、风险等级等，提醒医护人员加强关注与干预。</w:t>
            </w:r>
          </w:p>
          <w:p w14:paraId="542A78E2">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随访信息同步接口：将产后随访的母婴健康数据，如新生儿发育情况、产妇恢复状况等同步至 HIS 系统，完善妇幼健康档案，实现全周期健康管理。</w:t>
            </w:r>
          </w:p>
        </w:tc>
      </w:tr>
      <w:tr w14:paraId="5C724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62B0DD4E">
            <w:pPr>
              <w:widowControl/>
              <w:jc w:val="center"/>
              <w:rPr>
                <w:rFonts w:ascii="宋体" w:hAnsi="宋体"/>
                <w:color w:val="auto"/>
                <w:highlight w:val="none"/>
              </w:rPr>
            </w:pPr>
          </w:p>
        </w:tc>
        <w:tc>
          <w:tcPr>
            <w:tcW w:w="1686" w:type="dxa"/>
            <w:vAlign w:val="center"/>
          </w:tcPr>
          <w:p w14:paraId="3626F5F1">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急诊系统</w:t>
            </w:r>
          </w:p>
        </w:tc>
        <w:tc>
          <w:tcPr>
            <w:tcW w:w="10815" w:type="dxa"/>
            <w:vAlign w:val="center"/>
          </w:tcPr>
          <w:p w14:paraId="0FB5FB04">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536B8179">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快速挂号与患者信息接口：支持急诊系统快速调取患者基本信息，实现急诊患者的快速挂号建档。同时提供患者既往病史、过敏史等关键信息，为急诊抢救争取时间。</w:t>
            </w:r>
          </w:p>
          <w:p w14:paraId="5E52E19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急诊医嘱处理接口：接收急诊系统开立的医嘱，如急救用药、检查检验申请等，并反馈医嘱执行状态，确保急诊诊疗流程顺畅。</w:t>
            </w:r>
          </w:p>
          <w:p w14:paraId="2CA42CA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床位调配接口：提供急诊留观床位、抢救床位的使用状态信息，急诊系统可申请床位占用与释放，HIS 系统实时更新床位信息，优化资源配置。</w:t>
            </w:r>
          </w:p>
          <w:p w14:paraId="3151C64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费用结算接口：实现急诊费用的实时结算，包括挂号费、诊疗费、药品费等，支持多种支付方式。同时将费用明细同步至 HIS 系统，便于财务核算与患者查询。</w:t>
            </w:r>
          </w:p>
          <w:p w14:paraId="292F7F4F">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急诊系统提供接口</w:t>
            </w:r>
          </w:p>
          <w:p w14:paraId="1E33CF6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分诊信息上传接口：将患者的急诊分诊等级（如Ⅰ级濒危、Ⅱ级危重等）、分诊时间、分诊医师等信息同步至 HIS 系统，方便医院掌握急诊患者流量与病情分布，合理调配医疗资源。</w:t>
            </w:r>
          </w:p>
          <w:p w14:paraId="44A90DE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抢救记录共享接口：记录患者抢救过程中的生命体征变化、抢救措施、用药情况等详细信息，上传至 HIS 系统。为后续治疗提供重要参考，也为医疗质量分析提供数据。</w:t>
            </w:r>
          </w:p>
          <w:p w14:paraId="2487C63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留观与转归信息接口：实时更新患者的留观状态（如留观中、转出、离院等），以及转归信息（如转入科室、出院时间等），使 HIS 系统全面掌握患者去向，实现信息闭环。</w:t>
            </w:r>
          </w:p>
          <w:p w14:paraId="07CCF226">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急诊数据统计接口：定期向 HIS 系统提供急诊患者数量、病种分布、抢救成功率等统计数据，为医院运营管理与决策分析提供依据。</w:t>
            </w:r>
          </w:p>
        </w:tc>
      </w:tr>
      <w:tr w14:paraId="06315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2683C3E9">
            <w:pPr>
              <w:widowControl/>
              <w:jc w:val="center"/>
              <w:rPr>
                <w:rFonts w:ascii="宋体" w:hAnsi="宋体"/>
                <w:color w:val="auto"/>
                <w:highlight w:val="none"/>
              </w:rPr>
            </w:pPr>
          </w:p>
        </w:tc>
        <w:tc>
          <w:tcPr>
            <w:tcW w:w="1686" w:type="dxa"/>
            <w:vAlign w:val="center"/>
          </w:tcPr>
          <w:p w14:paraId="27FF883B">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重症系统</w:t>
            </w:r>
          </w:p>
        </w:tc>
        <w:tc>
          <w:tcPr>
            <w:tcW w:w="10815" w:type="dxa"/>
            <w:vAlign w:val="center"/>
          </w:tcPr>
          <w:p w14:paraId="1119F6F5">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2C23DF56">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重症患者信息接口：提供重症患者的基本信息、诊断结果、入院时间等资料，同时推送患者在 HIS 系统中的既往病史、过敏史等信息，帮助重症系统全面了解患者状况。</w:t>
            </w:r>
          </w:p>
          <w:p w14:paraId="773BA0E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医嘱协同接口：支持重症系统查询与执行 HIS 系统下达的医嘱，如特殊用药、检查检验等。同时接收重症系统对医嘱的调整建议，实现医嘱的动态管理。</w:t>
            </w:r>
          </w:p>
          <w:p w14:paraId="4598ED1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设备资源接口：提供重症监护设备的使用状态、配置信息等，重症系统可申请设备占用与释放，HIS 系统实时更新设备资源情况，保障重症救治需求。</w:t>
            </w:r>
          </w:p>
          <w:p w14:paraId="16CCCC0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费用管理接口：共享重症患者的费用明细，包括呼吸机使用费用、监护费用等。重症系统可进行费用核对与补充计费，确保费用准确无误。</w:t>
            </w:r>
          </w:p>
          <w:p w14:paraId="49BACF67">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重症系统提供接口</w:t>
            </w:r>
          </w:p>
          <w:p w14:paraId="1EB36D2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生命体征实时监测接口：将患者的心率、血压、血氧饱和度等生命体征数据实时推送至 HIS 系统，设置异常数据预警阈值，当出现异常时及时通知相关医护人员。</w:t>
            </w:r>
          </w:p>
          <w:p w14:paraId="646E1BC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重症护理记录接口：记录重症患者的护理措施、出入量管理、皮肤状况等信息，同步至 HIS 系统。为医护团队提供全面的护理信息，支持多学科协作。</w:t>
            </w:r>
          </w:p>
          <w:p w14:paraId="6F2C48C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治疗方案与效果反馈接口：向 HIS 系统推送重症患者的治疗方案，如机械通气策略、抗感染治疗等。治疗过程中，反馈治疗效果与病情变化，便于临床医师调整治疗方案。</w:t>
            </w:r>
          </w:p>
          <w:p w14:paraId="10F0EFE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转出与预后信息接口：当患者转出重症病房时，将转出时间、转入科室、转出原因等信息同步至 HIS 系统。后续将患者的预后情况，如康复程度、生存状态等反馈给 HIS系统，完善患者医疗记录。</w:t>
            </w:r>
          </w:p>
        </w:tc>
      </w:tr>
      <w:tr w14:paraId="463F7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2EF76ABF">
            <w:pPr>
              <w:widowControl/>
              <w:jc w:val="center"/>
              <w:rPr>
                <w:rFonts w:ascii="宋体" w:hAnsi="宋体"/>
                <w:color w:val="auto"/>
                <w:highlight w:val="none"/>
              </w:rPr>
            </w:pPr>
          </w:p>
        </w:tc>
        <w:tc>
          <w:tcPr>
            <w:tcW w:w="1686" w:type="dxa"/>
            <w:vAlign w:val="center"/>
          </w:tcPr>
          <w:p w14:paraId="64C6FF45">
            <w:pPr>
              <w:numPr>
                <w:ilvl w:val="2"/>
                <w:numId w:val="11"/>
              </w:numPr>
              <w:ind w:left="0" w:firstLine="0"/>
              <w:rPr>
                <w:rFonts w:ascii="宋体" w:hAnsi="宋体" w:cs="宋体"/>
                <w:color w:val="auto"/>
                <w:kern w:val="0"/>
                <w:szCs w:val="21"/>
                <w:highlight w:val="none"/>
              </w:rPr>
            </w:pPr>
            <w:r>
              <w:rPr>
                <w:rFonts w:hint="eastAsia" w:ascii="宋体" w:hAnsi="宋体"/>
                <w:color w:val="auto"/>
                <w:highlight w:val="none"/>
              </w:rPr>
              <w:tab/>
            </w:r>
            <w:r>
              <w:rPr>
                <w:rFonts w:hint="eastAsia" w:ascii="宋体" w:hAnsi="宋体"/>
                <w:color w:val="auto"/>
                <w:highlight w:val="none"/>
              </w:rPr>
              <w:t>营养管理系统</w:t>
            </w:r>
          </w:p>
        </w:tc>
        <w:tc>
          <w:tcPr>
            <w:tcW w:w="10815" w:type="dxa"/>
            <w:vAlign w:val="center"/>
          </w:tcPr>
          <w:p w14:paraId="413BEAC2">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32A9F58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患者饮食医嘱接口：推送医师开具的饮食医嘱，如低盐饮食、糖尿病饮食等，包括饮食种类、餐次、特殊要求等信息，为营养管理系统制定营养方案提供依据。</w:t>
            </w:r>
          </w:p>
          <w:p w14:paraId="3D3C5EA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患者基本信息与病情接口：提供患者年龄、性别、疾病诊断、身体状况等信息，帮助营养系统评估患者营养需求，制定个性化营养计划。</w:t>
            </w:r>
          </w:p>
          <w:p w14:paraId="50092CF9">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费用关联接口：与 HIS 系统实现营养治疗费用的关联，包括营养餐费用、营养制剂费用等，确保费用准确计入患者医疗账单。</w:t>
            </w:r>
          </w:p>
          <w:p w14:paraId="0B0F3EA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科室订餐需求接口：接收各科室提交的患者订餐需求，包括订餐时间、餐品选择等，反馈至 HIS 系统进行费用结算与统计。</w:t>
            </w:r>
          </w:p>
          <w:p w14:paraId="62E33940">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营养管理系统提供接口</w:t>
            </w:r>
          </w:p>
          <w:p w14:paraId="4218290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营养评估报告接口：将患者的营养状况评估结果，如 BMI 指数、血清蛋白水平等，以及营养风险评估报告同步至 HIS 系统，为临床治疗提供营养支持依据。</w:t>
            </w:r>
          </w:p>
          <w:p w14:paraId="33EA2CF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个性化营养方案接口：向 HIS 系统推送针对患者制定的个性化营养方案，包括每日热量摄入、营养素配比、食谱推荐等内容，便于医护人员监督执行。</w:t>
            </w:r>
          </w:p>
          <w:p w14:paraId="39CC91A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饮食执行情况反馈接口：记录患者每餐饮食摄入情况，如实际食用量、剩余量等，反馈至 HIS 系统。同时对患者饮食依从性进行评价，为调整营养方案提供参考。</w:t>
            </w:r>
          </w:p>
          <w:p w14:paraId="77FD29F4">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营养治疗效果评估接口：定期评估营养治疗效果，如患者体重变化、营养指标改善情况等，将评估结果同步至 HIS 系统，辅助医师判断治疗效果，优化治疗方案。</w:t>
            </w:r>
          </w:p>
        </w:tc>
      </w:tr>
      <w:tr w14:paraId="1BB1A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0BE64DCD">
            <w:pPr>
              <w:widowControl/>
              <w:jc w:val="center"/>
              <w:rPr>
                <w:rFonts w:ascii="宋体" w:hAnsi="宋体"/>
                <w:color w:val="auto"/>
                <w:highlight w:val="none"/>
              </w:rPr>
            </w:pPr>
          </w:p>
        </w:tc>
        <w:tc>
          <w:tcPr>
            <w:tcW w:w="1686" w:type="dxa"/>
            <w:vAlign w:val="center"/>
          </w:tcPr>
          <w:p w14:paraId="1D437642">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血透临床信息系统</w:t>
            </w:r>
          </w:p>
        </w:tc>
        <w:tc>
          <w:tcPr>
            <w:tcW w:w="10815" w:type="dxa"/>
            <w:vAlign w:val="center"/>
          </w:tcPr>
          <w:p w14:paraId="401C9213">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231CC369">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血透患者档案接口：提供血透患者基本信息、病史、诊断结果等档案资料，支持按透析周期、病情严重程度等条件检索，便于血透系统管理患者。</w:t>
            </w:r>
          </w:p>
          <w:p w14:paraId="21816B3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医嘱与用药接口：推送血透相关医嘱，如透析频率、透析方式、用药处方等。血透系统执行后，将执行情况反馈至 HIS 系统，实现医嘱闭环管理。</w:t>
            </w:r>
          </w:p>
          <w:p w14:paraId="7CF9D452">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费用结算接口：实现血透治疗费用的实时结算，包括透析费、药品费、耗材费等，将费用明细同步至 HIS 系统，方便患者查询与财务核算。</w:t>
            </w:r>
          </w:p>
          <w:p w14:paraId="17533D5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设备预约接口：提供血透设备的使用状态与预约信息，血透系统可根据患者需求预约设备，HIS 系统实时更新设备预约情况，提高设备利用率。</w:t>
            </w:r>
          </w:p>
          <w:p w14:paraId="6F65B7BA">
            <w:pPr>
              <w:pStyle w:val="18"/>
              <w:spacing w:before="276"/>
              <w:rPr>
                <w:rFonts w:ascii="宋体" w:hAnsi="宋体" w:cs="宋体"/>
                <w:b w:val="0"/>
                <w:color w:val="auto"/>
                <w:sz w:val="21"/>
                <w:szCs w:val="21"/>
                <w:highlight w:val="none"/>
              </w:rPr>
            </w:pPr>
            <w:r>
              <w:rPr>
                <w:rFonts w:ascii="宋体" w:hAnsi="宋体" w:cs="宋体"/>
                <w:b w:val="0"/>
                <w:color w:val="auto"/>
                <w:sz w:val="21"/>
                <w:szCs w:val="21"/>
                <w:highlight w:val="none"/>
              </w:rPr>
              <w:t>血透临床信息系统提供接口</w:t>
            </w:r>
          </w:p>
          <w:p w14:paraId="2C465B7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透析治疗记录接口：将每次透析治疗的详细记录，如透析时间、血流量、透析液参数等同步至 HIS 系统，为患者病情跟踪与治疗方案调整提供数据支持。</w:t>
            </w:r>
          </w:p>
          <w:p w14:paraId="222F0E7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并发症监测接口：实时监测患者透析过程中的并发症发生情况，如低血压、肌肉痉挛等，当出现异常时，及时向 HIS 系统发送预警信息，通知医护人员处理。</w:t>
            </w:r>
          </w:p>
          <w:p w14:paraId="0249B95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患者状态与随访接口：更新患者透析后的状态，如体力恢复情况、实验室指标变化等。同时将患者的随访计划与随访结果同步至 HIS 系统，实现患者全周期管理。</w:t>
            </w:r>
          </w:p>
          <w:p w14:paraId="6158834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耗材使用与库存接口：记录血透耗材的使用情况，如透析器、管路等，同步至 HIS系统。反馈耗材库存状态，便于医院进行耗材采购与库存管理。</w:t>
            </w:r>
          </w:p>
        </w:tc>
      </w:tr>
      <w:tr w14:paraId="1CF82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0953D779">
            <w:pPr>
              <w:widowControl/>
              <w:jc w:val="center"/>
              <w:rPr>
                <w:rFonts w:ascii="宋体" w:hAnsi="宋体"/>
                <w:color w:val="auto"/>
                <w:highlight w:val="none"/>
              </w:rPr>
            </w:pPr>
          </w:p>
        </w:tc>
        <w:tc>
          <w:tcPr>
            <w:tcW w:w="1686" w:type="dxa"/>
            <w:vAlign w:val="center"/>
          </w:tcPr>
          <w:p w14:paraId="707DFF44">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静配系统</w:t>
            </w:r>
          </w:p>
        </w:tc>
        <w:tc>
          <w:tcPr>
            <w:tcW w:w="10815" w:type="dxa"/>
            <w:vAlign w:val="center"/>
          </w:tcPr>
          <w:p w14:paraId="2CB6CA64">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7B7F2D6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静脉用药医嘱接口：向静配系统推送静脉用药医嘱，包括药品名称、剂量、用法、用药时间等信息，支持按科室、患者类型等条件筛选，确保医嘱准确传递。</w:t>
            </w:r>
          </w:p>
          <w:p w14:paraId="58FCADE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患者基本信息接口：提供患者年龄、性别、过敏史等基本信息，辅助静配系统进行药物配伍禁忌审核与用药安全评估。</w:t>
            </w:r>
          </w:p>
          <w:p w14:paraId="70A8D58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科室信息与配送需求接口：提供各科室信息及药品配送时间、地点等需求，静配系统根据需求安排药品配置与配送计划，HIS 系统实时跟踪配送状态。</w:t>
            </w:r>
          </w:p>
          <w:p w14:paraId="18148EF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药品库存与价格接口：共享药品库存数量、有效期、单价等信息，静配系统可据此进行药品库存管理与成本核算。</w:t>
            </w:r>
          </w:p>
          <w:p w14:paraId="67BE2599">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静配系统提供接口</w:t>
            </w:r>
          </w:p>
          <w:p w14:paraId="04B5467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静配批次信息接口：将药品配置批次信息，如批次号、配置时间、配置人员等同步至 HIS 系统，便于追溯药品配置过程，保障用药安全。</w:t>
            </w:r>
          </w:p>
          <w:p w14:paraId="395BE0B9">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药品消耗与库存接口：实时反馈药品消耗数量、剩余库存等信息，HIS 系统根据消耗情况及时补充药品库存，确保临床用药需求。</w:t>
            </w:r>
          </w:p>
          <w:p w14:paraId="14C8EF3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配置过程监控接口：将药品配置过程中的关键环节信息，如药品核对、配置操作、质量检查等同步至 HIS 系统，实现配置过程透明化管理。</w:t>
            </w:r>
          </w:p>
          <w:p w14:paraId="7B8E4BA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成品输液配送接口：推送成品输液的配送信息，如配送时间、送达科室、签收人员等，HIS 系统更新患者用药状态，确保药品及时准确送达患者。</w:t>
            </w:r>
          </w:p>
        </w:tc>
      </w:tr>
      <w:tr w14:paraId="55B20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76AB60A4">
            <w:pPr>
              <w:widowControl/>
              <w:jc w:val="center"/>
              <w:rPr>
                <w:rFonts w:ascii="宋体" w:hAnsi="宋体"/>
                <w:color w:val="auto"/>
                <w:highlight w:val="none"/>
              </w:rPr>
            </w:pPr>
          </w:p>
        </w:tc>
        <w:tc>
          <w:tcPr>
            <w:tcW w:w="1686" w:type="dxa"/>
            <w:vAlign w:val="center"/>
          </w:tcPr>
          <w:p w14:paraId="27A7676B">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体检系统</w:t>
            </w:r>
          </w:p>
        </w:tc>
        <w:tc>
          <w:tcPr>
            <w:tcW w:w="10815" w:type="dxa"/>
            <w:vAlign w:val="center"/>
          </w:tcPr>
          <w:p w14:paraId="5C3746D1">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4FA49CB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体检者信息接口：提供体检者基本信息、联系方式、既往健康史等资料，支持批量导入与单个查询，方便体检系统快速建立体检档案。</w:t>
            </w:r>
          </w:p>
          <w:p w14:paraId="791BE0D4">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体检套餐与项目接口：共享医院提供的体检套餐内容、项目价格等信息，体检系统可根据体检者需求选择套餐与项目，并将选择结果反馈至 HIS 系统进行费用结算。</w:t>
            </w:r>
          </w:p>
          <w:p w14:paraId="3D8D1D8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预约与排期接口：实现体检预约信息的交互，包括预约时间、体检项目、预约状态等。HIS 系统根据预约情况合理安排体检资源，体检系统实时更新预约状态。</w:t>
            </w:r>
          </w:p>
          <w:p w14:paraId="69B1945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费用结算接口：与体检系统进行费用结算，包括体检套餐费用、额外加项费用等，将费用明细同步至 HIS 系统，便于财务统计与体检者查询。</w:t>
            </w:r>
          </w:p>
          <w:p w14:paraId="5C94831A">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体检系统提供接口</w:t>
            </w:r>
          </w:p>
          <w:p w14:paraId="487670C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体检结果报告接口：将体检者的各项检查结果，如血液检查、影像检查等报告，以及综合健康评估报告同步至 HIS 系统，为体检者健康管理提供完整记录。</w:t>
            </w:r>
          </w:p>
          <w:p w14:paraId="02D2926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异常结果预警接口：当体检结果出现异常时，及时向 HIS 系统发送预警信息，包括异常项目、异常值、建议复查时间等，提醒体检者及时就医。</w:t>
            </w:r>
          </w:p>
          <w:p w14:paraId="63479E7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体检统计分析接口：定期向 HIS 系统提供体检数据统计分析报告，如不同年龄段疾病分布、高发疾病趋势等，为医院健康管理与疾病预防决策提供数据支持。</w:t>
            </w:r>
          </w:p>
          <w:p w14:paraId="4D97DAC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体检满意度反馈接口：收集体检者对体检服务的满意度评价，包括服务态度、检查流程、环境设施等方面，反馈至 HIS 系统，便于医院改进服务质量。</w:t>
            </w:r>
          </w:p>
        </w:tc>
      </w:tr>
      <w:tr w14:paraId="3B300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29C06FC4">
            <w:pPr>
              <w:widowControl/>
              <w:jc w:val="center"/>
              <w:rPr>
                <w:rFonts w:ascii="宋体" w:hAnsi="宋体"/>
                <w:color w:val="auto"/>
                <w:highlight w:val="none"/>
              </w:rPr>
            </w:pPr>
          </w:p>
        </w:tc>
        <w:tc>
          <w:tcPr>
            <w:tcW w:w="1686" w:type="dxa"/>
            <w:vAlign w:val="center"/>
          </w:tcPr>
          <w:p w14:paraId="568C787C">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手术麻醉系统</w:t>
            </w:r>
          </w:p>
        </w:tc>
        <w:tc>
          <w:tcPr>
            <w:tcW w:w="10815" w:type="dxa"/>
            <w:vAlign w:val="center"/>
          </w:tcPr>
          <w:p w14:paraId="65F7156C">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52FDAB0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手术患者信息接口：提供手术患者基本信息、诊断结果、术前检查报告等资料，支持按手术时间、科室等条件筛选，帮助手术麻醉系统做好术前准备。</w:t>
            </w:r>
          </w:p>
          <w:p w14:paraId="6897CAE4">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手术申请与排班接口：接收手术科室提交的手术申请，包括手术名称、手术时间、手术医师等信息，反馈手术排班结果至 HIS 系统，实现手术安排的协同管理。</w:t>
            </w:r>
          </w:p>
          <w:p w14:paraId="224F7D5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术前医嘱接口：推送术前医嘱，如禁食禁水要求、术前用药等，手术麻醉系统执行后将执行情况反馈至 HIS 系统，确保术前准备工作规范执行。</w:t>
            </w:r>
          </w:p>
          <w:p w14:paraId="5E89789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费用管理接口：实现手术相关费用的实时结算，包括手术费、麻醉费、耗材费等，将费用明细同步至 HIS 系统，便于患者费用查询与财务核算。</w:t>
            </w:r>
          </w:p>
          <w:p w14:paraId="5AE4BD01">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手术麻醉系统提供接口</w:t>
            </w:r>
          </w:p>
          <w:p w14:paraId="1433C262">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手术过程记录接口：将手术开始时间、结束时间、手术步骤、术中出血量等手术过程信息实时同步至 HIS 系统，为术后总结与医疗质量评估提供详细资料。</w:t>
            </w:r>
          </w:p>
          <w:p w14:paraId="20B4D61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麻醉记录与监测接口：记录麻醉诱导、维持、苏醒等过程中的麻醉用药、生命体征监测数据等，同步至 HIS 系统。设置异常数据预警，保障患者麻醉安全。</w:t>
            </w:r>
          </w:p>
          <w:p w14:paraId="5486C5F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术后复苏与转归接口：更新患者术后复苏状态，如苏醒时间、生命体征平稳情况等。当患者转出手术室时，将转归信息（如转入病房、ICU 等）同步至 HIS 系统，实现患者手术全流程管理。</w:t>
            </w:r>
          </w:p>
          <w:p w14:paraId="51656DB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手术设备与耗材使用接口：记录手术设备的使用情况、耗材消耗数量等信息，同步至 HIS 系统。反馈设备故障与耗材库存不足等情况，便于医院进行设备维护与耗材管理。</w:t>
            </w:r>
          </w:p>
        </w:tc>
      </w:tr>
      <w:tr w14:paraId="01EE6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3D019AB6">
            <w:pPr>
              <w:widowControl/>
              <w:jc w:val="center"/>
              <w:rPr>
                <w:rFonts w:ascii="宋体" w:hAnsi="宋体"/>
                <w:color w:val="auto"/>
                <w:highlight w:val="none"/>
              </w:rPr>
            </w:pPr>
          </w:p>
        </w:tc>
        <w:tc>
          <w:tcPr>
            <w:tcW w:w="1686" w:type="dxa"/>
            <w:vAlign w:val="center"/>
          </w:tcPr>
          <w:p w14:paraId="0199023A">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移动护理PDA</w:t>
            </w:r>
          </w:p>
        </w:tc>
        <w:tc>
          <w:tcPr>
            <w:tcW w:w="10815" w:type="dxa"/>
            <w:vAlign w:val="center"/>
          </w:tcPr>
          <w:p w14:paraId="65F710D5">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524DAA3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患者实时信息接口：向移动护理 PDA 推送患者基本信息、医嘱信息、生命体征历史数据等，支持离线缓存，确保护理人员在无网络环境下也能获取必要信息。</w:t>
            </w:r>
          </w:p>
          <w:p w14:paraId="08873E46">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医嘱执行确认接口：护理人员通过 PDA 扫描患者腕带与药品条码，确认医嘱执行情况，将执行时间、执行人员等信息实时反馈至 HIS 系统，实现医嘱执行的精准记录与监控。</w:t>
            </w:r>
          </w:p>
          <w:p w14:paraId="476CAB7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护理任务提醒接口：根据医嘱与护理计划，向 PDA 发送护理任务提醒，如按时测量生命体征、更换输液等，提醒护理人员及时完成任务，提高护理工作效率。</w:t>
            </w:r>
          </w:p>
          <w:p w14:paraId="2EF9E7B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床位状态查询接口：提供病房床位使用状态信息，护理人员可通过 PDA 查询空床、占用床等情况，方便患者转床、入院安排等工作。</w:t>
            </w:r>
          </w:p>
          <w:p w14:paraId="443C27C2">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移动护理 PDA 提供接口</w:t>
            </w:r>
          </w:p>
          <w:p w14:paraId="52CE1F1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生命体征采集接口：护理人员使用 PDA 现场采集患者生命体征数据，如体温、脉搏等，实时上传至 HIS 系统，自动生成生命体征曲线，为医师诊断提供动态数据。</w:t>
            </w:r>
          </w:p>
          <w:p w14:paraId="488C42A6">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护理记录实时上传接口：在 PDA 上实时记录护理措施实施情况、患者病情变化等内容，同步至 HIS 系统，确保护理记录的及时性与准确性，为医疗团队提供最新信息。</w:t>
            </w:r>
          </w:p>
          <w:p w14:paraId="47E5AD1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药品核对与使用反馈接口：扫描药品条码核对药品信息，记录药品使用时间、剂量等情况，反馈至 HIS 系统。对药品过期、配伍禁忌等问题及时预警，保障用药安全。</w:t>
            </w:r>
          </w:p>
          <w:p w14:paraId="512E8D4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护理问题与建议反馈接口：护理人员通过 PDA 将护理过程中发现的问题，如设备故障、流程不合理等，以及改进建议反馈至 HIS 系统，促进医院护理管理持续优化。</w:t>
            </w:r>
          </w:p>
        </w:tc>
      </w:tr>
      <w:tr w14:paraId="57EDB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32E03544">
            <w:pPr>
              <w:widowControl/>
              <w:jc w:val="center"/>
              <w:rPr>
                <w:rFonts w:ascii="宋体" w:hAnsi="宋体"/>
                <w:color w:val="auto"/>
                <w:highlight w:val="none"/>
              </w:rPr>
            </w:pPr>
          </w:p>
        </w:tc>
        <w:tc>
          <w:tcPr>
            <w:tcW w:w="1686" w:type="dxa"/>
            <w:vAlign w:val="center"/>
          </w:tcPr>
          <w:p w14:paraId="5E682F38">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互联网医院</w:t>
            </w:r>
          </w:p>
        </w:tc>
        <w:tc>
          <w:tcPr>
            <w:tcW w:w="10815" w:type="dxa"/>
            <w:vAlign w:val="center"/>
          </w:tcPr>
          <w:p w14:paraId="5DE86D0E">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38AC99A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患者电子健康档案接口：向互联网医院提供患者在院内的诊疗记录、检查检验报告、诊断结果等电子健康档案资料，支持按时间、疾病类型等条件检索，便于线上医师全面了解患者病情。</w:t>
            </w:r>
          </w:p>
          <w:p w14:paraId="508EDD1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在线处方审核与流转接口：接收互联网医院医师开具的处方，进行用药合理性审核</w:t>
            </w:r>
          </w:p>
          <w:p w14:paraId="13C514F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（如剂量、配伍禁忌等）。审核通过后，处方流转至 HIS 系统进行调配，或推送至合作药房进行药品配送。</w:t>
            </w:r>
          </w:p>
          <w:p w14:paraId="0AC1745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线上复诊预约接口：互联网医院将患者的线上复诊预约信息（如预约时间、复诊科室、医师等）同步至 HIS 系统，HIS 系统安排线下复诊资源，并反馈预约结果。</w:t>
            </w:r>
          </w:p>
          <w:p w14:paraId="3A98DAB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费用结算接口：实现互联网医院诊疗费用的线上结算，包括挂号费、问诊费、药品费等，将费用明细同步至 HIS 系统，便于患者查询与财务对账。</w:t>
            </w:r>
          </w:p>
          <w:p w14:paraId="150B5F4C">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互联网医院提供接口</w:t>
            </w:r>
          </w:p>
          <w:p w14:paraId="70539EA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在线问诊记录接口：将患者与医师的在线问诊记录（文字、语音、视频片段等）、诊断意见同步至 HIS 系统，完善患者的全流程医疗记录，为后续线下诊疗提供参考。</w:t>
            </w:r>
          </w:p>
          <w:p w14:paraId="52FA67C6">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远程会诊信息接口：当开展远程会诊时，将会诊专家意见、讨论结果等信息及时反馈至 HIS 系统，院内医师可据此调整患者的治疗方案。</w:t>
            </w:r>
          </w:p>
          <w:p w14:paraId="6B6C018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线上患者反馈接口：收集患者对线上服务（如问诊体验、药师指导、物流配送等）的满意度评价及改进建议，同步至 HIS 系统，帮助医院优化互联网医疗服务质量。</w:t>
            </w:r>
          </w:p>
          <w:p w14:paraId="29846A4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健康宣教资料推送接口：向 HIS 系统推送定制化的健康宣教内容（如疾病预防知识、康复指导等），供院内医护人员在查房、随访时向患者展示，实现线上线下健康管理的协同。</w:t>
            </w:r>
          </w:p>
        </w:tc>
      </w:tr>
      <w:tr w14:paraId="78AD2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548DC49C">
            <w:pPr>
              <w:widowControl/>
              <w:jc w:val="center"/>
              <w:rPr>
                <w:rFonts w:ascii="宋体" w:hAnsi="宋体"/>
                <w:color w:val="auto"/>
                <w:highlight w:val="none"/>
              </w:rPr>
            </w:pPr>
          </w:p>
        </w:tc>
        <w:tc>
          <w:tcPr>
            <w:tcW w:w="1686" w:type="dxa"/>
            <w:vAlign w:val="center"/>
          </w:tcPr>
          <w:p w14:paraId="5DBC68F7">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公众号</w:t>
            </w:r>
          </w:p>
        </w:tc>
        <w:tc>
          <w:tcPr>
            <w:tcW w:w="10815" w:type="dxa"/>
            <w:vAlign w:val="center"/>
          </w:tcPr>
          <w:p w14:paraId="2013B2D6">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2EC06CD2">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患者信息查询接口：支持公众号用户通过身份验证后，查询个人基本信息、就诊记录、检查检验报告、费用明细等，方便患者随时掌握自身医疗信息。</w:t>
            </w:r>
          </w:p>
          <w:p w14:paraId="271B8D2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挂号预约接口：接收公众号端的挂号预约请求，包括预约科室、医师、时间等信息，在 HIS 系统中完成号源分配，并将预约结果（成功或失败原因）实时反馈至公众号展示给患者。</w:t>
            </w:r>
          </w:p>
          <w:p w14:paraId="6702FB5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缴费通知与支付接口：当患者产生新的医疗费用时，向公众号推送缴费通知，包含费用金额、项目明细等。患者可通过公众号完成在线支付，支付成功信息同步至 HIS系统更新费用状态。</w:t>
            </w:r>
          </w:p>
          <w:p w14:paraId="78712134">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 xml:space="preserve">推送接口：检查检验报告出具后，主动推送消息至公众号提醒患者，并提供报告在线查看功能，报告数据从 HIS 系统实时调取。手术通知单审批通过后，推送消息至公众号。推送患者用药、检查、治疗、手术注意事项。 </w:t>
            </w:r>
          </w:p>
          <w:p w14:paraId="2713B79C">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公众号提供接口</w:t>
            </w:r>
          </w:p>
          <w:p w14:paraId="3A77AEE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用户行为数据接口：将用户在公众号的操作行为数据（如挂号预约次数、文章阅读量、菜单点击量等）反馈至 HIS 系统，帮助医院分析患者需求，优化服务流程与内容推送策略。</w:t>
            </w:r>
          </w:p>
          <w:p w14:paraId="1C7E3FA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消息模板定制接口：允许 HIS 系统根据业务需求定制消息模板（如检查提醒、复诊通知等），通过公众号精准推送至目标患者，提升患者服务体验。</w:t>
            </w:r>
          </w:p>
          <w:p w14:paraId="325C615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在线咨询接口：将患者在公众号发起的在线咨询内容（文字、图片等）同步至 HIS系统，由院内医护人员统一处理，并将回复内容回传至公众号反馈给患者。</w:t>
            </w:r>
          </w:p>
          <w:p w14:paraId="1D0F8D5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满意度调查接口：在公众号发起患者满意度调查，收集患者对医院服务、医疗质量等方面的评价，结果汇总后同步至 HIS 系统，为医院管理决策提供依据。</w:t>
            </w:r>
          </w:p>
        </w:tc>
      </w:tr>
      <w:tr w14:paraId="354EB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265E3384">
            <w:pPr>
              <w:widowControl/>
              <w:jc w:val="center"/>
              <w:rPr>
                <w:rFonts w:ascii="宋体" w:hAnsi="宋体"/>
                <w:color w:val="auto"/>
                <w:highlight w:val="none"/>
              </w:rPr>
            </w:pPr>
          </w:p>
        </w:tc>
        <w:tc>
          <w:tcPr>
            <w:tcW w:w="1686" w:type="dxa"/>
            <w:vAlign w:val="center"/>
          </w:tcPr>
          <w:p w14:paraId="06EB249A">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云药房</w:t>
            </w:r>
          </w:p>
        </w:tc>
        <w:tc>
          <w:tcPr>
            <w:tcW w:w="10815" w:type="dxa"/>
            <w:vAlign w:val="center"/>
          </w:tcPr>
          <w:p w14:paraId="588A71D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28A3496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处方审核与授权接口：向云药房推送经过 HIS 系统审核通过的处方，包含患者信息、药品名称、规格、用法用量等内容，同时对处方的合法性和有效性进行授权。</w:t>
            </w:r>
          </w:p>
          <w:p w14:paraId="1B431436">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患者收货信息接口：提供患者预留的收货地址、联系方式等信息，确保云药房准确配送药品。若患者信息有变更，HIS 系统实时更新并同步至云药房。</w:t>
            </w:r>
          </w:p>
          <w:p w14:paraId="776B2CC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药品库存与价格同步接口：实时共享院内药品库存状态、价格调整信息，云药房据此调整药品可售状态与售价，避免出现无药可售或价格不一致的情况。</w:t>
            </w:r>
          </w:p>
          <w:p w14:paraId="65A12A2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医保结算接口：与云药房对接医保结算规则，处理处方中的医保报销部分，将医保结算结果（报销金额、自费金额等）同步至 HIS 系统，完善患者费用结算数据。</w:t>
            </w:r>
          </w:p>
          <w:p w14:paraId="53957729">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云药房提供接口</w:t>
            </w:r>
          </w:p>
          <w:p w14:paraId="79E9171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处方接收与处理接口：接收 HIS 系统推送的处方后，反馈接收状态（成功或失败原因），并将处方处理进度（如审核中、配药中、已发货等）实时同步至 HIS 系统，方便患者和医护人员跟踪。</w:t>
            </w:r>
          </w:p>
          <w:p w14:paraId="7E28435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药品配送信息接口：推送药品配送单号、物流公司、配送进度等信息，HIS 系统可将这些信息通过公众号或短信等方式告知患者，提升患者购药体验。</w:t>
            </w:r>
          </w:p>
          <w:p w14:paraId="69AC6D6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用药指导反馈接口：药师在云药房平台为患者提供的用药指导（如服药时间、注意事项等）同步至 HIS 系统，供医护人员在后续诊疗中参考。</w:t>
            </w:r>
          </w:p>
          <w:p w14:paraId="16EDA139">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售后与退药接口：当患者发起药品退换货申请时，云药房将申请原因、处理结果等信息反馈至 HIS 系统，HIS 系统据此调整患者费用和库存状态。</w:t>
            </w:r>
          </w:p>
          <w:p w14:paraId="4CE18EA1">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对接云药房腹透液平台：医师开具医嘱时，若选择腹膜透析液，有“腹透配送处方”选项供医师选择，若选择“平台配送”，处方缴费、药房确认发药后，HIS提供接口，将“平台配送”类型的腹透液处方推送至云药房腹透液平台（需厂家提供接口文档）。医院公众号增加腹透处方配送入口，用于患者填写快递地址提交订单。云药房腹透液提供接口，HIS获取处方配送状态。</w:t>
            </w:r>
          </w:p>
        </w:tc>
      </w:tr>
      <w:tr w14:paraId="7F727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2924E39A">
            <w:pPr>
              <w:widowControl/>
              <w:jc w:val="center"/>
              <w:rPr>
                <w:rFonts w:ascii="宋体" w:hAnsi="宋体"/>
                <w:color w:val="auto"/>
                <w:highlight w:val="none"/>
              </w:rPr>
            </w:pPr>
          </w:p>
        </w:tc>
        <w:tc>
          <w:tcPr>
            <w:tcW w:w="1686" w:type="dxa"/>
            <w:vAlign w:val="center"/>
          </w:tcPr>
          <w:p w14:paraId="073C46E4">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放疗系统</w:t>
            </w:r>
          </w:p>
        </w:tc>
        <w:tc>
          <w:tcPr>
            <w:tcW w:w="10815" w:type="dxa"/>
            <w:vAlign w:val="center"/>
          </w:tcPr>
          <w:p w14:paraId="2E78584B">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59E0095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放疗患者基本信息接口：提供患者姓名、性别、年龄、病史、诊断结果等基本资料，以及已完成的检查检验报告，帮助放疗系统制定个性化放疗方案。</w:t>
            </w:r>
          </w:p>
          <w:p w14:paraId="02D23AA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放疗医嘱接口：将医师开具的放疗医嘱（如放疗方式、剂量、次数、疗程安排等）推送至放疗系统，同时接收放疗系统对医嘱的确认与调整反馈。</w:t>
            </w:r>
          </w:p>
          <w:p w14:paraId="561FC99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费用关联接口：实现放疗费用与 HIS 系统的关联，包括放疗设备使用费用、耗材费用、治疗费用等，确保费用准确计入患者医疗账单。</w:t>
            </w:r>
          </w:p>
          <w:p w14:paraId="1C84976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床位与设备预约接口：提供放疗相关床位、设备的使用状态与预约信息，放疗系统可根据治疗计划预约资源，HIS 系统实时更新预约情况，优化资源调配。</w:t>
            </w:r>
          </w:p>
          <w:p w14:paraId="25B1C940">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放疗系统提供接口</w:t>
            </w:r>
          </w:p>
          <w:p w14:paraId="30826CE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放疗计划与方案接口：将制定好的放疗计划（包括靶区勾画、剂量分布、照射野设计等）和治疗方案同步至 HIS 系统，供医师审核与调整，实现多学科协作。</w:t>
            </w:r>
          </w:p>
          <w:p w14:paraId="169791F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治疗过程记录接口：实时记录每次放疗的时间、剂量、设备参数等治疗过程信息，同步至 HIS 系统，形成完整的放疗治疗档案，便于医疗质量评估与患者随访。</w:t>
            </w:r>
          </w:p>
          <w:p w14:paraId="4FC65F6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不良反应监测接口：监测患者放疗过程中出现的不良反应（如皮肤损伤、恶心呕吐等），及时向 HIS 系统发送预警信息，提醒临床医师采取相应处理措施。</w:t>
            </w:r>
          </w:p>
          <w:p w14:paraId="0845F91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治疗效果评估接口：定期对患者的放疗效果进行评估（如肿瘤缩小情况、症状缓解程度等），将评估结果同步至 HIS 系统，为后续治疗决策提供依据。</w:t>
            </w:r>
          </w:p>
        </w:tc>
      </w:tr>
      <w:tr w14:paraId="1D3F2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665C06CE">
            <w:pPr>
              <w:widowControl/>
              <w:jc w:val="center"/>
              <w:rPr>
                <w:rFonts w:ascii="宋体" w:hAnsi="宋体"/>
                <w:color w:val="auto"/>
                <w:highlight w:val="none"/>
              </w:rPr>
            </w:pPr>
          </w:p>
        </w:tc>
        <w:tc>
          <w:tcPr>
            <w:tcW w:w="1686" w:type="dxa"/>
            <w:vAlign w:val="center"/>
          </w:tcPr>
          <w:p w14:paraId="737DED91">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门诊西药房艾隆智能二级库(艾隆智能二级库提供接口)</w:t>
            </w:r>
          </w:p>
        </w:tc>
        <w:tc>
          <w:tcPr>
            <w:tcW w:w="10815" w:type="dxa"/>
            <w:vAlign w:val="center"/>
          </w:tcPr>
          <w:p w14:paraId="410FC09F">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145D71C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药品需求预测接口：基于历史用药数据、门诊量趋势等信息，向智能二级库提供药品需求预测结果，辅助其提前备货，保障药品供应。</w:t>
            </w:r>
          </w:p>
          <w:p w14:paraId="5FE3776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处方发药指令接口：当患者完成缴费后，HIS 系统向智能二级库发送处方发药指令，包含药品名称、数量、患者信息等，智能二级库按指令调配药品。</w:t>
            </w:r>
          </w:p>
          <w:p w14:paraId="346776A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库存预警接口：设置药品库存上下限阈值，当 HIS 系统监测到库存低于下限或高于上限时，向智能二级库发送预警信息，以便及时补货或调整库存。</w:t>
            </w:r>
          </w:p>
          <w:p w14:paraId="00403AF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药品基础信息接口：同步药品名称、规格、剂型、生产厂家、保质期等基础信息，确保智能二级库与 HIS 系统数据一致，准确管理药品。</w:t>
            </w:r>
          </w:p>
          <w:p w14:paraId="3B22DC17">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门诊西药房艾隆智能二级库提供接口</w:t>
            </w:r>
          </w:p>
          <w:p w14:paraId="43622756">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药品库存实时更新接口：将智能二级库的药品库存数量、存放位置等信息实时同步至 HIS 系统，HIS 系统可据此更新门诊药房药品可发状态，避免发药冲突。</w:t>
            </w:r>
          </w:p>
          <w:p w14:paraId="278BF35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药品出入库记录接口：记录药品的入库时间、批次、数量，以及出库时间、对应处方号、领取人员等信息，同步至 HIS 系统，实现药品全流程追溯。</w:t>
            </w:r>
          </w:p>
          <w:p w14:paraId="3F026BE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设备运行状态接口：反馈智能二级库设备（如发药机、传送带等）的运行状态（正常、故障、维护中），若出现故障及时通知 HIS 系统，便于安排维修，保障发药流程顺畅。</w:t>
            </w:r>
          </w:p>
          <w:p w14:paraId="5AF251F6">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异常处理反馈接口：当遇到药品短缺、发药错误等异常情况时，将异常原因、处理措施及结果反馈至 HIS 系统，HIS 系统可据此调整处方处理流程或通知患者。</w:t>
            </w:r>
          </w:p>
        </w:tc>
      </w:tr>
      <w:tr w14:paraId="2BE58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1B4B6C32">
            <w:pPr>
              <w:widowControl/>
              <w:jc w:val="center"/>
              <w:rPr>
                <w:rFonts w:ascii="宋体" w:hAnsi="宋体"/>
                <w:color w:val="auto"/>
                <w:highlight w:val="none"/>
              </w:rPr>
            </w:pPr>
          </w:p>
        </w:tc>
        <w:tc>
          <w:tcPr>
            <w:tcW w:w="1686" w:type="dxa"/>
            <w:vAlign w:val="center"/>
          </w:tcPr>
          <w:p w14:paraId="3782706A">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西药库智能链收货平台</w:t>
            </w:r>
          </w:p>
        </w:tc>
        <w:tc>
          <w:tcPr>
            <w:tcW w:w="10815" w:type="dxa"/>
            <w:vAlign w:val="center"/>
          </w:tcPr>
          <w:p w14:paraId="221F5978">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27B80499">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采购订单接口：将审核通过的药品采购订单（包含药品名称、规格、数量、供应商等信息）推送至智能链收货平台，作为收货依据。</w:t>
            </w:r>
          </w:p>
          <w:p w14:paraId="5995174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供应商资质信息接口：提供供应商的营业执照、药品经营许可证、质量认证文件等资质信息，智能链收货平台据此验证供应商合法性，确保药品来源可靠。</w:t>
            </w:r>
          </w:p>
          <w:p w14:paraId="47ABEE3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药品验收标准接口：明确药品验收的质量标准、检验项目、抽样规则等内容，指导智能链收货平台规范开展药品验收工作。</w:t>
            </w:r>
          </w:p>
          <w:p w14:paraId="29DF915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库存管理策略接口：共享药品库存管理策略（如安全库存水平、补货周期等），智能链收货平台根据策略优化收货计划，提高库存管理效率。</w:t>
            </w:r>
          </w:p>
          <w:p w14:paraId="00D8C2FB">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西药库智能链收货平台提供接口</w:t>
            </w:r>
          </w:p>
          <w:p w14:paraId="16BCC604">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收货确认接口：完成药品收货后，向 HIS 系统反馈收货确认信息，包括实际收货数量、批次、生产日期、有效期等，HIS 系统更新库存数量。</w:t>
            </w:r>
          </w:p>
          <w:p w14:paraId="63054F1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验收结果反馈接口：将药品验收结果（合格、不合格及原因）同步至 HIS 系统，若验收不合格，HIS 系统可启动退货流程或联系供应商处理。</w:t>
            </w:r>
          </w:p>
          <w:p w14:paraId="5DB7D6D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不合格品处理记录接口：记录不合格药品的处理过程（如退货、销毁等）及相关责任人，同步至 HIS 系统，便于追溯和质量分析。</w:t>
            </w:r>
          </w:p>
          <w:p w14:paraId="70BA088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库存动态同步接口：实时将智能链收货平台的药品库存变化情况（入库、出库、库存调拨等）反馈至 HIS 系统，确保 HIS 系统库存数据与实际一致。</w:t>
            </w:r>
          </w:p>
        </w:tc>
      </w:tr>
      <w:tr w14:paraId="48859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1F76C769">
            <w:pPr>
              <w:widowControl/>
              <w:jc w:val="center"/>
              <w:rPr>
                <w:rFonts w:ascii="宋体" w:hAnsi="宋体"/>
                <w:color w:val="auto"/>
                <w:highlight w:val="none"/>
              </w:rPr>
            </w:pPr>
          </w:p>
        </w:tc>
        <w:tc>
          <w:tcPr>
            <w:tcW w:w="1686" w:type="dxa"/>
            <w:vAlign w:val="center"/>
          </w:tcPr>
          <w:p w14:paraId="2ACCC44A">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平台科室知情同意书系统</w:t>
            </w:r>
          </w:p>
        </w:tc>
        <w:tc>
          <w:tcPr>
            <w:tcW w:w="10815" w:type="dxa"/>
            <w:vAlign w:val="center"/>
          </w:tcPr>
          <w:p w14:paraId="0C9306C1">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7F76D29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患者诊疗信息接口：向知情同意书系统提供患者当前诊疗项目、风险等级、替代方案等信息，帮助医师撰写知情同意书内容，确保信息准确完整。</w:t>
            </w:r>
          </w:p>
          <w:p w14:paraId="0C7A82D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患者授权信息接口：提供患者指定的授权代理人信息（如姓名、关系、联系方式等），若患者无法自主签署同意书，由授权代理人代为办理相关手续。</w:t>
            </w:r>
          </w:p>
          <w:p w14:paraId="52FB2A2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诊疗流程节点接口：在关键诊疗流程节点（如手术前、特殊检查前），向知情同意书系统发送触发信号，提醒医师发起知情同意书签署流程。</w:t>
            </w:r>
          </w:p>
          <w:p w14:paraId="088E1502">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费用关联接口：将与知情同意书相关的诊疗项目费用信息同步至知情同意书系统，患者或授权代理人签署同意书时可查看费用明细。</w:t>
            </w:r>
          </w:p>
          <w:p w14:paraId="4DC8AF97">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平台科室知情同意书系统提供接口</w:t>
            </w:r>
          </w:p>
          <w:p w14:paraId="270500B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知情同意书签署记录接口：将同意书签署时间、签署人（患者或代理人）、签署方式（电子签名、手写签名）等记录同步至 HIS 系统，作为医疗法律依据。</w:t>
            </w:r>
          </w:p>
          <w:p w14:paraId="05F9EDB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同意书文档存储与调阅接口：将签署完成的知情同意书文档存储，并提供调阅接口， HIS 系统可随时调取查看，方便医疗档案管理与审计。</w:t>
            </w:r>
          </w:p>
          <w:p w14:paraId="6021288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签署状态变更通知接口：当同意书状态发生变化（如待签署、已签署、拒签等）时，及时通知 HIS 系统，HIS 系统根据状态调整诊疗流程（如拒签则终止相关诊疗项目）。</w:t>
            </w:r>
          </w:p>
          <w:p w14:paraId="731D5CF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模板定制与更新接口：允许 HIS 系统根据不同科室、诊疗项目需求定制知情同意书模板，并将模板更新信息同步至知情同意书系统，确保模板适用性。</w:t>
            </w:r>
          </w:p>
        </w:tc>
      </w:tr>
      <w:tr w14:paraId="14C07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46F92421">
            <w:pPr>
              <w:widowControl/>
              <w:jc w:val="center"/>
              <w:rPr>
                <w:rFonts w:ascii="宋体" w:hAnsi="宋体"/>
                <w:color w:val="auto"/>
                <w:highlight w:val="none"/>
              </w:rPr>
            </w:pPr>
          </w:p>
        </w:tc>
        <w:tc>
          <w:tcPr>
            <w:tcW w:w="1686" w:type="dxa"/>
            <w:vAlign w:val="center"/>
          </w:tcPr>
          <w:p w14:paraId="5EEBE3A6">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住院医师交接班系统</w:t>
            </w:r>
          </w:p>
        </w:tc>
        <w:tc>
          <w:tcPr>
            <w:tcW w:w="10815" w:type="dxa"/>
            <w:vAlign w:val="center"/>
          </w:tcPr>
          <w:p w14:paraId="1A893318">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1C79E6C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患者病情动态接口：向交接班系统推送患者最新的生命体征数据、检验检查结果、治疗措施及效果等病情信息，帮助接班医师快速了解患者情况。</w:t>
            </w:r>
          </w:p>
          <w:p w14:paraId="0B963516">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医嘱执行状态接口：提供患者医嘱的执行进度（已执行、执行中、未执行）、未执行原因等信息，便于接班医师掌握治疗计划执行情况，合理安排后续工作。</w:t>
            </w:r>
          </w:p>
          <w:p w14:paraId="1C7F3E99">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诊疗计划接口：将医师制定的患者诊疗计划（如手术安排、检查预约、用药调整等）同步至交接班系统，确保医疗工作的连续性。</w:t>
            </w:r>
          </w:p>
          <w:p w14:paraId="5891307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患者特殊需求接口：记录患者的特殊需求（如饮食禁忌、护理要求、心理关怀等），并同步至交接班系统，提醒接班医师关注。</w:t>
            </w:r>
          </w:p>
          <w:p w14:paraId="54FE6BD3">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住院医师交接班系统提供接口</w:t>
            </w:r>
          </w:p>
          <w:p w14:paraId="3F7B68E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交接班记录接口：将交接班过程中的详细记录（交班医师、接班医师、交接班时间、患者病情总结、待办事项等）同步至 HIS 系统，形成完整的医疗记录。</w:t>
            </w:r>
          </w:p>
          <w:p w14:paraId="7C73307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重点患者标识接口：标记需要重点关注的患者（如危重患者、术后患者等），并将标识信息同步至 HIS 系统，方便医护人员快速筛选和查看。</w:t>
            </w:r>
          </w:p>
          <w:p w14:paraId="6A163B6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待办事项跟踪接口：对接班后待办事项（如安排检查、调整用药等）的完成情况进行跟踪记录，将结果反馈至 HIS 系统，确保各项工作落实到位。</w:t>
            </w:r>
          </w:p>
          <w:p w14:paraId="71F3102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交接班评价接口：收集接班医师对交班质量的评价（如信息完整性、准确性、清晰度等），同步至 HIS 系统，促进交接班质量持续改进。</w:t>
            </w:r>
          </w:p>
        </w:tc>
      </w:tr>
      <w:tr w14:paraId="45B68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376388D7">
            <w:pPr>
              <w:widowControl/>
              <w:jc w:val="center"/>
              <w:rPr>
                <w:rFonts w:ascii="宋体" w:hAnsi="宋体"/>
                <w:color w:val="auto"/>
                <w:highlight w:val="none"/>
              </w:rPr>
            </w:pPr>
          </w:p>
        </w:tc>
        <w:tc>
          <w:tcPr>
            <w:tcW w:w="1686" w:type="dxa"/>
            <w:vAlign w:val="center"/>
          </w:tcPr>
          <w:p w14:paraId="00856797">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SPD系统</w:t>
            </w:r>
          </w:p>
        </w:tc>
        <w:tc>
          <w:tcPr>
            <w:tcW w:w="10815" w:type="dxa"/>
            <w:vAlign w:val="center"/>
          </w:tcPr>
          <w:p w14:paraId="18E3CA46">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75D39EA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科室物资需求接口：各科室在 HIS 系统提交的物资申领需求（如药品、耗材名称、规格、数量等）同步至 SPD 系统，SPD 系统据此进行物资配送。</w:t>
            </w:r>
          </w:p>
          <w:p w14:paraId="527AF726">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患者使用明细接口：将患者使用的耗材、药品等物资明细（使用时间、名称、数量、对应医嘱号等）反馈至 SPD 系统，用于成本核算与追溯。</w:t>
            </w:r>
          </w:p>
          <w:p w14:paraId="52685A2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库存基础数据接口：提供院内物资的库存基础信息（如库存位置、最低库存、最高库存等），帮助 SPD 系统优化库存管理策略。</w:t>
            </w:r>
          </w:p>
          <w:p w14:paraId="085657F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供应商结算接口：将 SPD 系统产生的物资采购费用信息（采购数量、单价、总金额等）同步至 HIS 系统，HIS 系统进行费用审核与结算处理。</w:t>
            </w:r>
          </w:p>
          <w:p w14:paraId="737A60FF">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SPD 系统提供接口</w:t>
            </w:r>
          </w:p>
          <w:p w14:paraId="38E7F98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物资采购计划接口：根据科室需求、库存状态等信息制定的物资采购计划，反馈至 HIS 系统审核，确保采购工作符合医院整体安排。</w:t>
            </w:r>
          </w:p>
          <w:p w14:paraId="365D1A58">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库存实时监控接口：将物资的实时库存数量、存放位置、效期等信息同步至</w:t>
            </w:r>
            <w:r>
              <w:rPr>
                <w:rFonts w:ascii="宋体" w:hAnsi="宋体" w:cs="宋体"/>
                <w:bCs/>
                <w:color w:val="auto"/>
                <w:szCs w:val="21"/>
                <w:highlight w:val="none"/>
              </w:rPr>
              <w:t xml:space="preserve"> HIS系统，HIS 系统可进行库存查询与预警设置。</w:t>
            </w:r>
            <w:r>
              <w:rPr>
                <w:rFonts w:hint="eastAsia" w:ascii="宋体" w:hAnsi="宋体" w:cs="宋体"/>
                <w:bCs/>
                <w:color w:val="auto"/>
                <w:szCs w:val="21"/>
                <w:highlight w:val="none"/>
              </w:rPr>
              <w:t>（内嵌H</w:t>
            </w:r>
            <w:r>
              <w:rPr>
                <w:rFonts w:ascii="宋体" w:hAnsi="宋体" w:cs="宋体"/>
                <w:bCs/>
                <w:color w:val="auto"/>
                <w:szCs w:val="21"/>
                <w:highlight w:val="none"/>
              </w:rPr>
              <w:t>IS</w:t>
            </w:r>
            <w:r>
              <w:rPr>
                <w:rFonts w:hint="eastAsia" w:ascii="宋体" w:hAnsi="宋体" w:cs="宋体"/>
                <w:bCs/>
                <w:color w:val="auto"/>
                <w:szCs w:val="21"/>
                <w:highlight w:val="none"/>
              </w:rPr>
              <w:t>系统提供查询）</w:t>
            </w:r>
          </w:p>
          <w:p w14:paraId="2CC87B6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物资配送记录接口：记录物资的配送时间、送达科室、签收人员等信息，同步至 HIS 系统，便于追踪物资流向，保障物资供应。</w:t>
            </w:r>
          </w:p>
          <w:p w14:paraId="2234268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供应商绩效评估接口：将供应商的交货及时性、产品质量、售后服务等绩效数据反馈至 HIS 系统，为医院选择优质供应商提供参考。</w:t>
            </w:r>
          </w:p>
        </w:tc>
      </w:tr>
      <w:tr w14:paraId="37E55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restart"/>
            <w:vAlign w:val="center"/>
          </w:tcPr>
          <w:p w14:paraId="05F0CDA2">
            <w:pPr>
              <w:numPr>
                <w:ilvl w:val="1"/>
                <w:numId w:val="11"/>
              </w:numPr>
              <w:ind w:left="0" w:firstLine="0"/>
              <w:rPr>
                <w:rFonts w:ascii="宋体" w:hAnsi="宋体"/>
                <w:color w:val="auto"/>
                <w:highlight w:val="none"/>
              </w:rPr>
            </w:pPr>
            <w:r>
              <w:rPr>
                <w:rFonts w:hint="eastAsia" w:ascii="宋体" w:hAnsi="宋体"/>
                <w:color w:val="auto"/>
                <w:highlight w:val="none"/>
              </w:rPr>
              <w:t>检查检验系统对接</w:t>
            </w:r>
          </w:p>
        </w:tc>
        <w:tc>
          <w:tcPr>
            <w:tcW w:w="1686" w:type="dxa"/>
            <w:vAlign w:val="center"/>
          </w:tcPr>
          <w:p w14:paraId="020D76DA">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检验系统LIS</w:t>
            </w:r>
          </w:p>
        </w:tc>
        <w:tc>
          <w:tcPr>
            <w:tcW w:w="10815" w:type="dxa"/>
            <w:vAlign w:val="center"/>
          </w:tcPr>
          <w:p w14:paraId="5995491C">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4F228EB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检验申请信息接口：向 LIS 系统推送患者基本信息、临床诊断、检验申请项目、采样时间要求等内容，支持批量与单个申请传输，确保检验项目精准匹配患者需求。</w:t>
            </w:r>
          </w:p>
          <w:p w14:paraId="7BC8ECC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标本接收确认接口：接收 LIS 系统反馈的标本接收状态，包括接收时间、接收人员、标本状态（合格、不合格及原因）等信息，便于 HIS 系统更新检验流程进度，及时处理异常标本。</w:t>
            </w:r>
          </w:p>
          <w:p w14:paraId="663044E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费用关联接口：将检验项目费用信息与 HIS 系统中的患者费用清单关联，LIS 系统完成检验后，HIS 系统自动计费并更新费用状态，实现检验费用的准确核算与实时展示。</w:t>
            </w:r>
          </w:p>
          <w:p w14:paraId="64D0AEE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患者状态同步接口：当患者出现转科、出院等状态变更时，及时将信息同步至 LIS系统，LIS 系统可根据患者状态调整检验项目执行策略，避免无效检验。</w:t>
            </w:r>
          </w:p>
          <w:p w14:paraId="34D1E0D4">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检验系统 LIS 提供接口</w:t>
            </w:r>
          </w:p>
          <w:p w14:paraId="72AAFED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检验结果报告接口：将检验结果（包括常规检验、生化检验、免疫检验等各类项目结果）、参考值、异常提示等信息实时同步至 HIS 系统，支持结构化数据与 PDF 报告两种形式传输，方便临床医师查看与分析。</w:t>
            </w:r>
          </w:p>
          <w:p w14:paraId="24FFE93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危急值预警接口：一旦出现检验危急值，立即向 HIS 系统发送预警信息，包括患者信息、危急值项目、数值、出现时间等，同时触发 HIS 系统的通知机制，确保医护人员及时采取措施。</w:t>
            </w:r>
          </w:p>
          <w:p w14:paraId="08A355F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质控数据共享接口：定期将 LIS 系统的室内质控、室间质评数据同步至 HIS 系统，为医院质量管理部门提供数据支持，助力医疗质量评估与改进。</w:t>
            </w:r>
          </w:p>
          <w:p w14:paraId="7D260D9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仪器状态与维护接口：反馈检验仪器的运行状态（正常、故障、维护中）、校准记录、维护计划等信息，HIS 系统可据此合理安排检验任务，协调设备维护资源，保障检验工作正常开展。</w:t>
            </w:r>
          </w:p>
        </w:tc>
      </w:tr>
      <w:tr w14:paraId="117B7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73455A3A">
            <w:pPr>
              <w:widowControl/>
              <w:jc w:val="center"/>
              <w:rPr>
                <w:rFonts w:ascii="宋体" w:hAnsi="宋体"/>
                <w:color w:val="auto"/>
                <w:highlight w:val="none"/>
              </w:rPr>
            </w:pPr>
          </w:p>
        </w:tc>
        <w:tc>
          <w:tcPr>
            <w:tcW w:w="1686" w:type="dxa"/>
            <w:vAlign w:val="center"/>
          </w:tcPr>
          <w:p w14:paraId="46A36A3E">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放射系统PACS/RIS</w:t>
            </w:r>
          </w:p>
        </w:tc>
        <w:tc>
          <w:tcPr>
            <w:tcW w:w="10815" w:type="dxa"/>
            <w:vAlign w:val="center"/>
          </w:tcPr>
          <w:p w14:paraId="062F9A14">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6B36A4A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放射检查申请接口：向 PACS/RIS 系统发送患者基本信息、临床诊断、检查部位、检查目的等放射检查申请信息，支持根据检查类型自动匹配检查要求与注意事项，辅助 RIS 系统进行检查预约与安排。</w:t>
            </w:r>
          </w:p>
          <w:p w14:paraId="2A57FED4">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患者预约与排期接口：接收 PACS/RIS 系统反馈的检查预约时间、检查设备、检查室等排期信息，同步至 HIS 系统并告知患者，同时支持 HIS 系统根据临床需求对预约进行调整与取消操作。</w:t>
            </w:r>
          </w:p>
          <w:p w14:paraId="0CD7C23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费用结算接口：实现放射检查费用在 HIS 系统与 PACS/RIS 系统间的联动，检查完成后，HIS 系统自动结算费用，并将结算结果反馈至 PACS/RIS 系统，便于核对与统计。</w:t>
            </w:r>
          </w:p>
          <w:p w14:paraId="4C4372F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患者定位与流转接口：当患者在院内位置发生变化（如从病房前往放射科）时，将位置信息同步至 PACS/RIS 系统，RIS 系统可据此优化检查流程，及时安排患者检查，减少等待时间。</w:t>
            </w:r>
          </w:p>
          <w:p w14:paraId="529ED256">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放射系统 PACS/RIS 提供接口</w:t>
            </w:r>
          </w:p>
          <w:p w14:paraId="31F80E3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影像数据存储与调阅接口：向 HIS 系统提供影像数据（如 X 光、CT、MRI 等）的存储地址与调阅权限，支持 DICOM 标准格式传输，确保临床医师在 HIS 系统中即可便捷查看影像资料，辅助诊断。</w:t>
            </w:r>
          </w:p>
          <w:p w14:paraId="1445960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检查报告生成接口：将放射检查报告（包括检查所见、诊断意见等内容）同步至 HIS 系统，支持结构化报告与文本报告两种形式，报告中可关联影像资料，便于医师全面了解检查情况。</w:t>
            </w:r>
          </w:p>
          <w:p w14:paraId="4C98E8F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检查状态更新接口：实时反馈检查状态（预约中、准备中、检查中、报告审核中、已完成等）至 HIS 系统，HIS 系统可根据检查状态更新患者诊疗流程，合理安排后续工作。</w:t>
            </w:r>
          </w:p>
          <w:p w14:paraId="212E8A46">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设备使用与维护接口：共享放射设备的使用时长、使用次数、故障记录、维护计划等信息，HIS 系统可结合设备状态与临床需求，优化设备资源调配，保障检查服务质量。</w:t>
            </w:r>
          </w:p>
        </w:tc>
      </w:tr>
      <w:tr w14:paraId="18B9F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4866C38F">
            <w:pPr>
              <w:widowControl/>
              <w:jc w:val="center"/>
              <w:rPr>
                <w:rFonts w:ascii="宋体" w:hAnsi="宋体"/>
                <w:color w:val="auto"/>
                <w:highlight w:val="none"/>
              </w:rPr>
            </w:pPr>
          </w:p>
        </w:tc>
        <w:tc>
          <w:tcPr>
            <w:tcW w:w="1686" w:type="dxa"/>
            <w:vAlign w:val="center"/>
          </w:tcPr>
          <w:p w14:paraId="296917F9">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ab/>
            </w:r>
            <w:r>
              <w:rPr>
                <w:rFonts w:hint="eastAsia" w:ascii="宋体" w:hAnsi="宋体" w:cs="宋体"/>
                <w:color w:val="auto"/>
                <w:kern w:val="0"/>
                <w:szCs w:val="21"/>
                <w:highlight w:val="none"/>
              </w:rPr>
              <w:t>病理报告系统</w:t>
            </w:r>
          </w:p>
        </w:tc>
        <w:tc>
          <w:tcPr>
            <w:tcW w:w="10815" w:type="dxa"/>
            <w:vAlign w:val="center"/>
          </w:tcPr>
          <w:p w14:paraId="3FC968D3">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2CC7376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病理标本送检接口：向病理报告系统推送患者基本信息、送检组织来源、临床诊断、送检医生等标本送检信息，支持标本唯一标识关联，确保标本在流转过程中可追溯。</w:t>
            </w:r>
          </w:p>
          <w:p w14:paraId="71A6231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费用关联与结算接口：将病理检查项目费用信息与 HIS 系统患者费用清单关联，病理报告系统完成检查后，HIS 系统自动计费并更新费用状态，实现病理检查费用的准确核算与结算。</w:t>
            </w:r>
          </w:p>
          <w:p w14:paraId="0D9D2909">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患者信息变更同步接口：当患者出现转科、出院等信息变更时，及时将相关信息同步至病理报告系统，病理报告系统可根据患者状态调整报告出具流程，确保报告及时送达。</w:t>
            </w:r>
          </w:p>
          <w:p w14:paraId="613C0586">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临床需求特殊说明接口：支持临床医师通过 HIS 系统向病理报告系统发送特殊检查需求、注意事项等说明信息，便于病理医师准确开展检查工作，提供更有针对性的诊断报告。</w:t>
            </w:r>
          </w:p>
          <w:p w14:paraId="56ACDBEA">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病理报告系统（新、旧病理系统）提供接口</w:t>
            </w:r>
          </w:p>
          <w:p w14:paraId="407D91F9">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病理报告生成与传输接口：将病理检查报告（包括病理诊断、免疫组化结果、分子病理结果等）同步至 HIS 系统，支持新旧系统不同格式报告的统一转换与传输，确保临床医师及时获取准确的病理诊断信息。</w:t>
            </w:r>
          </w:p>
          <w:p w14:paraId="2C55E1D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会诊请求与反馈接口：当病理报告系统发起病理会诊请求时，将相关信息（会诊目的、会诊专家需求等）发送至 HIS 系统，HIS 系统协助组织会诊工作，并将会诊结果反馈至病理报告系统，病理报告系统更新报告内容后同步至 HIS 系统。</w:t>
            </w:r>
          </w:p>
          <w:p w14:paraId="75C69E0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标本处理状态接口：实时反馈标本处理状态（接收中、制片中、染色中、诊断中、已完成等）至 HIS 系统，HIS 系统可根据标本处理进度及时告知患者与临床医师，提升服务透明度。</w:t>
            </w:r>
          </w:p>
          <w:p w14:paraId="5FAA062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质量控制数据接口：定期将病理报告系统的质量控制数据（如切片合格率、诊断符合率等）同步至 HIS 系统，为医院医疗质量评估与改进提供数据依据，保障病理诊断准确性。</w:t>
            </w:r>
          </w:p>
        </w:tc>
      </w:tr>
      <w:tr w14:paraId="51FE7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32250684">
            <w:pPr>
              <w:widowControl/>
              <w:jc w:val="center"/>
              <w:rPr>
                <w:rFonts w:ascii="宋体" w:hAnsi="宋体"/>
                <w:color w:val="auto"/>
                <w:highlight w:val="none"/>
              </w:rPr>
            </w:pPr>
          </w:p>
        </w:tc>
        <w:tc>
          <w:tcPr>
            <w:tcW w:w="1686" w:type="dxa"/>
            <w:vAlign w:val="center"/>
          </w:tcPr>
          <w:p w14:paraId="5177C3F4">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内镜报告系统</w:t>
            </w:r>
          </w:p>
        </w:tc>
        <w:tc>
          <w:tcPr>
            <w:tcW w:w="10815" w:type="dxa"/>
            <w:vAlign w:val="center"/>
          </w:tcPr>
          <w:p w14:paraId="7AA544D9">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314F3789">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内镜检查申请接口：向内镜报告系统发送患者基本信息、临床诊断、检查部位、检查目的等检查申请信息，同时提供患者过敏史、基础疾病等关键信息，辅助内镜医师评估检查风险，制定检查方案。</w:t>
            </w:r>
          </w:p>
          <w:p w14:paraId="4712629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预约与排期管理接口：接收内镜报告系统反馈的检查预约时间、检查设备、检查室等排期信息，同步至 HIS 系统并告知患者，支持 HIS 系统根据临床紧急程度对预约进行优先级调整与插队操作。</w:t>
            </w:r>
          </w:p>
          <w:p w14:paraId="275D940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费用结算接口：实现内镜检查费用在 HIS 系统与内镜报告系统间的自动结算，检查完成后，HIS 系统根据检查项目与耗材使用情况计费，并将结算结果反馈至内镜报告系统，便于统计与对账。</w:t>
            </w:r>
          </w:p>
          <w:p w14:paraId="4C03869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患者术前准备提醒接口：通过 HIS 系统向患者推送内镜检查术前准备事项（如禁食时间、肠道准备方法等），同时将患者术前准备完成情况反馈至内镜报告系统，确保检查顺利进行。</w:t>
            </w:r>
          </w:p>
          <w:p w14:paraId="3E4FFADE">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内镜报告系统提供接口</w:t>
            </w:r>
          </w:p>
          <w:p w14:paraId="1D57FB94">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内镜影像与视频存储接口：向内镜报告系统提供内镜检查过程中的影像与视频资料存储地址与调阅权限，支持常见视频格式传输，临床医师可在 HIS 系统中回放检查过程，深入分析病情。</w:t>
            </w:r>
          </w:p>
          <w:p w14:paraId="535B29F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检查报告生成接口：将内镜检查报告（包括检查过程描述、病变部位图像、诊断意见等内容）同步至 HIS 系统，报告中可嵌入影像资料，方便医师直观了解检查情况，制定治疗方案。</w:t>
            </w:r>
          </w:p>
          <w:p w14:paraId="6B64DFD6">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术中异常情况预警接口：当内镜检查过程中出现异常情况（如出血、穿孔等）时，立即向 HIS 系统发送预警信息，HIS 系统触发应急响应机制，通知相关科室做好抢救准备。</w:t>
            </w:r>
          </w:p>
          <w:p w14:paraId="17EBF40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设备使用与维护接口：反馈内镜设备的使用时长、使用次数、清洗消毒记录、故障情况等信息，HIS 系统可结合设备状态与临床需求，合理安排设备维护计划，保障设备正常运行与检查安全。</w:t>
            </w:r>
          </w:p>
        </w:tc>
      </w:tr>
      <w:tr w14:paraId="3B2D6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297612E2">
            <w:pPr>
              <w:widowControl/>
              <w:jc w:val="center"/>
              <w:rPr>
                <w:rFonts w:ascii="宋体" w:hAnsi="宋体"/>
                <w:color w:val="auto"/>
                <w:highlight w:val="none"/>
              </w:rPr>
            </w:pPr>
          </w:p>
        </w:tc>
        <w:tc>
          <w:tcPr>
            <w:tcW w:w="1686" w:type="dxa"/>
            <w:vAlign w:val="center"/>
          </w:tcPr>
          <w:p w14:paraId="31BF2B50">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超声工作站</w:t>
            </w:r>
          </w:p>
        </w:tc>
        <w:tc>
          <w:tcPr>
            <w:tcW w:w="10815" w:type="dxa"/>
            <w:vAlign w:val="center"/>
          </w:tcPr>
          <w:p w14:paraId="0DED7348">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696C551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超声检查申请接口：向超声工作站推送患者基本信息、临床诊断、检查部位、检查目的等检查申请信息，支持根据患者年龄、性别等因素自动筛选适宜的超声检查项目，提高申请准确性。</w:t>
            </w:r>
          </w:p>
          <w:p w14:paraId="7C0A3012">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预约与排队叫号接口：接收超声工作站反馈的检查预约时间、排队号、预计等待时间等信息，同步至 HIS 系统并通过短信、公众号等渠道告知患者，同时支持 HIS 系统对排队顺序进行人工调整。</w:t>
            </w:r>
          </w:p>
          <w:p w14:paraId="2DE30A04">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费用关联与结算接口：将超声检查项目费用信息与 HIS 系统患者费用清单关联，超声检查完成后，HIS 系统自动计费并更新费用状态，实现检查费用的准确核算与实时结算。</w:t>
            </w:r>
          </w:p>
          <w:p w14:paraId="7A040F72">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患者检查优先级标记接口：临床医师可通过 HIS 系统对急诊患者、危重患者等特殊情况进行检查优先级标记，超声工作站根据标记优先安排检查，确保患者及时得到诊断。</w:t>
            </w:r>
          </w:p>
          <w:p w14:paraId="08D17A02">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超声工作站（超声报告系统）提供接口</w:t>
            </w:r>
          </w:p>
          <w:p w14:paraId="67426049">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超声影像与报告接口：将超声检查影像（静态图像、动态视频）与检查报告（包括检查所见、测量数据、诊断意见等内容）同步至 HIS 系统，支持多种影像格式与报告模板，方便临床医师查看与分析。</w:t>
            </w:r>
          </w:p>
          <w:p w14:paraId="7874CE3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检查状态实时更新接口：实时反馈检查状态（等待中、检查中、报告书写中、已完成等）至 HIS 系统，HIS 系统可根据检查状态合理安排患者后续诊疗流程，提高就诊效率。</w:t>
            </w:r>
          </w:p>
          <w:p w14:paraId="34193F26">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设备使用与维护接口：共享超声设备的使用时长、使用频率、设备性能检测结果、维护计划等信息，HIS 系统可结合设备状态与临床需求，优化设备资源配置，保障检查质量。</w:t>
            </w:r>
          </w:p>
          <w:p w14:paraId="47985CD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超声医师诊断经验共享接口：超声工作站可将典型病例、疑难病例的诊断经验与分析过程同步至 HIS 系统，供临床医师学习参考，促进多学科知识交流与医疗水平提升。</w:t>
            </w:r>
          </w:p>
        </w:tc>
      </w:tr>
      <w:tr w14:paraId="28D71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56D7CB72">
            <w:pPr>
              <w:widowControl/>
              <w:jc w:val="center"/>
              <w:rPr>
                <w:rFonts w:ascii="宋体" w:hAnsi="宋体"/>
                <w:color w:val="auto"/>
                <w:highlight w:val="none"/>
              </w:rPr>
            </w:pPr>
          </w:p>
        </w:tc>
        <w:tc>
          <w:tcPr>
            <w:tcW w:w="1686" w:type="dxa"/>
            <w:vAlign w:val="center"/>
          </w:tcPr>
          <w:p w14:paraId="2FA4BC91">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核医学报告系统</w:t>
            </w:r>
          </w:p>
        </w:tc>
        <w:tc>
          <w:tcPr>
            <w:tcW w:w="10815" w:type="dxa"/>
            <w:vAlign w:val="center"/>
          </w:tcPr>
          <w:p w14:paraId="5DE2CC95">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60CF5C06">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核医学检查申请接口：向核医学报告系统推送患者基本信息、临床诊断、检查项目、检查时间要求等申请信息，同时提供患者近期用药情况、过敏史等信息，辅助核医学医师评估检查安全性与合理性。</w:t>
            </w:r>
          </w:p>
          <w:p w14:paraId="0E0A419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预约与放射性防护提醒接口：接收核医学报告系统反馈的检查预约时间、放射性防护注意事项等信息，通过 HIS 系统向患者推送防护提醒，同时将患者对防护要求的确认情况反馈至核医学报告系统，确保检查安全进行。</w:t>
            </w:r>
          </w:p>
          <w:p w14:paraId="3A83683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费用结算接口：实现核医学检查费用在 HIS 系统与核医学报告系统间的自动结算，检查完成后，HIS 系统根据检查项目、放射性药物使用量等计费，并将结算结果反馈至核医学报告系统，便于财务核算。</w:t>
            </w:r>
          </w:p>
          <w:p w14:paraId="5E42EE4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患者特殊情况跟踪接口：当患者在核医学检查前后出现特殊情况（如药物不良反应、身体不适等）时，HIS 系统将相关情况同步至核医学报告系统，核医学报告系统可跟踪记录并提供专业建议，保障患者健康。</w:t>
            </w:r>
          </w:p>
          <w:p w14:paraId="48BD3A18">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核医学报告系统提供接口</w:t>
            </w:r>
          </w:p>
          <w:p w14:paraId="1E6A8C0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核医学影像与报告接口：将核医学检查影像（如 PET-CT、SPECT 影像等）与检查报告（包括影像分析、诊断意见、定量分析结果等内容）同步至 HIS 系统，支持 DICOM标准影像格式与结构化报告传输，方便临床医师全面了解病情。</w:t>
            </w:r>
          </w:p>
          <w:p w14:paraId="788BA6A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放射性药物使用记录接口：记录放射性药物的使用种类、剂量、使用时间、剩余量等信息，同步至 HIS 系统，便于医院进行放射性药物管理、安全监管与成本核算。</w:t>
            </w:r>
          </w:p>
          <w:p w14:paraId="2086913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检查后随访提醒接口：根据核医学检查项目特点与患者病情，通过 HIS 系统向患者推送检查后随访时间、随访内容等提醒信息，同时将患者随访情况反馈至核医学报告系统，完善患者健康管理。</w:t>
            </w:r>
          </w:p>
          <w:p w14:paraId="657DDEB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质量控制与安全监测接口：定期将核医学报告系统的质量控制数据（如影像质量评分、诊断准确性评估等）与安全监测数据（如放射性泄漏检测、工作人员辐射剂量监测等）同步至 HIS 系统，为医院质量管理与安全保障提供数据支持。</w:t>
            </w:r>
          </w:p>
        </w:tc>
      </w:tr>
      <w:tr w14:paraId="24AC0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5DBC3DED">
            <w:pPr>
              <w:widowControl/>
              <w:jc w:val="center"/>
              <w:rPr>
                <w:rFonts w:ascii="宋体" w:hAnsi="宋体"/>
                <w:color w:val="auto"/>
                <w:highlight w:val="none"/>
              </w:rPr>
            </w:pPr>
          </w:p>
        </w:tc>
        <w:tc>
          <w:tcPr>
            <w:tcW w:w="1686" w:type="dxa"/>
            <w:vAlign w:val="center"/>
          </w:tcPr>
          <w:p w14:paraId="19A089DD">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心电图报告系统</w:t>
            </w:r>
          </w:p>
        </w:tc>
        <w:tc>
          <w:tcPr>
            <w:tcW w:w="10815" w:type="dxa"/>
            <w:vAlign w:val="center"/>
          </w:tcPr>
          <w:p w14:paraId="3ED591D1">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2247D10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心电图检查申请接口：向心电图报告系统发送患者基本信息、临床诊断、检查类型</w:t>
            </w:r>
          </w:p>
          <w:p w14:paraId="382B9632">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（常规心电图、动态心电图等）、检查时间要求等申请信息，支持批量申请与急诊优先申请，提高检查效率。</w:t>
            </w:r>
          </w:p>
          <w:p w14:paraId="7B2DD806">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患者信息快速查询接口：心电图报告系统可通过该接口快速查询患者在 HIS 系统中的历史心电图检查记录、相关病史等信息，辅助医师对比分析，做出准确诊断。</w:t>
            </w:r>
          </w:p>
          <w:p w14:paraId="28C5528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费用关联与结算接口：将心电图检查项目费用信息与 HIS 系统患者费用清单关联，检查完成后，HIS 系统自动计费并更新费用状态，实现检查费用的准确结算与实时展示。</w:t>
            </w:r>
          </w:p>
          <w:p w14:paraId="34FC7BC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检查设备调度接口：HIS 系统根据各科室心电图检查需求与设备使用状态，向心电图报告系统发送设备调度指令，合理分配设备资源，满足临床检查需求。</w:t>
            </w:r>
          </w:p>
          <w:p w14:paraId="552586F7">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心电图报告系统提供接口</w:t>
            </w:r>
          </w:p>
          <w:p w14:paraId="1BB78D5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心电图波形与报告接口：将心电图波形数据（包括常规心电图、动态心电图波形）与检查报告（包括波形分析、诊断意见、心率变异性分析等内容）同步至 HIS 系统，支持标准心电图格式与结构化报告传输，方便临床医师查看与诊断。</w:t>
            </w:r>
          </w:p>
          <w:p w14:paraId="6BB72E9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异常心电信号预警接口：当检测到异常心电信号（如心律失常、心肌缺血等）时，立即向 HIS 系统发送预警信息，包括患者信息、异常信号类型、发生时间等，触发 HIS系统的紧急通知机制，确保患者及时得到救治。</w:t>
            </w:r>
          </w:p>
          <w:p w14:paraId="6D83D9E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设备使用与维护接口：反馈心电图设备的使用时长、使用次数、校准记录、故障情况等信息，HIS 系统可结合设备状态与临床需求，安排设备维护计划，保障设备正常运行与检查准确性。</w:t>
            </w:r>
          </w:p>
          <w:p w14:paraId="764A8A64">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心电数据库共享接口：心电图报告系统可将典型心电图病例、疑难病例等数据同步至 HIS 系统的心电数据库，供临床医师学习参考，促进心电诊断技术交流与提升。</w:t>
            </w:r>
          </w:p>
        </w:tc>
      </w:tr>
      <w:tr w14:paraId="44D44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77E2F2C2">
            <w:pPr>
              <w:widowControl/>
              <w:jc w:val="center"/>
              <w:rPr>
                <w:rFonts w:ascii="宋体" w:hAnsi="宋体"/>
                <w:color w:val="auto"/>
                <w:highlight w:val="none"/>
              </w:rPr>
            </w:pPr>
          </w:p>
        </w:tc>
        <w:tc>
          <w:tcPr>
            <w:tcW w:w="1686" w:type="dxa"/>
            <w:vAlign w:val="center"/>
          </w:tcPr>
          <w:p w14:paraId="5887E72C">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动态心电图（博英）</w:t>
            </w:r>
          </w:p>
        </w:tc>
        <w:tc>
          <w:tcPr>
            <w:tcW w:w="10815" w:type="dxa"/>
            <w:vAlign w:val="center"/>
          </w:tcPr>
          <w:p w14:paraId="70BC75FF">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0907B0E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动态心电图佩戴申请接口：向动态心电图系统推送患者基本信息、临床诊断、佩戴时间要求、监测目的等申请信息，同时提供患者联系方式，便于提醒患者按时返回医院进行数据读取。</w:t>
            </w:r>
          </w:p>
          <w:p w14:paraId="071930F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费用结算接口：实现动态心电图检查费用在 HIS 系统与动态心电图系统间的自动结算，包括设备佩戴费用、数据读取分析费用等，检查完成后，HIS 系统更新费用状态并反馈至动态心电图系统。</w:t>
            </w:r>
          </w:p>
          <w:p w14:paraId="6C77E79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患者状态跟踪接口：当患者在动态心电图监测期间出现转科、出院等状态变更时，及时将信息同步至动态心电图系统，动态心电图系统可根据患者状态调整数据读取与报告出具流程。</w:t>
            </w:r>
          </w:p>
          <w:p w14:paraId="4EFC7BB9">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临床需求特殊说明接口：支持临床医师通过 HIS 系统向动态心电图系统发送特殊监测需求（如特定时间段监测、特定活动状态监测等），确保监测数据满足临床诊断需求。</w:t>
            </w:r>
          </w:p>
          <w:p w14:paraId="47234964">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动态心电图提供接口</w:t>
            </w:r>
          </w:p>
          <w:p w14:paraId="2FC34B5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动态心电数据与报告接口：将动态心电图监测期间的心电数据（连续波形、心率变化、异常事件记录等）与分析报告（包括心律失常分析、心肌缺血评估、心率变异性分析等内容）同步至 HIS 系统，支持大数据量传输与高效分析报告生成，方便临床医师全面了解患者心脏状况。</w:t>
            </w:r>
          </w:p>
          <w:p w14:paraId="722ECD94">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设备回收与状态反馈接口：当患者返回医院完成动态心电图数据读取后，动态心电图系统将设备回收状态、设备性能检测结果等信息反馈至 HIS 系统，HIS 系统可据此安排设备消毒、维护与再次调配。</w:t>
            </w:r>
          </w:p>
          <w:p w14:paraId="089199B6">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监测异常事件预警接口：在动态心电图监测过程中，一旦检测到严重异常事件（如室性心动过速、心脏停搏等），立即向 HIS 系统发送预警信息，同时通知患者尽快就医，保障患者生命安全。</w:t>
            </w:r>
          </w:p>
          <w:p w14:paraId="54C280C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监测数据统计分析接口：定期将动态心电图监测数据的统计分析结果（如不同年龄段异常心电图发生率、常见心律失常类型分布等）同步至 HIS 系统，为医院科研工作与疾病预防提供数据支持。</w:t>
            </w:r>
          </w:p>
        </w:tc>
      </w:tr>
      <w:tr w14:paraId="1594E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1EA89E57">
            <w:pPr>
              <w:widowControl/>
              <w:jc w:val="center"/>
              <w:rPr>
                <w:rFonts w:ascii="宋体" w:hAnsi="宋体"/>
                <w:color w:val="auto"/>
                <w:highlight w:val="none"/>
              </w:rPr>
            </w:pPr>
          </w:p>
        </w:tc>
        <w:tc>
          <w:tcPr>
            <w:tcW w:w="1686" w:type="dxa"/>
            <w:vAlign w:val="center"/>
          </w:tcPr>
          <w:p w14:paraId="45CF1F43">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脑电图</w:t>
            </w:r>
          </w:p>
        </w:tc>
        <w:tc>
          <w:tcPr>
            <w:tcW w:w="10815" w:type="dxa"/>
            <w:vAlign w:val="center"/>
          </w:tcPr>
          <w:p w14:paraId="35EF14E6">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300180F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脑电图检查申请接口：向脑电图系统推送患者基本信息、临床诊断、检查类型（常规脑电图、视频脑电图等）、检查时间要求等申请信息，同时提供患者癫痫发作史、用药情况等信息，辅助脑电图医师制定检查方案。</w:t>
            </w:r>
          </w:p>
          <w:p w14:paraId="44BC58A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患者预约与准备提醒接口：接收脑电图系统反馈的检查预约时间、检查前准备事项</w:t>
            </w:r>
          </w:p>
          <w:p w14:paraId="08A27E0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（如洗头、禁食等），通过 HIS 系统向患者发送预约提醒与准备事项通知，同时将患者准备情况反馈至脑电图系统，确保检查顺利进行。</w:t>
            </w:r>
          </w:p>
          <w:p w14:paraId="5CC9873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费用关联与结算接口：将脑电图检查项目费用信息与 HIS 系统患者费用清单关联，检查完成后，HIS 系统自动计费并更新费用状态，实现检查费用的准确核算与及时结算。</w:t>
            </w:r>
          </w:p>
          <w:p w14:paraId="3A553D6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患者特殊情况标记接口：临床医师可通过 HIS 系统对癫痫持续状态患者、危重患者等特殊情况进行标记，脑电图系统根据标记优先安排检查，并采取相应的安全保障措施。</w:t>
            </w:r>
          </w:p>
          <w:p w14:paraId="7322160C">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脑电图提供接口</w:t>
            </w:r>
          </w:p>
          <w:p w14:paraId="7DB4C4F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脑电图波形与报告接口：将脑电图波形数据（包括背景活动、异常放电波形等）与检查报告（包括波形分析、诊断意见、癫痫发作类型判断等内容）同步至 HIS 系统，支持标准脑电图格式与详细结构化报告传输，方便临床医师诊断与分析病情。</w:t>
            </w:r>
          </w:p>
          <w:p w14:paraId="1AF431B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异常脑电信号预警接口：当检测到异常脑电信号（如癫痫样放电、慢波异常等）时，立即向 HIS 系统发送预警信息，包括患者信息、异常信号类型、发生时间等，帮助临床医师及时了解患者脑电状况，调整治疗方案。</w:t>
            </w:r>
          </w:p>
          <w:p w14:paraId="2522E23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设备使用与维护接口：反馈脑电图设备的使用时长、使用次数、电极片损耗情况、设备故障记录等信息，HIS 系统可结合设备状态与临床需求，安排设备维护计划与耗材采购，保障检查正常开展。</w:t>
            </w:r>
          </w:p>
          <w:p w14:paraId="464D111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脑电数据库共享接口：脑电图系统可将典型脑电图病例、疑难病例数据同步至 HIS系统的脑电数据库，为临床医师提供学习参考资源。</w:t>
            </w:r>
          </w:p>
        </w:tc>
      </w:tr>
      <w:tr w14:paraId="3A864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0DB3F28A">
            <w:pPr>
              <w:widowControl/>
              <w:jc w:val="center"/>
              <w:rPr>
                <w:rFonts w:ascii="宋体" w:hAnsi="宋体"/>
                <w:color w:val="auto"/>
                <w:highlight w:val="none"/>
              </w:rPr>
            </w:pPr>
          </w:p>
        </w:tc>
        <w:tc>
          <w:tcPr>
            <w:tcW w:w="1686" w:type="dxa"/>
            <w:vAlign w:val="center"/>
          </w:tcPr>
          <w:p w14:paraId="4B6C5C18">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TCD系统</w:t>
            </w:r>
          </w:p>
        </w:tc>
        <w:tc>
          <w:tcPr>
            <w:tcW w:w="10815" w:type="dxa"/>
            <w:vAlign w:val="center"/>
          </w:tcPr>
          <w:p w14:paraId="1715D4E5">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3B95164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TCD 检查申请接口：向 TCD 系统推送患者基本信息、临床诊断、检查目的（如脑血管血流检测、微栓子监测等）、检查时间要求等信息，同时提供患者高血压、高血脂等病史，辅助 TCD 医师评估检查重点。</w:t>
            </w:r>
          </w:p>
          <w:p w14:paraId="6185824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费用关联接口：将 TCD 检查项目费用与 HIS 系统患者费用清单绑定，检查完成后， HIS 系统自动完成计费并更新费用状态，确保费用准确计入患者账单。</w:t>
            </w:r>
          </w:p>
          <w:p w14:paraId="59E2E23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患者状态同步接口：当患者出现转科、出院等状态变更时，及时将信息同步至 TCD系统，以便 TCD 系统调整检查安排或跟踪后续检查需求。</w:t>
            </w:r>
          </w:p>
          <w:p w14:paraId="700E03D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临床需求备注接口：支持临床医师通过 HIS 系统向 TCD 系统发送特殊检查需求或注意事项，如特定血管检测、对比检查等要求，使 TCD 检查更贴合临床诊断需要。</w:t>
            </w:r>
          </w:p>
          <w:p w14:paraId="64B64C75">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TCD 系统提供接口</w:t>
            </w:r>
          </w:p>
          <w:p w14:paraId="40A0205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TCD 检测数据与报告接口：将 TCD 检测的血流速度、频谱形态、血管搏动指数等数据及检查报告（包括检测结果分析、诊断意见等）同步至 HIS 系统，以结构化数据形式呈现，方便临床医师直观获取信息。</w:t>
            </w:r>
          </w:p>
          <w:p w14:paraId="5A064CE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异常血流信号预警接口：一旦检测到异常血流信号（如血管狭窄、血流反向等），立即向 HIS 系统发送预警信息，包括患者信息、异常信号详情、出现时间等，便于临床医师及时干预。</w:t>
            </w:r>
          </w:p>
          <w:p w14:paraId="3EC20254">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设备运行状态接口：反馈 TCD 设备的使用时长、运行状况、故障记录等信息，HIS系统可据此安排设备维护计划，保障设备正常运行和检查质量。</w:t>
            </w:r>
          </w:p>
          <w:p w14:paraId="33E02F6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检测病例共享接口：定期将典型 TCD 检测病例同步至 HIS 系统，供临床医师学习参考，促进学术交流与诊疗水平提升。</w:t>
            </w:r>
          </w:p>
        </w:tc>
      </w:tr>
      <w:tr w14:paraId="24780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4D6DB3FF">
            <w:pPr>
              <w:widowControl/>
              <w:jc w:val="center"/>
              <w:rPr>
                <w:rFonts w:ascii="宋体" w:hAnsi="宋体"/>
                <w:color w:val="auto"/>
                <w:highlight w:val="none"/>
              </w:rPr>
            </w:pPr>
          </w:p>
        </w:tc>
        <w:tc>
          <w:tcPr>
            <w:tcW w:w="1686" w:type="dxa"/>
            <w:vAlign w:val="center"/>
          </w:tcPr>
          <w:p w14:paraId="049F24F7">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其他检查设备</w:t>
            </w:r>
          </w:p>
        </w:tc>
        <w:tc>
          <w:tcPr>
            <w:tcW w:w="10815" w:type="dxa"/>
            <w:vAlign w:val="center"/>
          </w:tcPr>
          <w:p w14:paraId="6859DDB6">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5A9B81F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设备检查申请接口：针对不同类型的检查检验设备，统一向设备管理系统推送患者基本信息、申请检查项目、临床诊断、检查时间等信息，支持多样化的检查需求录入。</w:t>
            </w:r>
          </w:p>
          <w:p w14:paraId="1AD6657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费用结算接口：与 HIS 系统费用模块对接，明确各项检查项目对应的费用标准，检查完成后自动结算并更新患者费用清单。</w:t>
            </w:r>
          </w:p>
          <w:p w14:paraId="2DFFFDB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设备预约管理接口：接收设备管理系统反馈的设备预约状态（空闲、已预约、使用中），合理安排患者检查时间，并将预约变更信息及时同步给设备管理系统。</w:t>
            </w:r>
          </w:p>
          <w:p w14:paraId="50B5541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患者信息变更通知接口：当患者信息（如姓名、ID 号、住院号）发生变更时，及时通知设备管理系统，确保检查记录与患者准确关联。</w:t>
            </w:r>
          </w:p>
          <w:p w14:paraId="57688EF6">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其他检查检验设备提供接口</w:t>
            </w:r>
          </w:p>
          <w:p w14:paraId="61415692">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检查数据与结果接口：将设备检测产生的数据和结果以标准格式同步至 HIS 系统，如生化分析仪的检测数值、显微镜的图像数据等，支持数据的实时传输与批量导入。</w:t>
            </w:r>
          </w:p>
          <w:p w14:paraId="22A30BC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设备故障与维护接口：实时反馈设备故障信息（故障代码、故障现象）及维护情况</w:t>
            </w:r>
          </w:p>
          <w:p w14:paraId="640700D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（维护时间、维护内容），HIS 系统可协调维修资源，减少设备停机时间对检查工作的影响。</w:t>
            </w:r>
          </w:p>
          <w:p w14:paraId="7BB74EF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质控数据接口：定期上传设备的质量控制数据（如校准结果、质控品检测数据），为 HIS 系统进行质量评估和管理提供依据。</w:t>
            </w:r>
          </w:p>
          <w:p w14:paraId="425DD31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检查进度反馈接口：向 HIS 系统反馈检查进度（待检、检查中、已完成），便于 HIS 系统及时告知患者检查进展，合理安排后续诊疗流程。</w:t>
            </w:r>
          </w:p>
        </w:tc>
      </w:tr>
      <w:tr w14:paraId="4A504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restart"/>
            <w:vAlign w:val="center"/>
          </w:tcPr>
          <w:p w14:paraId="2B9975BB">
            <w:pPr>
              <w:numPr>
                <w:ilvl w:val="1"/>
                <w:numId w:val="11"/>
              </w:numPr>
              <w:ind w:left="0" w:firstLine="0"/>
              <w:rPr>
                <w:rFonts w:ascii="宋体" w:hAnsi="宋体"/>
                <w:color w:val="auto"/>
                <w:highlight w:val="none"/>
              </w:rPr>
            </w:pPr>
            <w:r>
              <w:rPr>
                <w:rFonts w:hint="eastAsia" w:ascii="宋体" w:hAnsi="宋体"/>
                <w:color w:val="auto"/>
                <w:highlight w:val="none"/>
              </w:rPr>
              <w:t>叫号系统对接</w:t>
            </w:r>
          </w:p>
        </w:tc>
        <w:tc>
          <w:tcPr>
            <w:tcW w:w="1686" w:type="dxa"/>
            <w:vAlign w:val="center"/>
          </w:tcPr>
          <w:p w14:paraId="39464D24">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超声叫号系统</w:t>
            </w:r>
          </w:p>
          <w:p w14:paraId="590A3F7C">
            <w:pPr>
              <w:ind w:left="-420"/>
              <w:rPr>
                <w:rFonts w:ascii="宋体" w:hAnsi="宋体" w:cs="宋体"/>
                <w:color w:val="auto"/>
                <w:kern w:val="0"/>
                <w:szCs w:val="21"/>
                <w:highlight w:val="none"/>
              </w:rPr>
            </w:pPr>
          </w:p>
        </w:tc>
        <w:tc>
          <w:tcPr>
            <w:tcW w:w="10815" w:type="dxa"/>
            <w:vAlign w:val="center"/>
          </w:tcPr>
          <w:p w14:paraId="793256FA">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1B3FBA5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患者检查排队信息接口：将已预约超声检查的患者信息（姓名、排队号、检查项目、预约时间）推送至超声叫号系统，支持按优先级、检查类型等规则自动排序。</w:t>
            </w:r>
          </w:p>
          <w:p w14:paraId="76DC8FD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叫号状态同步接口：接收超声叫号系统反馈的叫号状态（已叫号、过号、正在检查等），更新 HIS 系统中的患者检查状态，方便医护人员和患者实时掌握排队情况。</w:t>
            </w:r>
          </w:p>
          <w:p w14:paraId="06863A9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特殊情况处理接口：支持临床医师通过 HIS 系统对急诊患者、危重患者等特殊情况进行插队叫号操作，超声叫号系统优先处理并反馈处理结果。</w:t>
            </w:r>
          </w:p>
          <w:p w14:paraId="6681870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叫号设置接口：允许超声科室通过 HIS 系统设置叫号规则（如每批次叫号人数、间隔时间）、语音播报内容等个性化叫号参数。</w:t>
            </w:r>
          </w:p>
          <w:p w14:paraId="12269DF2">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超声叫号系统提供接口</w:t>
            </w:r>
          </w:p>
          <w:p w14:paraId="6E86046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叫号记录查询接口：向 HIS 系统提供叫号记录查询功能，包括叫号时间、患者信息、叫号状态变更记录等，便于追溯和统计分析。</w:t>
            </w:r>
          </w:p>
          <w:p w14:paraId="2665070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候诊人数统计接口：实时将超声候诊区的患者人数、等待时间等统计数据反馈至 HIS 系统，为医院合理调配资源、优化服务流程提供数据支持。</w:t>
            </w:r>
          </w:p>
          <w:p w14:paraId="0CCB057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叫号异常报警接口：当叫号系统出现故障（如语音播报异常、叫号中断）时，立即向 HIS 系统发送报警信息，HIS 系统可及时通知相关人员进行维修处理。</w:t>
            </w:r>
          </w:p>
          <w:p w14:paraId="639E488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患者评价接口：收集患者对超声叫号服务的满意度评价（如等待时间、叫号准确性），反馈至 HIS 系统，助力医院持续改进服务质量。</w:t>
            </w:r>
          </w:p>
        </w:tc>
      </w:tr>
      <w:tr w14:paraId="5A552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053DDE89">
            <w:pPr>
              <w:widowControl/>
              <w:jc w:val="center"/>
              <w:rPr>
                <w:rFonts w:ascii="宋体" w:hAnsi="宋体"/>
                <w:color w:val="auto"/>
                <w:highlight w:val="none"/>
              </w:rPr>
            </w:pPr>
          </w:p>
        </w:tc>
        <w:tc>
          <w:tcPr>
            <w:tcW w:w="1686" w:type="dxa"/>
            <w:vAlign w:val="center"/>
          </w:tcPr>
          <w:p w14:paraId="318EDA5A">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药房分诊系统（门诊药房报道机）</w:t>
            </w:r>
          </w:p>
        </w:tc>
        <w:tc>
          <w:tcPr>
            <w:tcW w:w="10815" w:type="dxa"/>
            <w:vAlign w:val="center"/>
          </w:tcPr>
          <w:p w14:paraId="505B8B75">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6301DC6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处方缴费与取药信息接口：将患者已缴费的处方信息（处方号、药品名称、数量、患者姓名）推送至药房分诊系统，同时提供患者预计取药时间，便于患者合理安排等待时间。</w:t>
            </w:r>
          </w:p>
          <w:p w14:paraId="5971072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患者身份核对接口：药房分诊系统可通过该接口与 HIS 系统进行患者身份信息核对</w:t>
            </w:r>
          </w:p>
          <w:p w14:paraId="602D262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（如姓名、身份证号），确保取药安全。</w:t>
            </w:r>
          </w:p>
          <w:p w14:paraId="3F1EB4F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叫号规则设置接口：支持药房通过 HIS 系统设置分诊叫号规则（如按窗口分配、按药品类别分组叫号），满足不同药房的工作流程需求。</w:t>
            </w:r>
          </w:p>
          <w:p w14:paraId="1810293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特殊处方处理接口：对于麻醉药品、精神药品等特殊处方，HIS 系统将相关特殊标识和处理要求同步至药房分诊系统，保障特殊药品发放的规范性。</w:t>
            </w:r>
          </w:p>
          <w:p w14:paraId="3F08F3A6">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药房分诊系统提供接口</w:t>
            </w:r>
          </w:p>
          <w:p w14:paraId="5577FFA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叫号状态反馈接口：向 HIS 系统实时反馈叫号状态（已叫号、过号、正在取药等）， HIS 系统可更新患者取药进度，方便患者查询和医护人员管理。</w:t>
            </w:r>
          </w:p>
          <w:p w14:paraId="77973CB2">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窗口工作状态接口：将药房各窗口的工作状态（空闲、忙碌、暂停服务）同步至 HIS 系统，HIS 系统可根据窗口状态优化叫号策略，提高取药效率。</w:t>
            </w:r>
          </w:p>
          <w:p w14:paraId="00007E1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取药记录接口：记录患者取药时间、取药窗口、取药人等信息，并反馈至 HIS 系统，形成完整的取药流程记录，便于追溯和管理。</w:t>
            </w:r>
          </w:p>
          <w:p w14:paraId="2DF2E55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系统异常报警接口：当药房分诊系统出现故障（如报道机死机、叫号混乱）时，立即向 HIS 系统发送报警信息，HIS 系统协调技术人员快速处理，减少对患者取药的影响。</w:t>
            </w:r>
          </w:p>
        </w:tc>
      </w:tr>
      <w:tr w14:paraId="26C04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10BB6DCF">
            <w:pPr>
              <w:widowControl/>
              <w:jc w:val="center"/>
              <w:rPr>
                <w:rFonts w:ascii="宋体" w:hAnsi="宋体"/>
                <w:color w:val="auto"/>
                <w:highlight w:val="none"/>
              </w:rPr>
            </w:pPr>
          </w:p>
        </w:tc>
        <w:tc>
          <w:tcPr>
            <w:tcW w:w="1686" w:type="dxa"/>
            <w:vAlign w:val="center"/>
          </w:tcPr>
          <w:p w14:paraId="01706A2E">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特检预约系统（检查预约）</w:t>
            </w:r>
          </w:p>
        </w:tc>
        <w:tc>
          <w:tcPr>
            <w:tcW w:w="10815" w:type="dxa"/>
            <w:vAlign w:val="center"/>
          </w:tcPr>
          <w:p w14:paraId="50A6213B">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1055A8F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特检申请信息接口：向特检预约系统推送患者基本信息、申请检查项目（如 MRI、 CT 增强、PET-CT 等）、临床诊断、检查优先级、特殊要求等信息，支持多种特检项目的申请录入。</w:t>
            </w:r>
          </w:p>
          <w:p w14:paraId="413F79B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患者可预约时段查询接口：特检预约系统可通过该接口查询 HIS 系统中患者的空闲时段（避开已有检查、治疗安排），以便为患者推荐合适的预约时间。</w:t>
            </w:r>
          </w:p>
          <w:p w14:paraId="3B2E7DD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费用预估接口：根据特检项目信息，HIS 系统向特检预约系统提供费用预估数据，方便患者在预约时了解大致费用。</w:t>
            </w:r>
          </w:p>
          <w:p w14:paraId="019D5DD9">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预约冲突检测接口：支持 HIS 系统与特检预约系统进行预约冲突检测，避免同一时间为患者安排多项冲突的检查项目。</w:t>
            </w:r>
          </w:p>
          <w:p w14:paraId="0D25F3AD">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特检预约系统提供接口</w:t>
            </w:r>
          </w:p>
          <w:p w14:paraId="0401DCE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预约结果反馈接口：将预约成功或失败信息（预约时间、检查设备、失败原因）反馈至 HIS 系统，HIS 系统更新患者检查预约状态，并通过短信、公众号等方式通知患者。</w:t>
            </w:r>
          </w:p>
          <w:p w14:paraId="5684AA4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预约变更接口：当特检预约时间、设备等信息发生变更时，及时将变更信息同步至 HIS 系统，HIS 系统通知患者并调整相关诊疗安排。</w:t>
            </w:r>
          </w:p>
          <w:p w14:paraId="3A863164">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检查取消接口：患者通过特检预约系统取消预约后，特检预约系统将取消信息反馈至 HIS 系统，HIS 系统释放预约资源，并更新患者检查状态。</w:t>
            </w:r>
          </w:p>
          <w:p w14:paraId="49218A3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预约统计接口：定期向 HIS 系统提供特检预约统计数据（如各项目预约量、预约时段分布、取消率等），为医院合理配置资源、优化预约流程提供决策依据。</w:t>
            </w:r>
          </w:p>
        </w:tc>
      </w:tr>
      <w:tr w14:paraId="5356B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3931AB0C">
            <w:pPr>
              <w:widowControl/>
              <w:jc w:val="center"/>
              <w:rPr>
                <w:rFonts w:ascii="宋体" w:hAnsi="宋体"/>
                <w:color w:val="auto"/>
                <w:highlight w:val="none"/>
              </w:rPr>
            </w:pPr>
          </w:p>
        </w:tc>
        <w:tc>
          <w:tcPr>
            <w:tcW w:w="1686" w:type="dxa"/>
            <w:vAlign w:val="center"/>
          </w:tcPr>
          <w:p w14:paraId="417BAFEB">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门诊预约分诊系统</w:t>
            </w:r>
          </w:p>
        </w:tc>
        <w:tc>
          <w:tcPr>
            <w:tcW w:w="10815" w:type="dxa"/>
            <w:vAlign w:val="center"/>
          </w:tcPr>
          <w:p w14:paraId="4118ABEE">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6A888FF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门诊号源信息接口：向门诊预约分诊系统提供各科室、医师的号源信息（号源数量、可预约时段、剩余号源），支持实时更新，确保患者获取准确的预约信息。</w:t>
            </w:r>
          </w:p>
          <w:p w14:paraId="1407F40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患者预约信息接口：接收门诊预约分诊系统提交的患者预约信息（预约科室、医师、时间、患者姓名、联系方式），完成号源分配，并将预约成功或失败结果反馈至门诊预约分诊系统。</w:t>
            </w:r>
          </w:p>
          <w:p w14:paraId="1028E58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患者优先级标记接口：临床医师可通过 HIS 系统对急诊患者、复诊患者等特殊情况进行优先级标记，门诊预约分诊系统根据标记优先安排就诊。</w:t>
            </w:r>
          </w:p>
          <w:p w14:paraId="0BFABFC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叫号规则与诊室设置接口：支持门诊科室通过 HIS 系统设置分诊叫号规则（如按预约时间顺序、按挂号顺序）、诊室信息（诊室号、接诊医师）等参数。</w:t>
            </w:r>
          </w:p>
          <w:p w14:paraId="2D9C8E5D">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门诊预约分诊系统提供接口</w:t>
            </w:r>
          </w:p>
          <w:p w14:paraId="6A0E416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叫号状态反馈接口：向 HIS 系统实时反馈叫号状态（已叫号、过号、正在就诊等）， HIS 系统更新患者就诊进度，方便患者查询和医护人员管理。</w:t>
            </w:r>
          </w:p>
          <w:p w14:paraId="3FF0E2E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候诊人数统计接口：将各科室候诊区的患者人数、等待时间等统计数据反馈至 HIS系统，为医院合理调配医护资源、优化就诊流程提供数据支持。</w:t>
            </w:r>
          </w:p>
          <w:p w14:paraId="173E0F9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患者签到接口：患者在门诊预约分诊系统完成签到后，系统将签到信息反馈至 HIS系统，HIS 系统更新患者状态，准备安排就诊。</w:t>
            </w:r>
          </w:p>
          <w:p w14:paraId="42E7D80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就诊评价接口：收集患者对门诊就诊服务的满意度评价（如医师态度、候诊时间、诊疗效果），反馈至 HIS 系统，助力医院提升服务质量。</w:t>
            </w:r>
          </w:p>
        </w:tc>
      </w:tr>
      <w:tr w14:paraId="4309A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40A8A8D6">
            <w:pPr>
              <w:widowControl/>
              <w:jc w:val="center"/>
              <w:rPr>
                <w:rFonts w:ascii="宋体" w:hAnsi="宋体"/>
                <w:color w:val="auto"/>
                <w:highlight w:val="none"/>
              </w:rPr>
            </w:pPr>
          </w:p>
        </w:tc>
        <w:tc>
          <w:tcPr>
            <w:tcW w:w="1686" w:type="dxa"/>
            <w:vAlign w:val="center"/>
          </w:tcPr>
          <w:p w14:paraId="2161E0A0">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放射登记系统</w:t>
            </w:r>
          </w:p>
        </w:tc>
        <w:tc>
          <w:tcPr>
            <w:tcW w:w="10815" w:type="dxa"/>
            <w:vAlign w:val="center"/>
          </w:tcPr>
          <w:p w14:paraId="42F32D85">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0626278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放射检查申请登记接口：向放射登记系统推送患者基本信息、检查申请项目、临床诊断、申请医师等信息，支持登记人员快速完成检查登记操作。</w:t>
            </w:r>
          </w:p>
          <w:p w14:paraId="00C7223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患者预约信息同步接口：将已完成预约的放射检查信息（预约时间、检查设备、检查室）同步至放射登记系统，登记人员可根据预约信息安排患者登记和检查前准备。</w:t>
            </w:r>
          </w:p>
          <w:p w14:paraId="727845F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费用确认接口：放射登记系统在登记完成后，将检查项目费用信息反馈至 HIS 系统进行确认，HIS 系统更新患者费用状态，确保费用准确无误。</w:t>
            </w:r>
          </w:p>
          <w:p w14:paraId="0B21C29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患者身份核对接口：支持放射登记系统与 HIS 系统进行患者身份信息核对（如姓名、住院号、身份证号），防止登记错误，保障检查安全。</w:t>
            </w:r>
          </w:p>
          <w:p w14:paraId="29340656">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放射登记系统提供接口</w:t>
            </w:r>
          </w:p>
          <w:p w14:paraId="4BE3CA0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登记信息反馈接口：将登记完成后的患者信息（登记号、检查时间、检查项目调整情况）反馈至 HIS 系统，HIS 系统更新患者检查状态，方便后续流程跟进。</w:t>
            </w:r>
          </w:p>
          <w:p w14:paraId="7CCAAF54">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检查排队信息接口：向 HIS 系统提供放射检查排队情况（排队人数、预计等待时间）， HIS 系统可通过短信、公众号等方式告知患者，优化患者候检体验。</w:t>
            </w:r>
          </w:p>
          <w:p w14:paraId="06B5379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设备使用状态接口：实时反馈放射检查设备的使用状态（空闲、使用中、故障）， HIS 系统可结合设备状态和预约情况，合理调整检查安排。</w:t>
            </w:r>
          </w:p>
          <w:p w14:paraId="71221196">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登记异常处理接口：当出现登记错误、患者信息不符等异常情况时，将异常信息及处理结果反馈至 HIS 系统，HIS 系统更新相关记录，确保信息一致性。</w:t>
            </w:r>
          </w:p>
        </w:tc>
      </w:tr>
      <w:tr w14:paraId="0C158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restart"/>
            <w:vAlign w:val="center"/>
          </w:tcPr>
          <w:p w14:paraId="651CC1DB">
            <w:pPr>
              <w:numPr>
                <w:ilvl w:val="1"/>
                <w:numId w:val="11"/>
              </w:numPr>
              <w:ind w:left="0" w:firstLine="0"/>
              <w:rPr>
                <w:rFonts w:ascii="宋体" w:hAnsi="宋体"/>
                <w:color w:val="auto"/>
                <w:highlight w:val="none"/>
              </w:rPr>
            </w:pPr>
            <w:r>
              <w:rPr>
                <w:rFonts w:hint="eastAsia" w:ascii="宋体" w:hAnsi="宋体"/>
                <w:color w:val="auto"/>
                <w:highlight w:val="none"/>
              </w:rPr>
              <w:t>非医疗设备对接</w:t>
            </w:r>
          </w:p>
        </w:tc>
        <w:tc>
          <w:tcPr>
            <w:tcW w:w="1686" w:type="dxa"/>
            <w:vAlign w:val="center"/>
          </w:tcPr>
          <w:p w14:paraId="1B45C8ED">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自助机管理系统</w:t>
            </w:r>
          </w:p>
        </w:tc>
        <w:tc>
          <w:tcPr>
            <w:tcW w:w="10815" w:type="dxa"/>
            <w:vAlign w:val="center"/>
          </w:tcPr>
          <w:p w14:paraId="5F39E1D2">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4A991832">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患者身份认证接口：为自助机管理系统提供患者身份认证服务，支持通过身份证、医保卡、就诊卡等多种方式验证患者身份，确保操作安全。</w:t>
            </w:r>
          </w:p>
          <w:p w14:paraId="6E420702">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业务数据接口：向自助机管理系统提供挂号、缴费、报告查询、打印等业务相关数据，如号源信息、费用明细、检查检验报告数据等，保障自助机业务正常运行。</w:t>
            </w:r>
          </w:p>
          <w:p w14:paraId="7613D78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操作权限管理接口：允许 HIS 系统设置自助机不同功能的操作权限（如普通患者、医护人员权限区分），确保数据安全和操作规范。</w:t>
            </w:r>
          </w:p>
          <w:p w14:paraId="724137E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系统配置接口：支持通过 HIS 系统对自助机进行系统配置（如界面显示内容、打印格式、语言设置），满足不同医院和患者的个性化需求。</w:t>
            </w:r>
          </w:p>
          <w:p w14:paraId="4B0B7B1B">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自助机管理系统提供接口</w:t>
            </w:r>
          </w:p>
          <w:p w14:paraId="127E85F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操作记录接口：将患者在自助机上的操作记录（操作时间、操作内容、操作结果）反馈至 HIS 系统，便于追溯和审计，保障交易安全。</w:t>
            </w:r>
          </w:p>
          <w:p w14:paraId="1AE60F54">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设备状态接口：实时向 HIS 系统反馈自助机设备状态（正常、故障、缺纸、缺卡等）， HIS 系统可及时通知维护人员处理，提高设备可用性。</w:t>
            </w:r>
          </w:p>
          <w:p w14:paraId="06E6BEA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交易对账接口：与 HIS 系统进行交易对账，核对挂号、缴费等交易数据，确保金额准确一致，发现差异及时反馈并处理。</w:t>
            </w:r>
          </w:p>
          <w:p w14:paraId="5D2C6B19">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使用统计接口：定期向 HIS 系统提供自助机使用统计数据（使用人次、业务类型分布、使用率等），为医院评估自助服务效果、优化资源配置提供依据。</w:t>
            </w:r>
          </w:p>
        </w:tc>
      </w:tr>
      <w:tr w14:paraId="2B60D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323E4106">
            <w:pPr>
              <w:widowControl/>
              <w:jc w:val="center"/>
              <w:rPr>
                <w:rFonts w:ascii="宋体" w:hAnsi="宋体"/>
                <w:color w:val="auto"/>
                <w:highlight w:val="none"/>
              </w:rPr>
            </w:pPr>
          </w:p>
        </w:tc>
        <w:tc>
          <w:tcPr>
            <w:tcW w:w="1686" w:type="dxa"/>
            <w:vAlign w:val="center"/>
          </w:tcPr>
          <w:p w14:paraId="19514E30">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手术行为管理系统</w:t>
            </w:r>
          </w:p>
        </w:tc>
        <w:tc>
          <w:tcPr>
            <w:tcW w:w="10815" w:type="dxa"/>
            <w:vAlign w:val="center"/>
          </w:tcPr>
          <w:p w14:paraId="5F313418">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7DA86072">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手术申请与排班信息接口：向手术行为管理系统推送手术申请信息（手术名称、患者信息、手术医师、预计时长）、排班信息（手术时间、手术室、麻醉医师），支持手术安排的全流程管理。</w:t>
            </w:r>
          </w:p>
          <w:p w14:paraId="3F88EC8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患者术前信息接口：提供患者术前检查检验结果、诊断报告、过敏史等信息，帮助手术行为管理系统做好术前准备和风险评估。</w:t>
            </w:r>
          </w:p>
          <w:p w14:paraId="02E7AFD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费用关联接口：将手术相关费用（手术费、麻醉费、耗材费）与 HIS 系统患者费用清单关联，手术完成后自动计费并更新费用状态。</w:t>
            </w:r>
          </w:p>
          <w:p w14:paraId="0D52BEE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手术优先级标记接口：临床医师可通过 HIS 系统对急诊手术、危重患者手术等特殊情况进行优先级标记，手术行为管理系统优先安排此类手术。</w:t>
            </w:r>
          </w:p>
          <w:p w14:paraId="3A7262F0">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手术行为管理系统提供接口</w:t>
            </w:r>
          </w:p>
          <w:p w14:paraId="514A527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手术进度实时反馈接口：向 HIS 系统实时推送手术进度信息（手术开始时间、当前阶段、预计结束时间），方便家属查询和相关科室协调后续工作。</w:t>
            </w:r>
          </w:p>
          <w:p w14:paraId="2B498BA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手术室设备与耗材使用接口：记录手术室设备使用情况（设备名称、使用时长、状态）、耗材消耗情况（耗材名称、数量、批次），同步至 HIS 系统，便于设备管理和成本核算。</w:t>
            </w:r>
          </w:p>
          <w:p w14:paraId="3F7E330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手术人员工作状态接口：反馈手术医师、麻醉医师、护士等手术相关人员的工作状态（忙碌、空闲、待命），HIS 系统可合理调配人力资源。</w:t>
            </w:r>
          </w:p>
          <w:p w14:paraId="6779167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手术异常事件接口：当手术过程中出现异常事件（如术中大出血、设备故障）时，立即向 HIS 系统发送预警信息，HIS 系统启动应急响应机制，协调相关资源处理。</w:t>
            </w:r>
          </w:p>
        </w:tc>
      </w:tr>
      <w:tr w14:paraId="1B12B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jc w:val="center"/>
        </w:trPr>
        <w:tc>
          <w:tcPr>
            <w:tcW w:w="1376" w:type="dxa"/>
            <w:vMerge w:val="continue"/>
            <w:vAlign w:val="center"/>
          </w:tcPr>
          <w:p w14:paraId="3D0D5C0C">
            <w:pPr>
              <w:widowControl/>
              <w:jc w:val="center"/>
              <w:rPr>
                <w:rFonts w:ascii="宋体" w:hAnsi="宋体"/>
                <w:color w:val="auto"/>
                <w:highlight w:val="none"/>
              </w:rPr>
            </w:pPr>
          </w:p>
        </w:tc>
        <w:tc>
          <w:tcPr>
            <w:tcW w:w="1686" w:type="dxa"/>
            <w:vAlign w:val="center"/>
          </w:tcPr>
          <w:p w14:paraId="0AF2D188">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麻精机（一期、二期）</w:t>
            </w:r>
          </w:p>
        </w:tc>
        <w:tc>
          <w:tcPr>
            <w:tcW w:w="10815" w:type="dxa"/>
            <w:vAlign w:val="center"/>
          </w:tcPr>
          <w:p w14:paraId="205D1092">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2D51736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麻精药品医嘱接口：向麻精机系统推送麻精药品医嘱信息（药品名称、规格、剂量、使用时间、患者信息），确保医嘱准确传达至麻精机进行调配。</w:t>
            </w:r>
          </w:p>
          <w:p w14:paraId="28C5F3E4">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患者授权信息接口：提供使用麻精药品患者的授权信息（授权医师、授权时间、授权范围），麻精机系统据此验证操作合法性，保障麻精药品使用安全。</w:t>
            </w:r>
          </w:p>
          <w:p w14:paraId="4D2A3CC2">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库存基础信息接口：同步麻精药品的库存基础信息（药品名称、剂型、库存数量、安全库存、有效期），麻精机系统可根据库存情况自动预警和补货。</w:t>
            </w:r>
          </w:p>
          <w:p w14:paraId="6869AA8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费用关联接口：将麻精药品使用费用与 HIS 系统患者费用清单关联，麻精机完成药品调配后，HIS 系统自动计费并更新费用状态。</w:t>
            </w:r>
          </w:p>
          <w:p w14:paraId="38BFE4E5">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麻精机（一期、二期）提供接口</w:t>
            </w:r>
          </w:p>
          <w:p w14:paraId="34BCF59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药品使用记录接口：记录麻精药品的使用时间、使用数量、使用患者、操作人员等信息，同步至 HIS 系统，实现麻精药品使用的全流程追溯。</w:t>
            </w:r>
          </w:p>
          <w:p w14:paraId="502677D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库存动态更新接口：实时将麻精药品库存变化情况（领用、补充、盘点）反馈至 HIS 系统，HIS 系统更新库存数据，确保账实一致。</w:t>
            </w:r>
          </w:p>
          <w:p w14:paraId="6ED193E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设备运行状态接口：反馈麻精机设备的运行状态（正常、故障、校准中）、维护记录等信息，HIS 系统可安排设备维护计划，保障设备正常运行。</w:t>
            </w:r>
          </w:p>
          <w:p w14:paraId="7924FD34">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异常操作报警接口：当出现违规操作（如超剂量使用、未授权操作）时，立即向 HIS 系统发送报警信息，HIS 系统可及时处理，防止麻精药品滥用。</w:t>
            </w:r>
          </w:p>
        </w:tc>
      </w:tr>
      <w:tr w14:paraId="6CCA4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38BEC104">
            <w:pPr>
              <w:widowControl/>
              <w:jc w:val="center"/>
              <w:rPr>
                <w:rFonts w:ascii="宋体" w:hAnsi="宋体"/>
                <w:color w:val="auto"/>
                <w:highlight w:val="none"/>
              </w:rPr>
            </w:pPr>
          </w:p>
        </w:tc>
        <w:tc>
          <w:tcPr>
            <w:tcW w:w="1686" w:type="dxa"/>
            <w:vAlign w:val="center"/>
          </w:tcPr>
          <w:p w14:paraId="08FF9039">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门诊发药机</w:t>
            </w:r>
          </w:p>
        </w:tc>
        <w:tc>
          <w:tcPr>
            <w:tcW w:w="10815" w:type="dxa"/>
            <w:vAlign w:val="center"/>
          </w:tcPr>
          <w:p w14:paraId="4F4C7F0C">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44B2CCD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处方发药信息接口：向门诊发药机推送已缴费的处方信息（处方号、药品名称、数量、患者姓名），支持按药品存储位置、发药优先级等规则优化发药流程。</w:t>
            </w:r>
          </w:p>
          <w:p w14:paraId="1A6A54D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患者身份核对接口：门诊发药机可通过该接口与 HIS 系统进行患者身份信息核对，确保药品发放准确无误。</w:t>
            </w:r>
          </w:p>
          <w:p w14:paraId="7C46718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药品库存信息接口：同步门诊发药机内药品库存信息（库存数量、有效期、存放位置），HIS 系统可根据库存情况安排补货，保障药品供应。</w:t>
            </w:r>
          </w:p>
          <w:p w14:paraId="357F5B8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发药规则设置接口：支持药房通过 HIS 系统设置门诊发药机的发药规则（如按处方顺序发药、按药品类别集中发药），满足不同药房工作需求。</w:t>
            </w:r>
          </w:p>
          <w:p w14:paraId="71E74F7D">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门诊发药机提供接口</w:t>
            </w:r>
          </w:p>
          <w:p w14:paraId="51E15B8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发药状态反馈接口：向 HIS 系统实时反馈发药状态（发药中、已完成、发药异常）， HIS 系统更新患者取药进度，方便患者查询和医护人员管理。</w:t>
            </w:r>
          </w:p>
          <w:p w14:paraId="4D804FA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药品消耗记录接口：将每次发药的药品消耗数量、批次、时间等信息同步至 HIS系统，便于药品库存管理与追溯。</w:t>
            </w:r>
          </w:p>
          <w:p w14:paraId="4E7DD506">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设备故障报警接口：当门诊发药机出现卡药、机械故障、系统异常等情况时，立即向 HIS 系统发送报警信息，HIS 系统通知维修人员及时处理，减少对发药流程的影响。</w:t>
            </w:r>
          </w:p>
          <w:p w14:paraId="4C6228F6">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发药统计接口：定期向 HIS 系统提供发药数据统计（如单日发药处方量、各药品发药数量、发药准确率等），为药房运营管理与药品使用分析提供数据支持。</w:t>
            </w:r>
          </w:p>
        </w:tc>
      </w:tr>
      <w:tr w14:paraId="54DAF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26240336">
            <w:pPr>
              <w:widowControl/>
              <w:jc w:val="center"/>
              <w:rPr>
                <w:rFonts w:ascii="宋体" w:hAnsi="宋体"/>
                <w:color w:val="auto"/>
                <w:highlight w:val="none"/>
              </w:rPr>
            </w:pPr>
          </w:p>
        </w:tc>
        <w:tc>
          <w:tcPr>
            <w:tcW w:w="1686" w:type="dxa"/>
            <w:vAlign w:val="center"/>
          </w:tcPr>
          <w:p w14:paraId="4E9BFE44">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门诊药房拆零机服务</w:t>
            </w:r>
          </w:p>
        </w:tc>
        <w:tc>
          <w:tcPr>
            <w:tcW w:w="10815" w:type="dxa"/>
            <w:vAlign w:val="center"/>
          </w:tcPr>
          <w:p w14:paraId="517653C3">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4378509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拆零药品处方信息接口：将涉及拆零药品的处方详细信息（患者姓名、处方号、拆零药品名称、规格、所需数量）推送至门诊药房拆零机服务系统，确保拆零操作准确对应处方需求。</w:t>
            </w:r>
          </w:p>
          <w:p w14:paraId="79B9324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药品基础信息接口：提供拆零药品的基础信息，包括药品名称、最小包装单位、拆零规格、有效期、储存条件等，辅助拆零机正确执行拆零任务并保障药品质量。</w:t>
            </w:r>
          </w:p>
          <w:p w14:paraId="50CBDF09">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库存管理接口：同步拆零药品的库存数量及位置信息，拆零机服务系统在进行拆零操作前后实时更新库存，HIS 系统根据库存变化情况及时安排补货或调整库存策略。</w:t>
            </w:r>
          </w:p>
          <w:p w14:paraId="38382A1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费用核算接口：将拆零药品的费用信息与 HIS 系统中的患者费用清单关联，拆零完成后，HIS 系统自动计算并更新费用，确保拆零药品费用准确计入患者账单。</w:t>
            </w:r>
          </w:p>
          <w:p w14:paraId="5DB4B689">
            <w:p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门</w:t>
            </w:r>
            <w:r>
              <w:rPr>
                <w:rFonts w:ascii="宋体" w:hAnsi="宋体" w:cs="宋体"/>
                <w:bCs/>
                <w:color w:val="auto"/>
                <w:szCs w:val="21"/>
                <w:highlight w:val="none"/>
              </w:rPr>
              <w:t>诊药房拆零机服务提供接口</w:t>
            </w:r>
          </w:p>
          <w:p w14:paraId="78CB8659">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拆零任务执行反馈接口：向 HIS 系统反馈拆零任务的执行状态（待拆零、拆零中、已完成、拆零异常），以及实际拆零数量、损耗数量等信息，方便 HIS 系统掌握拆零进度和药品使用情况。</w:t>
            </w:r>
          </w:p>
          <w:p w14:paraId="32EE09B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设备运行状态接口：实时传输拆零机的运行状态，包括正常运行、故障报警（如刀片磨损、计量不准等）、维护状态等，HIS 系统可据此安排设备维护和维修，保障拆零工作顺利进行。</w:t>
            </w:r>
          </w:p>
          <w:p w14:paraId="70F72484">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拆零药品质量追溯接口：记录拆零药品的批次、拆零时间、操作人员等信息，并同步至 HIS 系统，一旦出现药品质量问题，可通过 HIS 系统快速追溯，确保用药安全。</w:t>
            </w:r>
          </w:p>
          <w:p w14:paraId="5440CBE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拆零数据统计接口：定期向 HIS 系统提供拆零业务数据统计，如每日拆零处方数量、各药品拆零频率、拆零损耗率等，为药房优化拆零流程、控制成本提供数据依据。</w:t>
            </w:r>
          </w:p>
        </w:tc>
      </w:tr>
      <w:tr w14:paraId="75731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6F78EDBF">
            <w:pPr>
              <w:widowControl/>
              <w:jc w:val="center"/>
              <w:rPr>
                <w:rFonts w:ascii="宋体" w:hAnsi="宋体"/>
                <w:color w:val="auto"/>
                <w:highlight w:val="none"/>
              </w:rPr>
            </w:pPr>
          </w:p>
        </w:tc>
        <w:tc>
          <w:tcPr>
            <w:tcW w:w="1686" w:type="dxa"/>
            <w:vAlign w:val="center"/>
          </w:tcPr>
          <w:p w14:paraId="0D45A02A">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住院药房分包机</w:t>
            </w:r>
          </w:p>
        </w:tc>
        <w:tc>
          <w:tcPr>
            <w:tcW w:w="10815" w:type="dxa"/>
            <w:vAlign w:val="center"/>
          </w:tcPr>
          <w:p w14:paraId="431E34C3">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78DAFDF2">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住院患者用药医嘱接口：向住院药房分包机推送住院患者的用药医嘱信息，包括患者姓名、住院号、医嘱起止时间、药品名称、剂量、服用频次等，确保分包机按医嘱准确分包药品。</w:t>
            </w:r>
          </w:p>
          <w:p w14:paraId="044D165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患者信息接口：提供患者的基本信息，如年龄、性别、过敏史等，帮助分包机在分包过程中进行用药安全提示和核对，避免用药错误。</w:t>
            </w:r>
          </w:p>
          <w:p w14:paraId="1C5ED0F6">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药品库存与效期接口：同步住院药房药品的库存数量、存放位置以及有效期信息，分包机根据库存情况选择药品进行分包，并在药品临近有效期时向 HIS 系统发出预警，以便及时处理。</w:t>
            </w:r>
          </w:p>
          <w:p w14:paraId="7C834089">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分包规则设置接口：支持药房通过 HIS 系统设置分包机的分包规则，如按顿分包、按日分包、特殊药品单独分包等，满足不同用药需求和管理要求。</w:t>
            </w:r>
          </w:p>
          <w:p w14:paraId="524FB96F">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住院药房分包机提供接口</w:t>
            </w:r>
          </w:p>
          <w:p w14:paraId="5789C64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分包任务执行接口：向 HIS 系统反馈分包任务的执行情况，包括已分包处方数量、正在分包处方信息、未完成分包原因等，HIS 系统可实时掌握分包进度，协调药品发放工作。</w:t>
            </w:r>
          </w:p>
          <w:p w14:paraId="5B89057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分包药品信息接口：将分包完成的药品信息（药品名称、数量、分包时间、批次、对应患者信息等）同步至 HIS 系统，便于护士核对领取药品，同时为药品追溯提供数据支持。</w:t>
            </w:r>
          </w:p>
          <w:p w14:paraId="32A34E0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设备故障与维护接口：当分包机出现故障（如机械卡壳、电子秤失灵）或需要维护时，及时向 HIS 系统发送设备状态信息，HIS 系统安排维修人员进行处理，保障住院患者用药及时性。</w:t>
            </w:r>
          </w:p>
          <w:p w14:paraId="3DF4DA9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分包数据统计接口：定期向 HIS 系统提供分包数据统计报表，如每日分包处方总量、各科室分包药品数量、分包准确率等，帮助药房评估分包工作效率和质量，优化工作流程</w:t>
            </w:r>
          </w:p>
        </w:tc>
      </w:tr>
      <w:tr w14:paraId="49507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5B218481">
            <w:pPr>
              <w:widowControl/>
              <w:jc w:val="center"/>
              <w:rPr>
                <w:rFonts w:ascii="宋体" w:hAnsi="宋体"/>
                <w:color w:val="auto"/>
                <w:highlight w:val="none"/>
              </w:rPr>
            </w:pPr>
          </w:p>
        </w:tc>
        <w:tc>
          <w:tcPr>
            <w:tcW w:w="1686" w:type="dxa"/>
            <w:vAlign w:val="center"/>
          </w:tcPr>
          <w:p w14:paraId="2FE520E8">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中药配方颗粒发药机</w:t>
            </w:r>
          </w:p>
        </w:tc>
        <w:tc>
          <w:tcPr>
            <w:tcW w:w="10815" w:type="dxa"/>
            <w:vAlign w:val="center"/>
          </w:tcPr>
          <w:p w14:paraId="042C282C">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2D0DC2D4">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中药配方颗粒处方接口：向中药配方颗粒发药机推送患者的中药配方颗粒处方信息，包括处方号、患者姓名、药品名称及剂量（以配方颗粒形式）、医嘱频次等，确保发药 机准确配药。</w:t>
            </w:r>
          </w:p>
          <w:p w14:paraId="03F8044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药品基础信息接口：提供中药配方颗粒的详细基础信息，如药品名称、规格、功效、冲泡方法、储存条件等，辅助发药机正确处理和发放药品，并支持患者用药指导。</w:t>
            </w:r>
          </w:p>
          <w:p w14:paraId="5CC7DEC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库存管理接口：同步中药配方颗粒的库存数量、批次、有效期等信息，发药机在配药过程中实时更新库存，当库存不足时向 HIS 系统发出补货提醒，保证药品供应不间断。</w:t>
            </w:r>
          </w:p>
          <w:p w14:paraId="7ABAFFE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发药规则与优先级接口：支持通过 HIS 系统设置中药配方颗粒发药机的发药规则，如急症处方优先发药、普通处方按序发药等，同时可根据药房工作安排调整发药优先级。</w:t>
            </w:r>
          </w:p>
          <w:p w14:paraId="72F7A81D">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中药配方颗粒发药机提供接口</w:t>
            </w:r>
          </w:p>
          <w:p w14:paraId="21F95C1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配药状态反馈接口：向 HIS 系统实时反馈配药状态，包括待配药、配药中、已配药、配药异常（如药品短缺、设备故障）等信息，HIS 系统可据此安排患者取药时间或处理异常情况。</w:t>
            </w:r>
          </w:p>
          <w:p w14:paraId="764ECC6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药品发放记录接口：将每次发放的中药配方颗粒信息（患者姓名、处方号、药品名称及数量、发放时间）同步至 HIS 系统，便于患者用药查询和药房进行药品发放统计与追溯。</w:t>
            </w:r>
          </w:p>
          <w:p w14:paraId="480544E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设备运行与维护接口：实时传输发药机的运行状态，包括正常运行、故障报警（如计量不准确、管道堵塞）、维护提示等信息，HIS 系统及时安排设备维护，确保发药机正常运行。</w:t>
            </w:r>
          </w:p>
          <w:p w14:paraId="0D31C49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统计分析接口：定期向 HIS 系统提供中药配方颗粒发药数据统计，如每日发药处方数量、各药品使用频率、配药准确率等，为中药处方用药分析、药品采购计划制定提供数据参考。</w:t>
            </w:r>
          </w:p>
        </w:tc>
      </w:tr>
      <w:tr w14:paraId="550CF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2F97F326">
            <w:pPr>
              <w:widowControl/>
              <w:jc w:val="center"/>
              <w:rPr>
                <w:rFonts w:ascii="宋体" w:hAnsi="宋体"/>
                <w:color w:val="auto"/>
                <w:highlight w:val="none"/>
              </w:rPr>
            </w:pPr>
          </w:p>
        </w:tc>
        <w:tc>
          <w:tcPr>
            <w:tcW w:w="1686" w:type="dxa"/>
            <w:vAlign w:val="center"/>
          </w:tcPr>
          <w:p w14:paraId="7357C408">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调配机（门诊西药房、住院西药房、静配中心）</w:t>
            </w:r>
          </w:p>
        </w:tc>
        <w:tc>
          <w:tcPr>
            <w:tcW w:w="10815" w:type="dxa"/>
            <w:vAlign w:val="center"/>
          </w:tcPr>
          <w:p w14:paraId="09084ED6">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1EC518D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药品调配任务接口：向调配机推送药品调配任务信息，包括处方号、患者姓名、所需药品名称、规格、数量、调配要求（如特殊剂型处理、混合调配禁忌等），确保调配机准确执行任务。</w:t>
            </w:r>
          </w:p>
          <w:p w14:paraId="0A56092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药品库存与位置接口：提供调配机内药品的库存数量、存放位置信息，以及药房整体库存数据，调配机根据库存情况选择药品进行调配，并在库存不足时向 HIS 系统发出补货请求。</w:t>
            </w:r>
          </w:p>
          <w:p w14:paraId="21AA075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调配规则与优先级接口：支持药房通过 HIS 系统设置调配机的调配规则，如按处方紧急程度、药品存储区域等规则进行调配，同时可调整调配任务优先级，保障关键处方及时完成。</w:t>
            </w:r>
          </w:p>
          <w:p w14:paraId="12E87D3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患者与医嘱关联接口：将患者基本信息、过敏史、用药禁忌等与调配任务相关联，调配机在调配过程中进行智能提醒和核对，避免因调配错误导致用药风险。</w:t>
            </w:r>
          </w:p>
          <w:p w14:paraId="7C18239B">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调配机提供接口</w:t>
            </w:r>
          </w:p>
          <w:p w14:paraId="451AEAD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调配任务执行反馈接口：向 HIS 系统实时反馈调配任务执行状态，包括待调配、调配中、已完成、调配异常（如药品缺失、设备故障）等信息，HIS 系统可跟踪调配进度，及时处理异常情况。</w:t>
            </w:r>
          </w:p>
          <w:p w14:paraId="34B02BE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药品使用与库存更新接口：将每次调配所使用的药品名称、数量、批次等信息同步至 HIS 系统，并更新调配机内药品库存，确保 HIS 系统与调配机库存数据一致，便于库存管理和药品追溯。</w:t>
            </w:r>
          </w:p>
          <w:p w14:paraId="6591D33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设备运行与故障接口：实时传输调配机的运行状态，包括正常运行、故障报警（如机械臂故障、传感器失灵）、维护需求等信息，HIS 系统安排维修人员进行处理，保障调配工作顺利进行。</w:t>
            </w:r>
          </w:p>
          <w:p w14:paraId="26603CE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调配数据统计接口：定期向 HIS 系统提供调配数据统计报表，如每日调配处方数量、各药品调配频率、调配准确率等，为药房优化调配流程、评估设备使用效率提供数据支持。</w:t>
            </w:r>
          </w:p>
        </w:tc>
      </w:tr>
      <w:tr w14:paraId="2F8A1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6C682B58">
            <w:pPr>
              <w:widowControl/>
              <w:jc w:val="center"/>
              <w:rPr>
                <w:rFonts w:ascii="宋体" w:hAnsi="宋体"/>
                <w:color w:val="auto"/>
                <w:highlight w:val="none"/>
              </w:rPr>
            </w:pPr>
          </w:p>
        </w:tc>
        <w:tc>
          <w:tcPr>
            <w:tcW w:w="1686" w:type="dxa"/>
            <w:vAlign w:val="center"/>
          </w:tcPr>
          <w:p w14:paraId="7353C61A">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住院西药房核对机</w:t>
            </w:r>
          </w:p>
        </w:tc>
        <w:tc>
          <w:tcPr>
            <w:tcW w:w="10815" w:type="dxa"/>
            <w:vAlign w:val="center"/>
          </w:tcPr>
          <w:p w14:paraId="6FE3CC74">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1127657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住院药品发放信息接口：向住院西药房核对机推送即将发放至住院患者的药品信息，包括患者姓名、住院号、药品名称、规格、数量、医嘱信息等，作为核对依据。</w:t>
            </w:r>
          </w:p>
          <w:p w14:paraId="2F6C72A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药品基础与库存信息接口：提供药品的详细基础信息（如成分、用法用量、注意事项）以及库存状态，核对机可在核对过程中进行信息比对和库存校验，确保发放药品准确无误且库存合理。</w:t>
            </w:r>
          </w:p>
          <w:p w14:paraId="6E77442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核对规则设置接口：支持药房通过 HIS 系统设置核对机的核对规则，如必核项目（药品名称、数量）、选核项目（批号、有效期）、核对方式（扫码核对、人工核对结合）等，满足不同管理要求。</w:t>
            </w:r>
          </w:p>
          <w:p w14:paraId="707DD9E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患者用药史接口：提供患者的用药史信息，包括既往用药情况、过敏史等，核对机在核对时进行智能提醒，避免重复用药或药物过敏等问题。</w:t>
            </w:r>
          </w:p>
          <w:p w14:paraId="271CDE51">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住院西药房核对机提供接口</w:t>
            </w:r>
          </w:p>
          <w:p w14:paraId="19897ED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核对结果反馈接口：向 HIS 系统反馈药品核对结果，包括核对通过、核对不通过（原因说明，如药品不符、数量错误）等信息，HIS 系统根据核对结果处理药品发放流程，如拦截问题药品或通知相关人员复核。</w:t>
            </w:r>
          </w:p>
          <w:p w14:paraId="4AD4383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异常记录接口：记录核对过程中出现的所有异常情况，包括异常时间、涉及药品、患者信息、处理措施等，并同步至 HIS 系统，便于追溯和分析问题，持续改进药品发放质量。</w:t>
            </w:r>
          </w:p>
          <w:p w14:paraId="4A7DEA6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设备运行状态接口：实时传输核对机的运行状态，包括正常运行、故障报警（如扫码器故障、显示屏异常）、维护需求等信息，HIS 系统及时安排设备维护，保障核对工作正常开展。</w:t>
            </w:r>
          </w:p>
          <w:p w14:paraId="5B964962">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核对数据统计接口：定期向 HIS 系统提供核对数据统计报表，如每日核对处方数量、核对准确率、常见错误类型分布等，为药房加强药品管理、优化核对流程提供数据依据。</w:t>
            </w:r>
          </w:p>
        </w:tc>
      </w:tr>
      <w:tr w14:paraId="1A2B3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2" w:hRule="atLeast"/>
          <w:jc w:val="center"/>
        </w:trPr>
        <w:tc>
          <w:tcPr>
            <w:tcW w:w="1376" w:type="dxa"/>
            <w:vMerge w:val="restart"/>
            <w:vAlign w:val="center"/>
          </w:tcPr>
          <w:p w14:paraId="5FC3066D">
            <w:pPr>
              <w:numPr>
                <w:ilvl w:val="1"/>
                <w:numId w:val="11"/>
              </w:numPr>
              <w:ind w:left="0" w:firstLine="0"/>
              <w:rPr>
                <w:rFonts w:ascii="宋体" w:hAnsi="宋体"/>
                <w:color w:val="auto"/>
                <w:highlight w:val="none"/>
              </w:rPr>
            </w:pPr>
            <w:r>
              <w:rPr>
                <w:rFonts w:hint="eastAsia" w:ascii="宋体" w:hAnsi="宋体"/>
                <w:color w:val="auto"/>
                <w:highlight w:val="none"/>
              </w:rPr>
              <w:t>医疗保障对接</w:t>
            </w:r>
          </w:p>
        </w:tc>
        <w:tc>
          <w:tcPr>
            <w:tcW w:w="1686" w:type="dxa"/>
            <w:vAlign w:val="center"/>
          </w:tcPr>
          <w:p w14:paraId="57DA6ED2">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合理用血系统</w:t>
            </w:r>
          </w:p>
        </w:tc>
        <w:tc>
          <w:tcPr>
            <w:tcW w:w="10815" w:type="dxa"/>
            <w:vAlign w:val="center"/>
          </w:tcPr>
          <w:p w14:paraId="71DA455A">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5DA39072">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用血申请信息接口：向合理用血系统推送患者的用血申请信息，包括患者基本信息、临床诊断、血型、申请用血类型（红细胞、血浆、血小板等）、申请用量、申请时间等，支持紧急用血和常规用血申请。</w:t>
            </w:r>
          </w:p>
          <w:p w14:paraId="66E93DE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患者检验与病史信息接口：提供患者的血常规、凝血功能等检验结果，以及输血史、过敏史等病史信息，合理用血系统结合这些信息评估用血必要性和安全性。</w:t>
            </w:r>
          </w:p>
          <w:p w14:paraId="1CF8B49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血液库存信息接口：同步医院血库的血液库存情况，包括各血型血液的数量、有效期、储存位置等，合理用血系统根据库存信息为医师提供用血建议，避免血液浪费或短缺。</w:t>
            </w:r>
          </w:p>
          <w:p w14:paraId="5FEBE59B">
            <w:pPr>
              <w:numPr>
                <w:ilvl w:val="255"/>
                <w:numId w:val="0"/>
              </w:numPr>
              <w:tabs>
                <w:tab w:val="left" w:pos="525"/>
                <w:tab w:val="left" w:pos="630"/>
              </w:tabs>
              <w:spacing w:line="360" w:lineRule="auto"/>
              <w:rPr>
                <w:rFonts w:ascii="宋体" w:hAnsi="宋体" w:cs="宋体"/>
                <w:bCs/>
                <w:color w:val="auto"/>
                <w:szCs w:val="21"/>
                <w:highlight w:val="none"/>
              </w:rPr>
            </w:pPr>
          </w:p>
          <w:p w14:paraId="5CEBF520">
            <w:pPr>
              <w:numPr>
                <w:ilvl w:val="255"/>
                <w:numId w:val="0"/>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合理用血系统提供接口</w:t>
            </w:r>
          </w:p>
          <w:p w14:paraId="7443BD3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用血审核结果反馈接口：对用血申请进行审核后，将审核结果（通过、不通过、需补充信息）反馈至 HIS 系统，HIS 系统根据审核结果处理用血申请流程，</w:t>
            </w:r>
            <w:r>
              <w:rPr>
                <w:rFonts w:hint="eastAsia" w:ascii="宋体" w:hAnsi="宋体" w:cs="宋体"/>
                <w:bCs/>
                <w:color w:val="auto"/>
                <w:szCs w:val="21"/>
                <w:highlight w:val="none"/>
              </w:rPr>
              <w:t>如审核不通过的结果、用血审批结果需修改申请单的内容（如血制品名称、规格等），实现医师修改后再次推送至输血系统。能根据输血申请单生成用血医嘱（或嘱托）。</w:t>
            </w:r>
          </w:p>
          <w:p w14:paraId="1E3489B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发血信息反馈接口：能接收并确认输血系统反馈的取血信息，根据发血单生成输血医嘱。</w:t>
            </w:r>
          </w:p>
          <w:p w14:paraId="55BC8BD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用血预警信息接口：当出现血液库存不足、不合理用血申请等情况时，向 HIS 系统发送预警信息，提醒相关人员采取措施，保障临床用血需求和用血安全。</w:t>
            </w:r>
          </w:p>
          <w:p w14:paraId="3D4E82D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用血数据统计接口：定期向 HIS 系统提供用血数据统计报表，如全院用血总量、各科室用血情况、不同病种用血分布、血液利用率等，为医院合理规划用血、评估用血合理性提供数据依据。</w:t>
            </w:r>
          </w:p>
          <w:p w14:paraId="07FD442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输血不良反应监测接口：将患者输血过程中出现的不良反应（如发热、过敏、溶血等）信息反馈至 HIS 系统，HIS 系统记录并跟踪不良反应处理情况，完善患者医疗记录，同时为输血安全管理提供数据支持。</w:t>
            </w:r>
          </w:p>
        </w:tc>
      </w:tr>
      <w:tr w14:paraId="4BF0C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07A76EDC">
            <w:pPr>
              <w:widowControl/>
              <w:jc w:val="center"/>
              <w:rPr>
                <w:rFonts w:ascii="宋体" w:hAnsi="宋体"/>
                <w:color w:val="auto"/>
                <w:highlight w:val="none"/>
              </w:rPr>
            </w:pPr>
          </w:p>
        </w:tc>
        <w:tc>
          <w:tcPr>
            <w:tcW w:w="1686" w:type="dxa"/>
            <w:vAlign w:val="center"/>
          </w:tcPr>
          <w:p w14:paraId="3D54AD63">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临床辅助决策支持系统（CDSS）</w:t>
            </w:r>
          </w:p>
        </w:tc>
        <w:tc>
          <w:tcPr>
            <w:tcW w:w="10815" w:type="dxa"/>
            <w:vAlign w:val="center"/>
          </w:tcPr>
          <w:p w14:paraId="748C8308">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4D8BC27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患者全量信息接口：向 CDSS 系统提供患者的全方位信息，包括基本信息、现病史、既往史、家族史、过敏史、症状体征、检查检验结果、诊断信息、用药信息、治疗措施等，为临床决策提供完整数据基础。</w:t>
            </w:r>
          </w:p>
          <w:p w14:paraId="05B0331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临床指南与知识库关联接口：将医院遵循的临床诊疗指南、专家共识、药物说明书等知识库资源与 HIS 系统进行关联标识，CDSS 系统可根据患者信息快速匹配相关知识内容。</w:t>
            </w:r>
          </w:p>
          <w:p w14:paraId="53A597E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诊疗流程信息接口：提供医院各科室的诊疗流程信息，包括常规诊疗步骤、关键节点、特殊情况处理流程等，CDSS 系统结合患者病情为医师提供标准化诊疗流程建议。</w:t>
            </w:r>
          </w:p>
          <w:p w14:paraId="12C0835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医师权限与偏好接口：支持通过 HIS 系统设置医师在 CDSS 系统中的权限（如查看不同级别知识内容、使用特定功能），以及医师个人的诊疗偏好，使 CDSS 提供更个性化的决策支持。</w:t>
            </w:r>
          </w:p>
          <w:p w14:paraId="7E7C141E">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临床辅助决策支持系统（CDSS）提供接口</w:t>
            </w:r>
          </w:p>
          <w:p w14:paraId="791CCFD6">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诊疗建议反馈接口：根据患者信息和知识库内容，向 HIS 系统反馈临床诊疗建议，包括诊断建议、治疗方案推荐、用药指导、检查检验项目建议等，辅助医师制定合理的诊疗计划。</w:t>
            </w:r>
          </w:p>
          <w:p w14:paraId="615E3834">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知识推送接口：将与患者病情相关的最新临床知识、研究成果、用药警示等信息主动推送至 HIS 系统，提醒医师关注并学习，提升诊疗水平。</w:t>
            </w:r>
          </w:p>
          <w:p w14:paraId="769F1FA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决策依据展示接口：当向 HIS 系统提供诊疗建议时，同步展示建议的依据和来源（如相关文献、指南条款、临床研究数据），便于医师理解和参考，增强决策支持的可信度。</w:t>
            </w:r>
          </w:p>
          <w:p w14:paraId="518DE75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使用效果评估接口：定期向 HIS 系统提供 CDSS 使用效果评估数据，如建议采纳率、对诊疗质量的影响、医师满意度等，帮助医院评估 CDSS 应用价值，持续优化系统功能。</w:t>
            </w:r>
          </w:p>
        </w:tc>
      </w:tr>
      <w:tr w14:paraId="168C7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6FC541BD">
            <w:pPr>
              <w:widowControl/>
              <w:jc w:val="center"/>
              <w:rPr>
                <w:rFonts w:ascii="宋体" w:hAnsi="宋体"/>
                <w:color w:val="auto"/>
                <w:highlight w:val="none"/>
              </w:rPr>
            </w:pPr>
          </w:p>
        </w:tc>
        <w:tc>
          <w:tcPr>
            <w:tcW w:w="1686" w:type="dxa"/>
            <w:vAlign w:val="center"/>
          </w:tcPr>
          <w:p w14:paraId="7D77EA50">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医院药物警戒系统（CHPS）</w:t>
            </w:r>
          </w:p>
        </w:tc>
        <w:tc>
          <w:tcPr>
            <w:tcW w:w="10815" w:type="dxa"/>
            <w:vAlign w:val="center"/>
          </w:tcPr>
          <w:p w14:paraId="7C650C99">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4BA14E6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药品不良反应报告接口：向 CHPS 系统推送患者用药过程中出现的不良反应信息，包括患者基本信息、药品名称、剂型、剂量、用药时间、不良反应表现、发生时间等，支持不良反应的及时上报和监测。</w:t>
            </w:r>
          </w:p>
          <w:p w14:paraId="064AADC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用药信息接口：提供患者的完整用药信息，包括处方信息、医嘱信息、用药记录等， CHPS 系统可结合这些信息分析药品与不良反应之间的关联性，评估用药风险。</w:t>
            </w:r>
          </w:p>
          <w:p w14:paraId="79F865C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患者基本信息与病历接口：同步患者的基本信息、诊断信息、过敏史等病历资料，帮助 CHPS 系统全面了解患者情况，准确判断不良反应的发生原因和严重程度。</w:t>
            </w:r>
          </w:p>
          <w:p w14:paraId="49658AF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药品信息接口：提供医院药品的详细信息，如药品名称、剂型、规格、生产厂家、批准文号、药品说明书等，CHPS 系统可据此对药品不良反应进行分类和分析。</w:t>
            </w:r>
          </w:p>
          <w:p w14:paraId="5791E3F3">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医院药物警戒系统（CHPS）提供接口</w:t>
            </w:r>
          </w:p>
          <w:p w14:paraId="12E2CB8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不良反应评估与预警接口：对收集到的药品不良反应信息进行评估和分析，当发现严重不良反应、药品群体不良事件等情况时，及时向 HIS 系统发出预警信息，包括预警级别、可能原因、建议措施等，提醒医护人员采取相应的防范措施。</w:t>
            </w:r>
          </w:p>
          <w:p w14:paraId="21A6C34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药品安全性信息反馈接口：将药品安全性信息（如新的药品不良反应报告、药品召回信息、药品使用警示等）反馈至 HIS 系统，HIS 系统可将这些信息传达给相关医护人员，指导合理用药。</w:t>
            </w:r>
          </w:p>
          <w:p w14:paraId="159D337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药物警戒数据分析接口：定期向 HIS 系统提供药物警戒数据分析报告，如药品不良反应发生率、常见不良反应类型、高风险药品清单等，为医院加强药品管理、优化用药方案提供数据支持。</w:t>
            </w:r>
          </w:p>
          <w:p w14:paraId="4ACCEF9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药物警戒质量控制接口：对医院药物警戒工作的质量进行控制和评估，将评估结果</w:t>
            </w:r>
          </w:p>
          <w:p w14:paraId="3310620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（如不良反应报告及时率、报告质量评分等）反馈至 HIS 系统，HIS 系统可据此对相关部门和人员进行绩效考核，促进药物警戒工作持续改进。</w:t>
            </w:r>
          </w:p>
        </w:tc>
      </w:tr>
      <w:tr w14:paraId="618A6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restart"/>
            <w:vAlign w:val="center"/>
          </w:tcPr>
          <w:p w14:paraId="25561001">
            <w:pPr>
              <w:numPr>
                <w:ilvl w:val="1"/>
                <w:numId w:val="11"/>
              </w:numPr>
              <w:ind w:left="0" w:firstLine="0"/>
              <w:rPr>
                <w:rFonts w:ascii="宋体" w:hAnsi="宋体"/>
                <w:color w:val="auto"/>
                <w:highlight w:val="none"/>
              </w:rPr>
            </w:pPr>
            <w:r>
              <w:rPr>
                <w:rFonts w:hint="eastAsia" w:ascii="宋体" w:hAnsi="宋体"/>
                <w:color w:val="auto"/>
                <w:highlight w:val="none"/>
              </w:rPr>
              <w:t>科研业务系统对接</w:t>
            </w:r>
          </w:p>
        </w:tc>
        <w:tc>
          <w:tcPr>
            <w:tcW w:w="1686" w:type="dxa"/>
            <w:vAlign w:val="center"/>
          </w:tcPr>
          <w:p w14:paraId="71B0B706">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临床试验项目管理系统（GCP）</w:t>
            </w:r>
          </w:p>
        </w:tc>
        <w:tc>
          <w:tcPr>
            <w:tcW w:w="10815" w:type="dxa"/>
            <w:vAlign w:val="center"/>
          </w:tcPr>
          <w:p w14:paraId="236A5805">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41BF6E9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患者筛选与入组信息接口：向 GCP 系统推送符合临床试验筛选条件的患者信息，包括患者基本信息、诊断信息、检查检验结果等，支持临床试验的患者招募和筛选工作。</w:t>
            </w:r>
          </w:p>
          <w:p w14:paraId="6802683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患者诊疗信息接口：实时提供患者的诊疗信息，包括病程记录、用药情况、治疗措施、检查检验结果等，GCP 系统可据此跟踪患者在临床试验中的病情变化和治疗反应。</w:t>
            </w:r>
          </w:p>
          <w:p w14:paraId="3F655CF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医嘱与用药管理接口：提供患者的医嘱信息和用药记录，包括临床试验药物的使用情况、剂量调整、用药时间等，GCP 系统可对临床试验药物的使用进行监控和管理，确保符合试验方案。</w:t>
            </w:r>
          </w:p>
          <w:p w14:paraId="2EABB4F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权限管理接口：支持通过 HIS 系统设置 GCP 系统的访问权限，如不同级别研究人员对患者信息的查看、编辑权限，确保患者隐私和临床试验数据的安全。</w:t>
            </w:r>
          </w:p>
          <w:p w14:paraId="0C4B182B">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临床试验项目管理系统（GCP）提供接口</w:t>
            </w:r>
          </w:p>
          <w:p w14:paraId="37EADD5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临床试验方案与流程接口：向 HIS 系统提供临床试验的方案和流程信息，包括试验目的、入选标准、排除标准、试验设计、研究步骤等，HIS 系统可据此指导医护人员开展临床试验相关工作。</w:t>
            </w:r>
          </w:p>
          <w:p w14:paraId="4839795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患者入组与出组管理接口：反馈患者的入组和出组情况，包括入组时间、出组原因、出组时间等，HIS 系统可更新患者的临床状态，调整相应的诊疗计划。</w:t>
            </w:r>
          </w:p>
          <w:p w14:paraId="5FF1D82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试验数据收集与反馈接口：将患者在临床试验中的数据（如疗效指标、安全性指标、生物样本信息等）反馈至 HIS 系统，HIS 系统可将这些数据整合到患者的电子病历中，同时为临床试验的数据分析和报告提供支持。</w:t>
            </w:r>
          </w:p>
          <w:p w14:paraId="5BFF05B2">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试验进度与质量监控接口：实时反馈临床试验的进度情况和质量监控结果，如入组患者数量、完成率、数据质量评估等，HIS 系统可据此协调资源，确保临床试验按计划顺利进行。</w:t>
            </w:r>
          </w:p>
        </w:tc>
      </w:tr>
      <w:tr w14:paraId="01930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1559C9DF">
            <w:pPr>
              <w:widowControl/>
              <w:jc w:val="center"/>
              <w:rPr>
                <w:rFonts w:ascii="宋体" w:hAnsi="宋体"/>
                <w:color w:val="auto"/>
                <w:highlight w:val="none"/>
              </w:rPr>
            </w:pPr>
          </w:p>
        </w:tc>
        <w:tc>
          <w:tcPr>
            <w:tcW w:w="1686" w:type="dxa"/>
            <w:vAlign w:val="center"/>
          </w:tcPr>
          <w:p w14:paraId="30A23027">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生物样本库信息管理系统</w:t>
            </w:r>
          </w:p>
        </w:tc>
        <w:tc>
          <w:tcPr>
            <w:tcW w:w="10815" w:type="dxa"/>
            <w:vAlign w:val="center"/>
          </w:tcPr>
          <w:p w14:paraId="591E0E3A">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71149A8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患者基本信息接口：向生物样本库信息管理系统推送患者的基本信息，包括姓名、性别、年龄、诊断、联系方式等，用于生物样本的溯源和管理。</w:t>
            </w:r>
          </w:p>
          <w:p w14:paraId="3E79874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样本采集申请接口：提供生物样本采集申请信息，包括样本类型（血液、组织、尿液等）、采集目的、采集时间、采集科室等，支持生物样本库的样本接收和管理工作。</w:t>
            </w:r>
          </w:p>
          <w:p w14:paraId="5748C02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样本采集记录接口：实时同步生物样本的采集记录，包括采集人员、采集方法、采集量、采集部位等信息，确保样本信息的完整性和准确性。</w:t>
            </w:r>
          </w:p>
          <w:p w14:paraId="1D01A6C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患者诊疗与病情信息接口：提供患者的诊疗信息和病情变化情况，如诊断结果、治疗方案、疾病进展等，生物样本库信息管理系统可将这些信息与样本信息关联，为科研和临床应用提供更全面的数据支持。</w:t>
            </w:r>
          </w:p>
          <w:p w14:paraId="63685372">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生物样本库信息管理系统提供接口</w:t>
            </w:r>
          </w:p>
          <w:p w14:paraId="345621D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样本存储与管理接口：向 HIS 系统反馈生物样本的存储信息，包括样本位置、存储条件、存储时间、样本状态等，HIS 系统可据此跟踪样本的存储情况，确保样本质量。</w:t>
            </w:r>
          </w:p>
          <w:p w14:paraId="675E193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样本使用与分发接口：提供生物样本的使用和分发记录，包括使用目的、使用人员、使用时间、分发数量、接收单位等信息，HIS 系统可对样本的使用情况进行监控和管理，保障样本的合理使用。</w:t>
            </w:r>
          </w:p>
          <w:p w14:paraId="1FFB1FF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样本质量与库存预警接口：实时监控生物样本的质量和库存情况，当样本质量出现异常或库存数量低于预警线时，及时向 HIS 系统发出预警信息，提醒相关人员采取措施。</w:t>
            </w:r>
          </w:p>
          <w:p w14:paraId="0006024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样本数据统计与分析接口：定期向 HIS 系统提供生物样本数据统计报表，如样本总量、各类样本数量、样本使用频率、科研应用成果等，为医院评估生物样本库的管理水平和科研价值提供数据支持。</w:t>
            </w:r>
          </w:p>
        </w:tc>
      </w:tr>
      <w:tr w14:paraId="6DD41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restart"/>
            <w:vAlign w:val="center"/>
          </w:tcPr>
          <w:p w14:paraId="007ECDAF">
            <w:pPr>
              <w:numPr>
                <w:ilvl w:val="1"/>
                <w:numId w:val="11"/>
              </w:numPr>
              <w:ind w:left="0" w:firstLine="0"/>
              <w:rPr>
                <w:rFonts w:ascii="宋体" w:hAnsi="宋体"/>
                <w:color w:val="auto"/>
                <w:highlight w:val="none"/>
              </w:rPr>
            </w:pPr>
            <w:r>
              <w:rPr>
                <w:rFonts w:hint="eastAsia" w:ascii="宋体" w:hAnsi="宋体"/>
                <w:color w:val="auto"/>
                <w:highlight w:val="none"/>
              </w:rPr>
              <w:t>医疗管理系统对接</w:t>
            </w:r>
          </w:p>
        </w:tc>
        <w:tc>
          <w:tcPr>
            <w:tcW w:w="1686" w:type="dxa"/>
            <w:vAlign w:val="center"/>
          </w:tcPr>
          <w:p w14:paraId="1BA56A31">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物价精细化系统</w:t>
            </w:r>
          </w:p>
        </w:tc>
        <w:tc>
          <w:tcPr>
            <w:tcW w:w="10815" w:type="dxa"/>
            <w:vAlign w:val="center"/>
          </w:tcPr>
          <w:p w14:paraId="33E797C1">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56B5926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医疗服务项目信息接口：向物价精细化系统推送医院所有医疗服务项目的信息，包括项目编码、名称、收费标准、计价单位、项目内涵、除外内容等，确保物价系统数据与 HIS 系统一致。</w:t>
            </w:r>
          </w:p>
          <w:p w14:paraId="0EBD6B7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药品与耗材信息接口：提供药品和医用耗材的信息，包括名称、规格、剂型、生产厂家、批准文号、进价、售价、医保类别等，物价精细化系统可据此进行价格管理和成本核算。</w:t>
            </w:r>
          </w:p>
          <w:p w14:paraId="13D09CA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医嘱与收费记录接口：实时同步患者的医嘱信息和收费记录，包括医嘱项目、执行时间、数量、金额等，物价精细化系统可对收费情况进行监控和审核，确保收费准确合规。</w:t>
            </w:r>
          </w:p>
          <w:p w14:paraId="4517A0F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医保政策与价格调整接口：支持通过 HIS 系统接收医保政策变化和价格调整信息，物价精细化系统可根据这些信息及时调整医疗服务项目和药品耗材的收费标准，确保医院收费符合医保政策要求。</w:t>
            </w:r>
          </w:p>
          <w:p w14:paraId="36880BB0">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物价精细化系统提供接口</w:t>
            </w:r>
          </w:p>
          <w:p w14:paraId="1C35297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价格审核与反馈接口：对医院的收费项目和价格进行审核，将审核结果（如价格异常、项目不规范等）反馈至 HIS 系统，HIS 系统可通知相关部门进行整改，确保收费合规。</w:t>
            </w:r>
          </w:p>
          <w:p w14:paraId="3E859659">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成本核算与分析接口：向 HIS 系统提供医疗服务项目和药品耗材的成本核算数据，包括直接成本、间接成本、边际成本等，以及成本效益分析结果，为医院制定合理的价格策略提供依据。</w:t>
            </w:r>
          </w:p>
          <w:p w14:paraId="25E5AA6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医保报销比例与限价接口：实时反馈医保政策中各类医疗服务项目和药品耗材的报销比例、最高支付限价等信息，HIS 系统可在患者收费时进行自动计算和提示，避免医保费用超支。</w:t>
            </w:r>
          </w:p>
          <w:p w14:paraId="76C7E61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物价数据统计与报表接口：定期向 HIS 系统提供物价数据统计报表，如医疗收入构成、各科室收费情况、价格调整前后对比等，为医院管理层决策提供数据支持。</w:t>
            </w:r>
          </w:p>
        </w:tc>
      </w:tr>
      <w:tr w14:paraId="7C4A2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7D185865">
            <w:pPr>
              <w:widowControl/>
              <w:jc w:val="center"/>
              <w:rPr>
                <w:rFonts w:ascii="宋体" w:hAnsi="宋体"/>
                <w:color w:val="auto"/>
                <w:highlight w:val="none"/>
              </w:rPr>
            </w:pPr>
          </w:p>
        </w:tc>
        <w:tc>
          <w:tcPr>
            <w:tcW w:w="1686" w:type="dxa"/>
            <w:vAlign w:val="center"/>
          </w:tcPr>
          <w:p w14:paraId="2A04041E">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医保智能控费系统</w:t>
            </w:r>
          </w:p>
        </w:tc>
        <w:tc>
          <w:tcPr>
            <w:tcW w:w="10815" w:type="dxa"/>
            <w:vAlign w:val="center"/>
          </w:tcPr>
          <w:p w14:paraId="771EBC40">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7128DCC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患者医保信息接口：向医保智能控费系统推送患者的医保信息，包括医保类型、参保地、医保卡号、医保报销限额、医保待遇等，支持系统对患者的医保费用进行实时监控和管理。</w:t>
            </w:r>
          </w:p>
          <w:p w14:paraId="47AAD679">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医嘱与费用信息接口：实时提供患者的医嘱信息和费用明细，包括医疗服务项目、药品、耗材的名称、数量、单价、金额等，医保智能控费系统可据此对费用的合理性和医保合规性进行审核。</w:t>
            </w:r>
          </w:p>
          <w:p w14:paraId="7FF2B67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医保政策接口：同步医保部门的最新政策信息，包括医保目录、报销比例、支付标准、限制使用规定等，医保智能控费系统可根据政策要求对医疗行为和费用进行自动审核和控制。</w:t>
            </w:r>
          </w:p>
          <w:p w14:paraId="1D501E79">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患者诊疗信息接口：提供患者的诊疗信息，包括诊断、治疗方案、病情严重程度等，医保智能控费系统可结合这些信息评估医疗服务的必要性和合理性，避免过度医疗和不合理费用。</w:t>
            </w:r>
          </w:p>
          <w:p w14:paraId="25ADD702">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医保智能控费系统提供接口</w:t>
            </w:r>
          </w:p>
          <w:p w14:paraId="191E336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费用审核与预警接口：对患者的医保费用进行实时审核，当发现费用异常（如超医保目录、超报销比例、重复收费等）时，及时向 HIS 系统发出预警信息，提醒医护人员进行调整和处理。</w:t>
            </w:r>
          </w:p>
          <w:p w14:paraId="36A6E1C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医保支付预测接口：根据患者的诊疗计划和医保政策，预测医保费用的支付情况，包括可报销金额、自付金额等，HIS 系统可将这些信息告知患者，提高费用透明度。</w:t>
            </w:r>
          </w:p>
          <w:p w14:paraId="3B30E76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医保违规行为识别与处理接口：识别医保违规行为（如挂床住院、分解收费、虚报项目等），并将违规信息反馈至 HIS 系统，HIS 系统可采取相应的处理措施，如暂停费用结算、追究相关人员责任等。</w:t>
            </w:r>
          </w:p>
          <w:p w14:paraId="5E29951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医保数据分析与反馈接口：定期向 HIS 系统提供医保数据分析报告，如医保费用构成、医保支付比例、医保违规行为分布等，为医院优化医保管理、控制医保费用提供数据支持。</w:t>
            </w:r>
          </w:p>
        </w:tc>
      </w:tr>
      <w:tr w14:paraId="73DA9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4493BEED">
            <w:pPr>
              <w:widowControl/>
              <w:jc w:val="center"/>
              <w:rPr>
                <w:rFonts w:ascii="宋体" w:hAnsi="宋体"/>
                <w:color w:val="auto"/>
                <w:highlight w:val="none"/>
              </w:rPr>
            </w:pPr>
          </w:p>
        </w:tc>
        <w:tc>
          <w:tcPr>
            <w:tcW w:w="1686" w:type="dxa"/>
            <w:vAlign w:val="center"/>
          </w:tcPr>
          <w:p w14:paraId="73106249">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电子票据系统</w:t>
            </w:r>
          </w:p>
        </w:tc>
        <w:tc>
          <w:tcPr>
            <w:tcW w:w="10815" w:type="dxa"/>
            <w:vAlign w:val="center"/>
          </w:tcPr>
          <w:p w14:paraId="569782B4">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0D7E1AB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患者收费信息接口：向电子票据系统推送患者的收费信息，包括收费项目、金额、收费时间、收费科室、收费人员等，作为电子票据开具的依据。</w:t>
            </w:r>
          </w:p>
          <w:p w14:paraId="39D3CAD4">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患者基本信息接口：提供患者的基本信息，包括姓名、性别、年龄、联系方式、身份证号等，用于电子票据的抬头和信息填写。</w:t>
            </w:r>
          </w:p>
          <w:p w14:paraId="0D18F38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医保结算信息接口：同步患者的医保结算信息，包括医保报销金额、个人自付金额、医保结算时间等，电子票据系统可在票据中准确反映医保结算情况。</w:t>
            </w:r>
          </w:p>
          <w:p w14:paraId="1142FA4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票据状态反馈接口：接收电子票据系统反馈的票据状态信息，包括票据开具成功、失败、作废等，HIS 系统可据此更新患者的收费状态和票据记录。</w:t>
            </w:r>
          </w:p>
          <w:p w14:paraId="51874749">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电子票据系统提供接口</w:t>
            </w:r>
          </w:p>
          <w:p w14:paraId="4DC693C9">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电子票据开具接口：根据 HIS 系统提供的收费信息和患者信息，开具电子票据，并将票据信息（如票据号码、金额、开具时间、校验码等）反馈至 HIS 系统，HIS 系统可将票据信息告知患者。</w:t>
            </w:r>
          </w:p>
          <w:p w14:paraId="56205EC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电子票据查询与下载接口：支持 HIS 系统查询和下载患者的电子票据，包括按患者信息、时间范围、票据号码等条件进行检索，方便患者获取和保存电子票据。</w:t>
            </w:r>
          </w:p>
          <w:p w14:paraId="32E20E6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票据核销与归档接口：对已开具的电子票据进行核销和归档管理，将核销结果和归档信息反馈至 HIS 系统，HIS 系统可据此进行财务核算和档案管理。</w:t>
            </w:r>
          </w:p>
          <w:p w14:paraId="254F7224">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票据数据分析接口：定期向 HIS 系统提供电子票据数据分析报告，如票据开具数量、金额分布、退票率等，为医院优化票据管理流程、提高财务工作效率提供数据支持。</w:t>
            </w:r>
          </w:p>
        </w:tc>
      </w:tr>
      <w:tr w14:paraId="453FA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24084E25">
            <w:pPr>
              <w:widowControl/>
              <w:jc w:val="center"/>
              <w:rPr>
                <w:rFonts w:ascii="宋体" w:hAnsi="宋体"/>
                <w:color w:val="auto"/>
                <w:highlight w:val="none"/>
              </w:rPr>
            </w:pPr>
          </w:p>
        </w:tc>
        <w:tc>
          <w:tcPr>
            <w:tcW w:w="1686" w:type="dxa"/>
            <w:vAlign w:val="center"/>
          </w:tcPr>
          <w:p w14:paraId="6DAA9B0F">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CA系统</w:t>
            </w:r>
          </w:p>
        </w:tc>
        <w:tc>
          <w:tcPr>
            <w:tcW w:w="10815" w:type="dxa"/>
            <w:vAlign w:val="center"/>
          </w:tcPr>
          <w:p w14:paraId="450B8270">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6597E36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用户身份信息接口：向 CA 系统推送用户的身份信息，包括姓名、工号、科室、职位、联系方式等，作为 CA 证书申请和认证的基础数据。</w:t>
            </w:r>
          </w:p>
          <w:p w14:paraId="0EFC6CD2">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业务操作日志接口：提供用户在 HIS 系统中的业务操作日志，包括操作时间、操作内容、操作结果等，CA 系统可结合这些信息对用户的操作行为进行审计和追溯。</w:t>
            </w:r>
          </w:p>
          <w:p w14:paraId="04E76BD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权限管理接口：支持通过 HIS 系统设置 CA 系统的用户权限，如不同用户对 CA 证书的申请、审批、使用权限，确保 CA 证书的安全管理和合理使用。</w:t>
            </w:r>
          </w:p>
          <w:p w14:paraId="3D1FD4E4">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系统安全信息接口：实时同步 HIS 系统的安全信息，如系统登录情况、异常操作记录、安全漏洞信息等，CA 系统可据此加强用户身份认证和安全防护。</w:t>
            </w:r>
          </w:p>
          <w:p w14:paraId="09370FDD">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CA 系统提供接口</w:t>
            </w:r>
          </w:p>
          <w:p w14:paraId="20684D6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数字证书申请与发放接口：为 HIS 系统用户提供数字证书的申请、审核、发放服务，并将证书信息（如证书序列号、有效期、公钥等）反馈至 HIS 系统，HIS 系统可将证书与用户身份进行绑定。</w:t>
            </w:r>
          </w:p>
          <w:p w14:paraId="5C6D4FA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身份认证接口：对 HIS 系统用户的身份进行认证，验证用户提交的数字证书和身份信息的有效性，认证结果反馈至 HIS 系统，确保只有合法用户才能访问 HIS 系统资源。</w:t>
            </w:r>
          </w:p>
          <w:p w14:paraId="6895126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电子签名与验签接口：为 HIS 系统提供电子签名和验签服务，确保电子文档和业务数据的完整性和不可否认性，电子签名和验签结果反馈至 HIS 系统，用于业务流程的确认和存档。</w:t>
            </w:r>
          </w:p>
          <w:p w14:paraId="39EFF2B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证书管理与更新接口：对数字证书的生命周期进行管理，包括证书的更新、吊销、查询等服务，并将证书状态变化信息及时反馈至 HIS 系统，HIS 系统可据此调整用户的访问权限和业务操作。</w:t>
            </w:r>
          </w:p>
        </w:tc>
      </w:tr>
      <w:tr w14:paraId="5BDF4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35DCDFC6">
            <w:pPr>
              <w:widowControl/>
              <w:jc w:val="center"/>
              <w:rPr>
                <w:rFonts w:ascii="宋体" w:hAnsi="宋体"/>
                <w:color w:val="auto"/>
                <w:highlight w:val="none"/>
              </w:rPr>
            </w:pPr>
          </w:p>
        </w:tc>
        <w:tc>
          <w:tcPr>
            <w:tcW w:w="1686" w:type="dxa"/>
            <w:vAlign w:val="center"/>
          </w:tcPr>
          <w:p w14:paraId="7581810C">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HRP系统</w:t>
            </w:r>
          </w:p>
        </w:tc>
        <w:tc>
          <w:tcPr>
            <w:tcW w:w="10815" w:type="dxa"/>
            <w:vAlign w:val="center"/>
          </w:tcPr>
          <w:p w14:paraId="0440AC90">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4028C5E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人员信息接口：向 HRP 系统推送医院员工的基本信息，包括姓名、工号、科室、职位、职称、联系方式等，确保 HRP 系统与 HIS 系统的人员信息一致。</w:t>
            </w:r>
          </w:p>
          <w:p w14:paraId="773C6A6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业务量统计接口：提供医院各科室和岗位的业务量数据，如门诊人次、住院人数、手术台数、检查检验项目数量等，HRP 系统可据此进行人力资源配置和绩效考核。</w:t>
            </w:r>
          </w:p>
          <w:p w14:paraId="63CBFD69">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物资消耗与库存接口：实时同步医院药品、耗材、设备等物资的消耗和库存信息，包括物资名称、规格、数量、出入库时间、库存位置等，HRP 系统可据此进行物资采购、库存管理和成本核算。</w:t>
            </w:r>
          </w:p>
          <w:p w14:paraId="23C5A44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财务收支接口：提供医院的财务收支信息，包括收入项目、金额、来源，支出项目、金额、用途等，HRP 系统可据此进行财务预算、成本控制和效益分析。</w:t>
            </w:r>
          </w:p>
          <w:p w14:paraId="703CDAD0">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HRP 系统提供接口</w:t>
            </w:r>
          </w:p>
          <w:p w14:paraId="69A34A4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人力资源管理接口：向 HIS 系统提供人力资源管理信息，包括人员招聘、培训、绩效考核、薪酬福利等，HIS 系统可据此进行人员调配和管理，提高工作效率。</w:t>
            </w:r>
          </w:p>
          <w:p w14:paraId="38659B9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物资采购与供应接口：反馈物资采购计划、采购订单、供应商信息等，HIS 系统可根据采购进度和库存情况合理安排物资使用，确保医疗业务的正常开展。</w:t>
            </w:r>
          </w:p>
          <w:p w14:paraId="2D0E341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成本核算与分析接口：提供医院的成本核算数据和分析结果，包括科室成本、项目成本、病种成本等，HIS 系统可据此优化医疗服务流程，控制医疗成本。</w:t>
            </w:r>
          </w:p>
          <w:p w14:paraId="14F0259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预算管理与控制接口：向 HIS 系统反馈预算编制、执行和控制情况，包括预算指标、实际执行金额、预算偏差等，HIS 系统可据此规范业务行为，确保医院经济运行的合理性和可持续性。</w:t>
            </w:r>
          </w:p>
        </w:tc>
      </w:tr>
      <w:tr w14:paraId="7B518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restart"/>
            <w:vAlign w:val="center"/>
          </w:tcPr>
          <w:p w14:paraId="20729728">
            <w:pPr>
              <w:numPr>
                <w:ilvl w:val="1"/>
                <w:numId w:val="11"/>
              </w:numPr>
              <w:ind w:left="0" w:firstLine="0"/>
              <w:rPr>
                <w:rFonts w:ascii="宋体" w:hAnsi="宋体"/>
                <w:color w:val="auto"/>
                <w:highlight w:val="none"/>
              </w:rPr>
            </w:pPr>
            <w:r>
              <w:rPr>
                <w:rFonts w:hint="eastAsia" w:ascii="宋体" w:hAnsi="宋体"/>
                <w:color w:val="auto"/>
                <w:highlight w:val="none"/>
              </w:rPr>
              <w:t>互联互通对接</w:t>
            </w:r>
          </w:p>
        </w:tc>
        <w:tc>
          <w:tcPr>
            <w:tcW w:w="1686" w:type="dxa"/>
            <w:vAlign w:val="center"/>
          </w:tcPr>
          <w:p w14:paraId="671D8B22">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集成平台</w:t>
            </w:r>
          </w:p>
        </w:tc>
        <w:tc>
          <w:tcPr>
            <w:tcW w:w="10815" w:type="dxa"/>
            <w:vAlign w:val="center"/>
          </w:tcPr>
          <w:p w14:paraId="736F7AA1">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16C0662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患者主索引接口：向集成平台提供患者主索引信息，包括患者唯一标识、基本信息等，支持集成平台建立统一的患者身份标识，实现各业务系统间患者信息的共享和关联。</w:t>
            </w:r>
          </w:p>
          <w:p w14:paraId="6E1CB79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业务数据接口：实时推送 HIS 系统的各类业务数据，包括门诊诊疗数据、住院诊疗数据、医嘱数据、收费数据、检查检验结果等，集成平台可对这些数据进行整合和处理，为其他系统提供统一的数据服务。</w:t>
            </w:r>
          </w:p>
          <w:p w14:paraId="5EBB331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业务流程接口：提供 HIS 系统的业务流程接口，如挂号、就诊、检查、检验、治疗、出院等流程，集成平台可据此实现跨系统的业务协同和流程整合，提高医疗服务效率。</w:t>
            </w:r>
          </w:p>
          <w:p w14:paraId="4EA46F5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系统状态接口：实时反馈 HIS 系统的运行状态，包括系统可用性、性能指标、异常情况等，集成平台可据此进行系统监控和故障处理，确保 HIS 系统的稳定运行。</w:t>
            </w:r>
          </w:p>
          <w:p w14:paraId="15506953">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集成平台提供接口</w:t>
            </w:r>
          </w:p>
          <w:p w14:paraId="48E54D46">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数据共享服务接口：为 HIS 系统提供其他业务系统的数据共享服务，包括患者基本信息、检查检验结果、电子病历、医保信息等，HIS 系统可根据需要调用这些数据，丰富诊疗信息，辅助临床决策。</w:t>
            </w:r>
          </w:p>
          <w:p w14:paraId="1FD2522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业务协同接口：支持 HIS 系统与其他业务系统的业务协同，如双向转诊、远程会诊、分级诊疗等，集成平台可实现业务流程的自动化和标准化，提高医疗服务的连续性和协同性。</w:t>
            </w:r>
          </w:p>
          <w:p w14:paraId="62A6158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统一用户认证接口：为 HIS 系统提供统一的用户认证服务，实现用户一次登录即可访问多个相关系统，提高用户体验和系统安全性。</w:t>
            </w:r>
          </w:p>
          <w:p w14:paraId="1893DB52">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系统监控与管理接口：对 HIS 系统和其他业务系统的运行状态进行监控和管理，提供系统性能指标、故障预警、日志分析等服务，帮助医院及时发现和解决系统问题，保障业务的正常开展。</w:t>
            </w:r>
          </w:p>
        </w:tc>
      </w:tr>
      <w:tr w14:paraId="348BE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0228A242">
            <w:pPr>
              <w:widowControl/>
              <w:jc w:val="center"/>
              <w:rPr>
                <w:rFonts w:ascii="宋体" w:hAnsi="宋体"/>
                <w:color w:val="auto"/>
                <w:highlight w:val="none"/>
              </w:rPr>
            </w:pPr>
          </w:p>
        </w:tc>
        <w:tc>
          <w:tcPr>
            <w:tcW w:w="1686" w:type="dxa"/>
            <w:vAlign w:val="center"/>
          </w:tcPr>
          <w:p w14:paraId="6BE5798B">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检查检验结果共享互认</w:t>
            </w:r>
          </w:p>
        </w:tc>
        <w:tc>
          <w:tcPr>
            <w:tcW w:w="10815" w:type="dxa"/>
            <w:vAlign w:val="center"/>
          </w:tcPr>
          <w:p w14:paraId="5D74B2D9">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60FE083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检查检验申请接口：向检查检验结果共享互认平台推送患者的检查检验申请信息，包括申请科室、申请时间、检查检验项目、患者基本信息等，支持检查检验申请的电子化流转和跨机构共享。</w:t>
            </w:r>
          </w:p>
          <w:p w14:paraId="0C8E40F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检查检验结果接口：实时提供患者的检查检验结果信息，包括检查检验报告、图像数据、诊断结论等，检查检验结果共享互认平台可将这些结果进行标准化处理和存储，实现跨机构的结果共享和互认。</w:t>
            </w:r>
          </w:p>
          <w:p w14:paraId="485DDC94">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设备与人员信息接口：提供医院检查检验设备的信息（如设备名称、型号、性能参数等）和操作人员的资质信息，检查检验结果共享互认平台可据此评估检查检验结果的可靠性和可信度。</w:t>
            </w:r>
          </w:p>
          <w:p w14:paraId="53E3E5B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质量控制接口：同步医院检查检验质量控制信息，包括室内质控、室间质评结果等，检查检验结果共享互认平台可根据质量控制情况对检查检验结果进行分级和标注，提高结果互认的准确性。</w:t>
            </w:r>
          </w:p>
          <w:p w14:paraId="68F18AE7">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检查检验结果共享互认平台提供接口</w:t>
            </w:r>
          </w:p>
          <w:p w14:paraId="156ABAC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结果查询与调阅接口：支持 HIS 系统查询和调阅患者在其他医疗机构的检查检验结果，包括按患者信息、时间范围、检查检验项目等条件进行检索，方便医生全面了解患者的病情，减少重复检查。</w:t>
            </w:r>
          </w:p>
          <w:p w14:paraId="3A8D201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结果验证与互认接口：对调阅的检查检验结果进行验证和互认，评估结果的有效性和可靠性，并将验证结果反馈至 HIS 系统，医生可根据验证结果决定是否采信该结果，避免不必要的重复检查。</w:t>
            </w:r>
          </w:p>
          <w:p w14:paraId="5315E9F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质量反馈与改进接口：向 HIS 系统反馈医院检查检验结果的质量情况和互认情况，包括结果的准确性、完整性、时效性等方面的评价，HIS 系统可据此改进检查检验工作流程，提高结果质量。</w:t>
            </w:r>
          </w:p>
          <w:p w14:paraId="0ABDF5D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统计分析与决策支持接口：定期向 HIS 系统提供检查检验结果共享互认的统计分析数据，如共享结果数量、互认率、重复检查减少率等，为医院评估检查检验结果共享互认工作的成效、制定相关政策提供数据支持。</w:t>
            </w:r>
          </w:p>
        </w:tc>
      </w:tr>
      <w:tr w14:paraId="764D1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75FC0758">
            <w:pPr>
              <w:widowControl/>
              <w:jc w:val="center"/>
              <w:rPr>
                <w:rFonts w:ascii="宋体" w:hAnsi="宋体"/>
                <w:color w:val="auto"/>
                <w:highlight w:val="none"/>
              </w:rPr>
            </w:pPr>
          </w:p>
        </w:tc>
        <w:tc>
          <w:tcPr>
            <w:tcW w:w="1686" w:type="dxa"/>
            <w:vAlign w:val="center"/>
          </w:tcPr>
          <w:p w14:paraId="60B2B04E">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全民健康信息平台（12361工程）</w:t>
            </w:r>
          </w:p>
        </w:tc>
        <w:tc>
          <w:tcPr>
            <w:tcW w:w="10815" w:type="dxa"/>
            <w:vAlign w:val="center"/>
          </w:tcPr>
          <w:p w14:paraId="42228B8F">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4250C404">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患者基本信息接口：向全民健康信息平台推送患者的基本信息，包括姓名、性别、年龄、身份证号、联系方式、家庭住址等，支持平台建立统一的居民健康档案。</w:t>
            </w:r>
          </w:p>
          <w:p w14:paraId="2F7CA9D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诊疗信息接口：实时提供患者的诊疗信息，包括门诊就诊记录、住院记录、手术记录、麻醉记录、检查检验结果、用药记录等，全民健康信息平台可将这些信息整合到居民健康档案中，实现居民健康信息的集中管理和共享。</w:t>
            </w:r>
          </w:p>
          <w:p w14:paraId="5C8C758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公共卫生服务接口：提供与公共卫生服务相关的信息，如预防接种记录、儿童保健记录、孕产妇保健记录、慢性病管理记录等，全民健康信息平台可据此开展公共卫生服务管理和健康促进工作。</w:t>
            </w:r>
          </w:p>
          <w:p w14:paraId="1385560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医疗资源信息接口：同步医院的医疗资源信息，包括床位、设备、医护人员等，全民健康信息平台可据此进行医疗资源的统筹和调配，提高医疗资源的利用效率。</w:t>
            </w:r>
          </w:p>
          <w:p w14:paraId="7D42BEF5">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全民健康信息平台（12361 工程）提供接口</w:t>
            </w:r>
          </w:p>
          <w:p w14:paraId="04A4AA7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健康档案查询接口：支持 HIS 系统查询患者的全民健康档案信息，包括基本信息、诊疗记录、公共卫生服务记录等，方便医生全面了解患者的健康状况，提供连续、综合的医疗服务。</w:t>
            </w:r>
          </w:p>
          <w:p w14:paraId="3C2CCC5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公共卫生服务提醒接口：向 HIS 系统推送公共卫生服务提醒信息，如疫苗接种时间、慢性病随访时间、健康体检通知等，HIS 系统可将这些信息传达给患者，提高公共卫生服务的覆盖率和依从性。</w:t>
            </w:r>
          </w:p>
          <w:p w14:paraId="1DA7B3B2">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医疗协同服务接口：支持 HIS 系统与其他医疗机构的医疗协同服务，如双向转诊、远程会诊、分级诊疗等，全民健康信息平台可实现医疗信息的共享和业务流程的协同，提高医疗服务的效率和质量。</w:t>
            </w:r>
          </w:p>
          <w:p w14:paraId="45A56CD6">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统计分析与决策支持接口：定期向 HIS 系统提供全民健康信息平台的统计分析数据，如区域居民健康状况、疾病流行趋势、医疗服务利用情况等，为医院制定医疗服务计划、开展疾病防控工作提供数据支持。</w:t>
            </w:r>
          </w:p>
        </w:tc>
      </w:tr>
      <w:tr w14:paraId="09685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069B8BD5">
            <w:pPr>
              <w:widowControl/>
              <w:jc w:val="center"/>
              <w:rPr>
                <w:rFonts w:ascii="宋体" w:hAnsi="宋体"/>
                <w:color w:val="auto"/>
                <w:highlight w:val="none"/>
              </w:rPr>
            </w:pPr>
          </w:p>
        </w:tc>
        <w:tc>
          <w:tcPr>
            <w:tcW w:w="1686" w:type="dxa"/>
            <w:vAlign w:val="center"/>
          </w:tcPr>
          <w:p w14:paraId="18502ECB">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互联互通互认</w:t>
            </w:r>
          </w:p>
        </w:tc>
        <w:tc>
          <w:tcPr>
            <w:tcW w:w="10815" w:type="dxa"/>
            <w:vAlign w:val="center"/>
          </w:tcPr>
          <w:p w14:paraId="571FCF00">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7A55281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标准化数据接口：向互联互通互认平台推送符合国家相关标准（如 HL7FHIR、CDA等）的医疗数据，包括患者基本信息、诊疗信息、检查检验结果、电子病历等，支持跨机构、跨系统的数据交换和共享。</w:t>
            </w:r>
          </w:p>
          <w:p w14:paraId="2FF0B6B4">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业务流程接口：提供医院各类业务流程的接口，如挂号、就诊、检查、检验、治疗、出院等，互联互通互认平台可据此实现跨机构的业务协同和流程整合，提高医疗服务的连续性和可及性。</w:t>
            </w:r>
          </w:p>
          <w:p w14:paraId="409DED09">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术语与编码接口：同步医院使用的术语和编码系统，如疾病分类编码、手术操作编码、药品编码等，互联互通互认平台可对不同机构的术语和编码进行映射和转换，确保数据的一致性和可比性。</w:t>
            </w:r>
          </w:p>
          <w:p w14:paraId="059B3D5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安全与权限接口：提供数据安全和访问权限控制接口，确保医疗数据在交换和共享过程中的安全性和隐私性，保护患者的合法权益。</w:t>
            </w:r>
          </w:p>
          <w:p w14:paraId="2F8D5952">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互联互通互认平台提供接口</w:t>
            </w:r>
          </w:p>
          <w:p w14:paraId="5CA87E6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数据查询与获取接口：支持 HIS 系统查询和获取其他医疗机构的标准化医疗数据，包括患者信息、诊疗记录、检查检验结果等，方便医生全面了解患者的病情，提供更加精准的医疗服务。</w:t>
            </w:r>
          </w:p>
          <w:p w14:paraId="4705E034">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业务协同与流程整合接口：实现跨机构的业务协同和流程整合，如双向转诊、远程会诊、检查检验结果互认等，互联互通互认平台可对业务流程进行自动化处理和跟踪，提高医疗服务效率。</w:t>
            </w:r>
          </w:p>
          <w:p w14:paraId="4776F9D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质量控制与评估接口：对医疗数据的质量和业务流程的执行情况进行控制和评估，将评估结果反馈至 HIS 系统，HIS 系统可据此改进数据质量和业务流程，提高医疗服务质量。</w:t>
            </w:r>
          </w:p>
          <w:p w14:paraId="3A5C7E5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统计分析与决策支持接口：定期向 HIS 系统提供互联互通互认工作的统计分析数据，如数据交换量、业务协同次数、患者满意度等，为医院评估互联互通互认工作的成效、制定相关政策提供数据支持。</w:t>
            </w:r>
          </w:p>
        </w:tc>
      </w:tr>
      <w:tr w14:paraId="71EF9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0319FDDB">
            <w:pPr>
              <w:widowControl/>
              <w:jc w:val="center"/>
              <w:rPr>
                <w:rFonts w:ascii="宋体" w:hAnsi="宋体"/>
                <w:color w:val="auto"/>
                <w:highlight w:val="none"/>
              </w:rPr>
            </w:pPr>
          </w:p>
        </w:tc>
        <w:tc>
          <w:tcPr>
            <w:tcW w:w="1686" w:type="dxa"/>
            <w:vAlign w:val="center"/>
          </w:tcPr>
          <w:p w14:paraId="172C6BDD">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深圳市卫健委健康云平台</w:t>
            </w:r>
          </w:p>
        </w:tc>
        <w:tc>
          <w:tcPr>
            <w:tcW w:w="10815" w:type="dxa"/>
            <w:vAlign w:val="center"/>
          </w:tcPr>
          <w:p w14:paraId="1E32C4B2">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1CB0AF1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患者诊疗信息接口：向深圳市卫健委健康云平台推送患者的诊疗信息，包括门诊就诊记录、住院记录、手术记录、检查检验结果、用药记录等，支持平台对全市医疗服务数据的集中管理和分析。</w:t>
            </w:r>
          </w:p>
          <w:p w14:paraId="413ACC3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公共卫生相关信息接口：提供与公共卫生相关的信息，如传染病报告、预防接种记录、慢性病管理记录等，深圳市卫健委健康云平台可据此开展公共卫生监测和防控工作。</w:t>
            </w:r>
          </w:p>
          <w:p w14:paraId="07B859C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医疗资源信息接口：同步医院的医疗资源信息，包括床位、设备、医护人员等，深圳市卫健委健康云平台可据此进行医疗资源的统筹和调配，提高医疗资源的利用效率。</w:t>
            </w:r>
          </w:p>
          <w:p w14:paraId="4659094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医疗质量与安全信息接口：提供医院的医疗质量与安全信息，如手术并发症发生率、医院感染率、药品不良反应报告等，深圳市卫健委健康云平台可据此对医疗机构的医疗质量和安全进行监管和评估。</w:t>
            </w:r>
          </w:p>
          <w:p w14:paraId="60C698ED">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深圳市卫健委健康云平台提供接口</w:t>
            </w:r>
          </w:p>
          <w:p w14:paraId="3DE5A0A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医疗数据查询与分析接口：支持 HIS 系统查询和分析深圳市范围内的医疗数据，如疾病流行趋势、医疗资源分布、医疗质量指标等，为医院制定医疗服务计划、开展疾病防控工作提供数据支持。</w:t>
            </w:r>
          </w:p>
          <w:p w14:paraId="2D50F75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公共卫生服务协同接口：实现医院与公共卫生机构的业务协同，如传染病疫情报告、密切接触者追踪、疫苗接种管理等，深圳市卫健委健康云平台可对公共卫生服务流程进行自动化处理和跟踪，提高公共卫生服务效率。</w:t>
            </w:r>
          </w:p>
          <w:p w14:paraId="162E9CA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医疗监管与评估接口：向 HIS 系统反馈医院的医疗监管和评估结果，包括医疗质量评估、医疗安全评估、医疗服务效率评估等，HIS 系统可据此改进医疗服务质量和管理水平。</w:t>
            </w:r>
          </w:p>
          <w:p w14:paraId="153D7649">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政策与通知发布接口：发布卫生健康政策、工作通知、培训信息等，HIS 系统可接收这些信息，及时了解行业动态和政策要求，确保医院的医疗服务工作符合相关规定。</w:t>
            </w:r>
          </w:p>
        </w:tc>
      </w:tr>
      <w:tr w14:paraId="649FB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0F4363D1">
            <w:pPr>
              <w:widowControl/>
              <w:jc w:val="center"/>
              <w:rPr>
                <w:rFonts w:ascii="宋体" w:hAnsi="宋体"/>
                <w:color w:val="auto"/>
                <w:highlight w:val="none"/>
              </w:rPr>
            </w:pPr>
          </w:p>
        </w:tc>
        <w:tc>
          <w:tcPr>
            <w:tcW w:w="1686" w:type="dxa"/>
            <w:vAlign w:val="center"/>
          </w:tcPr>
          <w:p w14:paraId="275902D9">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国家疾控传染病监测预警前置系统</w:t>
            </w:r>
          </w:p>
        </w:tc>
        <w:tc>
          <w:tcPr>
            <w:tcW w:w="10815" w:type="dxa"/>
            <w:vAlign w:val="center"/>
          </w:tcPr>
          <w:p w14:paraId="1CCF01F8">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4C8B575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传染病病例报告接口：向国家疾控传染病监测预警前置系统实时推送传染病病例信息，包括患者基本信息、诊断信息、发病时间、就诊时间、临床表现等，支持传染病的早期发现和疫情监测。</w:t>
            </w:r>
          </w:p>
          <w:p w14:paraId="18A2930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发热门诊与急诊信息接口：提供医院发热门诊和急诊的就诊信息，包括就诊人数、症状表现、诊断结果等，国家疾控传染病监测预警前置系统可据此分析传染病的流行趋势和传播风险。</w:t>
            </w:r>
          </w:p>
          <w:p w14:paraId="2FF02986">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实验室检测结果接口：实时同步传染病相关的实验室检测结果，如核酸检测、抗体 检测等，国家疾控传染病监测预警前置系统可据此对传染病的诊断和疫情评估提供依据。</w:t>
            </w:r>
          </w:p>
          <w:p w14:paraId="2B75BE5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疫情防控措施接口：反馈医院采取的疫情防控措施，如隔离病房设置、个人防护装备使用、消毒情况等，国家疾控传染病监测预警前置系统可据此评估医院的疫情防控能力和效果。</w:t>
            </w:r>
          </w:p>
          <w:p w14:paraId="5F12EB96">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国家疾控传染病监测预警前置系统提供接口</w:t>
            </w:r>
          </w:p>
          <w:p w14:paraId="73E4C23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疫情预警信息接口：向 HIS 系统实时推送传染病疫情预警信息，包括预警级别、预警区域、预警疾病类型、防控建议等，HIS 系统可据此及时采取防控措施，防止疫情扩散。</w:t>
            </w:r>
          </w:p>
          <w:p w14:paraId="29FC9BD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疫情分析与预测接口：提供传染病疫情的分析和预测结果，如疫情发展趋势、传播风险评估、重点防控区域建议等，HIS 系统可据此调整医疗资源配置和防控策略。</w:t>
            </w:r>
          </w:p>
          <w:p w14:paraId="5AF26BE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防控指南与技术支持接口：发布传染病防控指南、诊疗方案、技术规范等，HIS 系统可接收这些信息，指导医院的疫情防控和医疗救治工作。</w:t>
            </w:r>
          </w:p>
          <w:p w14:paraId="21235C7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数据统计与报告接口：定期向 HIS 系统提供传染病监测和预警工作的数据统计报表，如病例数、发病率、死亡率、防控措施落实情况等，为医院评估疫情防控工作成效、改 进防控工作提供数据支持。</w:t>
            </w:r>
          </w:p>
        </w:tc>
      </w:tr>
      <w:tr w14:paraId="50FA8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5F58B947">
            <w:pPr>
              <w:widowControl/>
              <w:jc w:val="center"/>
              <w:rPr>
                <w:rFonts w:ascii="宋体" w:hAnsi="宋体"/>
                <w:color w:val="auto"/>
                <w:highlight w:val="none"/>
              </w:rPr>
            </w:pPr>
          </w:p>
        </w:tc>
        <w:tc>
          <w:tcPr>
            <w:tcW w:w="1686" w:type="dxa"/>
            <w:vAlign w:val="center"/>
          </w:tcPr>
          <w:p w14:paraId="69C8D1A6">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深圳市电子处方平台</w:t>
            </w:r>
          </w:p>
        </w:tc>
        <w:tc>
          <w:tcPr>
            <w:tcW w:w="10815" w:type="dxa"/>
            <w:vAlign w:val="center"/>
          </w:tcPr>
          <w:p w14:paraId="581FCCFB">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5707A6C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处方信息接口：向深圳市电子处方平台推送患者的处方信息，包括处方号、患者基本信息、药品名称、剂型、规格、数量、用法用量、开具时间、开具医师等，支持处方的电子化流转和共享。</w:t>
            </w:r>
          </w:p>
          <w:p w14:paraId="5B96FCB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患者基本信息接口：提供患者的基本信息，包括姓名、性别、年龄、身份证号、联系方式、医保信息等，深圳市电子处方平台可据此验证患者身份和医保资格，确保处方的合理性和合规性。</w:t>
            </w:r>
          </w:p>
          <w:p w14:paraId="4A699DB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药品库存与价格接口：实时同步医院药品的库存信息和价格信息，包括药品名称、规格、库存数量、零售价格等，深圳市电子处方平台可据此向患者提供药品购买建议和价格比较服务。</w:t>
            </w:r>
          </w:p>
          <w:p w14:paraId="50D4803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处方审核结果接口：接收深圳市电子处方平台反馈的处方审核结果，包括审核通过、审核不通过（原因说明）等，HIS 系统可据此通知医师进行处方修改或重新开具。</w:t>
            </w:r>
          </w:p>
          <w:p w14:paraId="0348DA04">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深圳市电子处方平台提供接口</w:t>
            </w:r>
          </w:p>
          <w:p w14:paraId="1CE078D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处方流转与调剂接口：支持医院处方在深圳市电子处方平台上的流转和调剂，包括处方发送、接收、审核、调剂等环节，实现处方的电子化管理和药品的便捷购买。</w:t>
            </w:r>
          </w:p>
          <w:p w14:paraId="6A896C9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药品配送服务接口：提供药品配送服务信息，包括配送企业、配送范围、配送时间、配送费用等，HIS 系统可将这些信息告知患者，方便患者选择合适的药品配送方式。</w:t>
            </w:r>
          </w:p>
          <w:p w14:paraId="3518819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医保结算接口：与医保系统对接，实现电子处方的医保费用结算，包括医保报销金额、个人自付金额等信息的实时计算和反馈，HIS 系统可据此为患者提供医保结算服务。</w:t>
            </w:r>
          </w:p>
          <w:p w14:paraId="0830BE2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处方监管与统计接口：对电子处方的开具、流转、调剂、配送等环节进行监管和统计，将监管结果和统计数据反馈至 HIS 系统，HIS 系统可据此规范处方行为，提高处方质量。</w:t>
            </w:r>
          </w:p>
        </w:tc>
      </w:tr>
      <w:tr w14:paraId="4F167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3655422B">
            <w:pPr>
              <w:widowControl/>
              <w:jc w:val="center"/>
              <w:rPr>
                <w:rFonts w:ascii="宋体" w:hAnsi="宋体"/>
                <w:color w:val="auto"/>
                <w:highlight w:val="none"/>
              </w:rPr>
            </w:pPr>
          </w:p>
        </w:tc>
        <w:tc>
          <w:tcPr>
            <w:tcW w:w="1686" w:type="dxa"/>
            <w:vAlign w:val="center"/>
          </w:tcPr>
          <w:p w14:paraId="7FD84741">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深圳市双向转诊系统</w:t>
            </w:r>
          </w:p>
        </w:tc>
        <w:tc>
          <w:tcPr>
            <w:tcW w:w="10815" w:type="dxa"/>
            <w:vAlign w:val="center"/>
          </w:tcPr>
          <w:p w14:paraId="27328E70">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598F220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转诊申请接口：向深圳市双向转诊系统推送患者的转诊申请信息，包括患者基本信息、诊断信息、当前治疗情况、转诊原因、转诊方向（上转或下转）、转诊医疗机构等，支持转诊申请的电子化提交和审批。</w:t>
            </w:r>
          </w:p>
          <w:p w14:paraId="631A0B8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患者诊疗信息接口：提供患者的完整诊疗信息，包括门诊病历、住院病历、检查检验结果、手术记录等，深圳市双向转诊系统可将这些信息同步至接收医院，方便接收医院快速了解患者病情，制定治疗方案。</w:t>
            </w:r>
          </w:p>
          <w:p w14:paraId="793882A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转诊状态反馈接口：接收深圳市双向转诊系统反馈的转诊状态信息，包括转诊申请已受理、已审批、已安排床位、已完成转诊等，HIS 系统可据此及时通知患者和医护人员，协调转诊相关事宜。</w:t>
            </w:r>
          </w:p>
          <w:p w14:paraId="07F9D169">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转诊评价接口：提供转诊服务的评价信息，包括转诊效率、服务质量、患者满意度等，深圳市双向转诊系统可据此对转诊服务进行质量评估和持续改进。</w:t>
            </w:r>
          </w:p>
          <w:p w14:paraId="15E36338">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深圳市双向转诊系统提供接口</w:t>
            </w:r>
          </w:p>
          <w:p w14:paraId="4F62060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转诊申请审核接口：为 HIS 系统提供转诊申请的审核服务，包括对转诊指征、转诊医疗机构选择等进行审核，并将审核结果反馈至 HIS 系统，确保转诊申请的合理性和合规性。</w:t>
            </w:r>
          </w:p>
          <w:p w14:paraId="7E8F0F1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转诊医疗机构匹配接口：根据患者的病情和转诊需求，为 HIS 系统推荐合适的转诊医疗机构，包括医疗机构的名称、地址、专长科室、联系方式等信息，提高转诊效率和准确性。</w:t>
            </w:r>
          </w:p>
          <w:p w14:paraId="5142D48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转诊流程跟踪接口：实时跟踪转诊患者的流程状态，包括转诊申请、审批、转运、接收等环节，将流程状态信息反馈至 HIS 系统，方便医院和患者了解转诊进度。</w:t>
            </w:r>
          </w:p>
          <w:p w14:paraId="0BE0EDF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转诊数据统计与分析接口：定期向 HIS 系统提供双向转诊工作的数据统计报表，如转诊人次、转诊病种分布、转诊成功率、平均转诊时间等，为医院评估双向转诊工作成效、优化转诊流程提供数据支持。</w:t>
            </w:r>
          </w:p>
        </w:tc>
      </w:tr>
      <w:tr w14:paraId="22153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2C05515E">
            <w:pPr>
              <w:widowControl/>
              <w:jc w:val="center"/>
              <w:rPr>
                <w:rFonts w:ascii="宋体" w:hAnsi="宋体"/>
                <w:color w:val="auto"/>
                <w:highlight w:val="none"/>
              </w:rPr>
            </w:pPr>
          </w:p>
        </w:tc>
        <w:tc>
          <w:tcPr>
            <w:tcW w:w="1686" w:type="dxa"/>
            <w:vAlign w:val="center"/>
          </w:tcPr>
          <w:p w14:paraId="630F48AE">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国家抗肿瘤药物平台</w:t>
            </w:r>
          </w:p>
        </w:tc>
        <w:tc>
          <w:tcPr>
            <w:tcW w:w="10815" w:type="dxa"/>
            <w:vAlign w:val="center"/>
          </w:tcPr>
          <w:p w14:paraId="5C642AA1">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09C4402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肿瘤患者信息接口：向国家抗肿瘤药物平台推送肿瘤患者的基本信息，包括姓名、性别、年龄、诊断、肿瘤类型、分期等，支持平台建立全国肿瘤患者数据库，开展肿瘤疾病监测和研究。</w:t>
            </w:r>
          </w:p>
          <w:p w14:paraId="48DDCD9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抗肿瘤药物使用信息接口：提供患者的抗肿瘤药物使用信息，包括药物名称、剂型、规格、剂量、用药时间、用药途径、用药疗程等，国家抗肿瘤药物平台可据此对肿瘤药物的使用情况进行监测和分析，促进合理用药。</w:t>
            </w:r>
          </w:p>
          <w:p w14:paraId="0025074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抗肿瘤治疗方案接口：实时同步患者的抗肿瘤治疗方案，包括手术治疗、化疗、放疗、靶向治疗、免疫治疗等，国家抗肿瘤药物平台可对治疗方案的合理性和有效性进行评估，为临床治疗提供参考。</w:t>
            </w:r>
          </w:p>
          <w:p w14:paraId="2794039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治疗效果与不良反应接口：反馈患者的治疗效果和不良反应信息，包括肿瘤缩小情况、症状改善情况、不良反应类型、严重程度、处理措施等，国家抗肿瘤药物平台可据此开展药物安全性评价和治疗效果评估。</w:t>
            </w:r>
          </w:p>
          <w:p w14:paraId="745A4318">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国家抗肿瘤药物平台提供接口</w:t>
            </w:r>
          </w:p>
          <w:p w14:paraId="45CCE16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药物信息与指南接口：向 HIS 系统提供抗肿瘤药物的最新信息，包括药物说明书、临床应用指南、药物疗效和安全性数据等，HIS 系统可据此更新医护人员的知识，指导临床用药。</w:t>
            </w:r>
          </w:p>
          <w:p w14:paraId="5FEF5B92">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用药合理性评估接口：对医院抗肿瘤药物的使用情况进行合理性评估，包括药物选择、剂量、疗程、联合用药等方面的评估，并将评估结果反馈至 HIS 系统，HIS 系统可据此规范抗肿瘤药物的使用，提高用药安全。</w:t>
            </w:r>
          </w:p>
          <w:p w14:paraId="7C98CA4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药物可及性与供应接口：提供抗肿瘤药物的可及性和供应信息，包括药物生产企业、药品价格、医保报销情况、药品短缺预警等，HIS 系统可据此合理安排药物采购和使用，保障患者用药需求。</w:t>
            </w:r>
          </w:p>
          <w:p w14:paraId="0C93EDC4">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数据统计与分析接口：定期向 HIS 系统提供国家抗肿瘤药物平台的数据统计报表，如肿瘤发病率、死亡率、抗肿瘤药物使用情况、治疗效果评估等，为医院制定肿瘤防治策略、开展临床研究提供数据支持。</w:t>
            </w:r>
          </w:p>
        </w:tc>
      </w:tr>
      <w:tr w14:paraId="1CFF3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23D465E2">
            <w:pPr>
              <w:widowControl/>
              <w:jc w:val="center"/>
              <w:rPr>
                <w:rFonts w:ascii="宋体" w:hAnsi="宋体"/>
                <w:color w:val="auto"/>
                <w:highlight w:val="none"/>
              </w:rPr>
            </w:pPr>
          </w:p>
        </w:tc>
        <w:tc>
          <w:tcPr>
            <w:tcW w:w="1686" w:type="dxa"/>
            <w:vAlign w:val="center"/>
          </w:tcPr>
          <w:p w14:paraId="26554520">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国家儿童肿瘤平台</w:t>
            </w:r>
          </w:p>
        </w:tc>
        <w:tc>
          <w:tcPr>
            <w:tcW w:w="10815" w:type="dxa"/>
            <w:vAlign w:val="center"/>
          </w:tcPr>
          <w:p w14:paraId="3049B50B">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HIS 提供接口</w:t>
            </w:r>
          </w:p>
          <w:p w14:paraId="16B3275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儿童肿瘤患者信息接口：向国家儿童肿瘤平台推送儿童肿瘤患者的基本信息，包括姓名、性别、年龄、诊断、肿瘤类型、分期等，支持平台建立全国儿童肿瘤患者数据库，开展儿童肿瘤疾病监测和研究。</w:t>
            </w:r>
          </w:p>
          <w:p w14:paraId="71F9CF62">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儿童抗肿瘤治疗信息接口：提供儿童患者的抗肿瘤治疗信息，包括治疗方案、药物使用情况、手术记录、放疗记录、化疗记录等，国家儿童肿瘤平台可据此对儿童肿瘤治疗情况进行监测和分析，优化治疗方案。</w:t>
            </w:r>
          </w:p>
          <w:p w14:paraId="1795D01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儿童生长发育与营养状况接口：实时同步儿童患者的生长发育指标和营养状况信息，包括身高、体重、头围、营养评估结果等，国家儿童肿瘤平台可据此评估治疗对儿童生 长发育的影响，指导营养支持治疗。</w:t>
            </w:r>
          </w:p>
          <w:p w14:paraId="695C2AE9">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治疗效果与随访信息接口：反馈儿童患者的治疗效果和随访信息，包括肿瘤缓解情况、复发情况、生存质量评估等，国家儿童肿瘤平台可据此开展长期随访研究，提高儿童肿瘤的治疗效果和生存质量。</w:t>
            </w:r>
          </w:p>
          <w:p w14:paraId="0FE72DD3">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国家儿童肿瘤平台提供接口</w:t>
            </w:r>
          </w:p>
          <w:p w14:paraId="32D5B0D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诊疗规范与专家共识接口：向 HIS 系统提供儿童肿瘤诊疗规范和专家共识，包括诊断标准、治疗方案、随访计划等，HIS 系统可据此规范儿童肿瘤的诊疗行为，提高诊疗水平。</w:t>
            </w:r>
          </w:p>
          <w:p w14:paraId="4AED58D5">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多学科协作与远程会诊接口：支持医院与国家儿童肿瘤平台的多学科专家团队进行协作和远程会诊，为疑难复杂儿童肿瘤病例提供诊疗建议和指导，提高儿童肿瘤的诊疗效果。</w:t>
            </w:r>
          </w:p>
          <w:p w14:paraId="0E75B67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临床研究与试验接口：发布儿童肿瘤临床研究和试验信息，包括研究目的、入选标准、研究方案等，HIS 系统可据此筛选符合条件的患者参与临床研究，推动儿童肿瘤治疗技术的创新和发展。</w:t>
            </w:r>
          </w:p>
          <w:p w14:paraId="54E62AA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数据统计与分析接口：定期向 HIS 系统提供国家儿童肿瘤平台的数据统计报表，如儿童肿瘤发病率、死亡率、治疗效果评估、生存分析等，为医院制定儿童肿瘤防治策略、开展临床研究提供数据支持。</w:t>
            </w:r>
          </w:p>
        </w:tc>
      </w:tr>
      <w:tr w14:paraId="65163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restart"/>
            <w:vAlign w:val="center"/>
          </w:tcPr>
          <w:p w14:paraId="024638C9">
            <w:pPr>
              <w:widowControl/>
              <w:jc w:val="center"/>
              <w:rPr>
                <w:rFonts w:ascii="宋体" w:hAnsi="宋体"/>
                <w:color w:val="auto"/>
                <w:highlight w:val="none"/>
              </w:rPr>
            </w:pPr>
            <w:r>
              <w:rPr>
                <w:rFonts w:hint="eastAsia" w:ascii="宋体" w:hAnsi="宋体"/>
                <w:color w:val="auto"/>
                <w:highlight w:val="none"/>
              </w:rPr>
              <w:t>双向对接（2025年9月25日补充，未归类）</w:t>
            </w:r>
          </w:p>
        </w:tc>
        <w:tc>
          <w:tcPr>
            <w:tcW w:w="1686" w:type="dxa"/>
            <w:vAlign w:val="center"/>
          </w:tcPr>
          <w:p w14:paraId="1038C4E7">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诊前管理系统</w:t>
            </w:r>
          </w:p>
        </w:tc>
        <w:tc>
          <w:tcPr>
            <w:tcW w:w="10815" w:type="dxa"/>
            <w:vAlign w:val="center"/>
          </w:tcPr>
          <w:p w14:paraId="2511FA23">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预问诊系统厂商提供接口，在相关厂商配合下，对接</w:t>
            </w:r>
            <w:r>
              <w:rPr>
                <w:rFonts w:ascii="宋体" w:hAnsi="宋体" w:cs="宋体"/>
                <w:bCs/>
                <w:color w:val="auto"/>
                <w:szCs w:val="21"/>
                <w:highlight w:val="none"/>
              </w:rPr>
              <w:t>预问诊功能</w:t>
            </w:r>
            <w:r>
              <w:rPr>
                <w:rFonts w:hint="eastAsia" w:ascii="宋体" w:hAnsi="宋体" w:cs="宋体"/>
                <w:bCs/>
                <w:color w:val="auto"/>
                <w:szCs w:val="21"/>
                <w:highlight w:val="none"/>
              </w:rPr>
              <w:t>的主诉数据和患者信息</w:t>
            </w:r>
            <w:r>
              <w:rPr>
                <w:rFonts w:ascii="宋体" w:hAnsi="宋体" w:cs="宋体"/>
                <w:bCs/>
                <w:color w:val="auto"/>
                <w:szCs w:val="21"/>
                <w:highlight w:val="none"/>
              </w:rPr>
              <w:t>；</w:t>
            </w:r>
          </w:p>
        </w:tc>
      </w:tr>
      <w:tr w14:paraId="195ED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tcBorders/>
            <w:vAlign w:val="center"/>
          </w:tcPr>
          <w:p w14:paraId="568A751E">
            <w:pPr>
              <w:widowControl/>
              <w:jc w:val="center"/>
              <w:rPr>
                <w:rFonts w:ascii="宋体" w:hAnsi="宋体"/>
                <w:color w:val="auto"/>
                <w:highlight w:val="none"/>
              </w:rPr>
            </w:pPr>
          </w:p>
        </w:tc>
        <w:tc>
          <w:tcPr>
            <w:tcW w:w="1686" w:type="dxa"/>
            <w:vAlign w:val="center"/>
          </w:tcPr>
          <w:p w14:paraId="1D74DD56">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全资源预约系统</w:t>
            </w:r>
          </w:p>
        </w:tc>
        <w:tc>
          <w:tcPr>
            <w:tcW w:w="10815" w:type="dxa"/>
            <w:vAlign w:val="center"/>
          </w:tcPr>
          <w:p w14:paraId="6EA726D0">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全资源预约系统厂商提供接口，在相关厂商配合下，对接</w:t>
            </w:r>
            <w:r>
              <w:rPr>
                <w:rFonts w:ascii="宋体" w:hAnsi="宋体" w:cs="宋体"/>
                <w:bCs/>
                <w:color w:val="auto"/>
                <w:szCs w:val="21"/>
                <w:highlight w:val="none"/>
              </w:rPr>
              <w:t>在线预约挂号，诊间预约挂号、预约检验检查、预约床位</w:t>
            </w:r>
            <w:r>
              <w:rPr>
                <w:rFonts w:hint="eastAsia" w:ascii="宋体" w:hAnsi="宋体" w:cs="宋体"/>
                <w:bCs/>
                <w:color w:val="auto"/>
                <w:szCs w:val="21"/>
                <w:highlight w:val="none"/>
              </w:rPr>
              <w:t>等数据</w:t>
            </w:r>
          </w:p>
        </w:tc>
      </w:tr>
      <w:tr w14:paraId="09CF3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tcBorders/>
            <w:vAlign w:val="center"/>
          </w:tcPr>
          <w:p w14:paraId="3D822AB7">
            <w:pPr>
              <w:widowControl/>
              <w:jc w:val="center"/>
              <w:rPr>
                <w:rFonts w:ascii="宋体" w:hAnsi="宋体"/>
                <w:color w:val="auto"/>
                <w:highlight w:val="none"/>
              </w:rPr>
            </w:pPr>
          </w:p>
        </w:tc>
        <w:tc>
          <w:tcPr>
            <w:tcW w:w="1686" w:type="dxa"/>
            <w:vAlign w:val="center"/>
          </w:tcPr>
          <w:p w14:paraId="327892D0">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统一消息系统</w:t>
            </w:r>
          </w:p>
        </w:tc>
        <w:tc>
          <w:tcPr>
            <w:tcW w:w="10815" w:type="dxa"/>
            <w:vAlign w:val="center"/>
          </w:tcPr>
          <w:p w14:paraId="3BA2E6B4">
            <w:pPr>
              <w:numPr>
                <w:ilvl w:val="0"/>
                <w:numId w:val="12"/>
              </w:numPr>
              <w:rPr>
                <w:color w:val="auto"/>
                <w:highlight w:val="none"/>
              </w:rPr>
            </w:pPr>
            <w:r>
              <w:rPr>
                <w:rFonts w:hint="eastAsia" w:ascii="宋体" w:hAnsi="宋体" w:cs="宋体"/>
                <w:color w:val="auto"/>
                <w:highlight w:val="none"/>
              </w:rPr>
              <w:t>危急值消息弹窗：</w:t>
            </w:r>
            <w:r>
              <w:rPr>
                <w:rFonts w:ascii="宋体" w:hAnsi="宋体" w:cs="宋体"/>
                <w:color w:val="auto"/>
                <w:highlight w:val="none"/>
              </w:rPr>
              <w:t>默认登录医生站时自动弹窗处理。并支持与移动端对接，满足医生通过移动端处理患者危机值需求。</w:t>
            </w:r>
            <w:r>
              <w:rPr>
                <w:rFonts w:hint="eastAsia" w:ascii="宋体" w:hAnsi="宋体" w:cs="宋体"/>
                <w:color w:val="auto"/>
                <w:highlight w:val="none"/>
              </w:rPr>
              <w:t>（检验检查系统将危急值推送给院方统一消息推送系统，由统一消息推送系统推送给H</w:t>
            </w:r>
            <w:r>
              <w:rPr>
                <w:rFonts w:ascii="宋体" w:hAnsi="宋体" w:cs="宋体"/>
                <w:color w:val="auto"/>
                <w:highlight w:val="none"/>
              </w:rPr>
              <w:t>IS</w:t>
            </w:r>
            <w:r>
              <w:rPr>
                <w:rFonts w:hint="eastAsia" w:ascii="宋体" w:hAnsi="宋体" w:cs="宋体"/>
                <w:color w:val="auto"/>
                <w:highlight w:val="none"/>
              </w:rPr>
              <w:t>医生站和企业微信，医生处理后统一消息推送系统将处理结果回写给H</w:t>
            </w:r>
            <w:r>
              <w:rPr>
                <w:rFonts w:ascii="宋体" w:hAnsi="宋体" w:cs="宋体"/>
                <w:color w:val="auto"/>
                <w:highlight w:val="none"/>
              </w:rPr>
              <w:t>IS</w:t>
            </w:r>
            <w:r>
              <w:rPr>
                <w:rFonts w:hint="eastAsia" w:ascii="宋体" w:hAnsi="宋体" w:cs="宋体"/>
                <w:color w:val="auto"/>
                <w:highlight w:val="none"/>
              </w:rPr>
              <w:t>系统）</w:t>
            </w:r>
          </w:p>
          <w:p w14:paraId="358CB60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color w:val="auto"/>
                <w:highlight w:val="none"/>
              </w:rPr>
              <w:t>对于危急值通知具有按时效管控、分级通知、反馈功能</w:t>
            </w:r>
            <w:r>
              <w:rPr>
                <w:rFonts w:ascii="'宋体'" w:hAnsi="'宋体'" w:cs="'宋体'"/>
                <w:color w:val="auto"/>
                <w:sz w:val="18"/>
                <w:highlight w:val="none"/>
              </w:rPr>
              <w:t xml:space="preserve"> </w:t>
            </w:r>
            <w:r>
              <w:rPr>
                <w:rFonts w:hint="eastAsia" w:ascii="'宋体'" w:hAnsi="'宋体'" w:cs="'宋体'"/>
                <w:color w:val="auto"/>
                <w:sz w:val="18"/>
                <w:highlight w:val="none"/>
              </w:rPr>
              <w:t>（对接院方统一消息系统，由统一消息系统推送危急值通知）</w:t>
            </w:r>
          </w:p>
        </w:tc>
      </w:tr>
      <w:tr w14:paraId="13B00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376" w:type="dxa"/>
            <w:vMerge w:val="continue"/>
            <w:tcBorders/>
            <w:vAlign w:val="center"/>
          </w:tcPr>
          <w:p w14:paraId="582CEBBF">
            <w:pPr>
              <w:widowControl/>
              <w:jc w:val="center"/>
              <w:rPr>
                <w:rFonts w:ascii="宋体" w:hAnsi="宋体"/>
                <w:color w:val="auto"/>
                <w:highlight w:val="none"/>
              </w:rPr>
            </w:pPr>
          </w:p>
        </w:tc>
        <w:tc>
          <w:tcPr>
            <w:tcW w:w="1686" w:type="dxa"/>
            <w:vAlign w:val="center"/>
          </w:tcPr>
          <w:p w14:paraId="6C4AF40B">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医务管理系统</w:t>
            </w:r>
            <w:r>
              <w:rPr>
                <w:rFonts w:hint="eastAsia" w:ascii="宋体" w:hAnsi="宋体" w:cs="宋体"/>
                <w:color w:val="auto"/>
                <w:kern w:val="0"/>
                <w:szCs w:val="21"/>
                <w:highlight w:val="yellow"/>
                <w:lang w:eastAsia="zh-CN"/>
              </w:rPr>
              <w:t>（待补充）</w:t>
            </w:r>
          </w:p>
        </w:tc>
        <w:tc>
          <w:tcPr>
            <w:tcW w:w="10815" w:type="dxa"/>
            <w:vAlign w:val="center"/>
          </w:tcPr>
          <w:p w14:paraId="3ED5870A">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疾病诊断证明以及请假证明审批：医生开具完成的疾病诊断证明以及请假证明流转医务管理系统医疗证明审核模块，经过门诊办审批后加认证电子签章。患者可以前往综合服务台打印证明。已审批证明可以多次打印，补打时候需要填写补打理由以及记录打印时间(备注，HIS提供诊断证明与请假证明接口给医务系统接口，在医务管理系统审核，在医务管理系统中实现历史证明调阅、统计等功能)</w:t>
            </w:r>
          </w:p>
          <w:p w14:paraId="3347165E">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门诊退药申请线上申请审批：患者公众号选择以及开具药品目录，提交申请，医生在门诊医生工作进行审批，流程流转至门诊医务管理系统门诊办公室进行审核，然后流转医院药房进行确认。</w:t>
            </w:r>
          </w:p>
          <w:p w14:paraId="702A9799">
            <w:pPr>
              <w:numPr>
                <w:ilvl w:val="0"/>
                <w:numId w:val="12"/>
              </w:numPr>
              <w:tabs>
                <w:tab w:val="left" w:pos="525"/>
                <w:tab w:val="left" w:pos="63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门诊病历模板审批：授权专病模板元素工作台权限给专科信息员做模板编辑，完成后提交医务管理系统经病案、医务以及法务审核</w:t>
            </w:r>
          </w:p>
        </w:tc>
      </w:tr>
      <w:tr w14:paraId="34B03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376" w:type="dxa"/>
            <w:vMerge w:val="continue"/>
            <w:tcBorders/>
            <w:vAlign w:val="center"/>
          </w:tcPr>
          <w:p w14:paraId="79767268">
            <w:pPr>
              <w:widowControl/>
              <w:jc w:val="center"/>
              <w:rPr>
                <w:rFonts w:ascii="宋体" w:hAnsi="宋体"/>
                <w:color w:val="auto"/>
                <w:highlight w:val="none"/>
              </w:rPr>
            </w:pPr>
          </w:p>
        </w:tc>
        <w:tc>
          <w:tcPr>
            <w:tcW w:w="1686" w:type="dxa"/>
            <w:vAlign w:val="center"/>
          </w:tcPr>
          <w:p w14:paraId="50253556">
            <w:pPr>
              <w:numPr>
                <w:ilvl w:val="2"/>
                <w:numId w:val="11"/>
              </w:numPr>
              <w:ind w:left="0" w:firstLine="0"/>
              <w:rPr>
                <w:rFonts w:hint="eastAsia" w:ascii="宋体" w:hAnsi="宋体" w:cs="宋体"/>
                <w:color w:val="auto"/>
                <w:kern w:val="0"/>
                <w:szCs w:val="21"/>
                <w:highlight w:val="none"/>
              </w:rPr>
            </w:pPr>
            <w:r>
              <w:rPr>
                <w:rFonts w:hint="eastAsia" w:ascii="宋体" w:hAnsi="宋体" w:cs="宋体"/>
                <w:szCs w:val="21"/>
              </w:rPr>
              <w:t>急诊预处理对接</w:t>
            </w:r>
            <w:r>
              <w:rPr>
                <w:rFonts w:hint="eastAsia" w:ascii="宋体" w:hAnsi="宋体" w:cs="宋体"/>
                <w:bCs/>
                <w:color w:val="auto"/>
                <w:szCs w:val="21"/>
                <w:highlight w:val="yellow"/>
                <w:lang w:eastAsia="zh-CN"/>
              </w:rPr>
              <w:t>（待补充）</w:t>
            </w:r>
          </w:p>
        </w:tc>
        <w:tc>
          <w:tcPr>
            <w:tcW w:w="10815" w:type="dxa"/>
            <w:vAlign w:val="center"/>
          </w:tcPr>
          <w:p w14:paraId="203627C3">
            <w:pPr>
              <w:numPr>
                <w:ilvl w:val="0"/>
                <w:numId w:val="12"/>
              </w:numPr>
              <w:tabs>
                <w:tab w:val="left" w:pos="525"/>
                <w:tab w:val="left" w:pos="630"/>
              </w:tabs>
              <w:spacing w:line="360" w:lineRule="auto"/>
              <w:rPr>
                <w:rFonts w:hint="eastAsia" w:ascii="宋体" w:hAnsi="宋体" w:eastAsia="宋体" w:cs="宋体"/>
                <w:bCs/>
                <w:color w:val="auto"/>
                <w:szCs w:val="21"/>
                <w:highlight w:val="none"/>
                <w:lang w:eastAsia="zh-CN"/>
              </w:rPr>
            </w:pPr>
          </w:p>
        </w:tc>
      </w:tr>
      <w:tr w14:paraId="7C099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877" w:type="dxa"/>
            <w:gridSpan w:val="3"/>
            <w:vAlign w:val="center"/>
          </w:tcPr>
          <w:p w14:paraId="06A17B73">
            <w:pPr>
              <w:numPr>
                <w:ilvl w:val="0"/>
                <w:numId w:val="11"/>
              </w:numPr>
              <w:rPr>
                <w:rFonts w:ascii="宋体" w:hAnsi="宋体"/>
                <w:color w:val="auto"/>
                <w:highlight w:val="none"/>
              </w:rPr>
            </w:pPr>
            <w:r>
              <w:rPr>
                <w:rFonts w:hint="eastAsia" w:ascii="宋体" w:hAnsi="宋体"/>
                <w:color w:val="auto"/>
                <w:highlight w:val="none"/>
              </w:rPr>
              <w:t>单向对接（HIS提供接口）</w:t>
            </w:r>
          </w:p>
        </w:tc>
      </w:tr>
      <w:tr w14:paraId="26BCC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restart"/>
            <w:vAlign w:val="center"/>
          </w:tcPr>
          <w:p w14:paraId="176DBC46">
            <w:pPr>
              <w:widowControl/>
              <w:jc w:val="center"/>
              <w:rPr>
                <w:rFonts w:ascii="宋体" w:hAnsi="宋体"/>
                <w:color w:val="auto"/>
                <w:highlight w:val="none"/>
              </w:rPr>
            </w:pPr>
            <w:r>
              <w:rPr>
                <w:rFonts w:hint="eastAsia" w:ascii="宋体" w:hAnsi="宋体"/>
                <w:color w:val="auto"/>
                <w:highlight w:val="none"/>
              </w:rPr>
              <w:t>单向对接（HIS提供接口）</w:t>
            </w:r>
          </w:p>
        </w:tc>
        <w:tc>
          <w:tcPr>
            <w:tcW w:w="1686" w:type="dxa"/>
            <w:vAlign w:val="center"/>
          </w:tcPr>
          <w:p w14:paraId="67DC74D0">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门诊流程单机版应急系统</w:t>
            </w:r>
          </w:p>
        </w:tc>
        <w:tc>
          <w:tcPr>
            <w:tcW w:w="10815" w:type="dxa"/>
            <w:vAlign w:val="center"/>
          </w:tcPr>
          <w:p w14:paraId="0F7A2FE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患者基本信息接口：提供患者姓名、性别、年龄、身份证号、联系方式、医保类型及编号等基本信息，以 JSON 格式实时传输，确保应急系统快速获取患者身份信息，保障门诊流程在应急状态下顺利开展。</w:t>
            </w:r>
          </w:p>
          <w:p w14:paraId="5D8D3AD6">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挂号信息接口：输出挂号时间、挂号科室、挂号医师、挂号类型（普通、专家等）、挂号费用等数据，支持按时间段批量查询，便于应急系统记录和管理门诊挂号业务，维持挂号秩序。</w:t>
            </w:r>
          </w:p>
          <w:p w14:paraId="0E17163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就诊信息接口：推送就诊时间、接诊医师、主诉、现病史等就诊记录，以及已开具的检查、检验、处方等医嘱信息，使应急系统完整掌握患者就诊过程，支持后续诊疗操作。</w:t>
            </w:r>
          </w:p>
        </w:tc>
      </w:tr>
      <w:tr w14:paraId="38B93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32C1BDE4">
            <w:pPr>
              <w:widowControl/>
              <w:jc w:val="center"/>
              <w:rPr>
                <w:rFonts w:ascii="宋体" w:hAnsi="宋体"/>
                <w:color w:val="auto"/>
                <w:highlight w:val="none"/>
              </w:rPr>
            </w:pPr>
          </w:p>
        </w:tc>
        <w:tc>
          <w:tcPr>
            <w:tcW w:w="1686" w:type="dxa"/>
            <w:vAlign w:val="center"/>
          </w:tcPr>
          <w:p w14:paraId="4D9EAA38">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随访管理系统</w:t>
            </w:r>
          </w:p>
        </w:tc>
        <w:tc>
          <w:tcPr>
            <w:tcW w:w="10815" w:type="dxa"/>
            <w:vAlign w:val="center"/>
          </w:tcPr>
          <w:p w14:paraId="5AF510B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诊疗信息接口：提供患者住院病历、门诊病历、手术记录、麻醉记录、检查检验结果等诊疗全过程数据，涵盖疾病诊断、治疗方案、用药情况等详细信息，助力随访管理系统依据患者病情制定个性化随访计划。</w:t>
            </w:r>
          </w:p>
          <w:p w14:paraId="0690202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出院信息接口：输出患者出院时间、出院诊断、出院医嘱、康复建议等内容，便于随访管理系统在患者出院后及时跟进康复情况，提供针对性的健康指导。</w:t>
            </w:r>
          </w:p>
          <w:p w14:paraId="622ECE9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联系方式变更接口：当患者在 HIS 系统中更新联系方式时，实时推送新的联系方式至随访管理系统，确保随访工作顺利进行，避免因联系不畅导致随访失败。</w:t>
            </w:r>
          </w:p>
        </w:tc>
      </w:tr>
      <w:tr w14:paraId="20E2B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33A64A9E">
            <w:pPr>
              <w:widowControl/>
              <w:jc w:val="center"/>
              <w:rPr>
                <w:rFonts w:ascii="宋体" w:hAnsi="宋体"/>
                <w:color w:val="auto"/>
                <w:highlight w:val="none"/>
              </w:rPr>
            </w:pPr>
          </w:p>
        </w:tc>
        <w:tc>
          <w:tcPr>
            <w:tcW w:w="1686" w:type="dxa"/>
            <w:vAlign w:val="center"/>
          </w:tcPr>
          <w:p w14:paraId="0D8966D8">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MDT系统</w:t>
            </w:r>
          </w:p>
        </w:tc>
        <w:tc>
          <w:tcPr>
            <w:tcW w:w="10815" w:type="dxa"/>
            <w:vAlign w:val="center"/>
          </w:tcPr>
          <w:p w14:paraId="6B3B1EF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患者全面病历信息接口：提供患者从首次就诊到当前的完整病历资料，包括门诊病历、住院病历、历次检查检验报告、影像资料等，使 MDT 团队全面了解患者病情发展，为多学科会诊提供充足依据。</w:t>
            </w:r>
          </w:p>
          <w:p w14:paraId="561FFA44">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当前治疗方案接口：输出患者正在执行的治疗方案，包括药物治疗、手术治疗、放疗、化疗等具体措施及用药剂量、疗程安排等详细信息，便于 MDT 团队评估现有治疗效果，制定更优的综合治疗方案。</w:t>
            </w:r>
          </w:p>
          <w:p w14:paraId="23D0EB6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检查检验实时动态接口：实时推送患者新产生的检查检验结果，如血常规、生化指标、病理报告等，确保 MDT 团队及时获取患者最新病情变化，调整会诊决策。</w:t>
            </w:r>
          </w:p>
        </w:tc>
      </w:tr>
      <w:tr w14:paraId="54C0E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34CF3B5D">
            <w:pPr>
              <w:widowControl/>
              <w:jc w:val="center"/>
              <w:rPr>
                <w:rFonts w:ascii="宋体" w:hAnsi="宋体"/>
                <w:color w:val="auto"/>
                <w:highlight w:val="none"/>
              </w:rPr>
            </w:pPr>
          </w:p>
        </w:tc>
        <w:tc>
          <w:tcPr>
            <w:tcW w:w="1686" w:type="dxa"/>
            <w:vAlign w:val="center"/>
          </w:tcPr>
          <w:p w14:paraId="0D252A77">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DIP</w:t>
            </w:r>
          </w:p>
        </w:tc>
        <w:tc>
          <w:tcPr>
            <w:tcW w:w="10815" w:type="dxa"/>
            <w:vAlign w:val="center"/>
          </w:tcPr>
          <w:p w14:paraId="65DADC3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诊疗数据接口：提供患者的诊断信息（ICD 编码）、手术操作信息（ICD-9 编码）、治疗方式、住院天数、药品使用明细、检查检验项目及费用等数据，满足 DIP 系统对病例分组和费用核算的需求，实现医保费用的精准支付与管理。</w:t>
            </w:r>
          </w:p>
          <w:p w14:paraId="183FF52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费用明细接口：输出患者住院期间各项费用的详细清单，包括床位费、护理费、药品费、检查费、治疗费等，支持按费用类别和时间维度查询，便于 DIP 系统进行成本分析和费用监控。</w:t>
            </w:r>
          </w:p>
          <w:p w14:paraId="68AD2066">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病案首页信息接口：提供完整的病案首页数据，涵盖患者基本信息、诊断信息、手术操作信息、住院费用信息等关键内容，确保 DIP 系统获取准确的病例核心数据，提高分组准确性和费用结算效率。</w:t>
            </w:r>
          </w:p>
        </w:tc>
      </w:tr>
      <w:tr w14:paraId="23C46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07A77BD1">
            <w:pPr>
              <w:widowControl/>
              <w:jc w:val="center"/>
              <w:rPr>
                <w:rFonts w:ascii="宋体" w:hAnsi="宋体"/>
                <w:color w:val="auto"/>
                <w:highlight w:val="none"/>
              </w:rPr>
            </w:pPr>
          </w:p>
        </w:tc>
        <w:tc>
          <w:tcPr>
            <w:tcW w:w="1686" w:type="dxa"/>
            <w:vAlign w:val="center"/>
          </w:tcPr>
          <w:p w14:paraId="3F45B2AE">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DRG</w:t>
            </w:r>
          </w:p>
        </w:tc>
        <w:tc>
          <w:tcPr>
            <w:tcW w:w="10815" w:type="dxa"/>
            <w:vAlign w:val="center"/>
          </w:tcPr>
          <w:p w14:paraId="6FE4881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诊疗数据接口：提供患者的诊断信息（ICD 编码）、手术操作信息（ICD-9 编码）、治疗方式、住院天数、药品使用明细、检查检验项目及费用等数据，满足 DRG 系统对病例分组和费用核算的需求，实现医保费用的精准支付与管理。</w:t>
            </w:r>
          </w:p>
          <w:p w14:paraId="2D44B943">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费用明细接口：输出患者住院期间各项费用的详细清单，包括床位费、护理费、药品费、检查费、治疗费等，支持按费用类别和时间维度查询，便于 DRG 系统进行成本分析和费用监控。</w:t>
            </w:r>
          </w:p>
          <w:p w14:paraId="40840519">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病案首页信息接口：提供完整的病案首页数据，涵盖患者基本信息、诊断信息、手术操作信息、住院费用信息等关键内容，确保 DRG 系统获取准确的病例核心数据，提高分组准确性和费用结算效率。</w:t>
            </w:r>
          </w:p>
        </w:tc>
      </w:tr>
      <w:tr w14:paraId="49226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41BE6D4B">
            <w:pPr>
              <w:widowControl/>
              <w:jc w:val="center"/>
              <w:rPr>
                <w:rFonts w:ascii="宋体" w:hAnsi="宋体"/>
                <w:color w:val="auto"/>
                <w:highlight w:val="none"/>
              </w:rPr>
            </w:pPr>
          </w:p>
        </w:tc>
        <w:tc>
          <w:tcPr>
            <w:tcW w:w="1686" w:type="dxa"/>
            <w:vAlign w:val="center"/>
          </w:tcPr>
          <w:p w14:paraId="4173B328">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不良事件上报</w:t>
            </w:r>
          </w:p>
        </w:tc>
        <w:tc>
          <w:tcPr>
            <w:tcW w:w="10815" w:type="dxa"/>
            <w:vAlign w:val="center"/>
          </w:tcPr>
          <w:p w14:paraId="0EACE85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事件相关患者信息接口：提供发生不良事件患者的基本信息、诊疗信息及事件发生时所在科室、床位等信息，帮助不良事件上报系统快速定位事件涉及患者，全面记录事件情况。</w:t>
            </w:r>
          </w:p>
          <w:p w14:paraId="1A5B01A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事件发生场景信息接口：输出不良事件发生的时间、地点、涉及人员（医护人员、患者等）、操作流程等场景信息，为不良事件的原因分析和责任追溯提供详细资料。</w:t>
            </w:r>
          </w:p>
          <w:p w14:paraId="305BB45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初步处理措施接口：当医护人员在 HIS 系统中记录不良事件初步处理措施时，同步推送至不良事件上报系统，包括采取的急救措施、药品使用情况、病情监测等内容，便于后续对事件处理过程进行跟踪和评估。</w:t>
            </w:r>
          </w:p>
        </w:tc>
      </w:tr>
      <w:tr w14:paraId="1384B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481AD889">
            <w:pPr>
              <w:widowControl/>
              <w:jc w:val="center"/>
              <w:rPr>
                <w:rFonts w:ascii="宋体" w:hAnsi="宋体"/>
                <w:color w:val="auto"/>
                <w:highlight w:val="none"/>
              </w:rPr>
            </w:pPr>
          </w:p>
        </w:tc>
        <w:tc>
          <w:tcPr>
            <w:tcW w:w="1686" w:type="dxa"/>
            <w:vAlign w:val="center"/>
          </w:tcPr>
          <w:p w14:paraId="48F1E0BA">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药品不良反应上报</w:t>
            </w:r>
          </w:p>
        </w:tc>
        <w:tc>
          <w:tcPr>
            <w:tcW w:w="10815" w:type="dxa"/>
            <w:vAlign w:val="center"/>
          </w:tcPr>
          <w:p w14:paraId="02471B1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用药信息接口：提供患者用药记录，包括药品名称、剂型、规格、剂量、用药时间、用药途径、用药疗程、开具医师等详细信息，支持按药品批次和患者 ID 查询，便于药品不良反应上报系统分析药品与不良反应之间的关联。</w:t>
            </w:r>
          </w:p>
          <w:p w14:paraId="7CE5DFF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不良反应症状接口：当医护人员在 HIS 系统中记录患者药品不良反应症状时，实时推送至药品不良反应上报系统，包括症状表现、出现时间、严重程度等内容，确保不良反应信息及时上报和监测。</w:t>
            </w:r>
          </w:p>
          <w:p w14:paraId="19CE1EE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处理措施及转归接口：输出针对药品不良反应采取的处理措施，如停药、换药、对症治疗等，以及患者不良反应的转归情况，为药品安全性评估和监管提供数据支持。</w:t>
            </w:r>
          </w:p>
        </w:tc>
      </w:tr>
      <w:tr w14:paraId="37F51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667E46D5">
            <w:pPr>
              <w:widowControl/>
              <w:jc w:val="center"/>
              <w:rPr>
                <w:rFonts w:ascii="宋体" w:hAnsi="宋体"/>
                <w:color w:val="auto"/>
                <w:highlight w:val="none"/>
              </w:rPr>
            </w:pPr>
          </w:p>
        </w:tc>
        <w:tc>
          <w:tcPr>
            <w:tcW w:w="1686" w:type="dxa"/>
            <w:vAlign w:val="center"/>
          </w:tcPr>
          <w:p w14:paraId="15705397">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单病种系统</w:t>
            </w:r>
          </w:p>
        </w:tc>
        <w:tc>
          <w:tcPr>
            <w:tcW w:w="10815" w:type="dxa"/>
            <w:vAlign w:val="center"/>
          </w:tcPr>
          <w:p w14:paraId="11438526">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符合病种标准患者信息接口：根据单病种定义和筛选条件，在 HIS 系统中自动识别符合标准的患者，并提供患者基本信息、诊断信息、治疗方案、手术操作信息等数据，便于单病种系统对特定病种患者进行集中管理和研究。</w:t>
            </w:r>
          </w:p>
          <w:p w14:paraId="6657CC9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诊疗过程关键节点信息接口：提供患者在单病种诊疗过程中的关键节点数据，如入院时间、手术时间、出院时间、主要治疗措施实施时间等，以及各节点对应的病情评估结果，支持单病种系统跟踪患者诊疗进程，评估治疗效果。</w:t>
            </w:r>
          </w:p>
          <w:p w14:paraId="5151534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费用及资源消耗信息接口：输出患者在单病种治疗过程中的费用明细，包括药品费用、检查检验费用、手术费用等，以及医疗资源消耗情况，如床位使用时长、设备使用次数等，为单病种成本核算和质量控制提供依据。</w:t>
            </w:r>
          </w:p>
        </w:tc>
      </w:tr>
      <w:tr w14:paraId="402F8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5079676E">
            <w:pPr>
              <w:widowControl/>
              <w:jc w:val="center"/>
              <w:rPr>
                <w:rFonts w:ascii="宋体" w:hAnsi="宋体"/>
                <w:color w:val="auto"/>
                <w:highlight w:val="none"/>
              </w:rPr>
            </w:pPr>
          </w:p>
        </w:tc>
        <w:tc>
          <w:tcPr>
            <w:tcW w:w="1686" w:type="dxa"/>
            <w:vAlign w:val="center"/>
          </w:tcPr>
          <w:p w14:paraId="5C81CB70">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大数据服务系统（BI）</w:t>
            </w:r>
          </w:p>
        </w:tc>
        <w:tc>
          <w:tcPr>
            <w:tcW w:w="10815" w:type="dxa"/>
            <w:vAlign w:val="center"/>
          </w:tcPr>
          <w:p w14:paraId="7A6677C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全量业务数据接口：提供 HIS 系统中的全部业务数据，包括门诊、住院、急诊、医技、药房等各科室的诊疗数据、费用数据、人员数据、设备数据等，支持按时间、科室、病种等多维度进行筛选和查询，满足大数据服务系统对医院运营数据的全面分析需求。</w:t>
            </w:r>
          </w:p>
          <w:p w14:paraId="480E034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数据字典接口：输出 HIS 系统的数据字典，包括各数据表的字段定义、数据类型、取值范围、编码规则等信息，确保大数据服务系统准确理解和处理 HIS 数据，实现数据的标准化和规范化分析。</w:t>
            </w:r>
          </w:p>
          <w:p w14:paraId="5CA1A47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实时数据更新接口：建立实时数据推送机制，当 HIS 系统数据发生变化时，立即将更新后的数据同步至大数据服务系统，保证数据分析的时效性和准确性，为医院决策提供及时的数据支持。</w:t>
            </w:r>
          </w:p>
        </w:tc>
      </w:tr>
      <w:tr w14:paraId="74676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7A678564">
            <w:pPr>
              <w:widowControl/>
              <w:jc w:val="center"/>
              <w:rPr>
                <w:rFonts w:ascii="宋体" w:hAnsi="宋体"/>
                <w:color w:val="auto"/>
                <w:highlight w:val="none"/>
              </w:rPr>
            </w:pPr>
          </w:p>
        </w:tc>
        <w:tc>
          <w:tcPr>
            <w:tcW w:w="1686" w:type="dxa"/>
            <w:vAlign w:val="center"/>
          </w:tcPr>
          <w:p w14:paraId="70755266">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防统方系统</w:t>
            </w:r>
          </w:p>
        </w:tc>
        <w:tc>
          <w:tcPr>
            <w:tcW w:w="10815" w:type="dxa"/>
            <w:vAlign w:val="center"/>
          </w:tcPr>
          <w:p w14:paraId="5FE703A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师处方行为信息接口：提供医师开具处方的详细信息，包括处方时间、处方药品名称、数量、患者信息、医师工号等，支持按医师、时间、药品等维度进行查询，便于防统方系统监测医师处方行为，防范不正当统方行为。</w:t>
            </w:r>
          </w:p>
          <w:p w14:paraId="3C84B7A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药品使用查询记录接口：输出医院内部药品使用查询的相关记录，包括查询人员、查询时间、查询药品范围等信息，帮助防统方系统追踪药品使用数据的查询情况，及时发现异常查询行为。</w:t>
            </w:r>
          </w:p>
          <w:p w14:paraId="4A853C4E">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系统操作日志接口：提供 HIS 系统的操作日志，记录所有用户的登录、操作、数据修改等行为，包括操作时间、操作内容、操作 IP 地址等信息，为防统方系统提供全面的审计线索，确保系统操作的安全性和合规性。</w:t>
            </w:r>
          </w:p>
        </w:tc>
      </w:tr>
      <w:tr w14:paraId="227EA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3E97E908">
            <w:pPr>
              <w:widowControl/>
              <w:jc w:val="center"/>
              <w:rPr>
                <w:rFonts w:ascii="宋体" w:hAnsi="宋体"/>
                <w:color w:val="auto"/>
                <w:highlight w:val="none"/>
              </w:rPr>
            </w:pPr>
          </w:p>
        </w:tc>
        <w:tc>
          <w:tcPr>
            <w:tcW w:w="1686" w:type="dxa"/>
            <w:vAlign w:val="center"/>
          </w:tcPr>
          <w:p w14:paraId="64D3BBEF">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病案统计管理系统</w:t>
            </w:r>
          </w:p>
        </w:tc>
        <w:tc>
          <w:tcPr>
            <w:tcW w:w="10815" w:type="dxa"/>
            <w:vAlign w:val="center"/>
          </w:tcPr>
          <w:p w14:paraId="29DDAC79">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完整病案信息接口：提供患者的完整病案资料，包括病案首页、病程记录、检查检验报告、手术记录、护理记录等全部内容，支持按病案号、患者姓名、住院时间等条件进行查询和导出，满足病案统计管理系统对病案数据的收集和整理需求。</w:t>
            </w:r>
          </w:p>
          <w:p w14:paraId="382E5FF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病案分类编码信息接口：输出病案的疾病分类编码（ICD-10）和手术操作编码（ICD-9）信息，以及编码对应的详细说明和分类依据，便于病案统计管理系统进行病案分类统计 和数据分析，提高病案管理的准确性和规范性。</w:t>
            </w:r>
          </w:p>
          <w:p w14:paraId="662487E8">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病案质量控制信息接口：提供病案质量检查过程中发现的问题及整改情况信息，包括病历书写不规范、诊断与治疗不符、重要信息缺失等问题记录，以及医护人员对问题的整改措施和结果，支持病案统计管理系统对病案质量进行监控和评估，促进病案质量持续改进。</w:t>
            </w:r>
          </w:p>
        </w:tc>
      </w:tr>
      <w:tr w14:paraId="00718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Merge w:val="continue"/>
            <w:vAlign w:val="center"/>
          </w:tcPr>
          <w:p w14:paraId="7105521A">
            <w:pPr>
              <w:widowControl/>
              <w:jc w:val="center"/>
              <w:rPr>
                <w:rFonts w:ascii="宋体" w:hAnsi="宋体"/>
                <w:color w:val="auto"/>
                <w:highlight w:val="none"/>
              </w:rPr>
            </w:pPr>
          </w:p>
        </w:tc>
        <w:tc>
          <w:tcPr>
            <w:tcW w:w="1686" w:type="dxa"/>
            <w:vAlign w:val="center"/>
          </w:tcPr>
          <w:p w14:paraId="742BA8E7">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HQMS上报</w:t>
            </w:r>
          </w:p>
        </w:tc>
        <w:tc>
          <w:tcPr>
            <w:tcW w:w="10815" w:type="dxa"/>
            <w:vAlign w:val="center"/>
          </w:tcPr>
          <w:p w14:paraId="49FB90B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疗质量相关数据接口：提供患者的诊断准确性数据、治疗效果数据、手术质量数据、医院感染数据等医疗质量关键指标相关数据，包括诊断符合率、治愈率、手术并发症发生率、感染率等具体数值及计算依据，满足 HQMS 上报系统对医疗质量数据的采集和上报要求。</w:t>
            </w:r>
          </w:p>
          <w:p w14:paraId="52EAA9F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医疗安全相关数据接口：输出不良事件发生情况、医疗纠纷处理情况、药品不良反应发生情况等医疗安全数据，包括事件数量、严重程度、处理结果等信息，便于 HQMS上报系统对医院医疗安全状况进行监测和评估。</w:t>
            </w:r>
          </w:p>
          <w:p w14:paraId="0F88715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医疗服务效率相关数据接口：提供住院患者平均住院日、手术患者术前平均住院日、门诊患者平均候诊时间等医疗服务效率数据，支持按科室、时间等维度进行统计和分析，为 HQMS 上报系统提供医院医疗服务效率评估的数据支持。</w:t>
            </w:r>
          </w:p>
        </w:tc>
      </w:tr>
      <w:tr w14:paraId="15C79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877" w:type="dxa"/>
            <w:gridSpan w:val="3"/>
            <w:vAlign w:val="center"/>
          </w:tcPr>
          <w:p w14:paraId="1D991BAE">
            <w:pPr>
              <w:numPr>
                <w:ilvl w:val="0"/>
                <w:numId w:val="11"/>
              </w:numPr>
              <w:rPr>
                <w:rFonts w:ascii="宋体" w:hAnsi="宋体"/>
                <w:color w:val="auto"/>
                <w:highlight w:val="none"/>
              </w:rPr>
            </w:pPr>
            <w:r>
              <w:rPr>
                <w:rFonts w:hint="eastAsia" w:ascii="宋体" w:hAnsi="宋体"/>
                <w:color w:val="auto"/>
                <w:highlight w:val="none"/>
              </w:rPr>
              <w:t>单向对接（HIS接入）</w:t>
            </w:r>
          </w:p>
        </w:tc>
      </w:tr>
      <w:tr w14:paraId="650E6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376" w:type="dxa"/>
            <w:vAlign w:val="center"/>
          </w:tcPr>
          <w:p w14:paraId="25B21382">
            <w:pPr>
              <w:widowControl/>
              <w:jc w:val="center"/>
              <w:rPr>
                <w:rFonts w:ascii="宋体" w:hAnsi="宋体"/>
                <w:color w:val="auto"/>
                <w:highlight w:val="none"/>
              </w:rPr>
            </w:pPr>
            <w:r>
              <w:rPr>
                <w:rFonts w:hint="eastAsia" w:ascii="宋体" w:hAnsi="宋体"/>
                <w:color w:val="auto"/>
                <w:highlight w:val="none"/>
              </w:rPr>
              <w:t>单向对接（HIS接入）</w:t>
            </w:r>
          </w:p>
        </w:tc>
        <w:tc>
          <w:tcPr>
            <w:tcW w:w="1686" w:type="dxa"/>
            <w:vAlign w:val="center"/>
          </w:tcPr>
          <w:p w14:paraId="3BA32B3F">
            <w:pPr>
              <w:numPr>
                <w:ilvl w:val="2"/>
                <w:numId w:val="11"/>
              </w:numPr>
              <w:ind w:left="0" w:firstLine="0"/>
              <w:rPr>
                <w:rFonts w:ascii="宋体" w:hAnsi="宋体" w:cs="宋体"/>
                <w:color w:val="auto"/>
                <w:kern w:val="0"/>
                <w:szCs w:val="21"/>
                <w:highlight w:val="none"/>
              </w:rPr>
            </w:pPr>
            <w:r>
              <w:rPr>
                <w:rFonts w:hint="eastAsia" w:ascii="宋体" w:hAnsi="宋体" w:cs="宋体"/>
                <w:color w:val="auto"/>
                <w:kern w:val="0"/>
                <w:szCs w:val="21"/>
                <w:highlight w:val="none"/>
              </w:rPr>
              <w:t>人力资源管理系统</w:t>
            </w:r>
          </w:p>
        </w:tc>
        <w:tc>
          <w:tcPr>
            <w:tcW w:w="10815" w:type="dxa"/>
            <w:vAlign w:val="center"/>
          </w:tcPr>
          <w:p w14:paraId="7DBED6E1">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（一）员工基本信息接口</w:t>
            </w:r>
          </w:p>
          <w:p w14:paraId="1D4666BC">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基础信息：输出员工姓名、性别、出生日期、身份证号、联系方式、入职时间、离职时间（若已离职）、所属部门、岗位名称等基础信息，以结构化数据格式（如 JSON或 XML）定期同步，确保 HIS 系统中员工身份信息准确且与人力资源管理系统保持一致，便于患者就医过程中明确医护人员基本信息。</w:t>
            </w:r>
          </w:p>
          <w:p w14:paraId="30DFEA7A">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职称与资质信息：提供员工的职称等级（如主任医师、护师等）、专业技术资格证书编号、执业证书编号、证书有效期等信息，支持按需实时查询，助力 HIS 系统对医护人员资质进行验证和管理，保障医疗服务专业性和合规性。</w:t>
            </w:r>
          </w:p>
          <w:p w14:paraId="19331C4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学历与教育背景信息：推送员工的最高学历、毕业院校、所学专业、毕业时间等学历教育信息，以及后续参加的各类培训课程名称、培训时间、培训证书等继续教育信息，为 HIS 系统中的医护人员学术展示、科研项目参与等功能提供数据支持。</w:t>
            </w:r>
          </w:p>
          <w:p w14:paraId="58D13825">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（二）考勤与排班信息接口</w:t>
            </w:r>
          </w:p>
          <w:p w14:paraId="6D63C78B">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考勤数据：实时提供员工的考勤记录，包括每日签到时间、签退时间、请假类型（病假、事假等）、请假天数、加班时长等信息，支持按日、周、月等时间维度查询，使 HIS 系统能够结合医护人员考勤情况，合理安排诊疗任务，保障医疗服务连续性。</w:t>
            </w:r>
          </w:p>
          <w:p w14:paraId="27EB131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排班计划信息：输出各科室员工的排班计划，包括排班周期（如一周、两周）、具体班次（白班、夜班等）、上班时间、下班时间、负责区域等内容，提前一定时间（如一周）同步至 HIS 系统，便于 HIS 系统根据排班情况展示可接诊医护人员信息，方便患者预约挂号和就诊安排。</w:t>
            </w:r>
          </w:p>
          <w:p w14:paraId="0048FD8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排班变更信息：当出现排班调整时，及时将变更后的排班信息（变更原因、变更后班次等）推送至 HIS 系统，确保 HIS 系统与实际排班情况一致，避免因排班变动导致患者就诊安排混乱。</w:t>
            </w:r>
          </w:p>
          <w:p w14:paraId="0B31F9A9">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（三）薪酬与绩效信息接口</w:t>
            </w:r>
          </w:p>
          <w:p w14:paraId="174379E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薪酬基本信息：定期提供员工的基本工资、岗位工资、绩效工资、津贴补贴等薪酬组成部分信息，以及每月应发工资、实发工资、社保公积金缴纳金额等数据，以满足HIS 系统中部分涉及人员成本核算、财务分析等功能的需求，辅助医院进行运营成本管理。</w:t>
            </w:r>
          </w:p>
          <w:p w14:paraId="12A93D6D">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绩效评估信息：输出员工的绩效考核结果，包括考核周期、考核指标（如医疗质量、服务态度等）、考核得分、绩效等级等内容，为 HIS 系统在医护人员评优评先、岗位晋升推荐等场景中提供数据参考，激励医护人员提升服务质量。</w:t>
            </w:r>
          </w:p>
          <w:p w14:paraId="01A63C01">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奖金发放信息：将员工的各类奖金（如年终奖、科研奖励等）发放情况同步至 HIS系统，包括奖金名称、发放时间、发放金额等，便于 HIS 系统进行全面的人员薪酬数据分析，为医院薪酬体系优化提供依据。</w:t>
            </w:r>
          </w:p>
          <w:p w14:paraId="6158B370">
            <w:p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（四）培训与发展信息接口</w:t>
            </w:r>
          </w:p>
          <w:p w14:paraId="22E8B34F">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培训计划信息：提前推送员工的培训计划，包括培训课程名称、培训时间、培训地点、培训目标、主讲人等信息，使 HIS 系统能够在合适位置（如员工个人工作台）展示培训预告，方便员工合理安排工作与学习时间，同时也有助于医院管理层了解培训整体规划。</w:t>
            </w:r>
          </w:p>
          <w:p w14:paraId="54339C57">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培训记录信息：及时提供员工参加培训的记录，包括实际参加时间、培训签到情况、培训考核成绩、培训证书获取情况等内容，支持 HIS 系统对员工培训成果进行记录和展示，作为员工职业发展评估的重要依据之一。</w:t>
            </w:r>
          </w:p>
          <w:p w14:paraId="5B0189C0">
            <w:pPr>
              <w:numPr>
                <w:ilvl w:val="0"/>
                <w:numId w:val="12"/>
              </w:numPr>
              <w:tabs>
                <w:tab w:val="left" w:pos="525"/>
                <w:tab w:val="left" w:pos="630"/>
              </w:tabs>
              <w:spacing w:line="360" w:lineRule="auto"/>
              <w:rPr>
                <w:rFonts w:ascii="宋体" w:hAnsi="宋体" w:cs="宋体"/>
                <w:bCs/>
                <w:color w:val="auto"/>
                <w:szCs w:val="21"/>
                <w:highlight w:val="none"/>
              </w:rPr>
            </w:pPr>
            <w:r>
              <w:rPr>
                <w:rFonts w:ascii="宋体" w:hAnsi="宋体" w:cs="宋体"/>
                <w:bCs/>
                <w:color w:val="auto"/>
                <w:szCs w:val="21"/>
                <w:highlight w:val="none"/>
              </w:rPr>
              <w:t>职业发展规划信息：提供员工的职业发展规划相关信息，如职业目标、晋升计划、所需技能提升方向等，帮助 HIS 系统为员工提供个性化的学习资源推荐和职业发展建议，促进员工个人成长与医院发展相契合。</w:t>
            </w:r>
          </w:p>
        </w:tc>
      </w:tr>
    </w:tbl>
    <w:p w14:paraId="741BE7B0">
      <w:pPr>
        <w:pStyle w:val="187"/>
        <w:ind w:firstLine="0" w:firstLineChars="0"/>
        <w:rPr>
          <w:rFonts w:ascii="宋体" w:hAnsi="宋体"/>
          <w:color w:val="auto"/>
          <w:highlight w:val="none"/>
        </w:rPr>
      </w:pPr>
    </w:p>
    <w:p w14:paraId="6D94496A">
      <w:pPr>
        <w:pStyle w:val="187"/>
        <w:ind w:firstLine="0" w:firstLineChars="0"/>
        <w:rPr>
          <w:rFonts w:ascii="宋体" w:hAnsi="宋体"/>
          <w:color w:val="auto"/>
          <w:highlight w:val="none"/>
        </w:rPr>
      </w:pPr>
    </w:p>
    <w:p w14:paraId="6CD158B9">
      <w:pPr>
        <w:pStyle w:val="3"/>
        <w:keepNext/>
        <w:keepLines/>
        <w:numPr>
          <w:ilvl w:val="1"/>
          <w:numId w:val="9"/>
        </w:numPr>
        <w:spacing w:before="480" w:after="80"/>
        <w:ind w:left="992" w:hanging="567"/>
        <w:jc w:val="both"/>
        <w:rPr>
          <w:rFonts w:ascii="宋体" w:hAnsi="宋体"/>
          <w:b/>
          <w:bCs/>
          <w:color w:val="auto"/>
          <w:sz w:val="30"/>
          <w:szCs w:val="30"/>
          <w:highlight w:val="none"/>
        </w:rPr>
      </w:pPr>
      <w:r>
        <w:rPr>
          <w:rFonts w:hint="eastAsia" w:ascii="宋体" w:hAnsi="宋体"/>
          <w:b/>
          <w:bCs/>
          <w:color w:val="auto"/>
          <w:kern w:val="2"/>
          <w:sz w:val="30"/>
          <w:szCs w:val="30"/>
          <w:highlight w:val="none"/>
        </w:rPr>
        <w:t>商务需求</w:t>
      </w:r>
    </w:p>
    <w:tbl>
      <w:tblPr>
        <w:tblStyle w:val="4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7"/>
        <w:gridCol w:w="1559"/>
        <w:gridCol w:w="10941"/>
      </w:tblGrid>
      <w:tr w14:paraId="5DAEA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7" w:type="dxa"/>
            <w:shd w:val="clear" w:color="auto" w:fill="FFFFFF"/>
            <w:vAlign w:val="center"/>
          </w:tcPr>
          <w:p w14:paraId="36459CBB">
            <w:pPr>
              <w:jc w:val="center"/>
              <w:rPr>
                <w:rFonts w:ascii="宋体" w:hAnsi="宋体" w:cs="宋体"/>
                <w:color w:val="auto"/>
                <w:szCs w:val="21"/>
                <w:highlight w:val="none"/>
              </w:rPr>
            </w:pPr>
            <w:r>
              <w:rPr>
                <w:rFonts w:hint="eastAsia" w:ascii="宋体" w:hAnsi="宋体" w:cs="宋体"/>
                <w:color w:val="auto"/>
                <w:kern w:val="0"/>
                <w:szCs w:val="21"/>
                <w:highlight w:val="none"/>
              </w:rPr>
              <w:t>需求名称</w:t>
            </w:r>
          </w:p>
        </w:tc>
        <w:tc>
          <w:tcPr>
            <w:tcW w:w="1559" w:type="dxa"/>
            <w:shd w:val="clear" w:color="auto" w:fill="FFFFFF"/>
            <w:vAlign w:val="center"/>
          </w:tcPr>
          <w:p w14:paraId="279A7E96">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序号</w:t>
            </w:r>
          </w:p>
        </w:tc>
        <w:tc>
          <w:tcPr>
            <w:tcW w:w="10941" w:type="dxa"/>
            <w:shd w:val="clear" w:color="auto" w:fill="FFFFFF"/>
            <w:vAlign w:val="center"/>
          </w:tcPr>
          <w:p w14:paraId="6CF7135C">
            <w:pPr>
              <w:jc w:val="center"/>
              <w:rPr>
                <w:rFonts w:ascii="宋体" w:hAnsi="宋体" w:cs="宋体"/>
                <w:color w:val="auto"/>
                <w:kern w:val="0"/>
                <w:szCs w:val="21"/>
                <w:highlight w:val="none"/>
              </w:rPr>
            </w:pPr>
            <w:r>
              <w:rPr>
                <w:rFonts w:hint="eastAsia" w:ascii="宋体" w:hAnsi="宋体" w:cs="宋体"/>
                <w:color w:val="auto"/>
                <w:kern w:val="0"/>
                <w:szCs w:val="21"/>
                <w:highlight w:val="none"/>
              </w:rPr>
              <w:t>需求描述</w:t>
            </w:r>
          </w:p>
        </w:tc>
      </w:tr>
      <w:tr w14:paraId="58EAE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77" w:type="dxa"/>
            <w:vAlign w:val="center"/>
          </w:tcPr>
          <w:p w14:paraId="111F82DC">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3. 售后服务</w:t>
            </w:r>
          </w:p>
        </w:tc>
        <w:tc>
          <w:tcPr>
            <w:tcW w:w="1559" w:type="dxa"/>
            <w:vAlign w:val="center"/>
          </w:tcPr>
          <w:p w14:paraId="00EBE447">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3.1</w:t>
            </w:r>
          </w:p>
        </w:tc>
        <w:tc>
          <w:tcPr>
            <w:tcW w:w="10941" w:type="dxa"/>
            <w:vAlign w:val="center"/>
          </w:tcPr>
          <w:p w14:paraId="74A12DAA">
            <w:pPr>
              <w:pStyle w:val="127"/>
              <w:spacing w:line="360" w:lineRule="auto"/>
              <w:rPr>
                <w:rFonts w:ascii="宋体" w:hAnsi="宋体"/>
                <w:color w:val="auto"/>
                <w:highlight w:val="none"/>
              </w:rPr>
            </w:pPr>
            <w:r>
              <w:rPr>
                <w:rFonts w:hint="eastAsia" w:ascii="宋体" w:hAnsi="宋体"/>
                <w:color w:val="auto"/>
                <w:highlight w:val="none"/>
              </w:rPr>
              <w:t xml:space="preserve">1、维保服务期：自系统验收合格之日起，提供 </w:t>
            </w:r>
            <w:r>
              <w:rPr>
                <w:rFonts w:hint="eastAsia" w:ascii="宋体" w:hAnsi="宋体"/>
                <w:b/>
                <w:color w:val="auto"/>
                <w:highlight w:val="none"/>
              </w:rPr>
              <w:t>5年</w:t>
            </w:r>
            <w:r>
              <w:rPr>
                <w:rFonts w:hint="eastAsia" w:ascii="宋体" w:hAnsi="宋体"/>
                <w:color w:val="auto"/>
                <w:highlight w:val="none"/>
              </w:rPr>
              <w:t xml:space="preserve"> 维保服务；</w:t>
            </w:r>
          </w:p>
          <w:p w14:paraId="6661C399">
            <w:pPr>
              <w:pStyle w:val="127"/>
              <w:spacing w:line="360" w:lineRule="auto"/>
              <w:rPr>
                <w:rFonts w:ascii="宋体" w:hAnsi="宋体"/>
                <w:color w:val="auto"/>
                <w:highlight w:val="none"/>
              </w:rPr>
            </w:pPr>
            <w:r>
              <w:rPr>
                <w:rFonts w:hint="eastAsia" w:ascii="宋体" w:hAnsi="宋体"/>
                <w:color w:val="auto"/>
                <w:highlight w:val="none"/>
              </w:rPr>
              <w:t>2、服务范围：涵盖项目合同约定的HIS系统所有功能模块、软硬件设备、接口及附属设施，包括但不限于：</w:t>
            </w:r>
          </w:p>
          <w:p w14:paraId="4F99BF17">
            <w:pPr>
              <w:pStyle w:val="127"/>
              <w:spacing w:line="360" w:lineRule="auto"/>
              <w:ind w:firstLine="520" w:firstLineChars="200"/>
              <w:rPr>
                <w:rFonts w:ascii="宋体" w:hAnsi="宋体"/>
                <w:color w:val="auto"/>
                <w:highlight w:val="none"/>
              </w:rPr>
            </w:pPr>
            <w:r>
              <w:rPr>
                <w:rFonts w:hint="eastAsia" w:ascii="宋体" w:hAnsi="宋体"/>
                <w:color w:val="auto"/>
                <w:highlight w:val="none"/>
              </w:rPr>
              <w:t>系统日常运行维护、故障修复、性能优化；</w:t>
            </w:r>
          </w:p>
          <w:p w14:paraId="5844AE85">
            <w:pPr>
              <w:pStyle w:val="127"/>
              <w:spacing w:line="360" w:lineRule="auto"/>
              <w:ind w:firstLine="520" w:firstLineChars="200"/>
              <w:rPr>
                <w:rFonts w:ascii="宋体" w:hAnsi="宋体"/>
                <w:color w:val="auto"/>
                <w:highlight w:val="none"/>
              </w:rPr>
            </w:pPr>
            <w:r>
              <w:rPr>
                <w:rFonts w:hint="eastAsia" w:ascii="宋体" w:hAnsi="宋体"/>
                <w:color w:val="auto"/>
                <w:highlight w:val="none"/>
              </w:rPr>
              <w:t>国产化信创环境适配升级；</w:t>
            </w:r>
          </w:p>
          <w:p w14:paraId="5DE80400">
            <w:pPr>
              <w:pStyle w:val="127"/>
              <w:spacing w:line="360" w:lineRule="auto"/>
              <w:ind w:firstLine="520" w:firstLineChars="200"/>
              <w:rPr>
                <w:rFonts w:ascii="宋体" w:hAnsi="宋体"/>
                <w:color w:val="auto"/>
                <w:highlight w:val="none"/>
              </w:rPr>
            </w:pPr>
            <w:r>
              <w:rPr>
                <w:rFonts w:hint="eastAsia" w:ascii="宋体" w:hAnsi="宋体"/>
                <w:color w:val="auto"/>
                <w:highlight w:val="none"/>
              </w:rPr>
              <w:t>政策调整或业务变更引发的功能修改需求；</w:t>
            </w:r>
          </w:p>
          <w:p w14:paraId="28EE4C1E">
            <w:pPr>
              <w:pStyle w:val="127"/>
              <w:spacing w:line="360" w:lineRule="auto"/>
              <w:ind w:firstLine="520" w:firstLineChars="200"/>
              <w:rPr>
                <w:rFonts w:ascii="宋体" w:hAnsi="宋体"/>
                <w:color w:val="auto"/>
                <w:highlight w:val="none"/>
              </w:rPr>
            </w:pPr>
            <w:r>
              <w:rPr>
                <w:rFonts w:hint="eastAsia" w:ascii="宋体" w:hAnsi="宋体"/>
                <w:color w:val="auto"/>
                <w:highlight w:val="none"/>
              </w:rPr>
              <w:t>数据迁移、备份恢复及安全防护支持。</w:t>
            </w:r>
          </w:p>
        </w:tc>
      </w:tr>
    </w:tbl>
    <w:p w14:paraId="41EED8E4">
      <w:pPr>
        <w:rPr>
          <w:color w:val="auto"/>
          <w:highlight w:val="none"/>
        </w:rPr>
      </w:pPr>
    </w:p>
    <w:p w14:paraId="08FAAF2E">
      <w:pPr>
        <w:pStyle w:val="187"/>
        <w:ind w:firstLine="0" w:firstLineChars="0"/>
        <w:rPr>
          <w:rFonts w:ascii="宋体" w:hAnsi="宋体"/>
          <w:b/>
          <w:bCs/>
          <w:color w:val="auto"/>
          <w:highlight w:val="none"/>
        </w:rPr>
      </w:pPr>
    </w:p>
    <w:sectPr>
      <w:pgSz w:w="16840" w:h="11907" w:orient="landscape"/>
      <w:pgMar w:top="1797" w:right="1440" w:bottom="1797" w:left="1440" w:header="851" w:footer="992" w:gutter="0"/>
      <w:cols w:space="708" w:num="1"/>
      <w:titlePg/>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swiss"/>
    <w:pitch w:val="default"/>
    <w:sig w:usb0="FFFFFFFF" w:usb1="E9FFFFFF" w:usb2="0000003F" w:usb3="00000000" w:csb0="603F01FF" w:csb1="FFFF0000"/>
  </w:font>
  <w:font w:name="隶书">
    <w:panose1 w:val="0201050906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
    <w:altName w:val="Times New Roman"/>
    <w:panose1 w:val="00000000000000000000"/>
    <w:charset w:val="00"/>
    <w:family w:val="auto"/>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幼圆">
    <w:panose1 w:val="02010509060101010101"/>
    <w:charset w:val="86"/>
    <w:family w:val="modern"/>
    <w:pitch w:val="default"/>
    <w:sig w:usb0="00000001" w:usb1="080E0000" w:usb2="00000000" w:usb3="00000000" w:csb0="00040000" w:csb1="00000000"/>
  </w:font>
  <w:font w:name="H Yb 2gj">
    <w:altName w:val="黑体"/>
    <w:panose1 w:val="00000000000000000000"/>
    <w:charset w:val="86"/>
    <w:family w:val="auto"/>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汉仪细等线简">
    <w:altName w:val="宋体"/>
    <w:panose1 w:val="00000000000000000000"/>
    <w:charset w:val="86"/>
    <w:family w:val="modern"/>
    <w:pitch w:val="default"/>
    <w:sig w:usb0="00000000" w:usb1="00000000" w:usb2="00000012"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等线">
    <w:altName w:val="Arial Unicode MS"/>
    <w:panose1 w:val="02010600030101010101"/>
    <w:charset w:val="86"/>
    <w:family w:val="auto"/>
    <w:pitch w:val="default"/>
    <w:sig w:usb0="00000000" w:usb1="00000000" w:usb2="00000016" w:usb3="00000000" w:csb0="0004000F" w:csb1="00000000"/>
  </w:font>
  <w:font w:name="文鼎粗黑">
    <w:altName w:val="黑体"/>
    <w:panose1 w:val="00000000000000000000"/>
    <w:charset w:val="86"/>
    <w:family w:val="modern"/>
    <w:pitch w:val="default"/>
    <w:sig w:usb0="00000000" w:usb1="00000000" w:usb2="00000010" w:usb3="00000000" w:csb0="00040000" w:csb1="00000000"/>
  </w:font>
  <w:font w:name="长城仿宋">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Arial (W1)">
    <w:altName w:val="Arial"/>
    <w:panose1 w:val="00000000000000000000"/>
    <w:charset w:val="00"/>
    <w:family w:val="swiss"/>
    <w:pitch w:val="default"/>
    <w:sig w:usb0="00000000" w:usb1="00000000" w:usb2="00000008" w:usb3="00000000" w:csb0="000001FF" w:csb1="00000000"/>
  </w:font>
  <w:font w:name="'宋体'">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MS Mincho">
    <w:panose1 w:val="02020609040205080304"/>
    <w:charset w:val="80"/>
    <w:family w:val="modern"/>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FC186C">
    <w:pPr>
      <w:pStyle w:val="2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DFD8344">
                          <w:pPr>
                            <w:pStyle w:val="27"/>
                          </w:pPr>
                          <w:r>
                            <w:fldChar w:fldCharType="begin"/>
                          </w:r>
                          <w:r>
                            <w:instrText xml:space="preserve"> PAGE  \* MERGEFORMAT </w:instrText>
                          </w:r>
                          <w:r>
                            <w:fldChar w:fldCharType="separate"/>
                          </w:r>
                          <w:r>
                            <w:t>7</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eMqNjLAQAAnAMAAA4AAAAAAAAAAQAgAAAAHgEAAGRycy9lMm9E&#10;b2MueG1sUEsFBgAAAAAGAAYAWQEAAFsFAAAAAA==&#10;">
              <v:fill on="f" focussize="0,0"/>
              <v:stroke on="f"/>
              <v:imagedata o:title=""/>
              <o:lock v:ext="edit" aspectratio="f"/>
              <v:textbox inset="0mm,0mm,0mm,0mm" style="mso-fit-shape-to-text:t;">
                <w:txbxContent>
                  <w:p w14:paraId="3DFD8344">
                    <w:pPr>
                      <w:pStyle w:val="27"/>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0A3CF5">
    <w:pPr>
      <w:pStyle w:val="27"/>
      <w:framePr w:wrap="around" w:vAnchor="text" w:hAnchor="margin" w:xAlign="center" w:y="1"/>
    </w:pPr>
    <w:r>
      <w:fldChar w:fldCharType="begin"/>
    </w:r>
    <w:r>
      <w:rPr>
        <w:rStyle w:val="47"/>
      </w:rPr>
      <w:instrText xml:space="preserve">PAGE  </w:instrText>
    </w:r>
    <w:r>
      <w:fldChar w:fldCharType="end"/>
    </w:r>
  </w:p>
  <w:p w14:paraId="7CD14F47">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6D7766">
    <w:pPr>
      <w:pStyle w:val="2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6CE8454">
                          <w:pPr>
                            <w:pStyle w:val="27"/>
                          </w:pPr>
                          <w:r>
                            <w:fldChar w:fldCharType="begin"/>
                          </w:r>
                          <w:r>
                            <w:instrText xml:space="preserve"> PAGE  \* MERGEFORMAT </w:instrText>
                          </w:r>
                          <w:r>
                            <w:fldChar w:fldCharType="separate"/>
                          </w:r>
                          <w:r>
                            <w:t>4</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ConHTYzAEAAJwDAAAOAAAAAAAAAAEAIAAAAB4BAABkcnMvZTJv&#10;RG9jLnhtbFBLBQYAAAAABgAGAFkBAABcBQAAAAA=&#10;">
              <v:fill on="f" focussize="0,0"/>
              <v:stroke on="f"/>
              <v:imagedata o:title=""/>
              <o:lock v:ext="edit" aspectratio="f"/>
              <v:textbox inset="0mm,0mm,0mm,0mm" style="mso-fit-shape-to-text:t;">
                <w:txbxContent>
                  <w:p w14:paraId="76CE8454">
                    <w:pPr>
                      <w:pStyle w:val="27"/>
                    </w:pPr>
                    <w:r>
                      <w:fldChar w:fldCharType="begin"/>
                    </w:r>
                    <w:r>
                      <w:instrText xml:space="preserve"> PAGE  \* MERGEFORMAT </w:instrText>
                    </w:r>
                    <w:r>
                      <w:fldChar w:fldCharType="separate"/>
                    </w:r>
                    <w:r>
                      <w:t>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3FCEEE">
    <w:pPr>
      <w:pStyle w:val="28"/>
      <w:pBdr>
        <w:bottom w:val="none" w:color="auto" w:sz="0" w:space="0"/>
      </w:pBdr>
      <w:jc w:val="both"/>
      <w:rPr>
        <w:rFonts w:ascii="宋体" w:hAnsi="宋体" w:cs="宋体"/>
        <w:bCs/>
        <w:sz w:val="13"/>
        <w:szCs w:val="13"/>
      </w:rPr>
    </w:pPr>
    <w:r>
      <w:rPr>
        <w:rFonts w:hint="eastAsia" w:ascii="宋体" w:hAnsi="宋体" w:cs="宋体"/>
        <w:bCs/>
        <w:sz w:val="13"/>
        <w:szCs w:val="13"/>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FF6960"/>
    <w:multiLevelType w:val="singleLevel"/>
    <w:tmpl w:val="91FF6960"/>
    <w:lvl w:ilvl="0" w:tentative="0">
      <w:start w:val="1"/>
      <w:numFmt w:val="decimal"/>
      <w:lvlText w:val="(%1)"/>
      <w:lvlJc w:val="left"/>
      <w:pPr>
        <w:ind w:left="425" w:hanging="425"/>
      </w:pPr>
      <w:rPr>
        <w:rFonts w:hint="default"/>
      </w:rPr>
    </w:lvl>
  </w:abstractNum>
  <w:abstractNum w:abstractNumId="1">
    <w:nsid w:val="92F31D4A"/>
    <w:multiLevelType w:val="singleLevel"/>
    <w:tmpl w:val="92F31D4A"/>
    <w:lvl w:ilvl="0" w:tentative="0">
      <w:start w:val="1"/>
      <w:numFmt w:val="bullet"/>
      <w:lvlText w:val=""/>
      <w:lvlJc w:val="left"/>
      <w:pPr>
        <w:ind w:left="420" w:hanging="420"/>
      </w:pPr>
      <w:rPr>
        <w:rFonts w:hint="default" w:ascii="Wingdings" w:hAnsi="Wingdings"/>
      </w:rPr>
    </w:lvl>
  </w:abstractNum>
  <w:abstractNum w:abstractNumId="2">
    <w:nsid w:val="96640941"/>
    <w:multiLevelType w:val="singleLevel"/>
    <w:tmpl w:val="96640941"/>
    <w:lvl w:ilvl="0" w:tentative="0">
      <w:start w:val="1"/>
      <w:numFmt w:val="decimal"/>
      <w:lvlText w:val="(%1)"/>
      <w:lvlJc w:val="left"/>
      <w:pPr>
        <w:ind w:left="425" w:hanging="425"/>
      </w:pPr>
      <w:rPr>
        <w:rFonts w:hint="default"/>
      </w:rPr>
    </w:lvl>
  </w:abstractNum>
  <w:abstractNum w:abstractNumId="3">
    <w:nsid w:val="A34A07C2"/>
    <w:multiLevelType w:val="singleLevel"/>
    <w:tmpl w:val="A34A07C2"/>
    <w:lvl w:ilvl="0" w:tentative="0">
      <w:start w:val="1"/>
      <w:numFmt w:val="bullet"/>
      <w:lvlText w:val=""/>
      <w:lvlJc w:val="left"/>
      <w:pPr>
        <w:ind w:left="420" w:hanging="420"/>
      </w:pPr>
      <w:rPr>
        <w:rFonts w:hint="default" w:ascii="Wingdings" w:hAnsi="Wingdings"/>
      </w:rPr>
    </w:lvl>
  </w:abstractNum>
  <w:abstractNum w:abstractNumId="4">
    <w:nsid w:val="AC0B41AE"/>
    <w:multiLevelType w:val="singleLevel"/>
    <w:tmpl w:val="AC0B41AE"/>
    <w:lvl w:ilvl="0" w:tentative="0">
      <w:start w:val="1"/>
      <w:numFmt w:val="decimal"/>
      <w:lvlText w:val="(%1)"/>
      <w:lvlJc w:val="left"/>
      <w:pPr>
        <w:ind w:left="425" w:hanging="425"/>
      </w:pPr>
      <w:rPr>
        <w:rFonts w:hint="default"/>
      </w:rPr>
    </w:lvl>
  </w:abstractNum>
  <w:abstractNum w:abstractNumId="5">
    <w:nsid w:val="B45AFD28"/>
    <w:multiLevelType w:val="singleLevel"/>
    <w:tmpl w:val="B45AFD28"/>
    <w:lvl w:ilvl="0" w:tentative="0">
      <w:start w:val="1"/>
      <w:numFmt w:val="bullet"/>
      <w:lvlText w:val=""/>
      <w:lvlJc w:val="left"/>
      <w:pPr>
        <w:ind w:left="420" w:hanging="420"/>
      </w:pPr>
      <w:rPr>
        <w:rFonts w:hint="default" w:ascii="Wingdings" w:hAnsi="Wingdings"/>
      </w:rPr>
    </w:lvl>
  </w:abstractNum>
  <w:abstractNum w:abstractNumId="6">
    <w:nsid w:val="B5363EF4"/>
    <w:multiLevelType w:val="singleLevel"/>
    <w:tmpl w:val="B5363EF4"/>
    <w:lvl w:ilvl="0" w:tentative="0">
      <w:start w:val="1"/>
      <w:numFmt w:val="decimal"/>
      <w:lvlText w:val="(%1)"/>
      <w:lvlJc w:val="left"/>
      <w:pPr>
        <w:ind w:left="425" w:hanging="425"/>
      </w:pPr>
      <w:rPr>
        <w:rFonts w:hint="default"/>
      </w:rPr>
    </w:lvl>
  </w:abstractNum>
  <w:abstractNum w:abstractNumId="7">
    <w:nsid w:val="BA6003D8"/>
    <w:multiLevelType w:val="singleLevel"/>
    <w:tmpl w:val="BA6003D8"/>
    <w:lvl w:ilvl="0" w:tentative="0">
      <w:start w:val="1"/>
      <w:numFmt w:val="decimal"/>
      <w:lvlText w:val="(%1)"/>
      <w:lvlJc w:val="left"/>
      <w:pPr>
        <w:ind w:left="425" w:hanging="425"/>
      </w:pPr>
      <w:rPr>
        <w:rFonts w:hint="default"/>
      </w:rPr>
    </w:lvl>
  </w:abstractNum>
  <w:abstractNum w:abstractNumId="8">
    <w:nsid w:val="BE0B9068"/>
    <w:multiLevelType w:val="singleLevel"/>
    <w:tmpl w:val="BE0B9068"/>
    <w:lvl w:ilvl="0" w:tentative="0">
      <w:start w:val="1"/>
      <w:numFmt w:val="decimal"/>
      <w:lvlText w:val="(%1)"/>
      <w:lvlJc w:val="left"/>
      <w:pPr>
        <w:ind w:left="425" w:hanging="425"/>
      </w:pPr>
      <w:rPr>
        <w:rFonts w:hint="default"/>
      </w:rPr>
    </w:lvl>
  </w:abstractNum>
  <w:abstractNum w:abstractNumId="9">
    <w:nsid w:val="BE24E146"/>
    <w:multiLevelType w:val="singleLevel"/>
    <w:tmpl w:val="BE24E146"/>
    <w:lvl w:ilvl="0" w:tentative="0">
      <w:start w:val="1"/>
      <w:numFmt w:val="decimal"/>
      <w:lvlText w:val="(%1)"/>
      <w:lvlJc w:val="left"/>
      <w:pPr>
        <w:ind w:left="425" w:hanging="425"/>
      </w:pPr>
      <w:rPr>
        <w:rFonts w:hint="default"/>
      </w:rPr>
    </w:lvl>
  </w:abstractNum>
  <w:abstractNum w:abstractNumId="10">
    <w:nsid w:val="C49CD3DA"/>
    <w:multiLevelType w:val="singleLevel"/>
    <w:tmpl w:val="C49CD3DA"/>
    <w:lvl w:ilvl="0" w:tentative="0">
      <w:start w:val="1"/>
      <w:numFmt w:val="decimal"/>
      <w:lvlText w:val="(%1)"/>
      <w:lvlJc w:val="left"/>
      <w:pPr>
        <w:ind w:left="425" w:hanging="425"/>
      </w:pPr>
      <w:rPr>
        <w:rFonts w:hint="default"/>
      </w:rPr>
    </w:lvl>
  </w:abstractNum>
  <w:abstractNum w:abstractNumId="11">
    <w:nsid w:val="CDD16EE0"/>
    <w:multiLevelType w:val="singleLevel"/>
    <w:tmpl w:val="CDD16EE0"/>
    <w:lvl w:ilvl="0" w:tentative="0">
      <w:start w:val="1"/>
      <w:numFmt w:val="bullet"/>
      <w:lvlText w:val=""/>
      <w:lvlJc w:val="left"/>
      <w:pPr>
        <w:ind w:left="420" w:hanging="420"/>
      </w:pPr>
      <w:rPr>
        <w:rFonts w:hint="default" w:ascii="Wingdings" w:hAnsi="Wingdings"/>
      </w:rPr>
    </w:lvl>
  </w:abstractNum>
  <w:abstractNum w:abstractNumId="12">
    <w:nsid w:val="CF97BA46"/>
    <w:multiLevelType w:val="singleLevel"/>
    <w:tmpl w:val="CF97BA46"/>
    <w:lvl w:ilvl="0" w:tentative="0">
      <w:start w:val="1"/>
      <w:numFmt w:val="decimal"/>
      <w:lvlText w:val="(%1)"/>
      <w:lvlJc w:val="left"/>
      <w:pPr>
        <w:ind w:left="425" w:hanging="425"/>
      </w:pPr>
      <w:rPr>
        <w:rFonts w:hint="default"/>
      </w:rPr>
    </w:lvl>
  </w:abstractNum>
  <w:abstractNum w:abstractNumId="13">
    <w:nsid w:val="D19215E5"/>
    <w:multiLevelType w:val="singleLevel"/>
    <w:tmpl w:val="D19215E5"/>
    <w:lvl w:ilvl="0" w:tentative="0">
      <w:start w:val="1"/>
      <w:numFmt w:val="bullet"/>
      <w:lvlText w:val=""/>
      <w:lvlJc w:val="left"/>
      <w:pPr>
        <w:ind w:left="420" w:hanging="420"/>
      </w:pPr>
      <w:rPr>
        <w:rFonts w:hint="default" w:ascii="Wingdings" w:hAnsi="Wingdings"/>
      </w:rPr>
    </w:lvl>
  </w:abstractNum>
  <w:abstractNum w:abstractNumId="14">
    <w:nsid w:val="DC75A900"/>
    <w:multiLevelType w:val="singleLevel"/>
    <w:tmpl w:val="DC75A900"/>
    <w:lvl w:ilvl="0" w:tentative="0">
      <w:start w:val="1"/>
      <w:numFmt w:val="decimal"/>
      <w:lvlText w:val="(%1)"/>
      <w:lvlJc w:val="left"/>
      <w:pPr>
        <w:ind w:left="425" w:hanging="425"/>
      </w:pPr>
      <w:rPr>
        <w:rFonts w:hint="default"/>
      </w:rPr>
    </w:lvl>
  </w:abstractNum>
  <w:abstractNum w:abstractNumId="15">
    <w:nsid w:val="E8E0A593"/>
    <w:multiLevelType w:val="singleLevel"/>
    <w:tmpl w:val="E8E0A593"/>
    <w:lvl w:ilvl="0" w:tentative="0">
      <w:start w:val="1"/>
      <w:numFmt w:val="decimal"/>
      <w:lvlText w:val="(%1)"/>
      <w:lvlJc w:val="left"/>
      <w:pPr>
        <w:ind w:left="425" w:hanging="425"/>
      </w:pPr>
      <w:rPr>
        <w:rFonts w:hint="default"/>
      </w:rPr>
    </w:lvl>
  </w:abstractNum>
  <w:abstractNum w:abstractNumId="16">
    <w:nsid w:val="EA2834AF"/>
    <w:multiLevelType w:val="singleLevel"/>
    <w:tmpl w:val="EA2834AF"/>
    <w:lvl w:ilvl="0" w:tentative="0">
      <w:start w:val="1"/>
      <w:numFmt w:val="bullet"/>
      <w:lvlText w:val=""/>
      <w:lvlJc w:val="left"/>
      <w:pPr>
        <w:ind w:left="420" w:hanging="420"/>
      </w:pPr>
      <w:rPr>
        <w:rFonts w:hint="default" w:ascii="Wingdings" w:hAnsi="Wingdings"/>
      </w:rPr>
    </w:lvl>
  </w:abstractNum>
  <w:abstractNum w:abstractNumId="17">
    <w:nsid w:val="F41DD04B"/>
    <w:multiLevelType w:val="singleLevel"/>
    <w:tmpl w:val="F41DD04B"/>
    <w:lvl w:ilvl="0" w:tentative="0">
      <w:start w:val="1"/>
      <w:numFmt w:val="decimal"/>
      <w:lvlText w:val="(%1)"/>
      <w:lvlJc w:val="left"/>
      <w:pPr>
        <w:ind w:left="425" w:hanging="425"/>
      </w:pPr>
      <w:rPr>
        <w:rFonts w:hint="default"/>
      </w:rPr>
    </w:lvl>
  </w:abstractNum>
  <w:abstractNum w:abstractNumId="18">
    <w:nsid w:val="F9B8837A"/>
    <w:multiLevelType w:val="singleLevel"/>
    <w:tmpl w:val="F9B8837A"/>
    <w:lvl w:ilvl="0" w:tentative="0">
      <w:start w:val="1"/>
      <w:numFmt w:val="bullet"/>
      <w:lvlText w:val=""/>
      <w:lvlJc w:val="left"/>
      <w:pPr>
        <w:ind w:left="420" w:hanging="420"/>
      </w:pPr>
      <w:rPr>
        <w:rFonts w:hint="default" w:ascii="Wingdings" w:hAnsi="Wingdings"/>
      </w:rPr>
    </w:lvl>
  </w:abstractNum>
  <w:abstractNum w:abstractNumId="19">
    <w:nsid w:val="FA17F125"/>
    <w:multiLevelType w:val="singleLevel"/>
    <w:tmpl w:val="FA17F125"/>
    <w:lvl w:ilvl="0" w:tentative="0">
      <w:start w:val="1"/>
      <w:numFmt w:val="decimal"/>
      <w:lvlText w:val="(%1)"/>
      <w:lvlJc w:val="left"/>
      <w:pPr>
        <w:ind w:left="425" w:hanging="425"/>
      </w:pPr>
      <w:rPr>
        <w:rFonts w:hint="default"/>
      </w:rPr>
    </w:lvl>
  </w:abstractNum>
  <w:abstractNum w:abstractNumId="20">
    <w:nsid w:val="FFA06150"/>
    <w:multiLevelType w:val="singleLevel"/>
    <w:tmpl w:val="FFA06150"/>
    <w:lvl w:ilvl="0" w:tentative="0">
      <w:start w:val="1"/>
      <w:numFmt w:val="decimal"/>
      <w:lvlText w:val="(%1)"/>
      <w:lvlJc w:val="left"/>
      <w:pPr>
        <w:ind w:left="425" w:hanging="425"/>
      </w:pPr>
      <w:rPr>
        <w:rFonts w:hint="default"/>
      </w:rPr>
    </w:lvl>
  </w:abstractNum>
  <w:abstractNum w:abstractNumId="21">
    <w:nsid w:val="FFFFFF7C"/>
    <w:multiLevelType w:val="singleLevel"/>
    <w:tmpl w:val="FFFFFF7C"/>
    <w:lvl w:ilvl="0" w:tentative="0">
      <w:start w:val="1"/>
      <w:numFmt w:val="decimal"/>
      <w:pStyle w:val="156"/>
      <w:lvlText w:val="%1."/>
      <w:lvlJc w:val="left"/>
      <w:pPr>
        <w:tabs>
          <w:tab w:val="left" w:pos="2040"/>
        </w:tabs>
        <w:ind w:left="2040" w:hanging="360"/>
      </w:pPr>
    </w:lvl>
  </w:abstractNum>
  <w:abstractNum w:abstractNumId="22">
    <w:nsid w:val="FFFFFF89"/>
    <w:multiLevelType w:val="singleLevel"/>
    <w:tmpl w:val="FFFFFF89"/>
    <w:lvl w:ilvl="0" w:tentative="0">
      <w:start w:val="1"/>
      <w:numFmt w:val="bullet"/>
      <w:pStyle w:val="14"/>
      <w:lvlText w:val=""/>
      <w:lvlJc w:val="left"/>
      <w:pPr>
        <w:tabs>
          <w:tab w:val="left" w:pos="360"/>
        </w:tabs>
        <w:ind w:left="360" w:hanging="360"/>
      </w:pPr>
      <w:rPr>
        <w:rFonts w:hint="default" w:ascii="Wingdings" w:hAnsi="Wingdings"/>
      </w:rPr>
    </w:lvl>
  </w:abstractNum>
  <w:abstractNum w:abstractNumId="23">
    <w:nsid w:val="0053208E"/>
    <w:multiLevelType w:val="multilevel"/>
    <w:tmpl w:val="0053208E"/>
    <w:lvl w:ilvl="0" w:tentative="0">
      <w:start w:val="1"/>
      <w:numFmt w:val="decimal"/>
      <w:lvlText w:val="%1"/>
      <w:lvlJc w:val="left"/>
      <w:pPr>
        <w:ind w:left="0" w:hanging="336"/>
      </w:pPr>
    </w:lvl>
    <w:lvl w:ilvl="1" w:tentative="0">
      <w:start w:val="1"/>
      <w:numFmt w:val="decimal"/>
      <w:lvlText w:val="%1.%2"/>
      <w:lvlJc w:val="left"/>
      <w:pPr>
        <w:ind w:left="0" w:hanging="336"/>
      </w:pPr>
    </w:lvl>
    <w:lvl w:ilvl="2" w:tentative="0">
      <w:start w:val="1"/>
      <w:numFmt w:val="decimal"/>
      <w:lvlText w:val="%1.%2.%3"/>
      <w:lvlJc w:val="left"/>
      <w:pPr>
        <w:ind w:left="0" w:hanging="336"/>
      </w:pPr>
    </w:lvl>
    <w:lvl w:ilvl="3" w:tentative="0">
      <w:start w:val="1"/>
      <w:numFmt w:val="decimal"/>
      <w:lvlText w:val="%1.%2.%3.%4"/>
      <w:lvlJc w:val="left"/>
      <w:pPr>
        <w:ind w:left="0" w:hanging="336"/>
      </w:pPr>
    </w:lvl>
    <w:lvl w:ilvl="4" w:tentative="0">
      <w:start w:val="1"/>
      <w:numFmt w:val="decimal"/>
      <w:lvlText w:val="%1.%2.%3.%4.%5"/>
      <w:lvlJc w:val="left"/>
      <w:pPr>
        <w:ind w:left="0" w:hanging="336"/>
      </w:pPr>
    </w:lvl>
    <w:lvl w:ilvl="5" w:tentative="0">
      <w:start w:val="1"/>
      <w:numFmt w:val="decimal"/>
      <w:lvlText w:val="%1.%2.%3.%4.%5.%6"/>
      <w:lvlJc w:val="left"/>
      <w:pPr>
        <w:ind w:left="0" w:hanging="336"/>
      </w:pPr>
    </w:lvl>
    <w:lvl w:ilvl="6" w:tentative="0">
      <w:start w:val="1"/>
      <w:numFmt w:val="decimal"/>
      <w:lvlText w:val="%1.%2.%3.%4.%5.%6.%7"/>
      <w:lvlJc w:val="left"/>
      <w:pPr>
        <w:ind w:left="0" w:hanging="336"/>
      </w:pPr>
    </w:lvl>
    <w:lvl w:ilvl="7" w:tentative="0">
      <w:start w:val="1"/>
      <w:numFmt w:val="decimal"/>
      <w:lvlText w:val="%1.%2.%3.%4.%5.%6.%7.%8"/>
      <w:lvlJc w:val="left"/>
      <w:pPr>
        <w:ind w:left="0" w:hanging="336"/>
      </w:pPr>
    </w:lvl>
    <w:lvl w:ilvl="8" w:tentative="0">
      <w:start w:val="1"/>
      <w:numFmt w:val="decimal"/>
      <w:lvlText w:val="%1.%2.%3.%4.%5.%6.%7.%8.%9"/>
      <w:lvlJc w:val="left"/>
      <w:pPr>
        <w:ind w:left="0" w:hanging="336"/>
      </w:pPr>
    </w:lvl>
  </w:abstractNum>
  <w:abstractNum w:abstractNumId="24">
    <w:nsid w:val="082B418D"/>
    <w:multiLevelType w:val="singleLevel"/>
    <w:tmpl w:val="082B418D"/>
    <w:lvl w:ilvl="0" w:tentative="0">
      <w:start w:val="1"/>
      <w:numFmt w:val="decimal"/>
      <w:lvlText w:val="(%1)"/>
      <w:lvlJc w:val="left"/>
      <w:pPr>
        <w:ind w:left="425" w:hanging="425"/>
      </w:pPr>
      <w:rPr>
        <w:rFonts w:hint="default"/>
      </w:rPr>
    </w:lvl>
  </w:abstractNum>
  <w:abstractNum w:abstractNumId="25">
    <w:nsid w:val="0B496BE8"/>
    <w:multiLevelType w:val="singleLevel"/>
    <w:tmpl w:val="0B496BE8"/>
    <w:lvl w:ilvl="0" w:tentative="0">
      <w:start w:val="1"/>
      <w:numFmt w:val="decimal"/>
      <w:lvlText w:val="(%1)"/>
      <w:lvlJc w:val="left"/>
      <w:pPr>
        <w:ind w:left="425" w:hanging="425"/>
      </w:pPr>
      <w:rPr>
        <w:rFonts w:hint="default"/>
      </w:rPr>
    </w:lvl>
  </w:abstractNum>
  <w:abstractNum w:abstractNumId="26">
    <w:nsid w:val="12503483"/>
    <w:multiLevelType w:val="multilevel"/>
    <w:tmpl w:val="12503483"/>
    <w:lvl w:ilvl="0" w:tentative="0">
      <w:start w:val="1"/>
      <w:numFmt w:val="bullet"/>
      <w:pStyle w:val="170"/>
      <w:lvlText w:val=""/>
      <w:lvlJc w:val="left"/>
      <w:pPr>
        <w:tabs>
          <w:tab w:val="left" w:pos="420"/>
        </w:tabs>
        <w:ind w:left="420" w:hanging="420"/>
      </w:pPr>
      <w:rPr>
        <w:rFonts w:hint="default" w:ascii="Wingdings" w:hAnsi="Wingdings"/>
      </w:rPr>
    </w:lvl>
    <w:lvl w:ilvl="1" w:tentative="0">
      <w:start w:val="1"/>
      <w:numFmt w:val="bullet"/>
      <w:pStyle w:val="116"/>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7">
    <w:nsid w:val="149B3C41"/>
    <w:multiLevelType w:val="multilevel"/>
    <w:tmpl w:val="149B3C41"/>
    <w:lvl w:ilvl="0" w:tentative="0">
      <w:start w:val="1"/>
      <w:numFmt w:val="bullet"/>
      <w:lvlText w:val=""/>
      <w:lvlJc w:val="left"/>
      <w:pPr>
        <w:ind w:left="440" w:hanging="440"/>
      </w:pPr>
      <w:rPr>
        <w:rFonts w:hint="default" w:ascii="Wingdings" w:hAnsi="Wingdings"/>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28">
    <w:nsid w:val="160D20D0"/>
    <w:multiLevelType w:val="multilevel"/>
    <w:tmpl w:val="160D20D0"/>
    <w:lvl w:ilvl="0" w:tentative="0">
      <w:start w:val="1"/>
      <w:numFmt w:val="bullet"/>
      <w:pStyle w:val="203"/>
      <w:lvlText w:val=""/>
      <w:lvlJc w:val="left"/>
      <w:pPr>
        <w:tabs>
          <w:tab w:val="left" w:pos="840"/>
        </w:tabs>
        <w:ind w:left="840" w:hanging="420"/>
      </w:pPr>
      <w:rPr>
        <w:rFonts w:hint="default" w:ascii="Wingdings" w:hAnsi="Wingdings"/>
      </w:rPr>
    </w:lvl>
    <w:lvl w:ilvl="1" w:tentative="0">
      <w:start w:val="1"/>
      <w:numFmt w:val="bullet"/>
      <w:pStyle w:val="166"/>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29">
    <w:nsid w:val="19BA1CBA"/>
    <w:multiLevelType w:val="singleLevel"/>
    <w:tmpl w:val="19BA1CBA"/>
    <w:lvl w:ilvl="0" w:tentative="0">
      <w:start w:val="1"/>
      <w:numFmt w:val="decimal"/>
      <w:lvlText w:val="(%1)"/>
      <w:lvlJc w:val="left"/>
      <w:pPr>
        <w:ind w:left="425" w:hanging="425"/>
      </w:pPr>
      <w:rPr>
        <w:rFonts w:hint="default"/>
      </w:rPr>
    </w:lvl>
  </w:abstractNum>
  <w:abstractNum w:abstractNumId="30">
    <w:nsid w:val="1A1E1D60"/>
    <w:multiLevelType w:val="multilevel"/>
    <w:tmpl w:val="1A1E1D60"/>
    <w:lvl w:ilvl="0" w:tentative="0">
      <w:start w:val="1"/>
      <w:numFmt w:val="bullet"/>
      <w:lvlText w:val=""/>
      <w:lvlJc w:val="left"/>
      <w:pPr>
        <w:ind w:left="440" w:hanging="440"/>
      </w:pPr>
      <w:rPr>
        <w:rFonts w:hint="default" w:ascii="Wingdings" w:hAnsi="Wingdings"/>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31">
    <w:nsid w:val="2245305B"/>
    <w:multiLevelType w:val="singleLevel"/>
    <w:tmpl w:val="2245305B"/>
    <w:lvl w:ilvl="0" w:tentative="0">
      <w:start w:val="1"/>
      <w:numFmt w:val="decimal"/>
      <w:lvlText w:val="(%1)"/>
      <w:lvlJc w:val="left"/>
      <w:pPr>
        <w:ind w:left="425" w:hanging="425"/>
      </w:pPr>
      <w:rPr>
        <w:rFonts w:hint="default"/>
      </w:rPr>
    </w:lvl>
  </w:abstractNum>
  <w:abstractNum w:abstractNumId="32">
    <w:nsid w:val="25B5B3C2"/>
    <w:multiLevelType w:val="singleLevel"/>
    <w:tmpl w:val="25B5B3C2"/>
    <w:lvl w:ilvl="0" w:tentative="0">
      <w:start w:val="1"/>
      <w:numFmt w:val="decimal"/>
      <w:lvlText w:val="(%1)"/>
      <w:lvlJc w:val="left"/>
      <w:pPr>
        <w:ind w:left="425" w:hanging="425"/>
      </w:pPr>
      <w:rPr>
        <w:rFonts w:hint="default"/>
      </w:rPr>
    </w:lvl>
  </w:abstractNum>
  <w:abstractNum w:abstractNumId="33">
    <w:nsid w:val="2A7B4951"/>
    <w:multiLevelType w:val="singleLevel"/>
    <w:tmpl w:val="2A7B4951"/>
    <w:lvl w:ilvl="0" w:tentative="0">
      <w:start w:val="1"/>
      <w:numFmt w:val="decimal"/>
      <w:lvlText w:val="(%1)"/>
      <w:lvlJc w:val="left"/>
      <w:pPr>
        <w:ind w:left="425" w:hanging="425"/>
      </w:pPr>
      <w:rPr>
        <w:rFonts w:hint="default"/>
      </w:rPr>
    </w:lvl>
  </w:abstractNum>
  <w:abstractNum w:abstractNumId="34">
    <w:nsid w:val="2F395B7B"/>
    <w:multiLevelType w:val="multilevel"/>
    <w:tmpl w:val="2F395B7B"/>
    <w:lvl w:ilvl="0" w:tentative="0">
      <w:start w:val="1"/>
      <w:numFmt w:val="bullet"/>
      <w:pStyle w:val="167"/>
      <w:lvlText w:val=""/>
      <w:lvlJc w:val="left"/>
      <w:pPr>
        <w:tabs>
          <w:tab w:val="left" w:pos="360"/>
        </w:tabs>
        <w:ind w:left="360" w:hanging="360"/>
      </w:pPr>
      <w:rPr>
        <w:rFonts w:hint="default" w:ascii="Symbol" w:hAnsi="Symbol"/>
      </w:rPr>
    </w:lvl>
    <w:lvl w:ilvl="1" w:tentative="0">
      <w:start w:val="1"/>
      <w:numFmt w:val="bullet"/>
      <w:lvlText w:val=""/>
      <w:lvlJc w:val="left"/>
      <w:pPr>
        <w:tabs>
          <w:tab w:val="left" w:pos="1140"/>
        </w:tabs>
        <w:ind w:left="1140" w:hanging="420"/>
      </w:pPr>
      <w:rPr>
        <w:rFonts w:hint="default" w:ascii="Wingdings" w:hAnsi="Wingdings"/>
      </w:rPr>
    </w:lvl>
    <w:lvl w:ilvl="2" w:tentative="0">
      <w:start w:val="1"/>
      <w:numFmt w:val="bullet"/>
      <w:lvlText w:val=""/>
      <w:lvlJc w:val="left"/>
      <w:pPr>
        <w:tabs>
          <w:tab w:val="left" w:pos="1800"/>
        </w:tabs>
        <w:ind w:left="1800" w:hanging="360"/>
      </w:pPr>
      <w:rPr>
        <w:rFonts w:hint="default" w:ascii="Wingdings" w:hAnsi="Wingdings"/>
      </w:rPr>
    </w:lvl>
    <w:lvl w:ilvl="3" w:tentative="0">
      <w:start w:val="1"/>
      <w:numFmt w:val="bullet"/>
      <w:lvlText w:val=""/>
      <w:lvlJc w:val="left"/>
      <w:pPr>
        <w:tabs>
          <w:tab w:val="left" w:pos="2520"/>
        </w:tabs>
        <w:ind w:left="2520" w:hanging="360"/>
      </w:pPr>
      <w:rPr>
        <w:rFonts w:hint="default" w:ascii="Symbol" w:hAnsi="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rPr>
    </w:lvl>
    <w:lvl w:ilvl="6" w:tentative="0">
      <w:start w:val="1"/>
      <w:numFmt w:val="bullet"/>
      <w:lvlText w:val=""/>
      <w:lvlJc w:val="left"/>
      <w:pPr>
        <w:tabs>
          <w:tab w:val="left" w:pos="4680"/>
        </w:tabs>
        <w:ind w:left="4680" w:hanging="360"/>
      </w:pPr>
      <w:rPr>
        <w:rFonts w:hint="default" w:ascii="Symbol" w:hAnsi="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rPr>
    </w:lvl>
  </w:abstractNum>
  <w:abstractNum w:abstractNumId="35">
    <w:nsid w:val="30F6C346"/>
    <w:multiLevelType w:val="singleLevel"/>
    <w:tmpl w:val="30F6C346"/>
    <w:lvl w:ilvl="0" w:tentative="0">
      <w:start w:val="1"/>
      <w:numFmt w:val="decimal"/>
      <w:lvlText w:val="(%1)"/>
      <w:lvlJc w:val="left"/>
      <w:pPr>
        <w:ind w:left="425" w:hanging="425"/>
      </w:pPr>
      <w:rPr>
        <w:rFonts w:hint="default"/>
      </w:rPr>
    </w:lvl>
  </w:abstractNum>
  <w:abstractNum w:abstractNumId="36">
    <w:nsid w:val="33E42DEB"/>
    <w:multiLevelType w:val="singleLevel"/>
    <w:tmpl w:val="33E42DEB"/>
    <w:lvl w:ilvl="0" w:tentative="0">
      <w:start w:val="1"/>
      <w:numFmt w:val="decimal"/>
      <w:lvlText w:val="(%1)"/>
      <w:lvlJc w:val="left"/>
      <w:pPr>
        <w:ind w:left="425" w:hanging="425"/>
      </w:pPr>
      <w:rPr>
        <w:rFonts w:hint="default"/>
      </w:rPr>
    </w:lvl>
  </w:abstractNum>
  <w:abstractNum w:abstractNumId="37">
    <w:nsid w:val="36D1B8A1"/>
    <w:multiLevelType w:val="singleLevel"/>
    <w:tmpl w:val="36D1B8A1"/>
    <w:lvl w:ilvl="0" w:tentative="0">
      <w:start w:val="1"/>
      <w:numFmt w:val="decimal"/>
      <w:lvlText w:val="(%1)"/>
      <w:lvlJc w:val="left"/>
      <w:pPr>
        <w:ind w:left="425" w:hanging="425"/>
      </w:pPr>
      <w:rPr>
        <w:rFonts w:hint="default"/>
      </w:rPr>
    </w:lvl>
  </w:abstractNum>
  <w:abstractNum w:abstractNumId="38">
    <w:nsid w:val="39F1117E"/>
    <w:multiLevelType w:val="multilevel"/>
    <w:tmpl w:val="39F1117E"/>
    <w:lvl w:ilvl="0" w:tentative="0">
      <w:start w:val="1"/>
      <w:numFmt w:val="chineseCountingThousand"/>
      <w:lvlText w:val="%1、"/>
      <w:lvlJc w:val="left"/>
      <w:pPr>
        <w:ind w:left="440" w:hanging="440"/>
      </w:pPr>
      <w:rPr>
        <w:rFonts w:hint="default"/>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39">
    <w:nsid w:val="3E593029"/>
    <w:multiLevelType w:val="multilevel"/>
    <w:tmpl w:val="3E593029"/>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480"/>
        </w:tabs>
        <w:ind w:left="480" w:hanging="420"/>
      </w:pPr>
    </w:lvl>
    <w:lvl w:ilvl="2" w:tentative="0">
      <w:start w:val="1"/>
      <w:numFmt w:val="lowerRoman"/>
      <w:pStyle w:val="117"/>
      <w:lvlText w:val="%3."/>
      <w:lvlJc w:val="right"/>
      <w:pPr>
        <w:tabs>
          <w:tab w:val="left" w:pos="900"/>
        </w:tabs>
        <w:ind w:left="900" w:hanging="420"/>
      </w:pPr>
    </w:lvl>
    <w:lvl w:ilvl="3" w:tentative="0">
      <w:start w:val="1"/>
      <w:numFmt w:val="decimal"/>
      <w:lvlText w:val="%4."/>
      <w:lvlJc w:val="left"/>
      <w:pPr>
        <w:tabs>
          <w:tab w:val="left" w:pos="1320"/>
        </w:tabs>
        <w:ind w:left="1320" w:hanging="420"/>
      </w:pPr>
    </w:lvl>
    <w:lvl w:ilvl="4" w:tentative="0">
      <w:start w:val="1"/>
      <w:numFmt w:val="lowerLetter"/>
      <w:lvlText w:val="%5)"/>
      <w:lvlJc w:val="left"/>
      <w:pPr>
        <w:tabs>
          <w:tab w:val="left" w:pos="1740"/>
        </w:tabs>
        <w:ind w:left="1740" w:hanging="420"/>
      </w:pPr>
    </w:lvl>
    <w:lvl w:ilvl="5" w:tentative="0">
      <w:start w:val="1"/>
      <w:numFmt w:val="lowerRoman"/>
      <w:lvlText w:val="%6."/>
      <w:lvlJc w:val="right"/>
      <w:pPr>
        <w:tabs>
          <w:tab w:val="left" w:pos="2160"/>
        </w:tabs>
        <w:ind w:left="2160" w:hanging="420"/>
      </w:pPr>
    </w:lvl>
    <w:lvl w:ilvl="6" w:tentative="0">
      <w:start w:val="1"/>
      <w:numFmt w:val="decimal"/>
      <w:lvlText w:val="%7."/>
      <w:lvlJc w:val="left"/>
      <w:pPr>
        <w:tabs>
          <w:tab w:val="left" w:pos="2580"/>
        </w:tabs>
        <w:ind w:left="2580" w:hanging="420"/>
      </w:pPr>
    </w:lvl>
    <w:lvl w:ilvl="7" w:tentative="0">
      <w:start w:val="1"/>
      <w:numFmt w:val="lowerLetter"/>
      <w:lvlText w:val="%8)"/>
      <w:lvlJc w:val="left"/>
      <w:pPr>
        <w:tabs>
          <w:tab w:val="left" w:pos="3000"/>
        </w:tabs>
        <w:ind w:left="3000" w:hanging="420"/>
      </w:pPr>
    </w:lvl>
    <w:lvl w:ilvl="8" w:tentative="0">
      <w:start w:val="1"/>
      <w:numFmt w:val="lowerRoman"/>
      <w:lvlText w:val="%9."/>
      <w:lvlJc w:val="right"/>
      <w:pPr>
        <w:tabs>
          <w:tab w:val="left" w:pos="3420"/>
        </w:tabs>
        <w:ind w:left="3420" w:hanging="420"/>
      </w:pPr>
    </w:lvl>
  </w:abstractNum>
  <w:abstractNum w:abstractNumId="40">
    <w:nsid w:val="3F0F632D"/>
    <w:multiLevelType w:val="multilevel"/>
    <w:tmpl w:val="3F0F632D"/>
    <w:lvl w:ilvl="0" w:tentative="0">
      <w:start w:val="1"/>
      <w:numFmt w:val="chineseCountingThousand"/>
      <w:lvlText w:val="%1、"/>
      <w:lvlJc w:val="left"/>
      <w:pPr>
        <w:ind w:left="440" w:hanging="440"/>
      </w:pPr>
      <w:rPr>
        <w:rFonts w:hint="default"/>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41">
    <w:nsid w:val="44153493"/>
    <w:multiLevelType w:val="singleLevel"/>
    <w:tmpl w:val="44153493"/>
    <w:lvl w:ilvl="0" w:tentative="0">
      <w:start w:val="1"/>
      <w:numFmt w:val="decimal"/>
      <w:lvlText w:val="(%1)"/>
      <w:lvlJc w:val="left"/>
      <w:pPr>
        <w:ind w:left="425" w:hanging="425"/>
      </w:pPr>
      <w:rPr>
        <w:rFonts w:hint="default"/>
      </w:rPr>
    </w:lvl>
  </w:abstractNum>
  <w:abstractNum w:abstractNumId="42">
    <w:nsid w:val="486B63C6"/>
    <w:multiLevelType w:val="singleLevel"/>
    <w:tmpl w:val="486B63C6"/>
    <w:lvl w:ilvl="0" w:tentative="0">
      <w:start w:val="1"/>
      <w:numFmt w:val="decimal"/>
      <w:lvlText w:val="(%1)"/>
      <w:lvlJc w:val="left"/>
      <w:pPr>
        <w:ind w:left="425" w:hanging="425"/>
      </w:pPr>
      <w:rPr>
        <w:rFonts w:hint="default"/>
      </w:rPr>
    </w:lvl>
  </w:abstractNum>
  <w:abstractNum w:abstractNumId="43">
    <w:nsid w:val="4CABFE73"/>
    <w:multiLevelType w:val="singleLevel"/>
    <w:tmpl w:val="4CABFE73"/>
    <w:lvl w:ilvl="0" w:tentative="0">
      <w:start w:val="1"/>
      <w:numFmt w:val="bullet"/>
      <w:lvlText w:val=""/>
      <w:lvlJc w:val="left"/>
      <w:pPr>
        <w:ind w:left="420" w:hanging="420"/>
      </w:pPr>
      <w:rPr>
        <w:rFonts w:hint="default" w:ascii="Wingdings" w:hAnsi="Wingdings"/>
      </w:rPr>
    </w:lvl>
  </w:abstractNum>
  <w:abstractNum w:abstractNumId="44">
    <w:nsid w:val="50365EA0"/>
    <w:multiLevelType w:val="multilevel"/>
    <w:tmpl w:val="50365EA0"/>
    <w:lvl w:ilvl="0" w:tentative="0">
      <w:start w:val="1"/>
      <w:numFmt w:val="decimal"/>
      <w:pStyle w:val="110"/>
      <w:lvlText w:val="%1."/>
      <w:lvlJc w:val="left"/>
      <w:pPr>
        <w:tabs>
          <w:tab w:val="left" w:pos="0"/>
        </w:tabs>
        <w:ind w:left="420" w:hanging="420"/>
      </w:pPr>
      <w:rPr>
        <w:rFonts w:hint="eastAsia"/>
      </w:rPr>
    </w:lvl>
    <w:lvl w:ilvl="1" w:tentative="0">
      <w:start w:val="1"/>
      <w:numFmt w:val="decimal"/>
      <w:lvlText w:val="%1.%2"/>
      <w:lvlJc w:val="left"/>
      <w:pPr>
        <w:tabs>
          <w:tab w:val="left" w:pos="700"/>
        </w:tabs>
        <w:ind w:left="700" w:hanging="700"/>
      </w:pPr>
      <w:rPr>
        <w:rFonts w:hint="eastAsia"/>
      </w:rPr>
    </w:lvl>
    <w:lvl w:ilvl="2" w:tentative="0">
      <w:start w:val="1"/>
      <w:numFmt w:val="decimal"/>
      <w:lvlText w:val="%1.%2.%3"/>
      <w:lvlJc w:val="left"/>
      <w:pPr>
        <w:tabs>
          <w:tab w:val="left" w:pos="0"/>
        </w:tabs>
        <w:ind w:left="1418" w:hanging="1418"/>
      </w:pPr>
      <w:rPr>
        <w:rFonts w:hint="eastAsia"/>
      </w:rPr>
    </w:lvl>
    <w:lvl w:ilvl="3" w:tentative="0">
      <w:start w:val="1"/>
      <w:numFmt w:val="decimal"/>
      <w:lvlText w:val="%1.%2.%3.%4"/>
      <w:lvlJc w:val="left"/>
      <w:pPr>
        <w:tabs>
          <w:tab w:val="left" w:pos="0"/>
        </w:tabs>
        <w:ind w:left="1984" w:hanging="1984"/>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5">
    <w:nsid w:val="580461E5"/>
    <w:multiLevelType w:val="singleLevel"/>
    <w:tmpl w:val="580461E5"/>
    <w:lvl w:ilvl="0" w:tentative="0">
      <w:start w:val="1"/>
      <w:numFmt w:val="decimal"/>
      <w:lvlText w:val="(%1)"/>
      <w:lvlJc w:val="left"/>
      <w:pPr>
        <w:ind w:left="425" w:hanging="425"/>
      </w:pPr>
      <w:rPr>
        <w:rFonts w:hint="default"/>
      </w:rPr>
    </w:lvl>
  </w:abstractNum>
  <w:abstractNum w:abstractNumId="46">
    <w:nsid w:val="5F7DEF57"/>
    <w:multiLevelType w:val="singleLevel"/>
    <w:tmpl w:val="5F7DEF57"/>
    <w:lvl w:ilvl="0" w:tentative="0">
      <w:start w:val="1"/>
      <w:numFmt w:val="decimal"/>
      <w:lvlText w:val="(%1)"/>
      <w:lvlJc w:val="left"/>
      <w:pPr>
        <w:ind w:left="425" w:hanging="425"/>
      </w:pPr>
      <w:rPr>
        <w:rFonts w:hint="default"/>
      </w:rPr>
    </w:lvl>
  </w:abstractNum>
  <w:abstractNum w:abstractNumId="47">
    <w:nsid w:val="61C50B79"/>
    <w:multiLevelType w:val="multilevel"/>
    <w:tmpl w:val="61C50B79"/>
    <w:lvl w:ilvl="0" w:tentative="0">
      <w:start w:val="1"/>
      <w:numFmt w:val="chineseCountingThousand"/>
      <w:lvlText w:val="%1、"/>
      <w:lvlJc w:val="left"/>
      <w:pPr>
        <w:ind w:left="440" w:hanging="440"/>
      </w:pPr>
      <w:rPr>
        <w:rFonts w:hint="default"/>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48">
    <w:nsid w:val="63B69394"/>
    <w:multiLevelType w:val="singleLevel"/>
    <w:tmpl w:val="63B69394"/>
    <w:lvl w:ilvl="0" w:tentative="0">
      <w:start w:val="1"/>
      <w:numFmt w:val="bullet"/>
      <w:lvlText w:val=""/>
      <w:lvlJc w:val="left"/>
      <w:pPr>
        <w:ind w:left="420" w:hanging="420"/>
      </w:pPr>
      <w:rPr>
        <w:rFonts w:hint="default" w:ascii="Wingdings" w:hAnsi="Wingdings"/>
      </w:rPr>
    </w:lvl>
  </w:abstractNum>
  <w:abstractNum w:abstractNumId="49">
    <w:nsid w:val="6686F19D"/>
    <w:multiLevelType w:val="singleLevel"/>
    <w:tmpl w:val="6686F19D"/>
    <w:lvl w:ilvl="0" w:tentative="0">
      <w:start w:val="1"/>
      <w:numFmt w:val="bullet"/>
      <w:lvlText w:val=""/>
      <w:lvlJc w:val="left"/>
      <w:pPr>
        <w:ind w:left="420" w:hanging="420"/>
      </w:pPr>
      <w:rPr>
        <w:rFonts w:hint="default" w:ascii="Wingdings" w:hAnsi="Wingdings"/>
      </w:rPr>
    </w:lvl>
  </w:abstractNum>
  <w:abstractNum w:abstractNumId="50">
    <w:nsid w:val="68890D9D"/>
    <w:multiLevelType w:val="singleLevel"/>
    <w:tmpl w:val="68890D9D"/>
    <w:lvl w:ilvl="0" w:tentative="0">
      <w:start w:val="1"/>
      <w:numFmt w:val="bullet"/>
      <w:lvlText w:val=""/>
      <w:lvlJc w:val="left"/>
      <w:pPr>
        <w:ind w:left="420" w:hanging="420"/>
      </w:pPr>
      <w:rPr>
        <w:rFonts w:hint="default" w:ascii="Wingdings" w:hAnsi="Wingdings"/>
      </w:rPr>
    </w:lvl>
  </w:abstractNum>
  <w:abstractNum w:abstractNumId="51">
    <w:nsid w:val="6A2731C1"/>
    <w:multiLevelType w:val="multilevel"/>
    <w:tmpl w:val="6A2731C1"/>
    <w:lvl w:ilvl="0" w:tentative="0">
      <w:start w:val="1"/>
      <w:numFmt w:val="decimal"/>
      <w:lvlText w:val="%1"/>
      <w:lvlJc w:val="left"/>
      <w:pPr>
        <w:ind w:left="425" w:hanging="425"/>
      </w:pPr>
    </w:lvl>
    <w:lvl w:ilvl="1" w:tentative="0">
      <w:start w:val="1"/>
      <w:numFmt w:val="decimal"/>
      <w:lvlText w:val="%1.%2"/>
      <w:lvlJc w:val="left"/>
      <w:pPr>
        <w:ind w:left="992" w:hanging="567"/>
      </w:pPr>
      <w:rPr>
        <w:rFonts w:ascii="宋体" w:hAnsi="宋体" w:eastAsia="宋体"/>
      </w:r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52">
    <w:nsid w:val="6C2D616A"/>
    <w:multiLevelType w:val="singleLevel"/>
    <w:tmpl w:val="6C2D616A"/>
    <w:lvl w:ilvl="0" w:tentative="0">
      <w:start w:val="1"/>
      <w:numFmt w:val="decimal"/>
      <w:lvlText w:val="(%1)"/>
      <w:lvlJc w:val="left"/>
      <w:pPr>
        <w:ind w:left="425" w:hanging="425"/>
      </w:pPr>
      <w:rPr>
        <w:rFonts w:hint="default"/>
      </w:rPr>
    </w:lvl>
  </w:abstractNum>
  <w:abstractNum w:abstractNumId="53">
    <w:nsid w:val="6DC05D6D"/>
    <w:multiLevelType w:val="singleLevel"/>
    <w:tmpl w:val="6DC05D6D"/>
    <w:lvl w:ilvl="0" w:tentative="0">
      <w:start w:val="1"/>
      <w:numFmt w:val="decimal"/>
      <w:lvlText w:val="(%1)"/>
      <w:lvlJc w:val="left"/>
      <w:pPr>
        <w:ind w:left="425" w:hanging="425"/>
      </w:pPr>
      <w:rPr>
        <w:rFonts w:hint="default"/>
      </w:rPr>
    </w:lvl>
  </w:abstractNum>
  <w:abstractNum w:abstractNumId="54">
    <w:nsid w:val="719F703F"/>
    <w:multiLevelType w:val="singleLevel"/>
    <w:tmpl w:val="719F703F"/>
    <w:lvl w:ilvl="0" w:tentative="0">
      <w:start w:val="1"/>
      <w:numFmt w:val="decimal"/>
      <w:lvlText w:val="(%1)"/>
      <w:lvlJc w:val="left"/>
      <w:pPr>
        <w:ind w:left="425" w:hanging="425"/>
      </w:pPr>
      <w:rPr>
        <w:rFonts w:hint="default"/>
      </w:rPr>
    </w:lvl>
  </w:abstractNum>
  <w:abstractNum w:abstractNumId="55">
    <w:nsid w:val="77275ACE"/>
    <w:multiLevelType w:val="multilevel"/>
    <w:tmpl w:val="77275ACE"/>
    <w:lvl w:ilvl="0" w:tentative="0">
      <w:start w:val="1"/>
      <w:numFmt w:val="chineseCountingThousand"/>
      <w:lvlText w:val="%1、"/>
      <w:lvlJc w:val="left"/>
      <w:pPr>
        <w:ind w:left="440" w:hanging="440"/>
      </w:pPr>
      <w:rPr>
        <w:rFonts w:hint="default"/>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56">
    <w:nsid w:val="77C0354D"/>
    <w:multiLevelType w:val="singleLevel"/>
    <w:tmpl w:val="77C0354D"/>
    <w:lvl w:ilvl="0" w:tentative="0">
      <w:start w:val="1"/>
      <w:numFmt w:val="decimal"/>
      <w:lvlText w:val="(%1)"/>
      <w:lvlJc w:val="left"/>
      <w:pPr>
        <w:ind w:left="425" w:hanging="425"/>
      </w:pPr>
      <w:rPr>
        <w:rFonts w:hint="default"/>
      </w:rPr>
    </w:lvl>
  </w:abstractNum>
  <w:abstractNum w:abstractNumId="57">
    <w:nsid w:val="78437DF8"/>
    <w:multiLevelType w:val="singleLevel"/>
    <w:tmpl w:val="78437DF8"/>
    <w:lvl w:ilvl="0" w:tentative="0">
      <w:start w:val="1"/>
      <w:numFmt w:val="decimal"/>
      <w:lvlText w:val="(%1)"/>
      <w:lvlJc w:val="left"/>
      <w:pPr>
        <w:ind w:left="425" w:hanging="425"/>
      </w:pPr>
      <w:rPr>
        <w:rFonts w:hint="default"/>
      </w:rPr>
    </w:lvl>
  </w:abstractNum>
  <w:abstractNum w:abstractNumId="58">
    <w:nsid w:val="7A97D38C"/>
    <w:multiLevelType w:val="singleLevel"/>
    <w:tmpl w:val="7A97D38C"/>
    <w:lvl w:ilvl="0" w:tentative="0">
      <w:start w:val="1"/>
      <w:numFmt w:val="decimal"/>
      <w:lvlText w:val="(%1)"/>
      <w:lvlJc w:val="left"/>
      <w:pPr>
        <w:ind w:left="425" w:hanging="425"/>
      </w:pPr>
      <w:rPr>
        <w:rFonts w:hint="default"/>
      </w:rPr>
    </w:lvl>
  </w:abstractNum>
  <w:abstractNum w:abstractNumId="59">
    <w:nsid w:val="7AEF7716"/>
    <w:multiLevelType w:val="multilevel"/>
    <w:tmpl w:val="7AEF7716"/>
    <w:lvl w:ilvl="0" w:tentative="0">
      <w:start w:val="1"/>
      <w:numFmt w:val="chineseCountingThousand"/>
      <w:pStyle w:val="230"/>
      <w:lvlText w:val="%1"/>
      <w:lvlJc w:val="left"/>
      <w:pPr>
        <w:tabs>
          <w:tab w:val="left" w:pos="1290"/>
        </w:tabs>
        <w:ind w:left="630" w:hanging="420"/>
      </w:pPr>
      <w:rPr>
        <w:rFonts w:hint="eastAsia"/>
        <w:sz w:val="32"/>
        <w:szCs w:val="32"/>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0">
    <w:nsid w:val="7CB2C34D"/>
    <w:multiLevelType w:val="singleLevel"/>
    <w:tmpl w:val="7CB2C34D"/>
    <w:lvl w:ilvl="0" w:tentative="0">
      <w:start w:val="1"/>
      <w:numFmt w:val="decimal"/>
      <w:lvlText w:val="(%1)"/>
      <w:lvlJc w:val="left"/>
      <w:pPr>
        <w:ind w:left="425" w:hanging="425"/>
      </w:pPr>
      <w:rPr>
        <w:rFonts w:hint="default"/>
      </w:rPr>
    </w:lvl>
  </w:abstractNum>
  <w:num w:numId="1">
    <w:abstractNumId w:val="22"/>
  </w:num>
  <w:num w:numId="2">
    <w:abstractNumId w:val="44"/>
  </w:num>
  <w:num w:numId="3">
    <w:abstractNumId w:val="26"/>
  </w:num>
  <w:num w:numId="4">
    <w:abstractNumId w:val="39"/>
  </w:num>
  <w:num w:numId="5">
    <w:abstractNumId w:val="21"/>
  </w:num>
  <w:num w:numId="6">
    <w:abstractNumId w:val="28"/>
  </w:num>
  <w:num w:numId="7">
    <w:abstractNumId w:val="34"/>
  </w:num>
  <w:num w:numId="8">
    <w:abstractNumId w:val="59"/>
  </w:num>
  <w:num w:numId="9">
    <w:abstractNumId w:val="23"/>
  </w:num>
  <w:num w:numId="10">
    <w:abstractNumId w:val="27"/>
  </w:num>
  <w:num w:numId="11">
    <w:abstractNumId w:val="51"/>
  </w:num>
  <w:num w:numId="12">
    <w:abstractNumId w:val="30"/>
  </w:num>
  <w:num w:numId="13">
    <w:abstractNumId w:val="11"/>
  </w:num>
  <w:num w:numId="14">
    <w:abstractNumId w:val="49"/>
  </w:num>
  <w:num w:numId="15">
    <w:abstractNumId w:val="5"/>
  </w:num>
  <w:num w:numId="16">
    <w:abstractNumId w:val="50"/>
  </w:num>
  <w:num w:numId="17">
    <w:abstractNumId w:val="48"/>
  </w:num>
  <w:num w:numId="18">
    <w:abstractNumId w:val="16"/>
  </w:num>
  <w:num w:numId="19">
    <w:abstractNumId w:val="43"/>
  </w:num>
  <w:num w:numId="20">
    <w:abstractNumId w:val="18"/>
  </w:num>
  <w:num w:numId="21">
    <w:abstractNumId w:val="13"/>
  </w:num>
  <w:num w:numId="22">
    <w:abstractNumId w:val="3"/>
  </w:num>
  <w:num w:numId="23">
    <w:abstractNumId w:val="1"/>
  </w:num>
  <w:num w:numId="24">
    <w:abstractNumId w:val="12"/>
  </w:num>
  <w:num w:numId="25">
    <w:abstractNumId w:val="35"/>
  </w:num>
  <w:num w:numId="26">
    <w:abstractNumId w:val="2"/>
  </w:num>
  <w:num w:numId="27">
    <w:abstractNumId w:val="36"/>
  </w:num>
  <w:num w:numId="28">
    <w:abstractNumId w:val="0"/>
  </w:num>
  <w:num w:numId="29">
    <w:abstractNumId w:val="41"/>
  </w:num>
  <w:num w:numId="30">
    <w:abstractNumId w:val="60"/>
  </w:num>
  <w:num w:numId="31">
    <w:abstractNumId w:val="54"/>
  </w:num>
  <w:num w:numId="32">
    <w:abstractNumId w:val="19"/>
  </w:num>
  <w:num w:numId="33">
    <w:abstractNumId w:val="53"/>
  </w:num>
  <w:num w:numId="34">
    <w:abstractNumId w:val="4"/>
  </w:num>
  <w:num w:numId="35">
    <w:abstractNumId w:val="17"/>
  </w:num>
  <w:num w:numId="36">
    <w:abstractNumId w:val="6"/>
  </w:num>
  <w:num w:numId="37">
    <w:abstractNumId w:val="20"/>
  </w:num>
  <w:num w:numId="38">
    <w:abstractNumId w:val="8"/>
  </w:num>
  <w:num w:numId="39">
    <w:abstractNumId w:val="46"/>
  </w:num>
  <w:num w:numId="40">
    <w:abstractNumId w:val="29"/>
  </w:num>
  <w:num w:numId="41">
    <w:abstractNumId w:val="52"/>
  </w:num>
  <w:num w:numId="42">
    <w:abstractNumId w:val="25"/>
  </w:num>
  <w:num w:numId="43">
    <w:abstractNumId w:val="14"/>
  </w:num>
  <w:num w:numId="44">
    <w:abstractNumId w:val="33"/>
  </w:num>
  <w:num w:numId="45">
    <w:abstractNumId w:val="7"/>
  </w:num>
  <w:num w:numId="46">
    <w:abstractNumId w:val="15"/>
  </w:num>
  <w:num w:numId="47">
    <w:abstractNumId w:val="57"/>
  </w:num>
  <w:num w:numId="48">
    <w:abstractNumId w:val="37"/>
  </w:num>
  <w:num w:numId="49">
    <w:abstractNumId w:val="32"/>
  </w:num>
  <w:num w:numId="50">
    <w:abstractNumId w:val="42"/>
  </w:num>
  <w:num w:numId="51">
    <w:abstractNumId w:val="10"/>
  </w:num>
  <w:num w:numId="52">
    <w:abstractNumId w:val="58"/>
  </w:num>
  <w:num w:numId="53">
    <w:abstractNumId w:val="9"/>
  </w:num>
  <w:num w:numId="54">
    <w:abstractNumId w:val="45"/>
  </w:num>
  <w:num w:numId="55">
    <w:abstractNumId w:val="56"/>
  </w:num>
  <w:num w:numId="56">
    <w:abstractNumId w:val="24"/>
  </w:num>
  <w:num w:numId="57">
    <w:abstractNumId w:val="31"/>
  </w:num>
  <w:num w:numId="58">
    <w:abstractNumId w:val="55"/>
  </w:num>
  <w:num w:numId="59">
    <w:abstractNumId w:val="38"/>
  </w:num>
  <w:num w:numId="60">
    <w:abstractNumId w:val="40"/>
  </w:num>
  <w:num w:numId="61">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hideSpellingErrors/>
  <w:documentProtection w:enforcement="0"/>
  <w:defaultTabStop w:val="420"/>
  <w:drawingGridVerticalSpacing w:val="156"/>
  <w:noPunctuationKerning w:val="1"/>
  <w:characterSpacingControl w:val="compressPunctuation"/>
  <w:noLineBreaksAfter w:lang="zh-CN" w:val="([{·‘“〈《「『【〔〖（．［｛￡￥"/>
  <w:noLineBreaksBefore w:lang="zh-CN" w:val="!),.:;?]}¨·ˇˉ―‖’”…∶、。〃々〉》」』】〕〗！＂＇），．：；？］｀｜｝～￠"/>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3YjEwMjE2N2EyZWQ0MDY2ZTc5YzJlMjZmYWI1ZGQifQ=="/>
  </w:docVars>
  <w:rsids>
    <w:rsidRoot w:val="00862751"/>
    <w:rsid w:val="00010C1D"/>
    <w:rsid w:val="0004127E"/>
    <w:rsid w:val="00060DEC"/>
    <w:rsid w:val="0006578D"/>
    <w:rsid w:val="00067131"/>
    <w:rsid w:val="00071E00"/>
    <w:rsid w:val="00072CA7"/>
    <w:rsid w:val="000954B0"/>
    <w:rsid w:val="000D2296"/>
    <w:rsid w:val="000D526F"/>
    <w:rsid w:val="000D7A09"/>
    <w:rsid w:val="000E4201"/>
    <w:rsid w:val="00101C96"/>
    <w:rsid w:val="0011393E"/>
    <w:rsid w:val="00130DFB"/>
    <w:rsid w:val="00131FFD"/>
    <w:rsid w:val="00137467"/>
    <w:rsid w:val="001500EB"/>
    <w:rsid w:val="00164ABF"/>
    <w:rsid w:val="0017488E"/>
    <w:rsid w:val="00184732"/>
    <w:rsid w:val="00191484"/>
    <w:rsid w:val="001A3565"/>
    <w:rsid w:val="001A4737"/>
    <w:rsid w:val="001A4E23"/>
    <w:rsid w:val="001E0495"/>
    <w:rsid w:val="00204BC5"/>
    <w:rsid w:val="00220540"/>
    <w:rsid w:val="00224B93"/>
    <w:rsid w:val="002277B3"/>
    <w:rsid w:val="00235E00"/>
    <w:rsid w:val="002631E4"/>
    <w:rsid w:val="002765D9"/>
    <w:rsid w:val="002A5EE1"/>
    <w:rsid w:val="002C1A91"/>
    <w:rsid w:val="002C3F56"/>
    <w:rsid w:val="002C6976"/>
    <w:rsid w:val="002E1A2F"/>
    <w:rsid w:val="00301B98"/>
    <w:rsid w:val="00314DE6"/>
    <w:rsid w:val="003411A8"/>
    <w:rsid w:val="00346D86"/>
    <w:rsid w:val="00362519"/>
    <w:rsid w:val="003A52E1"/>
    <w:rsid w:val="003A7775"/>
    <w:rsid w:val="003B61FA"/>
    <w:rsid w:val="003D21B2"/>
    <w:rsid w:val="003E5587"/>
    <w:rsid w:val="003E5FF2"/>
    <w:rsid w:val="00413BEB"/>
    <w:rsid w:val="004323E2"/>
    <w:rsid w:val="00435B10"/>
    <w:rsid w:val="00447560"/>
    <w:rsid w:val="00453078"/>
    <w:rsid w:val="00463036"/>
    <w:rsid w:val="00464D13"/>
    <w:rsid w:val="00465840"/>
    <w:rsid w:val="004B2F1C"/>
    <w:rsid w:val="004B3FEC"/>
    <w:rsid w:val="004C0647"/>
    <w:rsid w:val="004E515F"/>
    <w:rsid w:val="004F1E37"/>
    <w:rsid w:val="0052390E"/>
    <w:rsid w:val="005457DA"/>
    <w:rsid w:val="005915F7"/>
    <w:rsid w:val="005B0A4C"/>
    <w:rsid w:val="005C142A"/>
    <w:rsid w:val="005C6F6B"/>
    <w:rsid w:val="005D756E"/>
    <w:rsid w:val="005D790F"/>
    <w:rsid w:val="005D7BAF"/>
    <w:rsid w:val="005E1909"/>
    <w:rsid w:val="005F0369"/>
    <w:rsid w:val="005F379E"/>
    <w:rsid w:val="006043F8"/>
    <w:rsid w:val="00622569"/>
    <w:rsid w:val="0062466F"/>
    <w:rsid w:val="00637EB6"/>
    <w:rsid w:val="006525C9"/>
    <w:rsid w:val="00665D27"/>
    <w:rsid w:val="006810FB"/>
    <w:rsid w:val="00692299"/>
    <w:rsid w:val="00696549"/>
    <w:rsid w:val="006A1EB3"/>
    <w:rsid w:val="006A564A"/>
    <w:rsid w:val="006A687E"/>
    <w:rsid w:val="006B3DE7"/>
    <w:rsid w:val="006C5DCD"/>
    <w:rsid w:val="006D6190"/>
    <w:rsid w:val="00737297"/>
    <w:rsid w:val="00750AA0"/>
    <w:rsid w:val="007628B8"/>
    <w:rsid w:val="007B76DF"/>
    <w:rsid w:val="007D0976"/>
    <w:rsid w:val="007E4FAB"/>
    <w:rsid w:val="007E738A"/>
    <w:rsid w:val="007F2586"/>
    <w:rsid w:val="007F47D8"/>
    <w:rsid w:val="007F4E00"/>
    <w:rsid w:val="007F5586"/>
    <w:rsid w:val="00833296"/>
    <w:rsid w:val="00835183"/>
    <w:rsid w:val="008428FA"/>
    <w:rsid w:val="00862751"/>
    <w:rsid w:val="008953A5"/>
    <w:rsid w:val="008C090C"/>
    <w:rsid w:val="008D0EB1"/>
    <w:rsid w:val="008E7476"/>
    <w:rsid w:val="008E78D1"/>
    <w:rsid w:val="008E7DED"/>
    <w:rsid w:val="00902FA0"/>
    <w:rsid w:val="00932390"/>
    <w:rsid w:val="0093249B"/>
    <w:rsid w:val="00945E90"/>
    <w:rsid w:val="00950240"/>
    <w:rsid w:val="00962DBE"/>
    <w:rsid w:val="00983849"/>
    <w:rsid w:val="00995B46"/>
    <w:rsid w:val="009A1EB7"/>
    <w:rsid w:val="009C3113"/>
    <w:rsid w:val="009C3E56"/>
    <w:rsid w:val="009C59BD"/>
    <w:rsid w:val="009E05AF"/>
    <w:rsid w:val="00A126E7"/>
    <w:rsid w:val="00A26D5E"/>
    <w:rsid w:val="00A32CBC"/>
    <w:rsid w:val="00A33AE8"/>
    <w:rsid w:val="00A51428"/>
    <w:rsid w:val="00A519A0"/>
    <w:rsid w:val="00A550B2"/>
    <w:rsid w:val="00A57883"/>
    <w:rsid w:val="00A62E5E"/>
    <w:rsid w:val="00A6525C"/>
    <w:rsid w:val="00A84221"/>
    <w:rsid w:val="00A87410"/>
    <w:rsid w:val="00A9217B"/>
    <w:rsid w:val="00AA24B1"/>
    <w:rsid w:val="00AA37AD"/>
    <w:rsid w:val="00AA402E"/>
    <w:rsid w:val="00AB1985"/>
    <w:rsid w:val="00AB1C7C"/>
    <w:rsid w:val="00AB25A0"/>
    <w:rsid w:val="00B04029"/>
    <w:rsid w:val="00B14717"/>
    <w:rsid w:val="00B23287"/>
    <w:rsid w:val="00B27297"/>
    <w:rsid w:val="00B43F91"/>
    <w:rsid w:val="00B46C04"/>
    <w:rsid w:val="00B6181B"/>
    <w:rsid w:val="00B62EA3"/>
    <w:rsid w:val="00B70028"/>
    <w:rsid w:val="00B7118E"/>
    <w:rsid w:val="00B732A1"/>
    <w:rsid w:val="00B748B1"/>
    <w:rsid w:val="00B819F7"/>
    <w:rsid w:val="00BB035C"/>
    <w:rsid w:val="00BB2709"/>
    <w:rsid w:val="00BB4294"/>
    <w:rsid w:val="00BB5237"/>
    <w:rsid w:val="00BC0D77"/>
    <w:rsid w:val="00BD5EB5"/>
    <w:rsid w:val="00C14B2E"/>
    <w:rsid w:val="00C279B1"/>
    <w:rsid w:val="00C27DA3"/>
    <w:rsid w:val="00C6772D"/>
    <w:rsid w:val="00C816D1"/>
    <w:rsid w:val="00C81F91"/>
    <w:rsid w:val="00C93AC2"/>
    <w:rsid w:val="00CA76A1"/>
    <w:rsid w:val="00CA77FB"/>
    <w:rsid w:val="00CC7B36"/>
    <w:rsid w:val="00CE3C6B"/>
    <w:rsid w:val="00CF3BDF"/>
    <w:rsid w:val="00D00E7D"/>
    <w:rsid w:val="00D32A75"/>
    <w:rsid w:val="00D504A0"/>
    <w:rsid w:val="00D550AA"/>
    <w:rsid w:val="00D7209C"/>
    <w:rsid w:val="00D754ED"/>
    <w:rsid w:val="00D76309"/>
    <w:rsid w:val="00D9119A"/>
    <w:rsid w:val="00D96B3E"/>
    <w:rsid w:val="00DA3487"/>
    <w:rsid w:val="00DA4252"/>
    <w:rsid w:val="00E12C04"/>
    <w:rsid w:val="00E35D62"/>
    <w:rsid w:val="00E65F40"/>
    <w:rsid w:val="00E77D89"/>
    <w:rsid w:val="00EA5465"/>
    <w:rsid w:val="00EC68A6"/>
    <w:rsid w:val="00EF3318"/>
    <w:rsid w:val="00F03666"/>
    <w:rsid w:val="00F11E83"/>
    <w:rsid w:val="00F24171"/>
    <w:rsid w:val="00F30B63"/>
    <w:rsid w:val="00F35C10"/>
    <w:rsid w:val="00F456EA"/>
    <w:rsid w:val="00F65CBF"/>
    <w:rsid w:val="00FB4DC5"/>
    <w:rsid w:val="00FC57B7"/>
    <w:rsid w:val="00FC700C"/>
    <w:rsid w:val="00FD10A3"/>
    <w:rsid w:val="00FD2599"/>
    <w:rsid w:val="0213766F"/>
    <w:rsid w:val="03391E1F"/>
    <w:rsid w:val="03695F2E"/>
    <w:rsid w:val="04C44C50"/>
    <w:rsid w:val="04D01EF4"/>
    <w:rsid w:val="058014BF"/>
    <w:rsid w:val="05FD2B10"/>
    <w:rsid w:val="06823015"/>
    <w:rsid w:val="09E6408E"/>
    <w:rsid w:val="0D444B80"/>
    <w:rsid w:val="0DD26630"/>
    <w:rsid w:val="0E2C21E4"/>
    <w:rsid w:val="107D3E7B"/>
    <w:rsid w:val="10AA5642"/>
    <w:rsid w:val="10C1473A"/>
    <w:rsid w:val="117D4B05"/>
    <w:rsid w:val="141F1EA3"/>
    <w:rsid w:val="145834BC"/>
    <w:rsid w:val="14CD10FD"/>
    <w:rsid w:val="152F25BA"/>
    <w:rsid w:val="156009C5"/>
    <w:rsid w:val="175104C7"/>
    <w:rsid w:val="17AD5A18"/>
    <w:rsid w:val="188E75F7"/>
    <w:rsid w:val="18A46E1B"/>
    <w:rsid w:val="1C0A168B"/>
    <w:rsid w:val="1D8A2A83"/>
    <w:rsid w:val="1F5275D0"/>
    <w:rsid w:val="2217240B"/>
    <w:rsid w:val="231B5F2B"/>
    <w:rsid w:val="23A221A9"/>
    <w:rsid w:val="2564005E"/>
    <w:rsid w:val="25D36F91"/>
    <w:rsid w:val="26CA3EF0"/>
    <w:rsid w:val="26E74AA2"/>
    <w:rsid w:val="27BF3329"/>
    <w:rsid w:val="290E39B6"/>
    <w:rsid w:val="29660B4A"/>
    <w:rsid w:val="29B10679"/>
    <w:rsid w:val="2B770D10"/>
    <w:rsid w:val="2BBE1B4A"/>
    <w:rsid w:val="2C2E3173"/>
    <w:rsid w:val="2DA07962"/>
    <w:rsid w:val="2F8D738B"/>
    <w:rsid w:val="2FA84FEB"/>
    <w:rsid w:val="30183F1E"/>
    <w:rsid w:val="3095731D"/>
    <w:rsid w:val="315E6396"/>
    <w:rsid w:val="328C0BF4"/>
    <w:rsid w:val="331F55C4"/>
    <w:rsid w:val="33582884"/>
    <w:rsid w:val="33ED6B13"/>
    <w:rsid w:val="346D235F"/>
    <w:rsid w:val="356B2D42"/>
    <w:rsid w:val="366C0B20"/>
    <w:rsid w:val="37E91872"/>
    <w:rsid w:val="395A31A9"/>
    <w:rsid w:val="39DA2245"/>
    <w:rsid w:val="3C9B215F"/>
    <w:rsid w:val="3CC01BC6"/>
    <w:rsid w:val="3DD1395F"/>
    <w:rsid w:val="3E7A5DA4"/>
    <w:rsid w:val="3EB56DDC"/>
    <w:rsid w:val="3F9343B1"/>
    <w:rsid w:val="3FEE6A4A"/>
    <w:rsid w:val="40307524"/>
    <w:rsid w:val="40CB0B39"/>
    <w:rsid w:val="41270465"/>
    <w:rsid w:val="41DD0B24"/>
    <w:rsid w:val="42BC698B"/>
    <w:rsid w:val="43234C5C"/>
    <w:rsid w:val="43DA128F"/>
    <w:rsid w:val="447565FF"/>
    <w:rsid w:val="46AB49EF"/>
    <w:rsid w:val="473A2575"/>
    <w:rsid w:val="47FE17F4"/>
    <w:rsid w:val="480212E4"/>
    <w:rsid w:val="490D18E7"/>
    <w:rsid w:val="490E4345"/>
    <w:rsid w:val="4AE9678B"/>
    <w:rsid w:val="4C39729F"/>
    <w:rsid w:val="4D5A11EE"/>
    <w:rsid w:val="4E220134"/>
    <w:rsid w:val="4E6A373F"/>
    <w:rsid w:val="4F367AC5"/>
    <w:rsid w:val="4F416B96"/>
    <w:rsid w:val="503A429A"/>
    <w:rsid w:val="5116195C"/>
    <w:rsid w:val="512C2F2E"/>
    <w:rsid w:val="51B94018"/>
    <w:rsid w:val="51FF6894"/>
    <w:rsid w:val="538705D8"/>
    <w:rsid w:val="53A9699E"/>
    <w:rsid w:val="551E6F30"/>
    <w:rsid w:val="5540169E"/>
    <w:rsid w:val="55752264"/>
    <w:rsid w:val="55C37BD9"/>
    <w:rsid w:val="56660C90"/>
    <w:rsid w:val="590429E2"/>
    <w:rsid w:val="592E4B3E"/>
    <w:rsid w:val="5A8D542F"/>
    <w:rsid w:val="5B465534"/>
    <w:rsid w:val="5BF74948"/>
    <w:rsid w:val="5C6914DA"/>
    <w:rsid w:val="5DAA7FFC"/>
    <w:rsid w:val="5DB93D9B"/>
    <w:rsid w:val="61EF2E49"/>
    <w:rsid w:val="63161C90"/>
    <w:rsid w:val="63516A1D"/>
    <w:rsid w:val="637D3ABD"/>
    <w:rsid w:val="63F06B51"/>
    <w:rsid w:val="64300B2F"/>
    <w:rsid w:val="65F31E15"/>
    <w:rsid w:val="65FF6A0B"/>
    <w:rsid w:val="67C972D1"/>
    <w:rsid w:val="6A2E5B11"/>
    <w:rsid w:val="6AD807C8"/>
    <w:rsid w:val="6CCE7137"/>
    <w:rsid w:val="6DC742B3"/>
    <w:rsid w:val="6F543924"/>
    <w:rsid w:val="71B66B18"/>
    <w:rsid w:val="71F907B3"/>
    <w:rsid w:val="72D1172F"/>
    <w:rsid w:val="736D3206"/>
    <w:rsid w:val="73DE3A4C"/>
    <w:rsid w:val="75FF8BC0"/>
    <w:rsid w:val="76516E0F"/>
    <w:rsid w:val="77FF2E6B"/>
    <w:rsid w:val="79222CE5"/>
    <w:rsid w:val="793D5F7F"/>
    <w:rsid w:val="795E6EC3"/>
    <w:rsid w:val="7B3B2922"/>
    <w:rsid w:val="7B566C76"/>
    <w:rsid w:val="7CDF0B6D"/>
    <w:rsid w:val="7E617E0B"/>
    <w:rsid w:val="7F5E0871"/>
    <w:rsid w:val="8CFF437C"/>
    <w:rsid w:val="B9FDB4B8"/>
    <w:rsid w:val="BF79902D"/>
    <w:rsid w:val="FBEFFEF6"/>
    <w:rsid w:val="FCFD06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iPriority="99" w:name="footnote text"/>
    <w:lsdException w:qFormat="1" w:unhideWhenUsed="0" w:uiPriority="99" w:name="annotation text"/>
    <w:lsdException w:qFormat="1" w:uiPriority="99" w:semiHidden="0" w:name="header"/>
    <w:lsdException w:qFormat="1"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qFormat="1" w:unhideWhenUsed="0" w:uiPriority="0" w:semiHidden="0"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224"/>
    <w:qFormat/>
    <w:uiPriority w:val="0"/>
    <w:pPr>
      <w:spacing w:before="340" w:after="330" w:line="360" w:lineRule="auto"/>
      <w:jc w:val="center"/>
      <w:outlineLvl w:val="0"/>
    </w:pPr>
    <w:rPr>
      <w:rFonts w:eastAsia="黑体"/>
      <w:kern w:val="44"/>
      <w:szCs w:val="44"/>
    </w:rPr>
  </w:style>
  <w:style w:type="paragraph" w:styleId="3">
    <w:name w:val="heading 2"/>
    <w:basedOn w:val="1"/>
    <w:next w:val="1"/>
    <w:link w:val="142"/>
    <w:qFormat/>
    <w:uiPriority w:val="0"/>
    <w:pPr>
      <w:adjustRightInd w:val="0"/>
      <w:jc w:val="center"/>
      <w:textAlignment w:val="baseline"/>
      <w:outlineLvl w:val="1"/>
    </w:pPr>
    <w:rPr>
      <w:kern w:val="0"/>
      <w:sz w:val="24"/>
      <w:szCs w:val="20"/>
    </w:rPr>
  </w:style>
  <w:style w:type="paragraph" w:styleId="4">
    <w:name w:val="heading 3"/>
    <w:basedOn w:val="5"/>
    <w:next w:val="1"/>
    <w:link w:val="190"/>
    <w:qFormat/>
    <w:uiPriority w:val="0"/>
    <w:pPr>
      <w:spacing w:before="260" w:after="260"/>
      <w:outlineLvl w:val="2"/>
    </w:pPr>
    <w:rPr>
      <w:rFonts w:ascii="宋体" w:hAnsi="宋体"/>
      <w:kern w:val="0"/>
      <w:szCs w:val="32"/>
    </w:rPr>
  </w:style>
  <w:style w:type="paragraph" w:styleId="5">
    <w:name w:val="heading 4"/>
    <w:basedOn w:val="1"/>
    <w:next w:val="1"/>
    <w:link w:val="235"/>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7"/>
    <w:link w:val="140"/>
    <w:qFormat/>
    <w:uiPriority w:val="0"/>
    <w:pPr>
      <w:keepNext/>
      <w:keepLines/>
      <w:spacing w:before="280" w:after="290" w:line="376" w:lineRule="auto"/>
      <w:outlineLvl w:val="4"/>
    </w:pPr>
    <w:rPr>
      <w:b/>
      <w:sz w:val="28"/>
      <w:szCs w:val="20"/>
    </w:rPr>
  </w:style>
  <w:style w:type="paragraph" w:styleId="8">
    <w:name w:val="heading 6"/>
    <w:basedOn w:val="1"/>
    <w:next w:val="7"/>
    <w:link w:val="84"/>
    <w:qFormat/>
    <w:uiPriority w:val="0"/>
    <w:pPr>
      <w:keepNext/>
      <w:keepLines/>
      <w:spacing w:before="240" w:after="64" w:line="320" w:lineRule="auto"/>
      <w:outlineLvl w:val="5"/>
    </w:pPr>
    <w:rPr>
      <w:rFonts w:ascii="Arial" w:hAnsi="Arial" w:eastAsia="黑体"/>
      <w:b/>
      <w:sz w:val="24"/>
      <w:szCs w:val="20"/>
    </w:rPr>
  </w:style>
  <w:style w:type="paragraph" w:styleId="9">
    <w:name w:val="heading 7"/>
    <w:basedOn w:val="1"/>
    <w:next w:val="7"/>
    <w:link w:val="161"/>
    <w:qFormat/>
    <w:uiPriority w:val="0"/>
    <w:pPr>
      <w:keepNext/>
      <w:keepLines/>
      <w:spacing w:before="240" w:after="64" w:line="320" w:lineRule="auto"/>
      <w:outlineLvl w:val="6"/>
    </w:pPr>
    <w:rPr>
      <w:b/>
      <w:sz w:val="24"/>
      <w:szCs w:val="20"/>
    </w:rPr>
  </w:style>
  <w:style w:type="paragraph" w:styleId="10">
    <w:name w:val="heading 8"/>
    <w:basedOn w:val="1"/>
    <w:next w:val="7"/>
    <w:link w:val="126"/>
    <w:qFormat/>
    <w:uiPriority w:val="0"/>
    <w:pPr>
      <w:keepNext/>
      <w:keepLines/>
      <w:spacing w:before="240" w:after="64" w:line="320" w:lineRule="auto"/>
      <w:outlineLvl w:val="7"/>
    </w:pPr>
    <w:rPr>
      <w:rFonts w:ascii="Arial" w:hAnsi="Arial" w:eastAsia="黑体"/>
      <w:sz w:val="24"/>
      <w:szCs w:val="20"/>
    </w:rPr>
  </w:style>
  <w:style w:type="paragraph" w:styleId="11">
    <w:name w:val="heading 9"/>
    <w:basedOn w:val="1"/>
    <w:next w:val="7"/>
    <w:link w:val="70"/>
    <w:qFormat/>
    <w:uiPriority w:val="0"/>
    <w:pPr>
      <w:keepNext/>
      <w:keepLines/>
      <w:spacing w:before="240" w:after="64" w:line="320" w:lineRule="auto"/>
      <w:outlineLvl w:val="8"/>
    </w:pPr>
    <w:rPr>
      <w:rFonts w:ascii="Arial" w:hAnsi="Arial" w:eastAsia="黑体"/>
      <w:szCs w:val="20"/>
    </w:rPr>
  </w:style>
  <w:style w:type="character" w:default="1" w:styleId="45">
    <w:name w:val="Default Paragraph Font"/>
    <w:semiHidden/>
    <w:unhideWhenUsed/>
    <w:qFormat/>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styleId="7">
    <w:name w:val="Normal Indent"/>
    <w:basedOn w:val="1"/>
    <w:next w:val="1"/>
    <w:link w:val="134"/>
    <w:qFormat/>
    <w:uiPriority w:val="0"/>
    <w:pPr>
      <w:ind w:firstLine="420"/>
    </w:pPr>
    <w:rPr>
      <w:kern w:val="0"/>
      <w:sz w:val="20"/>
      <w:szCs w:val="20"/>
    </w:rPr>
  </w:style>
  <w:style w:type="paragraph" w:styleId="12">
    <w:name w:val="toc 7"/>
    <w:basedOn w:val="1"/>
    <w:next w:val="1"/>
    <w:semiHidden/>
    <w:qFormat/>
    <w:uiPriority w:val="0"/>
    <w:pPr>
      <w:ind w:left="1260"/>
      <w:jc w:val="left"/>
    </w:pPr>
    <w:rPr>
      <w:szCs w:val="21"/>
    </w:rPr>
  </w:style>
  <w:style w:type="paragraph" w:styleId="13">
    <w:name w:val="caption"/>
    <w:basedOn w:val="1"/>
    <w:next w:val="1"/>
    <w:qFormat/>
    <w:uiPriority w:val="0"/>
    <w:pPr>
      <w:widowControl/>
      <w:spacing w:line="360" w:lineRule="auto"/>
      <w:ind w:firstLine="1940" w:firstLineChars="920"/>
      <w:jc w:val="left"/>
    </w:pPr>
    <w:rPr>
      <w:rFonts w:ascii="宋体" w:hAnsi="宋体"/>
      <w:b/>
      <w:bCs/>
      <w:kern w:val="0"/>
      <w:sz w:val="20"/>
      <w:szCs w:val="20"/>
    </w:rPr>
  </w:style>
  <w:style w:type="paragraph" w:styleId="14">
    <w:name w:val="List Bullet"/>
    <w:basedOn w:val="1"/>
    <w:qFormat/>
    <w:uiPriority w:val="0"/>
    <w:pPr>
      <w:numPr>
        <w:ilvl w:val="0"/>
        <w:numId w:val="1"/>
      </w:numPr>
    </w:pPr>
    <w:rPr>
      <w:szCs w:val="20"/>
    </w:rPr>
  </w:style>
  <w:style w:type="paragraph" w:styleId="15">
    <w:name w:val="Document Map"/>
    <w:basedOn w:val="1"/>
    <w:link w:val="223"/>
    <w:semiHidden/>
    <w:qFormat/>
    <w:uiPriority w:val="0"/>
    <w:pPr>
      <w:shd w:val="clear" w:color="auto" w:fill="000080"/>
    </w:pPr>
  </w:style>
  <w:style w:type="paragraph" w:styleId="16">
    <w:name w:val="annotation text"/>
    <w:basedOn w:val="1"/>
    <w:link w:val="174"/>
    <w:semiHidden/>
    <w:qFormat/>
    <w:uiPriority w:val="99"/>
    <w:pPr>
      <w:autoSpaceDE w:val="0"/>
      <w:autoSpaceDN w:val="0"/>
      <w:adjustRightInd w:val="0"/>
      <w:jc w:val="left"/>
      <w:textAlignment w:val="baseline"/>
    </w:pPr>
    <w:rPr>
      <w:rFonts w:ascii="宋体"/>
      <w:kern w:val="0"/>
      <w:sz w:val="34"/>
      <w:szCs w:val="20"/>
    </w:rPr>
  </w:style>
  <w:style w:type="paragraph" w:styleId="17">
    <w:name w:val="Body Text 3"/>
    <w:basedOn w:val="1"/>
    <w:link w:val="138"/>
    <w:qFormat/>
    <w:uiPriority w:val="0"/>
    <w:pPr>
      <w:spacing w:after="120"/>
    </w:pPr>
    <w:rPr>
      <w:sz w:val="16"/>
      <w:szCs w:val="16"/>
    </w:rPr>
  </w:style>
  <w:style w:type="paragraph" w:styleId="18">
    <w:name w:val="Body Text"/>
    <w:basedOn w:val="1"/>
    <w:link w:val="101"/>
    <w:qFormat/>
    <w:uiPriority w:val="0"/>
    <w:pPr>
      <w:spacing w:line="360" w:lineRule="auto"/>
    </w:pPr>
    <w:rPr>
      <w:b/>
      <w:bCs/>
      <w:sz w:val="24"/>
    </w:rPr>
  </w:style>
  <w:style w:type="paragraph" w:styleId="19">
    <w:name w:val="Body Text Indent"/>
    <w:basedOn w:val="1"/>
    <w:link w:val="234"/>
    <w:qFormat/>
    <w:uiPriority w:val="0"/>
    <w:pPr>
      <w:spacing w:line="360" w:lineRule="auto"/>
      <w:ind w:firstLine="420" w:firstLineChars="200"/>
    </w:pPr>
  </w:style>
  <w:style w:type="paragraph" w:styleId="20">
    <w:name w:val="toc 5"/>
    <w:basedOn w:val="1"/>
    <w:next w:val="1"/>
    <w:semiHidden/>
    <w:qFormat/>
    <w:uiPriority w:val="0"/>
    <w:pPr>
      <w:ind w:left="840"/>
      <w:jc w:val="left"/>
    </w:pPr>
    <w:rPr>
      <w:szCs w:val="21"/>
    </w:rPr>
  </w:style>
  <w:style w:type="paragraph" w:styleId="21">
    <w:name w:val="toc 3"/>
    <w:basedOn w:val="1"/>
    <w:next w:val="1"/>
    <w:semiHidden/>
    <w:qFormat/>
    <w:uiPriority w:val="0"/>
    <w:pPr>
      <w:ind w:left="420"/>
      <w:jc w:val="left"/>
    </w:pPr>
    <w:rPr>
      <w:i/>
      <w:iCs/>
    </w:rPr>
  </w:style>
  <w:style w:type="paragraph" w:styleId="22">
    <w:name w:val="Plain Text"/>
    <w:basedOn w:val="1"/>
    <w:link w:val="69"/>
    <w:qFormat/>
    <w:uiPriority w:val="0"/>
    <w:rPr>
      <w:rFonts w:ascii="宋体" w:hAnsi="Courier New"/>
      <w:szCs w:val="20"/>
    </w:rPr>
  </w:style>
  <w:style w:type="paragraph" w:styleId="23">
    <w:name w:val="toc 8"/>
    <w:basedOn w:val="1"/>
    <w:next w:val="1"/>
    <w:semiHidden/>
    <w:qFormat/>
    <w:uiPriority w:val="0"/>
    <w:pPr>
      <w:ind w:left="1470"/>
      <w:jc w:val="left"/>
    </w:pPr>
    <w:rPr>
      <w:szCs w:val="21"/>
    </w:rPr>
  </w:style>
  <w:style w:type="paragraph" w:styleId="24">
    <w:name w:val="Date"/>
    <w:basedOn w:val="1"/>
    <w:next w:val="1"/>
    <w:link w:val="228"/>
    <w:qFormat/>
    <w:uiPriority w:val="0"/>
    <w:rPr>
      <w:rFonts w:ascii="宋体" w:hAnsi="Courier New"/>
      <w:sz w:val="32"/>
      <w:szCs w:val="20"/>
    </w:rPr>
  </w:style>
  <w:style w:type="paragraph" w:styleId="25">
    <w:name w:val="Body Text Indent 2"/>
    <w:basedOn w:val="1"/>
    <w:link w:val="71"/>
    <w:qFormat/>
    <w:uiPriority w:val="0"/>
    <w:pPr>
      <w:spacing w:beforeLines="50" w:afterLines="50" w:line="120" w:lineRule="auto"/>
      <w:ind w:firstLine="840" w:firstLineChars="400"/>
      <w:jc w:val="left"/>
    </w:pPr>
    <w:rPr>
      <w:rFonts w:ascii="宋体" w:hAnsi="宋体"/>
    </w:rPr>
  </w:style>
  <w:style w:type="paragraph" w:styleId="26">
    <w:name w:val="Balloon Text"/>
    <w:basedOn w:val="1"/>
    <w:link w:val="213"/>
    <w:semiHidden/>
    <w:qFormat/>
    <w:uiPriority w:val="0"/>
    <w:rPr>
      <w:sz w:val="18"/>
      <w:szCs w:val="18"/>
    </w:rPr>
  </w:style>
  <w:style w:type="paragraph" w:styleId="27">
    <w:name w:val="footer"/>
    <w:basedOn w:val="1"/>
    <w:link w:val="220"/>
    <w:unhideWhenUsed/>
    <w:qFormat/>
    <w:uiPriority w:val="0"/>
    <w:pPr>
      <w:tabs>
        <w:tab w:val="center" w:pos="4153"/>
        <w:tab w:val="right" w:pos="8306"/>
      </w:tabs>
      <w:snapToGrid w:val="0"/>
      <w:jc w:val="left"/>
    </w:pPr>
    <w:rPr>
      <w:sz w:val="18"/>
      <w:szCs w:val="18"/>
    </w:rPr>
  </w:style>
  <w:style w:type="paragraph" w:styleId="28">
    <w:name w:val="header"/>
    <w:basedOn w:val="1"/>
    <w:link w:val="221"/>
    <w:unhideWhenUsed/>
    <w:qFormat/>
    <w:uiPriority w:val="99"/>
    <w:pPr>
      <w:pBdr>
        <w:bottom w:val="single" w:color="auto" w:sz="6" w:space="1"/>
      </w:pBdr>
      <w:tabs>
        <w:tab w:val="center" w:pos="4153"/>
        <w:tab w:val="right" w:pos="8306"/>
      </w:tabs>
      <w:snapToGrid w:val="0"/>
      <w:jc w:val="center"/>
    </w:pPr>
    <w:rPr>
      <w:sz w:val="18"/>
      <w:szCs w:val="18"/>
    </w:rPr>
  </w:style>
  <w:style w:type="paragraph" w:styleId="29">
    <w:name w:val="toc 1"/>
    <w:basedOn w:val="1"/>
    <w:next w:val="1"/>
    <w:semiHidden/>
    <w:qFormat/>
    <w:uiPriority w:val="0"/>
    <w:pPr>
      <w:spacing w:before="120" w:after="120"/>
      <w:jc w:val="left"/>
    </w:pPr>
    <w:rPr>
      <w:b/>
      <w:bCs/>
      <w:caps/>
    </w:rPr>
  </w:style>
  <w:style w:type="paragraph" w:styleId="30">
    <w:name w:val="toc 4"/>
    <w:basedOn w:val="1"/>
    <w:next w:val="1"/>
    <w:semiHidden/>
    <w:qFormat/>
    <w:uiPriority w:val="0"/>
    <w:pPr>
      <w:ind w:left="630"/>
      <w:jc w:val="left"/>
    </w:pPr>
    <w:rPr>
      <w:szCs w:val="21"/>
    </w:rPr>
  </w:style>
  <w:style w:type="paragraph" w:styleId="31">
    <w:name w:val="toc 6"/>
    <w:basedOn w:val="1"/>
    <w:next w:val="1"/>
    <w:semiHidden/>
    <w:qFormat/>
    <w:uiPriority w:val="0"/>
    <w:pPr>
      <w:ind w:left="1050"/>
      <w:jc w:val="left"/>
    </w:pPr>
    <w:rPr>
      <w:szCs w:val="21"/>
    </w:rPr>
  </w:style>
  <w:style w:type="paragraph" w:styleId="32">
    <w:name w:val="Body Text Indent 3"/>
    <w:basedOn w:val="1"/>
    <w:link w:val="208"/>
    <w:qFormat/>
    <w:uiPriority w:val="0"/>
    <w:pPr>
      <w:spacing w:line="360" w:lineRule="auto"/>
      <w:ind w:firstLine="482" w:firstLineChars="200"/>
    </w:pPr>
    <w:rPr>
      <w:rFonts w:ascii="宋体"/>
      <w:b/>
      <w:bCs/>
      <w:sz w:val="24"/>
    </w:rPr>
  </w:style>
  <w:style w:type="paragraph" w:styleId="33">
    <w:name w:val="toc 2"/>
    <w:basedOn w:val="1"/>
    <w:next w:val="1"/>
    <w:semiHidden/>
    <w:qFormat/>
    <w:uiPriority w:val="0"/>
    <w:pPr>
      <w:tabs>
        <w:tab w:val="right" w:leader="dot" w:pos="8296"/>
      </w:tabs>
      <w:ind w:left="210"/>
      <w:jc w:val="left"/>
    </w:pPr>
    <w:rPr>
      <w:smallCaps/>
    </w:rPr>
  </w:style>
  <w:style w:type="paragraph" w:styleId="34">
    <w:name w:val="toc 9"/>
    <w:basedOn w:val="1"/>
    <w:next w:val="1"/>
    <w:semiHidden/>
    <w:qFormat/>
    <w:uiPriority w:val="0"/>
    <w:pPr>
      <w:ind w:left="1680"/>
      <w:jc w:val="left"/>
    </w:pPr>
    <w:rPr>
      <w:szCs w:val="21"/>
    </w:rPr>
  </w:style>
  <w:style w:type="paragraph" w:styleId="35">
    <w:name w:val="Body Text 2"/>
    <w:basedOn w:val="1"/>
    <w:link w:val="115"/>
    <w:qFormat/>
    <w:uiPriority w:val="0"/>
    <w:pPr>
      <w:spacing w:line="360" w:lineRule="auto"/>
    </w:pPr>
    <w:rPr>
      <w:sz w:val="24"/>
    </w:rPr>
  </w:style>
  <w:style w:type="paragraph" w:styleId="36">
    <w:name w:val="HTML Preformatted"/>
    <w:basedOn w:val="1"/>
    <w:link w:val="9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Arial Unicode MS"/>
      <w:color w:val="000000"/>
      <w:kern w:val="0"/>
      <w:sz w:val="20"/>
      <w:szCs w:val="20"/>
    </w:rPr>
  </w:style>
  <w:style w:type="paragraph" w:styleId="37">
    <w:name w:val="Normal (Web)"/>
    <w:basedOn w:val="1"/>
    <w:qFormat/>
    <w:uiPriority w:val="0"/>
    <w:pPr>
      <w:spacing w:beforeAutospacing="1" w:afterAutospacing="1"/>
      <w:jc w:val="left"/>
    </w:pPr>
    <w:rPr>
      <w:kern w:val="0"/>
      <w:sz w:val="24"/>
    </w:rPr>
  </w:style>
  <w:style w:type="paragraph" w:styleId="38">
    <w:name w:val="index 1"/>
    <w:basedOn w:val="1"/>
    <w:next w:val="1"/>
    <w:semiHidden/>
    <w:qFormat/>
    <w:uiPriority w:val="0"/>
    <w:pPr>
      <w:tabs>
        <w:tab w:val="left" w:pos="3360"/>
      </w:tabs>
      <w:spacing w:line="520" w:lineRule="exact"/>
      <w:ind w:left="419" w:leftChars="50" w:hanging="314" w:hangingChars="131"/>
      <w:jc w:val="center"/>
      <w:outlineLvl w:val="3"/>
    </w:pPr>
    <w:rPr>
      <w:rFonts w:ascii="宋体" w:hAnsi="宋体"/>
      <w:sz w:val="24"/>
    </w:rPr>
  </w:style>
  <w:style w:type="paragraph" w:styleId="39">
    <w:name w:val="Title"/>
    <w:basedOn w:val="1"/>
    <w:link w:val="194"/>
    <w:qFormat/>
    <w:uiPriority w:val="0"/>
    <w:pPr>
      <w:spacing w:before="240" w:after="60"/>
      <w:jc w:val="center"/>
      <w:outlineLvl w:val="0"/>
    </w:pPr>
    <w:rPr>
      <w:rFonts w:ascii="Arial" w:hAnsi="Arial" w:eastAsia="隶书"/>
      <w:b/>
      <w:bCs/>
      <w:kern w:val="0"/>
      <w:sz w:val="32"/>
      <w:szCs w:val="32"/>
    </w:rPr>
  </w:style>
  <w:style w:type="paragraph" w:styleId="40">
    <w:name w:val="annotation subject"/>
    <w:basedOn w:val="16"/>
    <w:next w:val="16"/>
    <w:link w:val="106"/>
    <w:qFormat/>
    <w:uiPriority w:val="0"/>
    <w:pPr>
      <w:autoSpaceDE/>
      <w:autoSpaceDN/>
      <w:adjustRightInd/>
      <w:textAlignment w:val="auto"/>
    </w:pPr>
  </w:style>
  <w:style w:type="paragraph" w:styleId="41">
    <w:name w:val="Body Text First Indent"/>
    <w:basedOn w:val="18"/>
    <w:link w:val="72"/>
    <w:qFormat/>
    <w:uiPriority w:val="0"/>
    <w:pPr>
      <w:spacing w:after="120" w:line="240" w:lineRule="auto"/>
      <w:ind w:firstLine="420" w:firstLineChars="100"/>
    </w:pPr>
    <w:rPr>
      <w:sz w:val="21"/>
    </w:rPr>
  </w:style>
  <w:style w:type="paragraph" w:styleId="42">
    <w:name w:val="Body Text First Indent 2"/>
    <w:basedOn w:val="19"/>
    <w:link w:val="178"/>
    <w:qFormat/>
    <w:uiPriority w:val="0"/>
    <w:pPr>
      <w:spacing w:line="240" w:lineRule="auto"/>
      <w:ind w:left="420" w:leftChars="200"/>
    </w:pPr>
    <w:rPr>
      <w:rFonts w:ascii="Times New Roman"/>
    </w:rPr>
  </w:style>
  <w:style w:type="table" w:styleId="44">
    <w:name w:val="Table Grid"/>
    <w:basedOn w:val="4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6">
    <w:name w:val="Strong"/>
    <w:qFormat/>
    <w:uiPriority w:val="0"/>
    <w:rPr>
      <w:b/>
      <w:bCs/>
    </w:rPr>
  </w:style>
  <w:style w:type="character" w:styleId="47">
    <w:name w:val="page number"/>
    <w:qFormat/>
    <w:uiPriority w:val="0"/>
  </w:style>
  <w:style w:type="character" w:styleId="48">
    <w:name w:val="FollowedHyperlink"/>
    <w:qFormat/>
    <w:uiPriority w:val="0"/>
    <w:rPr>
      <w:rFonts w:hint="eastAsia" w:ascii="宋体" w:hAnsi="宋体" w:eastAsia="宋体" w:cs="宋体"/>
      <w:color w:val="0031C1"/>
      <w:sz w:val="18"/>
      <w:szCs w:val="18"/>
      <w:u w:val="none"/>
    </w:rPr>
  </w:style>
  <w:style w:type="character" w:styleId="49">
    <w:name w:val="Emphasis"/>
    <w:qFormat/>
    <w:uiPriority w:val="0"/>
  </w:style>
  <w:style w:type="character" w:styleId="50">
    <w:name w:val="Hyperlink"/>
    <w:qFormat/>
    <w:uiPriority w:val="0"/>
    <w:rPr>
      <w:rFonts w:hint="eastAsia" w:ascii="宋体" w:hAnsi="宋体" w:eastAsia="宋体" w:cs="宋体"/>
      <w:color w:val="0031C1"/>
      <w:sz w:val="18"/>
      <w:szCs w:val="18"/>
      <w:u w:val="none"/>
    </w:rPr>
  </w:style>
  <w:style w:type="character" w:styleId="51">
    <w:name w:val="annotation reference"/>
    <w:qFormat/>
    <w:uiPriority w:val="99"/>
    <w:rPr>
      <w:sz w:val="21"/>
      <w:szCs w:val="21"/>
    </w:rPr>
  </w:style>
  <w:style w:type="character" w:customStyle="1" w:styleId="52">
    <w:name w:val="标题 1 Char"/>
    <w:qFormat/>
    <w:uiPriority w:val="0"/>
    <w:rPr>
      <w:rFonts w:ascii="Calibri" w:hAnsi="Calibri" w:eastAsia="宋体" w:cs="Times New Roman"/>
      <w:b/>
      <w:bCs/>
      <w:kern w:val="44"/>
      <w:sz w:val="44"/>
      <w:szCs w:val="44"/>
    </w:rPr>
  </w:style>
  <w:style w:type="character" w:customStyle="1" w:styleId="53">
    <w:name w:val="标题 3 Char"/>
    <w:qFormat/>
    <w:uiPriority w:val="0"/>
    <w:rPr>
      <w:rFonts w:ascii="Calibri" w:hAnsi="Calibri" w:eastAsia="宋体" w:cs="Times New Roman"/>
      <w:b/>
      <w:bCs/>
      <w:sz w:val="32"/>
      <w:szCs w:val="32"/>
    </w:rPr>
  </w:style>
  <w:style w:type="paragraph" w:customStyle="1" w:styleId="54">
    <w:name w:val="--规划正文 Char"/>
    <w:basedOn w:val="1"/>
    <w:qFormat/>
    <w:uiPriority w:val="0"/>
    <w:pPr>
      <w:spacing w:line="360" w:lineRule="auto"/>
      <w:ind w:firstLine="200" w:firstLineChars="200"/>
    </w:pPr>
    <w:rPr>
      <w:sz w:val="24"/>
    </w:rPr>
  </w:style>
  <w:style w:type="paragraph" w:customStyle="1" w:styleId="55">
    <w:name w:val="--规划-表格-居左"/>
    <w:basedOn w:val="56"/>
    <w:qFormat/>
    <w:uiPriority w:val="0"/>
    <w:pPr>
      <w:spacing w:line="240" w:lineRule="auto"/>
      <w:ind w:firstLine="0" w:firstLineChars="0"/>
    </w:pPr>
    <w:rPr>
      <w:sz w:val="20"/>
    </w:rPr>
  </w:style>
  <w:style w:type="paragraph" w:customStyle="1" w:styleId="56">
    <w:name w:val="--规划正文"/>
    <w:basedOn w:val="1"/>
    <w:qFormat/>
    <w:uiPriority w:val="0"/>
    <w:pPr>
      <w:spacing w:line="360" w:lineRule="auto"/>
      <w:ind w:firstLine="200" w:firstLineChars="200"/>
    </w:pPr>
    <w:rPr>
      <w:szCs w:val="20"/>
    </w:rPr>
  </w:style>
  <w:style w:type="character" w:customStyle="1" w:styleId="57">
    <w:name w:val="正文文字首行缩进 Char"/>
    <w:qFormat/>
    <w:uiPriority w:val="0"/>
    <w:rPr>
      <w:kern w:val="2"/>
      <w:sz w:val="21"/>
      <w:szCs w:val="24"/>
    </w:rPr>
  </w:style>
  <w:style w:type="paragraph" w:customStyle="1" w:styleId="58">
    <w:name w:val="z-窗体顶端1"/>
    <w:basedOn w:val="1"/>
    <w:next w:val="1"/>
    <w:qFormat/>
    <w:uiPriority w:val="0"/>
    <w:pPr>
      <w:widowControl/>
      <w:pBdr>
        <w:bottom w:val="single" w:color="auto" w:sz="6" w:space="1"/>
      </w:pBdr>
      <w:jc w:val="center"/>
    </w:pPr>
    <w:rPr>
      <w:rFonts w:ascii="Arial" w:hAnsi="Arial" w:cs="Arial"/>
      <w:vanish/>
      <w:kern w:val="0"/>
      <w:sz w:val="16"/>
      <w:szCs w:val="16"/>
    </w:rPr>
  </w:style>
  <w:style w:type="paragraph" w:customStyle="1" w:styleId="59">
    <w:name w:val="cont"/>
    <w:basedOn w:val="1"/>
    <w:qFormat/>
    <w:uiPriority w:val="0"/>
    <w:pPr>
      <w:adjustRightInd w:val="0"/>
      <w:spacing w:before="100" w:after="100" w:line="360" w:lineRule="auto"/>
      <w:ind w:firstLine="200" w:firstLineChars="200"/>
      <w:jc w:val="left"/>
      <w:textAlignment w:val="baseline"/>
    </w:pPr>
    <w:rPr>
      <w:rFonts w:ascii="Arial" w:hAnsi="Arial"/>
      <w:kern w:val="0"/>
      <w:sz w:val="24"/>
      <w:szCs w:val="20"/>
    </w:rPr>
  </w:style>
  <w:style w:type="paragraph" w:customStyle="1" w:styleId="60">
    <w:name w:val="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61">
    <w:name w:val="标题 Char"/>
    <w:qFormat/>
    <w:uiPriority w:val="0"/>
    <w:rPr>
      <w:rFonts w:ascii="Cambria" w:hAnsi="Cambria" w:eastAsia="宋体" w:cs="Times New Roman"/>
      <w:b/>
      <w:bCs/>
      <w:sz w:val="32"/>
      <w:szCs w:val="32"/>
    </w:rPr>
  </w:style>
  <w:style w:type="paragraph" w:customStyle="1" w:styleId="62">
    <w:name w:val="word"/>
    <w:basedOn w:val="1"/>
    <w:qFormat/>
    <w:uiPriority w:val="0"/>
    <w:pPr>
      <w:widowControl/>
      <w:spacing w:before="100" w:beforeAutospacing="1" w:after="100" w:afterAutospacing="1" w:line="301" w:lineRule="atLeast"/>
      <w:jc w:val="left"/>
    </w:pPr>
    <w:rPr>
      <w:rFonts w:ascii="ˎ̥" w:hAnsi="ˎ̥"/>
      <w:color w:val="000000"/>
      <w:kern w:val="0"/>
      <w:sz w:val="20"/>
      <w:szCs w:val="20"/>
    </w:rPr>
  </w:style>
  <w:style w:type="character" w:customStyle="1" w:styleId="63">
    <w:name w:val="content1"/>
    <w:qFormat/>
    <w:uiPriority w:val="0"/>
    <w:rPr>
      <w:rFonts w:hint="default" w:ascii="??" w:hAnsi="??"/>
      <w:sz w:val="16"/>
      <w:szCs w:val="16"/>
      <w:u w:val="none"/>
    </w:rPr>
  </w:style>
  <w:style w:type="character" w:customStyle="1" w:styleId="64">
    <w:name w:val="--规划正文 Char1"/>
    <w:qFormat/>
    <w:uiPriority w:val="0"/>
    <w:rPr>
      <w:rFonts w:eastAsia="宋体"/>
      <w:kern w:val="2"/>
      <w:sz w:val="21"/>
      <w:lang w:val="en-US" w:eastAsia="zh-CN" w:bidi="ar-SA"/>
    </w:rPr>
  </w:style>
  <w:style w:type="character" w:customStyle="1" w:styleId="65">
    <w:name w:val="layui-this"/>
    <w:qFormat/>
    <w:uiPriority w:val="0"/>
    <w:rPr>
      <w:bdr w:val="single" w:color="EEEEEE" w:sz="6" w:space="0"/>
      <w:shd w:val="clear" w:color="auto" w:fill="FFFFFF"/>
    </w:rPr>
  </w:style>
  <w:style w:type="paragraph" w:customStyle="1" w:styleId="66">
    <w:name w:val="_Style 1"/>
    <w:qFormat/>
    <w:uiPriority w:val="99"/>
    <w:pPr>
      <w:adjustRightInd w:val="0"/>
      <w:snapToGrid w:val="0"/>
    </w:pPr>
    <w:rPr>
      <w:rFonts w:ascii="Tahoma" w:hAnsi="Tahoma" w:eastAsia="宋体" w:cs="Times New Roman"/>
      <w:sz w:val="22"/>
      <w:szCs w:val="22"/>
      <w:lang w:val="en-US" w:eastAsia="zh-CN" w:bidi="ar-SA"/>
    </w:rPr>
  </w:style>
  <w:style w:type="character" w:customStyle="1" w:styleId="67">
    <w:name w:val="font11"/>
    <w:qFormat/>
    <w:uiPriority w:val="0"/>
    <w:rPr>
      <w:rFonts w:hint="default" w:ascii="ˎ̥" w:hAnsi="ˎ̥"/>
    </w:rPr>
  </w:style>
  <w:style w:type="paragraph" w:customStyle="1" w:styleId="68">
    <w:name w:val="2册标题4"/>
    <w:basedOn w:val="1"/>
    <w:next w:val="1"/>
    <w:qFormat/>
    <w:uiPriority w:val="0"/>
    <w:pPr>
      <w:spacing w:beforeLines="50" w:afterLines="50" w:line="300" w:lineRule="auto"/>
      <w:ind w:left="420" w:leftChars="200"/>
      <w:outlineLvl w:val="3"/>
    </w:pPr>
    <w:rPr>
      <w:rFonts w:ascii="Arial" w:hAnsi="Arial" w:eastAsia="幼圆" w:cs="Arial"/>
      <w:b/>
      <w:sz w:val="24"/>
    </w:rPr>
  </w:style>
  <w:style w:type="character" w:customStyle="1" w:styleId="69">
    <w:name w:val="纯文本 字符"/>
    <w:link w:val="22"/>
    <w:qFormat/>
    <w:uiPriority w:val="0"/>
    <w:rPr>
      <w:rFonts w:ascii="宋体" w:hAnsi="Courier New" w:eastAsia="宋体" w:cs="Times New Roman"/>
      <w:szCs w:val="20"/>
    </w:rPr>
  </w:style>
  <w:style w:type="character" w:customStyle="1" w:styleId="70">
    <w:name w:val="标题 9 字符"/>
    <w:link w:val="11"/>
    <w:qFormat/>
    <w:uiPriority w:val="0"/>
    <w:rPr>
      <w:rFonts w:ascii="Arial" w:hAnsi="Arial" w:eastAsia="黑体" w:cs="Times New Roman"/>
      <w:szCs w:val="20"/>
    </w:rPr>
  </w:style>
  <w:style w:type="character" w:customStyle="1" w:styleId="71">
    <w:name w:val="正文文本缩进 2 字符"/>
    <w:link w:val="25"/>
    <w:qFormat/>
    <w:uiPriority w:val="0"/>
    <w:rPr>
      <w:rFonts w:ascii="宋体" w:hAnsi="宋体" w:eastAsia="宋体" w:cs="Times New Roman"/>
      <w:szCs w:val="24"/>
    </w:rPr>
  </w:style>
  <w:style w:type="character" w:customStyle="1" w:styleId="72">
    <w:name w:val="正文文本首行缩进 字符"/>
    <w:link w:val="41"/>
    <w:qFormat/>
    <w:uiPriority w:val="0"/>
  </w:style>
  <w:style w:type="character" w:customStyle="1" w:styleId="73">
    <w:name w:val="active6"/>
    <w:qFormat/>
    <w:uiPriority w:val="0"/>
    <w:rPr>
      <w:color w:val="FFFFFF"/>
    </w:rPr>
  </w:style>
  <w:style w:type="character" w:customStyle="1" w:styleId="74">
    <w:name w:val="font41"/>
    <w:qFormat/>
    <w:uiPriority w:val="0"/>
    <w:rPr>
      <w:color w:val="000000"/>
      <w:spacing w:val="260"/>
      <w:sz w:val="18"/>
      <w:szCs w:val="18"/>
      <w:u w:val="none"/>
    </w:rPr>
  </w:style>
  <w:style w:type="paragraph" w:customStyle="1" w:styleId="75">
    <w:name w:val="8"/>
    <w:basedOn w:val="1"/>
    <w:next w:val="19"/>
    <w:qFormat/>
    <w:uiPriority w:val="0"/>
    <w:pPr>
      <w:spacing w:after="120"/>
      <w:ind w:left="420" w:leftChars="200"/>
    </w:pPr>
  </w:style>
  <w:style w:type="paragraph" w:customStyle="1" w:styleId="76">
    <w:name w:val="_Style 126"/>
    <w:basedOn w:val="1"/>
    <w:next w:val="77"/>
    <w:qFormat/>
    <w:uiPriority w:val="34"/>
    <w:pPr>
      <w:ind w:firstLine="420" w:firstLineChars="200"/>
    </w:pPr>
    <w:rPr>
      <w:szCs w:val="22"/>
    </w:rPr>
  </w:style>
  <w:style w:type="paragraph" w:styleId="77">
    <w:name w:val="List Paragraph"/>
    <w:basedOn w:val="1"/>
    <w:link w:val="160"/>
    <w:qFormat/>
    <w:uiPriority w:val="0"/>
    <w:pPr>
      <w:ind w:firstLine="420" w:firstLineChars="200"/>
    </w:pPr>
    <w:rPr>
      <w:szCs w:val="22"/>
    </w:rPr>
  </w:style>
  <w:style w:type="paragraph" w:customStyle="1" w:styleId="78">
    <w:name w:val="样式4"/>
    <w:basedOn w:val="1"/>
    <w:qFormat/>
    <w:uiPriority w:val="0"/>
    <w:pPr>
      <w:tabs>
        <w:tab w:val="left" w:pos="842"/>
      </w:tabs>
      <w:spacing w:line="360" w:lineRule="auto"/>
      <w:ind w:left="842" w:hanging="420"/>
    </w:pPr>
    <w:rPr>
      <w:sz w:val="24"/>
    </w:rPr>
  </w:style>
  <w:style w:type="paragraph" w:customStyle="1" w:styleId="79">
    <w:name w:val=".."/>
    <w:basedOn w:val="1"/>
    <w:next w:val="1"/>
    <w:qFormat/>
    <w:uiPriority w:val="0"/>
    <w:pPr>
      <w:autoSpaceDE w:val="0"/>
      <w:autoSpaceDN w:val="0"/>
      <w:adjustRightInd w:val="0"/>
      <w:jc w:val="left"/>
    </w:pPr>
    <w:rPr>
      <w:rFonts w:ascii="Arial Unicode MS" w:hAnsi="Times New Roman" w:eastAsia="Arial Unicode MS"/>
      <w:kern w:val="0"/>
      <w:sz w:val="24"/>
    </w:rPr>
  </w:style>
  <w:style w:type="character" w:customStyle="1" w:styleId="80">
    <w:name w:val="layui-layer-tabnow"/>
    <w:qFormat/>
    <w:uiPriority w:val="0"/>
    <w:rPr>
      <w:bdr w:val="single" w:color="CCCCCC" w:sz="6" w:space="0"/>
      <w:shd w:val="clear" w:color="auto" w:fill="FFFFFF"/>
    </w:rPr>
  </w:style>
  <w:style w:type="character" w:customStyle="1" w:styleId="81">
    <w:name w:val="fielderror"/>
    <w:qFormat/>
    <w:uiPriority w:val="0"/>
    <w:rPr>
      <w:color w:val="800000"/>
    </w:rPr>
  </w:style>
  <w:style w:type="paragraph" w:customStyle="1" w:styleId="82">
    <w:name w:val="Char Char Char Char Char Char1 Char"/>
    <w:basedOn w:val="1"/>
    <w:qFormat/>
    <w:uiPriority w:val="0"/>
    <w:pPr>
      <w:widowControl/>
      <w:spacing w:after="160" w:line="240" w:lineRule="exact"/>
      <w:jc w:val="left"/>
    </w:pPr>
    <w:rPr>
      <w:rFonts w:ascii="Verdana" w:hAnsi="Verdana"/>
      <w:kern w:val="0"/>
      <w:szCs w:val="20"/>
      <w:lang w:eastAsia="en-US"/>
    </w:rPr>
  </w:style>
  <w:style w:type="paragraph" w:customStyle="1" w:styleId="83">
    <w:name w:val="--编号内缩进"/>
    <w:basedOn w:val="1"/>
    <w:qFormat/>
    <w:uiPriority w:val="0"/>
    <w:pPr>
      <w:spacing w:line="360" w:lineRule="auto"/>
      <w:ind w:left="420" w:firstLine="200" w:firstLineChars="200"/>
    </w:pPr>
    <w:rPr>
      <w:szCs w:val="21"/>
    </w:rPr>
  </w:style>
  <w:style w:type="character" w:customStyle="1" w:styleId="84">
    <w:name w:val="标题 6 字符"/>
    <w:link w:val="8"/>
    <w:qFormat/>
    <w:uiPriority w:val="0"/>
    <w:rPr>
      <w:rFonts w:ascii="Arial" w:hAnsi="Arial" w:eastAsia="黑体" w:cs="Times New Roman"/>
      <w:b/>
      <w:sz w:val="24"/>
      <w:szCs w:val="20"/>
    </w:rPr>
  </w:style>
  <w:style w:type="paragraph" w:customStyle="1" w:styleId="85">
    <w:name w:val="CM2"/>
    <w:basedOn w:val="86"/>
    <w:next w:val="86"/>
    <w:qFormat/>
    <w:uiPriority w:val="0"/>
    <w:pPr>
      <w:spacing w:line="200" w:lineRule="atLeast"/>
    </w:pPr>
    <w:rPr>
      <w:rFonts w:ascii="Arial" w:hAnsi="Arial" w:eastAsia="宋体"/>
      <w:color w:val="auto"/>
    </w:rPr>
  </w:style>
  <w:style w:type="paragraph" w:customStyle="1" w:styleId="86">
    <w:name w:val="Default"/>
    <w:link w:val="87"/>
    <w:qFormat/>
    <w:uiPriority w:val="0"/>
    <w:pPr>
      <w:widowControl w:val="0"/>
      <w:autoSpaceDE w:val="0"/>
      <w:autoSpaceDN w:val="0"/>
      <w:adjustRightInd w:val="0"/>
    </w:pPr>
    <w:rPr>
      <w:rFonts w:ascii="H Yb 2gj" w:hAnsi="Calibri" w:eastAsia="H Yb 2gj" w:cs="Times New Roman"/>
      <w:color w:val="000000"/>
      <w:sz w:val="24"/>
      <w:szCs w:val="24"/>
      <w:lang w:val="en-US" w:eastAsia="zh-CN" w:bidi="ar-SA"/>
    </w:rPr>
  </w:style>
  <w:style w:type="character" w:customStyle="1" w:styleId="87">
    <w:name w:val="Default Char"/>
    <w:link w:val="86"/>
    <w:qFormat/>
    <w:uiPriority w:val="0"/>
    <w:rPr>
      <w:rFonts w:ascii="H Yb 2gj" w:eastAsia="H Yb 2gj"/>
      <w:color w:val="000000"/>
      <w:sz w:val="24"/>
      <w:szCs w:val="24"/>
      <w:lang w:bidi="ar-SA"/>
    </w:rPr>
  </w:style>
  <w:style w:type="paragraph" w:customStyle="1" w:styleId="88">
    <w:name w:val="二"/>
    <w:basedOn w:val="1"/>
    <w:link w:val="175"/>
    <w:qFormat/>
    <w:uiPriority w:val="0"/>
    <w:pPr>
      <w:widowControl/>
      <w:tabs>
        <w:tab w:val="left" w:pos="360"/>
      </w:tabs>
      <w:spacing w:line="360" w:lineRule="auto"/>
      <w:ind w:left="360" w:hanging="360"/>
      <w:jc w:val="left"/>
      <w:outlineLvl w:val="0"/>
    </w:pPr>
    <w:rPr>
      <w:rFonts w:ascii="宋体" w:hAnsi="宋体"/>
      <w:b/>
      <w:color w:val="000000"/>
      <w:kern w:val="0"/>
      <w:sz w:val="24"/>
    </w:rPr>
  </w:style>
  <w:style w:type="paragraph" w:customStyle="1" w:styleId="89">
    <w:name w:val="缩进正文"/>
    <w:basedOn w:val="1"/>
    <w:link w:val="214"/>
    <w:qFormat/>
    <w:uiPriority w:val="0"/>
    <w:pPr>
      <w:ind w:firstLine="560" w:firstLineChars="200"/>
    </w:pPr>
    <w:rPr>
      <w:rFonts w:eastAsia="仿宋_GB2312"/>
      <w:kern w:val="0"/>
      <w:sz w:val="28"/>
      <w:szCs w:val="20"/>
    </w:rPr>
  </w:style>
  <w:style w:type="character" w:customStyle="1" w:styleId="90">
    <w:name w:val="text"/>
    <w:qFormat/>
    <w:uiPriority w:val="0"/>
  </w:style>
  <w:style w:type="character" w:customStyle="1" w:styleId="91">
    <w:name w:val="style9"/>
    <w:qFormat/>
    <w:uiPriority w:val="0"/>
  </w:style>
  <w:style w:type="character" w:customStyle="1" w:styleId="92">
    <w:name w:val="blue"/>
    <w:qFormat/>
    <w:uiPriority w:val="0"/>
  </w:style>
  <w:style w:type="character" w:customStyle="1" w:styleId="93">
    <w:name w:val="HTML 预设格式 字符"/>
    <w:link w:val="36"/>
    <w:qFormat/>
    <w:uiPriority w:val="0"/>
    <w:rPr>
      <w:rFonts w:ascii="Arial Unicode MS" w:hAnsi="Arial Unicode MS" w:eastAsia="Arial Unicode MS" w:cs="Times New Roman"/>
      <w:color w:val="000000"/>
      <w:kern w:val="0"/>
      <w:sz w:val="20"/>
      <w:szCs w:val="20"/>
    </w:rPr>
  </w:style>
  <w:style w:type="character" w:customStyle="1" w:styleId="94">
    <w:name w:val="unnamed4"/>
    <w:qFormat/>
    <w:uiPriority w:val="0"/>
  </w:style>
  <w:style w:type="paragraph" w:customStyle="1" w:styleId="95">
    <w:name w:val="正文1"/>
    <w:basedOn w:val="1"/>
    <w:qFormat/>
    <w:uiPriority w:val="0"/>
    <w:pPr>
      <w:spacing w:line="318" w:lineRule="atLeast"/>
      <w:ind w:left="369" w:firstLine="369"/>
    </w:pPr>
    <w:rPr>
      <w:rFonts w:ascii="宋体"/>
    </w:rPr>
  </w:style>
  <w:style w:type="paragraph" w:customStyle="1" w:styleId="96">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97">
    <w:name w:val=".正文"/>
    <w:basedOn w:val="1"/>
    <w:qFormat/>
    <w:uiPriority w:val="0"/>
    <w:pPr>
      <w:spacing w:beforeLines="50"/>
      <w:ind w:firstLine="200" w:firstLineChars="200"/>
    </w:pPr>
    <w:rPr>
      <w:rFonts w:eastAsia="华文仿宋"/>
      <w:szCs w:val="22"/>
    </w:rPr>
  </w:style>
  <w:style w:type="paragraph" w:customStyle="1" w:styleId="98">
    <w:name w:val="Normal Paragraph"/>
    <w:basedOn w:val="1"/>
    <w:qFormat/>
    <w:uiPriority w:val="0"/>
    <w:pPr>
      <w:widowControl/>
      <w:spacing w:before="120" w:line="360" w:lineRule="auto"/>
      <w:ind w:firstLine="425"/>
    </w:pPr>
    <w:rPr>
      <w:kern w:val="0"/>
      <w:sz w:val="24"/>
    </w:rPr>
  </w:style>
  <w:style w:type="paragraph" w:customStyle="1" w:styleId="99">
    <w:name w:val="评价"/>
    <w:basedOn w:val="1"/>
    <w:qFormat/>
    <w:uiPriority w:val="0"/>
    <w:pPr>
      <w:spacing w:afterLines="20"/>
      <w:ind w:firstLine="1446" w:firstLineChars="200"/>
    </w:pPr>
    <w:rPr>
      <w:sz w:val="24"/>
    </w:rPr>
  </w:style>
  <w:style w:type="paragraph" w:customStyle="1" w:styleId="100">
    <w:name w:val="汉仪细等线简9BOLD"/>
    <w:basedOn w:val="1"/>
    <w:qFormat/>
    <w:uiPriority w:val="0"/>
    <w:pPr>
      <w:autoSpaceDE w:val="0"/>
      <w:autoSpaceDN w:val="0"/>
      <w:adjustRightInd w:val="0"/>
      <w:spacing w:line="240" w:lineRule="atLeast"/>
    </w:pPr>
    <w:rPr>
      <w:rFonts w:ascii="汉仪细等线简" w:eastAsia="汉仪细等线简"/>
      <w:b/>
      <w:bCs/>
      <w:kern w:val="0"/>
      <w:sz w:val="18"/>
      <w:szCs w:val="18"/>
    </w:rPr>
  </w:style>
  <w:style w:type="character" w:customStyle="1" w:styleId="101">
    <w:name w:val="正文文本 字符"/>
    <w:link w:val="18"/>
    <w:qFormat/>
    <w:uiPriority w:val="0"/>
    <w:rPr>
      <w:rFonts w:ascii="Calibri" w:hAnsi="Calibri" w:eastAsia="宋体" w:cs="Times New Roman"/>
      <w:b/>
      <w:bCs/>
      <w:sz w:val="24"/>
      <w:szCs w:val="24"/>
    </w:rPr>
  </w:style>
  <w:style w:type="character" w:customStyle="1" w:styleId="102">
    <w:name w:val="H4 Char2"/>
    <w:qFormat/>
    <w:uiPriority w:val="0"/>
    <w:rPr>
      <w:rFonts w:ascii="Arial" w:hAnsi="Arial" w:eastAsia="黑体"/>
      <w:b/>
      <w:bCs/>
      <w:kern w:val="2"/>
      <w:sz w:val="28"/>
      <w:szCs w:val="28"/>
      <w:lang w:val="en-US" w:eastAsia="zh-CN" w:bidi="ar-SA"/>
    </w:rPr>
  </w:style>
  <w:style w:type="paragraph" w:customStyle="1" w:styleId="103">
    <w:name w:val="Table Contents"/>
    <w:basedOn w:val="1"/>
    <w:qFormat/>
    <w:uiPriority w:val="0"/>
    <w:pPr>
      <w:suppressAutoHyphens/>
      <w:autoSpaceDE w:val="0"/>
      <w:spacing w:after="120"/>
      <w:jc w:val="left"/>
    </w:pPr>
    <w:rPr>
      <w:rFonts w:ascii="Helvetica" w:hAnsi="Helvetica"/>
      <w:kern w:val="1"/>
      <w:sz w:val="20"/>
      <w:szCs w:val="20"/>
    </w:rPr>
  </w:style>
  <w:style w:type="paragraph" w:customStyle="1" w:styleId="104">
    <w:name w:val="正文规范"/>
    <w:basedOn w:val="1"/>
    <w:qFormat/>
    <w:uiPriority w:val="0"/>
    <w:pPr>
      <w:spacing w:line="420" w:lineRule="auto"/>
      <w:ind w:firstLine="200" w:firstLineChars="200"/>
    </w:pPr>
    <w:rPr>
      <w:rFonts w:cs="Calibri"/>
      <w:kern w:val="0"/>
      <w:sz w:val="24"/>
      <w:szCs w:val="21"/>
    </w:rPr>
  </w:style>
  <w:style w:type="paragraph" w:customStyle="1" w:styleId="105">
    <w:name w:val="Char Char"/>
    <w:basedOn w:val="1"/>
    <w:qFormat/>
    <w:uiPriority w:val="0"/>
    <w:rPr>
      <w:rFonts w:ascii="Tahoma" w:hAnsi="Tahoma"/>
      <w:sz w:val="24"/>
      <w:szCs w:val="20"/>
    </w:rPr>
  </w:style>
  <w:style w:type="character" w:customStyle="1" w:styleId="106">
    <w:name w:val="批注主题 字符"/>
    <w:link w:val="40"/>
    <w:qFormat/>
    <w:uiPriority w:val="0"/>
  </w:style>
  <w:style w:type="paragraph" w:customStyle="1" w:styleId="107">
    <w:name w:val="修订1"/>
    <w:semiHidden/>
    <w:qFormat/>
    <w:uiPriority w:val="99"/>
    <w:rPr>
      <w:rFonts w:ascii="Calibri" w:hAnsi="Calibri" w:eastAsia="宋体" w:cs="Times New Roman"/>
      <w:kern w:val="2"/>
      <w:sz w:val="21"/>
      <w:szCs w:val="24"/>
      <w:lang w:val="en-US" w:eastAsia="zh-CN" w:bidi="ar-SA"/>
    </w:rPr>
  </w:style>
  <w:style w:type="paragraph" w:customStyle="1" w:styleId="108">
    <w:name w:val="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09">
    <w:name w:val="列表项目"/>
    <w:basedOn w:val="1"/>
    <w:qFormat/>
    <w:uiPriority w:val="0"/>
    <w:pPr>
      <w:tabs>
        <w:tab w:val="left" w:pos="420"/>
        <w:tab w:val="left" w:pos="1080"/>
      </w:tabs>
      <w:spacing w:line="288" w:lineRule="auto"/>
      <w:ind w:left="1080" w:hanging="360"/>
    </w:pPr>
    <w:rPr>
      <w:sz w:val="24"/>
      <w:szCs w:val="20"/>
    </w:rPr>
  </w:style>
  <w:style w:type="paragraph" w:customStyle="1" w:styleId="110">
    <w:name w:val="1111111111111"/>
    <w:basedOn w:val="1"/>
    <w:qFormat/>
    <w:uiPriority w:val="0"/>
    <w:pPr>
      <w:numPr>
        <w:ilvl w:val="0"/>
        <w:numId w:val="2"/>
      </w:numPr>
    </w:pPr>
  </w:style>
  <w:style w:type="paragraph" w:customStyle="1" w:styleId="111">
    <w:name w:val="xl63"/>
    <w:basedOn w:val="1"/>
    <w:qFormat/>
    <w:uiPriority w:val="0"/>
    <w:pPr>
      <w:widowControl/>
      <w:pBdr>
        <w:bottom w:val="single" w:color="000000" w:sz="8" w:space="0"/>
        <w:right w:val="single" w:color="000000" w:sz="8" w:space="0"/>
      </w:pBdr>
      <w:spacing w:before="100" w:beforeAutospacing="1" w:after="100" w:afterAutospacing="1"/>
      <w:jc w:val="left"/>
    </w:pPr>
    <w:rPr>
      <w:rFonts w:ascii="等线" w:hAnsi="等线" w:eastAsia="等线" w:cs="宋体"/>
      <w:color w:val="000000"/>
      <w:kern w:val="0"/>
      <w:sz w:val="20"/>
      <w:szCs w:val="20"/>
    </w:rPr>
  </w:style>
  <w:style w:type="character" w:customStyle="1" w:styleId="112">
    <w:name w:val="表格 字符"/>
    <w:link w:val="113"/>
    <w:qFormat/>
    <w:uiPriority w:val="0"/>
    <w:rPr>
      <w:rFonts w:ascii="宋体" w:hAnsi="宋体"/>
      <w:color w:val="000000"/>
      <w:sz w:val="24"/>
      <w:szCs w:val="24"/>
    </w:rPr>
  </w:style>
  <w:style w:type="paragraph" w:customStyle="1" w:styleId="113">
    <w:name w:val="表格"/>
    <w:basedOn w:val="1"/>
    <w:link w:val="112"/>
    <w:qFormat/>
    <w:uiPriority w:val="0"/>
    <w:pPr>
      <w:widowControl/>
      <w:spacing w:line="360" w:lineRule="auto"/>
      <w:textAlignment w:val="center"/>
    </w:pPr>
    <w:rPr>
      <w:rFonts w:ascii="宋体" w:hAnsi="宋体"/>
      <w:color w:val="000000"/>
      <w:kern w:val="0"/>
      <w:sz w:val="24"/>
    </w:rPr>
  </w:style>
  <w:style w:type="paragraph" w:customStyle="1" w:styleId="114">
    <w:name w:val="正文_0"/>
    <w:qFormat/>
    <w:uiPriority w:val="0"/>
    <w:rPr>
      <w:rFonts w:ascii="Times New Roman" w:hAnsi="Times New Roman" w:eastAsia="宋体" w:cs="Times New Roman"/>
      <w:sz w:val="21"/>
      <w:lang w:val="en-US" w:eastAsia="zh-CN" w:bidi="ar-SA"/>
    </w:rPr>
  </w:style>
  <w:style w:type="character" w:customStyle="1" w:styleId="115">
    <w:name w:val="正文文本 2 字符"/>
    <w:link w:val="35"/>
    <w:qFormat/>
    <w:uiPriority w:val="0"/>
    <w:rPr>
      <w:rFonts w:ascii="Calibri" w:hAnsi="Calibri" w:eastAsia="宋体" w:cs="Times New Roman"/>
      <w:sz w:val="24"/>
      <w:szCs w:val="24"/>
    </w:rPr>
  </w:style>
  <w:style w:type="paragraph" w:customStyle="1" w:styleId="116">
    <w:name w:val="设计依据"/>
    <w:basedOn w:val="18"/>
    <w:qFormat/>
    <w:uiPriority w:val="0"/>
    <w:pPr>
      <w:numPr>
        <w:ilvl w:val="1"/>
        <w:numId w:val="3"/>
      </w:numPr>
      <w:tabs>
        <w:tab w:val="left" w:pos="1440"/>
        <w:tab w:val="clear" w:pos="840"/>
      </w:tabs>
      <w:adjustRightInd w:val="0"/>
      <w:ind w:left="1440"/>
      <w:textAlignment w:val="baseline"/>
    </w:pPr>
    <w:rPr>
      <w:rFonts w:ascii="宋体" w:hAnsi="宋体"/>
      <w:b w:val="0"/>
      <w:kern w:val="0"/>
      <w:sz w:val="28"/>
      <w:szCs w:val="18"/>
    </w:rPr>
  </w:style>
  <w:style w:type="paragraph" w:customStyle="1" w:styleId="117">
    <w:name w:val="三级目录"/>
    <w:basedOn w:val="4"/>
    <w:qFormat/>
    <w:uiPriority w:val="0"/>
    <w:pPr>
      <w:numPr>
        <w:ilvl w:val="2"/>
        <w:numId w:val="4"/>
      </w:numPr>
      <w:tabs>
        <w:tab w:val="left" w:pos="851"/>
      </w:tabs>
      <w:spacing w:line="360" w:lineRule="auto"/>
    </w:pPr>
    <w:rPr>
      <w:rFonts w:ascii="Times New Roman" w:hAnsi="Times New Roman" w:eastAsia="宋体"/>
      <w:b w:val="0"/>
      <w:bCs w:val="0"/>
      <w:sz w:val="32"/>
    </w:rPr>
  </w:style>
  <w:style w:type="paragraph" w:customStyle="1" w:styleId="118">
    <w:name w:val="6"/>
    <w:basedOn w:val="119"/>
    <w:qFormat/>
    <w:uiPriority w:val="0"/>
    <w:pPr>
      <w:spacing w:line="270" w:lineRule="atLeast"/>
      <w:jc w:val="both"/>
    </w:pPr>
    <w:rPr>
      <w:b w:val="0"/>
      <w:bCs w:val="0"/>
    </w:rPr>
  </w:style>
  <w:style w:type="paragraph" w:customStyle="1" w:styleId="119">
    <w:name w:val="5"/>
    <w:basedOn w:val="1"/>
    <w:qFormat/>
    <w:uiPriority w:val="0"/>
    <w:pPr>
      <w:autoSpaceDE w:val="0"/>
      <w:autoSpaceDN w:val="0"/>
      <w:adjustRightInd w:val="0"/>
      <w:jc w:val="left"/>
    </w:pPr>
    <w:rPr>
      <w:rFonts w:ascii="宋体"/>
      <w:b/>
      <w:bCs/>
      <w:kern w:val="0"/>
      <w:sz w:val="18"/>
      <w:szCs w:val="18"/>
    </w:rPr>
  </w:style>
  <w:style w:type="character" w:customStyle="1" w:styleId="120">
    <w:name w:val="第*章 Char"/>
    <w:qFormat/>
    <w:uiPriority w:val="0"/>
    <w:rPr>
      <w:rFonts w:ascii="Arial" w:hAnsi="Arial" w:eastAsia="黑体"/>
      <w:b/>
      <w:bCs/>
      <w:kern w:val="2"/>
      <w:sz w:val="32"/>
      <w:szCs w:val="32"/>
    </w:rPr>
  </w:style>
  <w:style w:type="paragraph" w:customStyle="1" w:styleId="121">
    <w:name w:val="汉议细等线简8"/>
    <w:qFormat/>
    <w:uiPriority w:val="0"/>
    <w:pPr>
      <w:widowControl w:val="0"/>
      <w:autoSpaceDE w:val="0"/>
      <w:autoSpaceDN w:val="0"/>
      <w:adjustRightInd w:val="0"/>
      <w:spacing w:line="260" w:lineRule="atLeast"/>
      <w:jc w:val="both"/>
    </w:pPr>
    <w:rPr>
      <w:rFonts w:ascii="汉仪细等线简" w:hAnsi="Calibri" w:eastAsia="汉仪细等线简" w:cs="Times New Roman"/>
      <w:color w:val="000000"/>
      <w:sz w:val="16"/>
      <w:szCs w:val="16"/>
      <w:lang w:val="en-US" w:eastAsia="zh-CN" w:bidi="ar-SA"/>
    </w:rPr>
  </w:style>
  <w:style w:type="paragraph" w:customStyle="1" w:styleId="122">
    <w:name w:val="z-窗体底端1"/>
    <w:basedOn w:val="1"/>
    <w:next w:val="1"/>
    <w:qFormat/>
    <w:uiPriority w:val="0"/>
    <w:pPr>
      <w:widowControl/>
      <w:pBdr>
        <w:top w:val="single" w:color="auto" w:sz="6" w:space="1"/>
      </w:pBdr>
      <w:jc w:val="center"/>
    </w:pPr>
    <w:rPr>
      <w:rFonts w:ascii="Arial" w:hAnsi="Arial" w:cs="Arial"/>
      <w:vanish/>
      <w:kern w:val="0"/>
      <w:sz w:val="16"/>
      <w:szCs w:val="16"/>
    </w:rPr>
  </w:style>
  <w:style w:type="paragraph" w:customStyle="1" w:styleId="123">
    <w:name w:val="--规划-小标题"/>
    <w:basedOn w:val="1"/>
    <w:next w:val="56"/>
    <w:qFormat/>
    <w:uiPriority w:val="0"/>
    <w:pPr>
      <w:keepNext/>
      <w:keepLines/>
      <w:spacing w:line="360" w:lineRule="auto"/>
      <w:outlineLvl w:val="4"/>
    </w:pPr>
    <w:rPr>
      <w:rFonts w:eastAsia="黑体"/>
    </w:rPr>
  </w:style>
  <w:style w:type="paragraph" w:customStyle="1" w:styleId="124">
    <w:name w:val="正文样式"/>
    <w:basedOn w:val="1"/>
    <w:qFormat/>
    <w:uiPriority w:val="0"/>
    <w:pPr>
      <w:adjustRightInd w:val="0"/>
      <w:spacing w:line="400" w:lineRule="atLeast"/>
      <w:ind w:firstLine="570" w:firstLineChars="203"/>
      <w:textAlignment w:val="baseline"/>
    </w:pPr>
    <w:rPr>
      <w:rFonts w:eastAsia="仿宋_GB2312"/>
      <w:kern w:val="0"/>
      <w:sz w:val="28"/>
      <w:szCs w:val="20"/>
    </w:rPr>
  </w:style>
  <w:style w:type="character" w:customStyle="1" w:styleId="125">
    <w:name w:val="标题 1 Char1"/>
    <w:qFormat/>
    <w:uiPriority w:val="0"/>
    <w:rPr>
      <w:rFonts w:ascii="Times New Roman" w:hAnsi="Times New Roman" w:eastAsia="宋体"/>
      <w:b/>
      <w:bCs/>
      <w:kern w:val="44"/>
      <w:sz w:val="44"/>
      <w:szCs w:val="44"/>
      <w:lang w:val="en-US" w:eastAsia="zh-CN" w:bidi="ar-SA"/>
    </w:rPr>
  </w:style>
  <w:style w:type="character" w:customStyle="1" w:styleId="126">
    <w:name w:val="标题 8 字符"/>
    <w:link w:val="10"/>
    <w:qFormat/>
    <w:uiPriority w:val="0"/>
    <w:rPr>
      <w:rFonts w:ascii="Arial" w:hAnsi="Arial" w:eastAsia="黑体" w:cs="Times New Roman"/>
      <w:sz w:val="24"/>
      <w:szCs w:val="20"/>
    </w:rPr>
  </w:style>
  <w:style w:type="paragraph" w:customStyle="1" w:styleId="127">
    <w:name w:val="表格文字"/>
    <w:basedOn w:val="1"/>
    <w:link w:val="179"/>
    <w:qFormat/>
    <w:uiPriority w:val="0"/>
    <w:pPr>
      <w:spacing w:before="25" w:after="25"/>
      <w:jc w:val="left"/>
    </w:pPr>
    <w:rPr>
      <w:bCs/>
      <w:spacing w:val="10"/>
      <w:kern w:val="0"/>
      <w:sz w:val="24"/>
    </w:rPr>
  </w:style>
  <w:style w:type="paragraph" w:customStyle="1" w:styleId="128">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129">
    <w:name w:val="样式 标题 2 + 段前: 13 磅 段后: 13 磅 行距: 单倍行距"/>
    <w:basedOn w:val="3"/>
    <w:qFormat/>
    <w:uiPriority w:val="0"/>
    <w:pPr>
      <w:adjustRightInd/>
      <w:jc w:val="both"/>
      <w:textAlignment w:val="auto"/>
    </w:pPr>
    <w:rPr>
      <w:rFonts w:ascii="Cambria" w:hAnsi="Cambria" w:cs="宋体"/>
      <w:kern w:val="2"/>
      <w:sz w:val="32"/>
    </w:rPr>
  </w:style>
  <w:style w:type="paragraph" w:customStyle="1" w:styleId="130">
    <w:name w:val="a14"/>
    <w:basedOn w:val="1"/>
    <w:qFormat/>
    <w:uiPriority w:val="0"/>
    <w:pPr>
      <w:widowControl/>
      <w:spacing w:before="100" w:beforeAutospacing="1" w:after="100" w:afterAutospacing="1" w:line="300" w:lineRule="atLeast"/>
      <w:ind w:firstLine="375"/>
      <w:jc w:val="left"/>
    </w:pPr>
    <w:rPr>
      <w:rFonts w:ascii="宋体" w:hAnsi="宋体" w:cs="宋体"/>
      <w:kern w:val="0"/>
      <w:szCs w:val="21"/>
    </w:rPr>
  </w:style>
  <w:style w:type="paragraph" w:customStyle="1" w:styleId="131">
    <w:name w:val="表内容不缩进"/>
    <w:basedOn w:val="1"/>
    <w:qFormat/>
    <w:uiPriority w:val="0"/>
    <w:pPr>
      <w:spacing w:afterLines="25" w:line="560" w:lineRule="exact"/>
    </w:pPr>
    <w:rPr>
      <w:rFonts w:ascii="仿宋_GB2312" w:hAnsi="等线" w:eastAsia="仿宋_GB2312"/>
      <w:sz w:val="24"/>
      <w:szCs w:val="22"/>
    </w:rPr>
  </w:style>
  <w:style w:type="paragraph" w:customStyle="1" w:styleId="132">
    <w:name w:val="9"/>
    <w:basedOn w:val="1"/>
    <w:next w:val="7"/>
    <w:qFormat/>
    <w:uiPriority w:val="0"/>
    <w:pPr>
      <w:autoSpaceDE w:val="0"/>
      <w:autoSpaceDN w:val="0"/>
      <w:adjustRightInd w:val="0"/>
      <w:ind w:firstLine="420"/>
      <w:jc w:val="left"/>
      <w:textAlignment w:val="baseline"/>
    </w:pPr>
    <w:rPr>
      <w:rFonts w:ascii="宋体"/>
      <w:kern w:val="0"/>
      <w:sz w:val="34"/>
      <w:szCs w:val="20"/>
    </w:rPr>
  </w:style>
  <w:style w:type="paragraph" w:customStyle="1" w:styleId="133">
    <w:name w:val="--规划-表格-居中"/>
    <w:basedOn w:val="56"/>
    <w:qFormat/>
    <w:uiPriority w:val="0"/>
    <w:pPr>
      <w:spacing w:line="240" w:lineRule="auto"/>
      <w:ind w:firstLine="0" w:firstLineChars="0"/>
      <w:jc w:val="center"/>
    </w:pPr>
    <w:rPr>
      <w:sz w:val="20"/>
    </w:rPr>
  </w:style>
  <w:style w:type="character" w:customStyle="1" w:styleId="134">
    <w:name w:val="正文缩进 字符"/>
    <w:link w:val="7"/>
    <w:qFormat/>
    <w:uiPriority w:val="0"/>
    <w:rPr>
      <w:rFonts w:ascii="Calibri" w:hAnsi="Calibri" w:eastAsia="宋体" w:cs="Times New Roman"/>
      <w:szCs w:val="20"/>
    </w:rPr>
  </w:style>
  <w:style w:type="character" w:customStyle="1" w:styleId="135">
    <w:name w:val="proddescription"/>
    <w:qFormat/>
    <w:uiPriority w:val="0"/>
  </w:style>
  <w:style w:type="paragraph" w:customStyle="1" w:styleId="136">
    <w:name w:val="text1"/>
    <w:basedOn w:val="1"/>
    <w:qFormat/>
    <w:uiPriority w:val="0"/>
    <w:pPr>
      <w:widowControl/>
      <w:spacing w:before="100" w:beforeAutospacing="1" w:after="100" w:afterAutospacing="1"/>
      <w:jc w:val="left"/>
    </w:pPr>
    <w:rPr>
      <w:rFonts w:ascii="宋体" w:hAnsi="宋体" w:cs="宋体"/>
      <w:kern w:val="0"/>
      <w:sz w:val="24"/>
    </w:rPr>
  </w:style>
  <w:style w:type="paragraph" w:customStyle="1" w:styleId="137">
    <w:name w:val="blue1"/>
    <w:basedOn w:val="1"/>
    <w:qFormat/>
    <w:uiPriority w:val="0"/>
    <w:pPr>
      <w:widowControl/>
      <w:spacing w:before="100" w:beforeAutospacing="1" w:after="100" w:afterAutospacing="1"/>
      <w:jc w:val="left"/>
    </w:pPr>
    <w:rPr>
      <w:rFonts w:ascii="宋体" w:hAnsi="宋体" w:cs="宋体"/>
      <w:kern w:val="0"/>
      <w:sz w:val="24"/>
    </w:rPr>
  </w:style>
  <w:style w:type="character" w:customStyle="1" w:styleId="138">
    <w:name w:val="正文文本 3 字符"/>
    <w:link w:val="17"/>
    <w:qFormat/>
    <w:uiPriority w:val="0"/>
    <w:rPr>
      <w:rFonts w:ascii="Calibri" w:hAnsi="Calibri" w:eastAsia="宋体" w:cs="Times New Roman"/>
      <w:sz w:val="16"/>
      <w:szCs w:val="16"/>
    </w:rPr>
  </w:style>
  <w:style w:type="character" w:customStyle="1" w:styleId="139">
    <w:name w:val="inline-help"/>
    <w:qFormat/>
    <w:uiPriority w:val="0"/>
  </w:style>
  <w:style w:type="character" w:customStyle="1" w:styleId="140">
    <w:name w:val="标题 5 字符"/>
    <w:link w:val="6"/>
    <w:qFormat/>
    <w:uiPriority w:val="0"/>
    <w:rPr>
      <w:rFonts w:ascii="Calibri" w:hAnsi="Calibri" w:eastAsia="宋体" w:cs="Times New Roman"/>
      <w:b/>
      <w:sz w:val="28"/>
      <w:szCs w:val="20"/>
    </w:rPr>
  </w:style>
  <w:style w:type="paragraph" w:customStyle="1" w:styleId="141">
    <w:name w:val="qw"/>
    <w:qFormat/>
    <w:uiPriority w:val="0"/>
    <w:pPr>
      <w:widowControl w:val="0"/>
      <w:adjustRightInd w:val="0"/>
      <w:spacing w:line="312" w:lineRule="atLeast"/>
      <w:jc w:val="both"/>
      <w:textAlignment w:val="baseline"/>
    </w:pPr>
    <w:rPr>
      <w:rFonts w:ascii="宋体" w:hAnsi="Calibri" w:eastAsia="宋体" w:cs="Times New Roman"/>
      <w:sz w:val="24"/>
      <w:lang w:val="en-US" w:eastAsia="zh-CN" w:bidi="ar-SA"/>
    </w:rPr>
  </w:style>
  <w:style w:type="character" w:customStyle="1" w:styleId="142">
    <w:name w:val="标题 2 字符"/>
    <w:link w:val="3"/>
    <w:qFormat/>
    <w:uiPriority w:val="0"/>
    <w:rPr>
      <w:rFonts w:ascii="Calibri" w:hAnsi="Calibri" w:eastAsia="宋体" w:cs="Times New Roman"/>
      <w:kern w:val="0"/>
      <w:sz w:val="24"/>
      <w:szCs w:val="20"/>
    </w:rPr>
  </w:style>
  <w:style w:type="character" w:customStyle="1" w:styleId="143">
    <w:name w:val="样式 小三 加粗"/>
    <w:qFormat/>
    <w:uiPriority w:val="0"/>
    <w:rPr>
      <w:rFonts w:eastAsia="宋体"/>
      <w:b/>
      <w:bCs/>
      <w:sz w:val="32"/>
    </w:rPr>
  </w:style>
  <w:style w:type="character" w:customStyle="1" w:styleId="144">
    <w:name w:val="标题 3 字符1"/>
    <w:qFormat/>
    <w:uiPriority w:val="0"/>
    <w:rPr>
      <w:rFonts w:ascii="Calibri" w:hAnsi="Calibri" w:eastAsia="宋体" w:cs="Times New Roman"/>
      <w:b/>
      <w:bCs/>
      <w:sz w:val="32"/>
      <w:szCs w:val="32"/>
    </w:rPr>
  </w:style>
  <w:style w:type="paragraph" w:customStyle="1" w:styleId="145">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character" w:customStyle="1" w:styleId="146">
    <w:name w:val="active2"/>
    <w:qFormat/>
    <w:uiPriority w:val="0"/>
    <w:rPr>
      <w:color w:val="FFFFFF"/>
    </w:rPr>
  </w:style>
  <w:style w:type="paragraph" w:customStyle="1" w:styleId="147">
    <w:name w:val="Char2"/>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148">
    <w:name w:val="NormalCharacter"/>
    <w:qFormat/>
    <w:uiPriority w:val="0"/>
    <w:rPr>
      <w:rFonts w:ascii="Calibri" w:hAnsi="Calibri" w:eastAsia="宋体" w:cs="Times New Roman"/>
      <w:kern w:val="2"/>
      <w:sz w:val="21"/>
      <w:szCs w:val="24"/>
      <w:lang w:val="en-US" w:eastAsia="zh-CN" w:bidi="ar-SA"/>
    </w:rPr>
  </w:style>
  <w:style w:type="paragraph" w:customStyle="1" w:styleId="149">
    <w:name w:val="小标题 1"/>
    <w:basedOn w:val="1"/>
    <w:qFormat/>
    <w:uiPriority w:val="0"/>
    <w:pPr>
      <w:autoSpaceDE w:val="0"/>
      <w:autoSpaceDN w:val="0"/>
      <w:adjustRightInd w:val="0"/>
      <w:spacing w:line="360" w:lineRule="atLeast"/>
    </w:pPr>
    <w:rPr>
      <w:rFonts w:ascii="文鼎粗黑" w:eastAsia="文鼎粗黑"/>
      <w:kern w:val="0"/>
      <w:sz w:val="22"/>
      <w:szCs w:val="20"/>
    </w:rPr>
  </w:style>
  <w:style w:type="character" w:customStyle="1" w:styleId="150">
    <w:name w:val="标题 3 Char Char"/>
    <w:qFormat/>
    <w:uiPriority w:val="0"/>
    <w:rPr>
      <w:rFonts w:eastAsia="宋体"/>
      <w:b/>
      <w:bCs/>
      <w:kern w:val="2"/>
      <w:sz w:val="32"/>
      <w:szCs w:val="32"/>
      <w:lang w:val="en-US" w:eastAsia="zh-CN" w:bidi="ar-SA"/>
    </w:rPr>
  </w:style>
  <w:style w:type="paragraph" w:customStyle="1" w:styleId="151">
    <w:name w:val="样式1"/>
    <w:basedOn w:val="39"/>
    <w:qFormat/>
    <w:uiPriority w:val="0"/>
    <w:pPr>
      <w:spacing w:before="120" w:after="120"/>
    </w:pPr>
    <w:rPr>
      <w:rFonts w:eastAsia="黑体"/>
      <w:b w:val="0"/>
      <w:sz w:val="30"/>
      <w:szCs w:val="21"/>
    </w:rPr>
  </w:style>
  <w:style w:type="paragraph" w:customStyle="1" w:styleId="152">
    <w:name w:val="保留正文"/>
    <w:basedOn w:val="18"/>
    <w:qFormat/>
    <w:uiPriority w:val="0"/>
    <w:pPr>
      <w:keepNext/>
      <w:tabs>
        <w:tab w:val="left" w:pos="562"/>
        <w:tab w:val="left" w:pos="3372"/>
        <w:tab w:val="left" w:pos="3653"/>
      </w:tabs>
      <w:spacing w:after="160"/>
    </w:pPr>
    <w:rPr>
      <w:sz w:val="21"/>
    </w:rPr>
  </w:style>
  <w:style w:type="paragraph" w:customStyle="1" w:styleId="153">
    <w:name w:val="首行缩进:  0.85 厘米"/>
    <w:basedOn w:val="1"/>
    <w:qFormat/>
    <w:uiPriority w:val="0"/>
    <w:pPr>
      <w:widowControl/>
      <w:spacing w:after="100" w:line="360" w:lineRule="auto"/>
      <w:ind w:firstLine="482"/>
      <w:jc w:val="left"/>
    </w:pPr>
    <w:rPr>
      <w:rFonts w:cs="宋体"/>
      <w:kern w:val="0"/>
      <w:sz w:val="24"/>
      <w:szCs w:val="20"/>
      <w:lang w:eastAsia="en-US" w:bidi="en-US"/>
    </w:rPr>
  </w:style>
  <w:style w:type="paragraph" w:customStyle="1" w:styleId="154">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155">
    <w:name w:val="列出段落1"/>
    <w:basedOn w:val="1"/>
    <w:qFormat/>
    <w:uiPriority w:val="0"/>
    <w:pPr>
      <w:ind w:firstLine="420" w:firstLineChars="200"/>
    </w:pPr>
    <w:rPr>
      <w:rFonts w:cs="Calibri"/>
      <w:szCs w:val="21"/>
    </w:rPr>
  </w:style>
  <w:style w:type="paragraph" w:customStyle="1" w:styleId="156">
    <w:name w:val="样式41"/>
    <w:basedOn w:val="1"/>
    <w:qFormat/>
    <w:uiPriority w:val="0"/>
    <w:pPr>
      <w:numPr>
        <w:ilvl w:val="0"/>
        <w:numId w:val="5"/>
      </w:numPr>
      <w:tabs>
        <w:tab w:val="left" w:pos="945"/>
      </w:tabs>
      <w:spacing w:line="360" w:lineRule="auto"/>
    </w:pPr>
    <w:rPr>
      <w:b/>
      <w:color w:val="000000"/>
      <w:sz w:val="24"/>
      <w:szCs w:val="20"/>
    </w:rPr>
  </w:style>
  <w:style w:type="paragraph" w:customStyle="1" w:styleId="157">
    <w:name w:val="文字"/>
    <w:basedOn w:val="1"/>
    <w:qFormat/>
    <w:uiPriority w:val="0"/>
    <w:pPr>
      <w:tabs>
        <w:tab w:val="left" w:pos="8520"/>
      </w:tabs>
      <w:spacing w:line="312" w:lineRule="auto"/>
      <w:ind w:right="-210" w:firstLine="556"/>
    </w:pPr>
    <w:rPr>
      <w:rFonts w:ascii="宋体"/>
      <w:sz w:val="28"/>
      <w:szCs w:val="20"/>
    </w:rPr>
  </w:style>
  <w:style w:type="character" w:customStyle="1" w:styleId="158">
    <w:name w:val="mode"/>
    <w:qFormat/>
    <w:uiPriority w:val="0"/>
  </w:style>
  <w:style w:type="paragraph" w:customStyle="1" w:styleId="159">
    <w:name w:val="Char Char Char Char Char Char1 Char Char Char Char Char Char Char Char Char Char Char Char Char"/>
    <w:basedOn w:val="1"/>
    <w:qFormat/>
    <w:uiPriority w:val="0"/>
    <w:pPr>
      <w:widowControl/>
      <w:spacing w:after="160" w:line="240" w:lineRule="exact"/>
      <w:jc w:val="left"/>
    </w:pPr>
    <w:rPr>
      <w:rFonts w:ascii="Arial" w:hAnsi="Arial" w:eastAsia="Times New Roman" w:cs="Verdana"/>
      <w:b/>
      <w:kern w:val="0"/>
      <w:sz w:val="24"/>
      <w:lang w:eastAsia="en-US"/>
    </w:rPr>
  </w:style>
  <w:style w:type="character" w:customStyle="1" w:styleId="160">
    <w:name w:val="列表段落 字符"/>
    <w:link w:val="77"/>
    <w:qFormat/>
    <w:uiPriority w:val="34"/>
    <w:rPr>
      <w:kern w:val="2"/>
      <w:sz w:val="21"/>
      <w:szCs w:val="22"/>
    </w:rPr>
  </w:style>
  <w:style w:type="character" w:customStyle="1" w:styleId="161">
    <w:name w:val="标题 7 字符"/>
    <w:link w:val="9"/>
    <w:qFormat/>
    <w:uiPriority w:val="0"/>
    <w:rPr>
      <w:rFonts w:ascii="Calibri" w:hAnsi="Calibri" w:eastAsia="宋体" w:cs="Times New Roman"/>
      <w:b/>
      <w:sz w:val="24"/>
      <w:szCs w:val="20"/>
    </w:rPr>
  </w:style>
  <w:style w:type="paragraph" w:customStyle="1" w:styleId="162">
    <w:name w:val="图"/>
    <w:basedOn w:val="1"/>
    <w:qFormat/>
    <w:uiPriority w:val="0"/>
    <w:pPr>
      <w:keepNext/>
      <w:adjustRightInd w:val="0"/>
      <w:snapToGrid w:val="0"/>
      <w:spacing w:before="60" w:after="60" w:line="300" w:lineRule="auto"/>
      <w:jc w:val="center"/>
    </w:pPr>
    <w:rPr>
      <w:spacing w:val="20"/>
      <w:kern w:val="0"/>
      <w:sz w:val="24"/>
      <w:szCs w:val="20"/>
    </w:rPr>
  </w:style>
  <w:style w:type="paragraph" w:customStyle="1" w:styleId="163">
    <w:name w:val="Table Paragraph"/>
    <w:basedOn w:val="1"/>
    <w:qFormat/>
    <w:uiPriority w:val="99"/>
    <w:pPr>
      <w:autoSpaceDE w:val="0"/>
      <w:autoSpaceDN w:val="0"/>
      <w:adjustRightInd w:val="0"/>
      <w:jc w:val="left"/>
    </w:pPr>
    <w:rPr>
      <w:rFonts w:ascii="宋体" w:hAnsi="宋体" w:cs="宋体"/>
      <w:kern w:val="0"/>
      <w:sz w:val="24"/>
    </w:rPr>
  </w:style>
  <w:style w:type="character" w:customStyle="1" w:styleId="164">
    <w:name w:val="标题 1 字符"/>
    <w:qFormat/>
    <w:uiPriority w:val="0"/>
    <w:rPr>
      <w:rFonts w:ascii="宋体" w:hAnsi="宋体" w:eastAsia="黑体"/>
      <w:b/>
      <w:bCs/>
      <w:kern w:val="44"/>
      <w:sz w:val="28"/>
      <w:szCs w:val="44"/>
      <w:lang w:val="en-US" w:eastAsia="zh-CN" w:bidi="ar-SA"/>
    </w:rPr>
  </w:style>
  <w:style w:type="character" w:customStyle="1" w:styleId="165">
    <w:name w:val="font2"/>
    <w:qFormat/>
    <w:uiPriority w:val="0"/>
  </w:style>
  <w:style w:type="paragraph" w:customStyle="1" w:styleId="166">
    <w:name w:val="正文文字缩进项目"/>
    <w:basedOn w:val="19"/>
    <w:qFormat/>
    <w:uiPriority w:val="0"/>
    <w:pPr>
      <w:numPr>
        <w:ilvl w:val="1"/>
        <w:numId w:val="6"/>
      </w:numPr>
      <w:tabs>
        <w:tab w:val="left" w:pos="840"/>
        <w:tab w:val="clear" w:pos="1260"/>
      </w:tabs>
      <w:spacing w:after="120" w:line="240" w:lineRule="auto"/>
      <w:ind w:left="840" w:firstLine="0" w:firstLineChars="0"/>
    </w:pPr>
    <w:rPr>
      <w:rFonts w:ascii="Tahoma" w:hAnsi="Tahoma"/>
      <w:sz w:val="22"/>
      <w:szCs w:val="20"/>
    </w:rPr>
  </w:style>
  <w:style w:type="paragraph" w:customStyle="1" w:styleId="167">
    <w:name w:val="编号1"/>
    <w:basedOn w:val="1"/>
    <w:qFormat/>
    <w:uiPriority w:val="0"/>
    <w:pPr>
      <w:numPr>
        <w:ilvl w:val="0"/>
        <w:numId w:val="7"/>
      </w:numPr>
      <w:adjustRightInd w:val="0"/>
      <w:spacing w:line="300" w:lineRule="auto"/>
      <w:ind w:right="210"/>
      <w:textAlignment w:val="center"/>
    </w:pPr>
    <w:rPr>
      <w:rFonts w:ascii="宋体" w:hAnsi="宋体"/>
      <w:snapToGrid w:val="0"/>
      <w:spacing w:val="10"/>
      <w:kern w:val="24"/>
    </w:rPr>
  </w:style>
  <w:style w:type="paragraph" w:customStyle="1" w:styleId="168">
    <w:name w:val="Char Char Char Char Char Char Char Char Char Char Char Char Char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169">
    <w:name w:val="7"/>
    <w:basedOn w:val="1"/>
    <w:qFormat/>
    <w:uiPriority w:val="0"/>
    <w:pPr>
      <w:autoSpaceDE w:val="0"/>
      <w:autoSpaceDN w:val="0"/>
      <w:adjustRightInd w:val="0"/>
      <w:spacing w:line="270" w:lineRule="atLeast"/>
      <w:jc w:val="left"/>
    </w:pPr>
    <w:rPr>
      <w:rFonts w:ascii="宋体"/>
      <w:kern w:val="0"/>
      <w:sz w:val="18"/>
      <w:szCs w:val="18"/>
    </w:rPr>
  </w:style>
  <w:style w:type="paragraph" w:customStyle="1" w:styleId="170">
    <w:name w:val="方案要点"/>
    <w:basedOn w:val="1"/>
    <w:qFormat/>
    <w:uiPriority w:val="0"/>
    <w:pPr>
      <w:numPr>
        <w:ilvl w:val="0"/>
        <w:numId w:val="3"/>
      </w:numPr>
      <w:spacing w:line="360" w:lineRule="auto"/>
    </w:pPr>
    <w:rPr>
      <w:rFonts w:ascii="仿宋_GB2312" w:hAnsi="宋体" w:eastAsia="仿宋_GB2312"/>
      <w:color w:val="000000"/>
      <w:sz w:val="28"/>
      <w:szCs w:val="28"/>
    </w:rPr>
  </w:style>
  <w:style w:type="character" w:customStyle="1" w:styleId="171">
    <w:name w:val="标题 1 字符2"/>
    <w:qFormat/>
    <w:uiPriority w:val="0"/>
    <w:rPr>
      <w:rFonts w:ascii="Calibri" w:hAnsi="Calibri" w:eastAsia="宋体" w:cs="Times New Roman"/>
      <w:b/>
      <w:bCs/>
      <w:kern w:val="44"/>
      <w:sz w:val="44"/>
      <w:szCs w:val="44"/>
    </w:rPr>
  </w:style>
  <w:style w:type="character" w:customStyle="1" w:styleId="172">
    <w:name w:val="hilite6"/>
    <w:qFormat/>
    <w:uiPriority w:val="0"/>
    <w:rPr>
      <w:color w:val="000000"/>
    </w:rPr>
  </w:style>
  <w:style w:type="character" w:customStyle="1" w:styleId="173">
    <w:name w:val="章标题1 Char"/>
    <w:qFormat/>
    <w:uiPriority w:val="0"/>
    <w:rPr>
      <w:rFonts w:eastAsia="宋体"/>
      <w:b/>
      <w:bCs/>
      <w:kern w:val="2"/>
      <w:sz w:val="32"/>
      <w:szCs w:val="32"/>
      <w:lang w:val="en-US" w:eastAsia="zh-CN" w:bidi="ar-SA"/>
    </w:rPr>
  </w:style>
  <w:style w:type="character" w:customStyle="1" w:styleId="174">
    <w:name w:val="批注文字 字符"/>
    <w:link w:val="16"/>
    <w:semiHidden/>
    <w:qFormat/>
    <w:uiPriority w:val="99"/>
    <w:rPr>
      <w:rFonts w:ascii="宋体" w:hAnsi="Calibri" w:eastAsia="宋体" w:cs="Times New Roman"/>
      <w:kern w:val="0"/>
      <w:sz w:val="34"/>
      <w:szCs w:val="20"/>
    </w:rPr>
  </w:style>
  <w:style w:type="character" w:customStyle="1" w:styleId="175">
    <w:name w:val="二 Char"/>
    <w:link w:val="88"/>
    <w:qFormat/>
    <w:uiPriority w:val="0"/>
    <w:rPr>
      <w:rFonts w:ascii="宋体" w:hAnsi="宋体" w:cs="宋体"/>
      <w:b/>
      <w:color w:val="000000"/>
      <w:sz w:val="24"/>
      <w:szCs w:val="24"/>
    </w:rPr>
  </w:style>
  <w:style w:type="paragraph" w:customStyle="1" w:styleId="176">
    <w:name w:val="Char Char Char"/>
    <w:basedOn w:val="1"/>
    <w:qFormat/>
    <w:uiPriority w:val="0"/>
    <w:rPr>
      <w:rFonts w:ascii="Tahoma" w:hAnsi="Tahoma"/>
      <w:sz w:val="24"/>
      <w:szCs w:val="20"/>
    </w:rPr>
  </w:style>
  <w:style w:type="paragraph" w:customStyle="1" w:styleId="177">
    <w:name w:val="È±Ê¡ÎÄ±¾"/>
    <w:basedOn w:val="1"/>
    <w:qFormat/>
    <w:uiPriority w:val="0"/>
    <w:pPr>
      <w:widowControl/>
      <w:overflowPunct w:val="0"/>
      <w:autoSpaceDE w:val="0"/>
      <w:autoSpaceDN w:val="0"/>
      <w:adjustRightInd w:val="0"/>
      <w:jc w:val="left"/>
      <w:textAlignment w:val="baseline"/>
    </w:pPr>
    <w:rPr>
      <w:kern w:val="0"/>
      <w:sz w:val="24"/>
      <w:szCs w:val="20"/>
    </w:rPr>
  </w:style>
  <w:style w:type="character" w:customStyle="1" w:styleId="178">
    <w:name w:val="正文文本首行缩进 2 字符"/>
    <w:link w:val="42"/>
    <w:qFormat/>
    <w:uiPriority w:val="0"/>
    <w:rPr>
      <w:rFonts w:ascii="Times New Roman" w:hAnsi="Calibri" w:eastAsia="宋体" w:cs="Times New Roman"/>
      <w:szCs w:val="24"/>
    </w:rPr>
  </w:style>
  <w:style w:type="character" w:customStyle="1" w:styleId="179">
    <w:name w:val="表格文字 Char"/>
    <w:link w:val="127"/>
    <w:qFormat/>
    <w:uiPriority w:val="0"/>
    <w:rPr>
      <w:bCs/>
      <w:spacing w:val="10"/>
      <w:sz w:val="24"/>
      <w:szCs w:val="24"/>
    </w:rPr>
  </w:style>
  <w:style w:type="paragraph" w:customStyle="1" w:styleId="180">
    <w:name w:val="封面文档标题"/>
    <w:basedOn w:val="1"/>
    <w:qFormat/>
    <w:uiPriority w:val="0"/>
    <w:pPr>
      <w:autoSpaceDE w:val="0"/>
      <w:autoSpaceDN w:val="0"/>
      <w:adjustRightInd w:val="0"/>
      <w:spacing w:line="360" w:lineRule="auto"/>
      <w:jc w:val="center"/>
    </w:pPr>
    <w:rPr>
      <w:rFonts w:ascii="Arial" w:hAnsi="Arial"/>
      <w:b/>
      <w:kern w:val="0"/>
      <w:sz w:val="56"/>
    </w:rPr>
  </w:style>
  <w:style w:type="paragraph" w:customStyle="1" w:styleId="181">
    <w:name w:val="--规划-题注"/>
    <w:basedOn w:val="1"/>
    <w:next w:val="56"/>
    <w:qFormat/>
    <w:uiPriority w:val="0"/>
    <w:pPr>
      <w:spacing w:line="360" w:lineRule="auto"/>
      <w:jc w:val="center"/>
    </w:pPr>
    <w:rPr>
      <w:rFonts w:eastAsia="黑体"/>
    </w:rPr>
  </w:style>
  <w:style w:type="paragraph" w:customStyle="1" w:styleId="182">
    <w:name w:val="font0"/>
    <w:basedOn w:val="1"/>
    <w:qFormat/>
    <w:uiPriority w:val="0"/>
    <w:pPr>
      <w:widowControl/>
      <w:spacing w:before="100" w:beforeAutospacing="1" w:after="100" w:afterAutospacing="1"/>
      <w:jc w:val="left"/>
    </w:pPr>
    <w:rPr>
      <w:rFonts w:hint="eastAsia" w:ascii="宋体" w:hAnsi="宋体"/>
      <w:kern w:val="0"/>
      <w:sz w:val="24"/>
    </w:rPr>
  </w:style>
  <w:style w:type="paragraph" w:customStyle="1" w:styleId="183">
    <w:name w:val="样式2"/>
    <w:basedOn w:val="39"/>
    <w:next w:val="151"/>
    <w:qFormat/>
    <w:uiPriority w:val="0"/>
    <w:pPr>
      <w:spacing w:before="120" w:after="120"/>
    </w:pPr>
    <w:rPr>
      <w:rFonts w:eastAsia="黑体"/>
      <w:b w:val="0"/>
      <w:sz w:val="30"/>
      <w:szCs w:val="30"/>
    </w:rPr>
  </w:style>
  <w:style w:type="paragraph" w:customStyle="1" w:styleId="184">
    <w:name w:val="00"/>
    <w:basedOn w:val="1"/>
    <w:qFormat/>
    <w:uiPriority w:val="0"/>
    <w:pPr>
      <w:autoSpaceDE w:val="0"/>
      <w:autoSpaceDN w:val="0"/>
      <w:adjustRightInd w:val="0"/>
      <w:jc w:val="left"/>
    </w:pPr>
    <w:rPr>
      <w:rFonts w:ascii="黑体" w:eastAsia="黑体"/>
      <w:b/>
      <w:bCs/>
      <w:kern w:val="0"/>
      <w:sz w:val="20"/>
      <w:szCs w:val="20"/>
    </w:rPr>
  </w:style>
  <w:style w:type="paragraph" w:customStyle="1" w:styleId="185">
    <w:name w:val="!正文"/>
    <w:basedOn w:val="1"/>
    <w:link w:val="195"/>
    <w:qFormat/>
    <w:uiPriority w:val="0"/>
    <w:pPr>
      <w:spacing w:line="360" w:lineRule="auto"/>
      <w:ind w:firstLine="480" w:firstLineChars="200"/>
    </w:pPr>
    <w:rPr>
      <w:sz w:val="24"/>
      <w:szCs w:val="21"/>
    </w:rPr>
  </w:style>
  <w:style w:type="paragraph" w:customStyle="1" w:styleId="186">
    <w:name w:val="姜文清定义的正文"/>
    <w:basedOn w:val="1"/>
    <w:qFormat/>
    <w:uiPriority w:val="0"/>
    <w:pPr>
      <w:spacing w:line="240" w:lineRule="atLeast"/>
      <w:ind w:firstLine="567"/>
    </w:pPr>
    <w:rPr>
      <w:szCs w:val="20"/>
    </w:rPr>
  </w:style>
  <w:style w:type="paragraph" w:customStyle="1" w:styleId="187">
    <w:name w:val="文档正文"/>
    <w:basedOn w:val="1"/>
    <w:qFormat/>
    <w:uiPriority w:val="0"/>
    <w:pPr>
      <w:adjustRightInd w:val="0"/>
      <w:spacing w:line="480" w:lineRule="atLeast"/>
      <w:ind w:firstLine="567" w:firstLineChars="200"/>
      <w:textAlignment w:val="baseline"/>
    </w:pPr>
    <w:rPr>
      <w:rFonts w:ascii="长城仿宋"/>
      <w:kern w:val="0"/>
      <w:szCs w:val="20"/>
    </w:rPr>
  </w:style>
  <w:style w:type="paragraph" w:customStyle="1" w:styleId="188">
    <w:name w:val="xl34"/>
    <w:basedOn w:val="1"/>
    <w:qFormat/>
    <w:uiPriority w:val="0"/>
    <w:pPr>
      <w:widowControl/>
      <w:pBdr>
        <w:left w:val="single" w:color="auto" w:sz="4" w:space="0"/>
      </w:pBdr>
      <w:spacing w:before="100" w:beforeAutospacing="1" w:after="100" w:afterAutospacing="1"/>
      <w:jc w:val="center"/>
      <w:textAlignment w:val="center"/>
    </w:pPr>
    <w:rPr>
      <w:rFonts w:ascii="宋体" w:hAnsi="宋体"/>
      <w:kern w:val="0"/>
      <w:sz w:val="24"/>
    </w:rPr>
  </w:style>
  <w:style w:type="character" w:customStyle="1" w:styleId="189">
    <w:name w:val="info4"/>
    <w:qFormat/>
    <w:uiPriority w:val="0"/>
  </w:style>
  <w:style w:type="character" w:customStyle="1" w:styleId="190">
    <w:name w:val="标题 3 字符"/>
    <w:link w:val="4"/>
    <w:qFormat/>
    <w:uiPriority w:val="0"/>
    <w:rPr>
      <w:rFonts w:ascii="宋体" w:hAnsi="宋体" w:eastAsia="黑体" w:cs="Times New Roman"/>
      <w:b/>
      <w:bCs/>
      <w:sz w:val="28"/>
      <w:szCs w:val="32"/>
    </w:rPr>
  </w:style>
  <w:style w:type="paragraph" w:customStyle="1" w:styleId="191">
    <w:name w:val="Char1"/>
    <w:basedOn w:val="1"/>
    <w:qFormat/>
    <w:uiPriority w:val="0"/>
    <w:pPr>
      <w:jc w:val="left"/>
    </w:pPr>
    <w:rPr>
      <w:rFonts w:ascii="Tahoma" w:hAnsi="Tahoma"/>
      <w:sz w:val="24"/>
      <w:szCs w:val="20"/>
    </w:rPr>
  </w:style>
  <w:style w:type="character" w:customStyle="1" w:styleId="192">
    <w:name w:val="hilite"/>
    <w:qFormat/>
    <w:uiPriority w:val="0"/>
    <w:rPr>
      <w:color w:val="000000"/>
    </w:rPr>
  </w:style>
  <w:style w:type="paragraph" w:customStyle="1" w:styleId="193">
    <w:name w:val="--规划-图和表"/>
    <w:next w:val="56"/>
    <w:qFormat/>
    <w:uiPriority w:val="0"/>
    <w:pPr>
      <w:jc w:val="center"/>
    </w:pPr>
    <w:rPr>
      <w:rFonts w:ascii="Calibri" w:hAnsi="Calibri" w:eastAsia="宋体" w:cs="Times New Roman"/>
      <w:kern w:val="2"/>
      <w:sz w:val="21"/>
      <w:lang w:val="en-US" w:eastAsia="zh-CN" w:bidi="ar-SA"/>
    </w:rPr>
  </w:style>
  <w:style w:type="character" w:customStyle="1" w:styleId="194">
    <w:name w:val="标题 字符"/>
    <w:link w:val="39"/>
    <w:qFormat/>
    <w:uiPriority w:val="0"/>
    <w:rPr>
      <w:rFonts w:ascii="Arial" w:hAnsi="Arial" w:eastAsia="隶书" w:cs="Arial"/>
      <w:b/>
      <w:bCs/>
      <w:sz w:val="32"/>
      <w:szCs w:val="32"/>
    </w:rPr>
  </w:style>
  <w:style w:type="character" w:customStyle="1" w:styleId="195">
    <w:name w:val="!正文 Char"/>
    <w:link w:val="185"/>
    <w:qFormat/>
    <w:uiPriority w:val="0"/>
    <w:rPr>
      <w:kern w:val="2"/>
      <w:sz w:val="24"/>
      <w:szCs w:val="21"/>
    </w:rPr>
  </w:style>
  <w:style w:type="character" w:customStyle="1" w:styleId="196">
    <w:name w:val="--规划正文 Char Char"/>
    <w:qFormat/>
    <w:uiPriority w:val="0"/>
    <w:rPr>
      <w:rFonts w:eastAsia="宋体"/>
      <w:kern w:val="2"/>
      <w:sz w:val="24"/>
      <w:szCs w:val="24"/>
      <w:lang w:val="en-US" w:eastAsia="zh-CN" w:bidi="ar-SA"/>
    </w:rPr>
  </w:style>
  <w:style w:type="paragraph" w:customStyle="1" w:styleId="197">
    <w:name w:val="style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98">
    <w:name w:val="Char Char Char Char Char"/>
    <w:basedOn w:val="1"/>
    <w:qFormat/>
    <w:uiPriority w:val="0"/>
    <w:rPr>
      <w:rFonts w:ascii="Tahoma" w:hAnsi="Tahoma"/>
      <w:sz w:val="24"/>
      <w:szCs w:val="20"/>
    </w:rPr>
  </w:style>
  <w:style w:type="paragraph" w:customStyle="1" w:styleId="199">
    <w:name w:val="段落正文"/>
    <w:basedOn w:val="22"/>
    <w:qFormat/>
    <w:uiPriority w:val="0"/>
    <w:pPr>
      <w:ind w:firstLine="560" w:firstLineChars="200"/>
    </w:pPr>
    <w:rPr>
      <w:sz w:val="28"/>
    </w:rPr>
  </w:style>
  <w:style w:type="character" w:customStyle="1" w:styleId="200">
    <w:name w:val="prodheadlines"/>
    <w:qFormat/>
    <w:uiPriority w:val="0"/>
  </w:style>
  <w:style w:type="paragraph" w:customStyle="1" w:styleId="201">
    <w:name w:val="msonormal"/>
    <w:basedOn w:val="1"/>
    <w:qFormat/>
    <w:uiPriority w:val="0"/>
    <w:pPr>
      <w:widowControl/>
      <w:spacing w:before="100" w:beforeAutospacing="1" w:after="100" w:afterAutospacing="1"/>
      <w:jc w:val="left"/>
    </w:pPr>
    <w:rPr>
      <w:rFonts w:ascii="宋体" w:hAnsi="宋体" w:cs="宋体"/>
      <w:kern w:val="0"/>
      <w:sz w:val="24"/>
    </w:rPr>
  </w:style>
  <w:style w:type="paragraph" w:customStyle="1" w:styleId="202">
    <w:name w:val="无间隔1"/>
    <w:qFormat/>
    <w:uiPriority w:val="0"/>
    <w:rPr>
      <w:rFonts w:ascii="Calibri" w:hAnsi="Calibri" w:eastAsia="宋体" w:cs="Times New Roman"/>
      <w:sz w:val="24"/>
      <w:szCs w:val="24"/>
      <w:lang w:val="en-US" w:eastAsia="zh-CN" w:bidi="ar-SA"/>
    </w:rPr>
  </w:style>
  <w:style w:type="paragraph" w:customStyle="1" w:styleId="203">
    <w:name w:val="RFI text from 3rd Level"/>
    <w:basedOn w:val="1"/>
    <w:qFormat/>
    <w:uiPriority w:val="0"/>
    <w:pPr>
      <w:widowControl/>
      <w:numPr>
        <w:ilvl w:val="0"/>
        <w:numId w:val="6"/>
      </w:numPr>
      <w:tabs>
        <w:tab w:val="left" w:pos="1080"/>
        <w:tab w:val="clear" w:pos="840"/>
      </w:tabs>
      <w:spacing w:beforeLines="50" w:line="360" w:lineRule="auto"/>
      <w:ind w:left="0" w:firstLine="0"/>
    </w:pPr>
    <w:rPr>
      <w:rFonts w:ascii="Arial (W1)" w:hAnsi="Arial (W1)"/>
      <w:bCs/>
      <w:kern w:val="0"/>
      <w:sz w:val="24"/>
      <w:lang w:val="en-GB"/>
    </w:rPr>
  </w:style>
  <w:style w:type="character" w:customStyle="1" w:styleId="204">
    <w:name w:val="font21"/>
    <w:qFormat/>
    <w:uiPriority w:val="0"/>
    <w:rPr>
      <w:rFonts w:hint="eastAsia" w:ascii="宋体" w:hAnsi="宋体" w:eastAsia="宋体" w:cs="宋体"/>
      <w:color w:val="000000"/>
      <w:sz w:val="24"/>
      <w:szCs w:val="24"/>
      <w:u w:val="none"/>
    </w:rPr>
  </w:style>
  <w:style w:type="character" w:customStyle="1" w:styleId="205">
    <w:name w:val="grame"/>
    <w:qFormat/>
    <w:uiPriority w:val="0"/>
  </w:style>
  <w:style w:type="paragraph" w:customStyle="1" w:styleId="206">
    <w:name w:val="Char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07">
    <w:name w:val="USE 1"/>
    <w:basedOn w:val="1"/>
    <w:qFormat/>
    <w:uiPriority w:val="0"/>
    <w:pPr>
      <w:spacing w:line="200" w:lineRule="atLeast"/>
      <w:jc w:val="left"/>
    </w:pPr>
    <w:rPr>
      <w:rFonts w:ascii="宋体" w:hAnsi="宋体"/>
      <w:b/>
      <w:sz w:val="24"/>
      <w:szCs w:val="28"/>
    </w:rPr>
  </w:style>
  <w:style w:type="character" w:customStyle="1" w:styleId="208">
    <w:name w:val="正文文本缩进 3 字符"/>
    <w:link w:val="32"/>
    <w:qFormat/>
    <w:uiPriority w:val="0"/>
    <w:rPr>
      <w:rFonts w:ascii="宋体" w:hAnsi="Calibri" w:eastAsia="宋体" w:cs="Times New Roman"/>
      <w:b/>
      <w:bCs/>
      <w:sz w:val="24"/>
      <w:szCs w:val="24"/>
    </w:rPr>
  </w:style>
  <w:style w:type="character" w:customStyle="1" w:styleId="209">
    <w:name w:val="active"/>
    <w:qFormat/>
    <w:uiPriority w:val="0"/>
    <w:rPr>
      <w:color w:val="FFFFFF"/>
    </w:rPr>
  </w:style>
  <w:style w:type="character" w:customStyle="1" w:styleId="210">
    <w:name w:val="unnamed3"/>
    <w:qFormat/>
    <w:uiPriority w:val="0"/>
  </w:style>
  <w:style w:type="paragraph" w:customStyle="1" w:styleId="211">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12">
    <w:name w:val="自定义正文"/>
    <w:basedOn w:val="1"/>
    <w:qFormat/>
    <w:uiPriority w:val="0"/>
    <w:pPr>
      <w:spacing w:afterLines="50"/>
      <w:ind w:left="600" w:leftChars="600"/>
    </w:pPr>
  </w:style>
  <w:style w:type="character" w:customStyle="1" w:styleId="213">
    <w:name w:val="批注框文本 字符"/>
    <w:link w:val="26"/>
    <w:semiHidden/>
    <w:qFormat/>
    <w:uiPriority w:val="0"/>
    <w:rPr>
      <w:rFonts w:ascii="Calibri" w:hAnsi="Calibri" w:eastAsia="宋体" w:cs="Times New Roman"/>
      <w:sz w:val="18"/>
      <w:szCs w:val="18"/>
    </w:rPr>
  </w:style>
  <w:style w:type="character" w:customStyle="1" w:styleId="214">
    <w:name w:val="缩进正文 Char"/>
    <w:link w:val="89"/>
    <w:qFormat/>
    <w:uiPriority w:val="0"/>
    <w:rPr>
      <w:rFonts w:ascii="Calibri" w:hAnsi="Calibri" w:eastAsia="仿宋_GB2312" w:cs="宋体"/>
      <w:sz w:val="28"/>
      <w:szCs w:val="20"/>
    </w:rPr>
  </w:style>
  <w:style w:type="paragraph" w:customStyle="1" w:styleId="215">
    <w:name w:val="正文(首行缩进)"/>
    <w:qFormat/>
    <w:uiPriority w:val="0"/>
    <w:pPr>
      <w:spacing w:line="360" w:lineRule="auto"/>
      <w:ind w:firstLine="488" w:firstLineChars="200"/>
      <w:jc w:val="both"/>
    </w:pPr>
    <w:rPr>
      <w:rFonts w:ascii="Calibri" w:hAnsi="Calibri" w:eastAsia="仿宋_GB2312" w:cs="Times New Roman"/>
      <w:spacing w:val="2"/>
      <w:sz w:val="24"/>
      <w:szCs w:val="24"/>
      <w:lang w:val="en-US" w:eastAsia="zh-CN" w:bidi="ar-SA"/>
    </w:rPr>
  </w:style>
  <w:style w:type="paragraph" w:customStyle="1" w:styleId="216">
    <w:name w:val="font6"/>
    <w:basedOn w:val="1"/>
    <w:qFormat/>
    <w:uiPriority w:val="0"/>
    <w:pPr>
      <w:widowControl/>
      <w:spacing w:before="100" w:beforeAutospacing="1" w:after="100" w:afterAutospacing="1"/>
      <w:jc w:val="left"/>
    </w:pPr>
    <w:rPr>
      <w:kern w:val="0"/>
      <w:sz w:val="24"/>
    </w:rPr>
  </w:style>
  <w:style w:type="character" w:customStyle="1" w:styleId="217">
    <w:name w:val="first-child"/>
    <w:qFormat/>
    <w:uiPriority w:val="0"/>
  </w:style>
  <w:style w:type="paragraph" w:customStyle="1" w:styleId="218">
    <w:name w:val="xl72"/>
    <w:basedOn w:val="1"/>
    <w:qFormat/>
    <w:uiPriority w:val="0"/>
    <w:pPr>
      <w:widowControl/>
      <w:spacing w:before="100" w:beforeAutospacing="1" w:after="100" w:afterAutospacing="1"/>
      <w:jc w:val="left"/>
    </w:pPr>
    <w:rPr>
      <w:rFonts w:ascii="宋体" w:hAnsi="宋体"/>
      <w:b/>
      <w:bCs/>
      <w:kern w:val="0"/>
      <w:sz w:val="28"/>
      <w:szCs w:val="28"/>
    </w:rPr>
  </w:style>
  <w:style w:type="character" w:customStyle="1" w:styleId="219">
    <w:name w:val="font"/>
    <w:qFormat/>
    <w:uiPriority w:val="0"/>
  </w:style>
  <w:style w:type="character" w:customStyle="1" w:styleId="220">
    <w:name w:val="页脚 字符"/>
    <w:link w:val="27"/>
    <w:qFormat/>
    <w:uiPriority w:val="0"/>
    <w:rPr>
      <w:sz w:val="18"/>
      <w:szCs w:val="18"/>
    </w:rPr>
  </w:style>
  <w:style w:type="character" w:customStyle="1" w:styleId="221">
    <w:name w:val="页眉 字符"/>
    <w:link w:val="28"/>
    <w:qFormat/>
    <w:uiPriority w:val="99"/>
    <w:rPr>
      <w:sz w:val="18"/>
      <w:szCs w:val="18"/>
    </w:rPr>
  </w:style>
  <w:style w:type="paragraph" w:customStyle="1" w:styleId="222">
    <w:name w:val="表格字"/>
    <w:basedOn w:val="1"/>
    <w:qFormat/>
    <w:uiPriority w:val="0"/>
    <w:pPr>
      <w:adjustRightInd w:val="0"/>
      <w:jc w:val="center"/>
    </w:pPr>
    <w:rPr>
      <w:rFonts w:ascii="宋体"/>
      <w:sz w:val="24"/>
      <w:szCs w:val="20"/>
    </w:rPr>
  </w:style>
  <w:style w:type="character" w:customStyle="1" w:styleId="223">
    <w:name w:val="文档结构图 字符"/>
    <w:link w:val="15"/>
    <w:semiHidden/>
    <w:qFormat/>
    <w:uiPriority w:val="0"/>
    <w:rPr>
      <w:rFonts w:ascii="Calibri" w:hAnsi="Calibri" w:eastAsia="宋体" w:cs="Times New Roman"/>
      <w:szCs w:val="24"/>
      <w:shd w:val="clear" w:color="auto" w:fill="000080"/>
    </w:rPr>
  </w:style>
  <w:style w:type="character" w:customStyle="1" w:styleId="224">
    <w:name w:val="标题 1 字符1"/>
    <w:link w:val="2"/>
    <w:qFormat/>
    <w:uiPriority w:val="0"/>
    <w:rPr>
      <w:rFonts w:ascii="Calibri" w:hAnsi="Calibri" w:eastAsia="黑体" w:cs="Times New Roman"/>
      <w:kern w:val="44"/>
      <w:szCs w:val="44"/>
    </w:rPr>
  </w:style>
  <w:style w:type="paragraph" w:customStyle="1" w:styleId="225">
    <w:name w:val="正文(首行缩进) Char"/>
    <w:qFormat/>
    <w:uiPriority w:val="0"/>
    <w:pPr>
      <w:spacing w:before="120" w:after="60" w:line="360" w:lineRule="auto"/>
      <w:ind w:firstLine="200" w:firstLineChars="200"/>
    </w:pPr>
    <w:rPr>
      <w:rFonts w:ascii="Calibri" w:hAnsi="Calibri" w:eastAsia="仿宋_GB2312" w:cs="Times New Roman"/>
      <w:spacing w:val="2"/>
      <w:kern w:val="24"/>
      <w:sz w:val="24"/>
      <w:szCs w:val="24"/>
      <w:lang w:val="en-US" w:eastAsia="zh-CN" w:bidi="ar-SA"/>
    </w:rPr>
  </w:style>
  <w:style w:type="character" w:customStyle="1" w:styleId="226">
    <w:name w:val="alt-edited1"/>
    <w:qFormat/>
    <w:uiPriority w:val="0"/>
    <w:rPr>
      <w:color w:val="4D90F0"/>
    </w:rPr>
  </w:style>
  <w:style w:type="paragraph" w:customStyle="1" w:styleId="227">
    <w:name w:val="产品描述"/>
    <w:qFormat/>
    <w:uiPriority w:val="0"/>
    <w:pPr>
      <w:widowControl w:val="0"/>
      <w:autoSpaceDE w:val="0"/>
      <w:autoSpaceDN w:val="0"/>
      <w:adjustRightInd w:val="0"/>
      <w:spacing w:line="270" w:lineRule="atLeast"/>
      <w:ind w:firstLine="397"/>
      <w:jc w:val="both"/>
    </w:pPr>
    <w:rPr>
      <w:rFonts w:ascii="宋体" w:hAnsi="Calibri" w:eastAsia="宋体" w:cs="Times New Roman"/>
      <w:sz w:val="18"/>
      <w:szCs w:val="18"/>
      <w:lang w:val="en-US" w:eastAsia="zh-CN" w:bidi="ar-SA"/>
    </w:rPr>
  </w:style>
  <w:style w:type="character" w:customStyle="1" w:styleId="228">
    <w:name w:val="日期 字符"/>
    <w:link w:val="24"/>
    <w:qFormat/>
    <w:uiPriority w:val="0"/>
    <w:rPr>
      <w:rFonts w:ascii="宋体" w:hAnsi="Courier New" w:eastAsia="宋体" w:cs="Times New Roman"/>
      <w:sz w:val="32"/>
      <w:szCs w:val="20"/>
    </w:rPr>
  </w:style>
  <w:style w:type="character" w:customStyle="1" w:styleId="229">
    <w:name w:val="_Style 192"/>
    <w:unhideWhenUsed/>
    <w:qFormat/>
    <w:uiPriority w:val="99"/>
    <w:rPr>
      <w:color w:val="605E5C"/>
      <w:shd w:val="clear" w:color="auto" w:fill="E1DFDD"/>
    </w:rPr>
  </w:style>
  <w:style w:type="paragraph" w:customStyle="1" w:styleId="230">
    <w:name w:val="样式3"/>
    <w:basedOn w:val="2"/>
    <w:qFormat/>
    <w:uiPriority w:val="0"/>
    <w:pPr>
      <w:numPr>
        <w:ilvl w:val="0"/>
        <w:numId w:val="8"/>
      </w:numPr>
      <w:spacing w:before="240" w:after="240" w:line="480" w:lineRule="auto"/>
      <w:ind w:right="210" w:rightChars="100"/>
      <w:jc w:val="left"/>
    </w:pPr>
    <w:rPr>
      <w:sz w:val="32"/>
    </w:rPr>
  </w:style>
  <w:style w:type="paragraph" w:customStyle="1" w:styleId="231">
    <w:name w:val="*正文"/>
    <w:basedOn w:val="1"/>
    <w:qFormat/>
    <w:uiPriority w:val="0"/>
    <w:pPr>
      <w:spacing w:line="360" w:lineRule="auto"/>
      <w:ind w:firstLine="200" w:firstLineChars="200"/>
    </w:pPr>
    <w:rPr>
      <w:rFonts w:ascii="宋体" w:hAnsi="宋体"/>
      <w:kern w:val="0"/>
      <w:sz w:val="24"/>
    </w:rPr>
  </w:style>
  <w:style w:type="character" w:customStyle="1" w:styleId="232">
    <w:name w:val="gray6"/>
    <w:qFormat/>
    <w:uiPriority w:val="0"/>
  </w:style>
  <w:style w:type="paragraph" w:customStyle="1" w:styleId="233">
    <w:name w:val="缺省文本"/>
    <w:basedOn w:val="1"/>
    <w:qFormat/>
    <w:uiPriority w:val="0"/>
    <w:pPr>
      <w:autoSpaceDE w:val="0"/>
      <w:autoSpaceDN w:val="0"/>
      <w:adjustRightInd w:val="0"/>
      <w:jc w:val="left"/>
    </w:pPr>
    <w:rPr>
      <w:kern w:val="0"/>
    </w:rPr>
  </w:style>
  <w:style w:type="character" w:customStyle="1" w:styleId="234">
    <w:name w:val="正文文本缩进 字符"/>
    <w:link w:val="19"/>
    <w:qFormat/>
    <w:uiPriority w:val="0"/>
    <w:rPr>
      <w:rFonts w:ascii="Calibri" w:hAnsi="Calibri" w:eastAsia="宋体" w:cs="Times New Roman"/>
      <w:szCs w:val="24"/>
    </w:rPr>
  </w:style>
  <w:style w:type="character" w:customStyle="1" w:styleId="235">
    <w:name w:val="标题 4 字符"/>
    <w:link w:val="5"/>
    <w:qFormat/>
    <w:uiPriority w:val="0"/>
    <w:rPr>
      <w:rFonts w:ascii="Arial" w:hAnsi="Arial" w:eastAsia="黑体" w:cs="Times New Roman"/>
      <w:b/>
      <w:bCs/>
      <w:sz w:val="28"/>
      <w:szCs w:val="28"/>
    </w:rPr>
  </w:style>
  <w:style w:type="paragraph" w:customStyle="1" w:styleId="236">
    <w:name w:val="Revision"/>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217</Pages>
  <Words>16010</Words>
  <Characters>16249</Characters>
  <Lines>4489</Lines>
  <Paragraphs>4510</Paragraphs>
  <TotalTime>0</TotalTime>
  <ScaleCrop>false</ScaleCrop>
  <LinksUpToDate>false</LinksUpToDate>
  <CharactersWithSpaces>16288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2025-08-24T08:24:00Z</dcterms:created>
  <dc:creator>Administrator</dc:creator>
  <cp:lastModifiedBy>V</cp:lastModifiedBy>
  <cp:lastPrinted>2025-08-12T12:30:00Z</cp:lastPrinted>
  <dcterms:modified xsi:type="dcterms:W3CDTF">2025-10-24T07:43:40Z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eyJoZGlkIjoiZmEzYTNiOTFiZjA2NTcxMzk4MGVkMzdlNGQwOTAwZmEiLCJ1c2VySWQiOiI0NTA5ODQyODEifQ==</vt:lpwstr>
  </property>
  <property fmtid="{D5CDD505-2E9C-101B-9397-08002B2CF9AE}" pid="3" name="KSOProductBuildVer">
    <vt:lpwstr>2052-12.1.0.22529</vt:lpwstr>
  </property>
  <property fmtid="{D5CDD505-2E9C-101B-9397-08002B2CF9AE}" pid="4" name="ICV">
    <vt:lpwstr>1C3E4928973E4665B3E725103034A78D_13</vt:lpwstr>
  </property>
</Properties>
</file>