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BD374">
      <w:pPr>
        <w:jc w:val="center"/>
        <w:rPr>
          <w:rFonts w:ascii="宋体" w:hAnsi="宋体" w:cs="宋体"/>
          <w:b/>
          <w:bCs/>
          <w:kern w:val="0"/>
          <w:sz w:val="36"/>
          <w:szCs w:val="36"/>
        </w:rPr>
      </w:pPr>
      <w:r>
        <w:rPr>
          <w:rFonts w:hint="eastAsia" w:ascii="宋体" w:hAnsi="宋体" w:cs="宋体"/>
          <w:b/>
          <w:bCs/>
          <w:kern w:val="0"/>
          <w:sz w:val="36"/>
          <w:szCs w:val="36"/>
        </w:rPr>
        <w:t>处方点评系统需求确认书</w:t>
      </w:r>
    </w:p>
    <w:p w14:paraId="6147C43F">
      <w:pPr>
        <w:rPr>
          <w:rFonts w:ascii="宋体" w:hAnsi="宋体" w:cs="宋体"/>
        </w:rPr>
      </w:pPr>
    </w:p>
    <w:p w14:paraId="2A2FFEB5">
      <w:pPr>
        <w:pStyle w:val="4"/>
        <w:numPr>
          <w:ilvl w:val="2"/>
          <w:numId w:val="0"/>
        </w:numPr>
        <w:spacing w:before="0" w:after="0" w:line="360" w:lineRule="auto"/>
        <w:ind w:left="567" w:hanging="567"/>
        <w:rPr>
          <w:rFonts w:eastAsia="宋体" w:cs="宋体"/>
          <w:sz w:val="24"/>
          <w:szCs w:val="24"/>
        </w:rPr>
      </w:pPr>
      <w:r>
        <w:rPr>
          <w:rFonts w:hint="eastAsia" w:eastAsia="宋体" w:cs="宋体"/>
          <w:sz w:val="24"/>
          <w:szCs w:val="24"/>
        </w:rPr>
        <w:t>1.1.11处方点评系统建设需求</w:t>
      </w:r>
    </w:p>
    <w:tbl>
      <w:tblPr>
        <w:tblStyle w:val="12"/>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8"/>
        <w:gridCol w:w="2115"/>
        <w:gridCol w:w="10708"/>
      </w:tblGrid>
      <w:tr w14:paraId="1012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Header/>
        </w:trPr>
        <w:tc>
          <w:tcPr>
            <w:tcW w:w="1242" w:type="dxa"/>
            <w:vAlign w:val="center"/>
          </w:tcPr>
          <w:p w14:paraId="093185BD">
            <w:pPr>
              <w:widowControl/>
              <w:jc w:val="center"/>
              <w:rPr>
                <w:rFonts w:ascii="宋体" w:hAnsi="宋体" w:cs="宋体"/>
                <w:b/>
                <w:bCs/>
                <w:color w:val="000000"/>
                <w:kern w:val="0"/>
                <w:szCs w:val="21"/>
              </w:rPr>
            </w:pPr>
            <w:r>
              <w:rPr>
                <w:rFonts w:hint="eastAsia" w:ascii="宋体" w:hAnsi="宋体" w:cs="宋体"/>
                <w:b/>
                <w:bCs/>
                <w:color w:val="000000"/>
                <w:kern w:val="0"/>
                <w:szCs w:val="21"/>
              </w:rPr>
              <w:t>需求名称</w:t>
            </w:r>
          </w:p>
        </w:tc>
        <w:tc>
          <w:tcPr>
            <w:tcW w:w="2127" w:type="dxa"/>
            <w:vAlign w:val="center"/>
          </w:tcPr>
          <w:p w14:paraId="2D9FB46B">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0807" w:type="dxa"/>
            <w:vAlign w:val="center"/>
          </w:tcPr>
          <w:p w14:paraId="2300F08F">
            <w:pPr>
              <w:widowControl/>
              <w:jc w:val="center"/>
              <w:rPr>
                <w:rFonts w:ascii="宋体" w:hAnsi="宋体" w:cs="宋体"/>
                <w:b/>
                <w:bCs/>
                <w:color w:val="000000"/>
                <w:kern w:val="0"/>
                <w:szCs w:val="21"/>
              </w:rPr>
            </w:pPr>
            <w:r>
              <w:rPr>
                <w:rFonts w:hint="eastAsia" w:ascii="宋体" w:hAnsi="宋体" w:cs="宋体"/>
                <w:b/>
                <w:bCs/>
                <w:color w:val="000000"/>
                <w:kern w:val="0"/>
                <w:szCs w:val="21"/>
              </w:rPr>
              <w:t>需求描述</w:t>
            </w:r>
          </w:p>
        </w:tc>
      </w:tr>
      <w:tr w14:paraId="5D49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242" w:type="dxa"/>
            <w:vMerge w:val="restart"/>
            <w:vAlign w:val="center"/>
          </w:tcPr>
          <w:p w14:paraId="28E88967">
            <w:pPr>
              <w:ind w:left="425" w:hanging="425"/>
              <w:rPr>
                <w:rFonts w:ascii="宋体" w:hAnsi="宋体" w:cs="宋体"/>
                <w:szCs w:val="21"/>
              </w:rPr>
            </w:pPr>
            <w:r>
              <w:rPr>
                <w:rFonts w:hint="eastAsia" w:ascii="宋体" w:hAnsi="宋体" w:cs="宋体"/>
                <w:szCs w:val="21"/>
              </w:rPr>
              <w:t>11处方点评系统</w:t>
            </w:r>
          </w:p>
        </w:tc>
        <w:tc>
          <w:tcPr>
            <w:tcW w:w="12934" w:type="dxa"/>
            <w:gridSpan w:val="2"/>
            <w:vAlign w:val="center"/>
          </w:tcPr>
          <w:p w14:paraId="2E8A6414">
            <w:pPr>
              <w:numPr>
                <w:ilvl w:val="1"/>
                <w:numId w:val="0"/>
              </w:numPr>
              <w:rPr>
                <w:rFonts w:ascii="宋体" w:hAnsi="宋体" w:cs="宋体"/>
                <w:color w:val="000000"/>
                <w:kern w:val="0"/>
                <w:szCs w:val="21"/>
              </w:rPr>
            </w:pPr>
            <w:bookmarkStart w:id="0" w:name="_Toc192772621"/>
            <w:r>
              <w:rPr>
                <w:rFonts w:hint="eastAsia" w:ascii="宋体" w:hAnsi="宋体" w:cs="宋体"/>
                <w:color w:val="000000"/>
                <w:kern w:val="0"/>
                <w:szCs w:val="21"/>
              </w:rPr>
              <w:t>11.1</w:t>
            </w:r>
            <w:r>
              <w:rPr>
                <w:rFonts w:hint="eastAsia" w:ascii="宋体" w:hAnsi="宋体" w:cs="宋体"/>
                <w:szCs w:val="21"/>
              </w:rPr>
              <w:t>处方点评（常规）</w:t>
            </w:r>
            <w:bookmarkEnd w:id="0"/>
          </w:p>
        </w:tc>
      </w:tr>
      <w:tr w14:paraId="317A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242" w:type="dxa"/>
            <w:vMerge w:val="continue"/>
            <w:vAlign w:val="center"/>
          </w:tcPr>
          <w:p w14:paraId="2F0D5E50">
            <w:pPr>
              <w:widowControl/>
              <w:jc w:val="left"/>
              <w:rPr>
                <w:rFonts w:ascii="宋体" w:hAnsi="宋体" w:cs="宋体"/>
                <w:color w:val="000000"/>
                <w:kern w:val="0"/>
                <w:szCs w:val="21"/>
              </w:rPr>
            </w:pPr>
          </w:p>
        </w:tc>
        <w:tc>
          <w:tcPr>
            <w:tcW w:w="2127" w:type="dxa"/>
            <w:vAlign w:val="center"/>
          </w:tcPr>
          <w:p w14:paraId="2D2901D3">
            <w:pPr>
              <w:numPr>
                <w:ilvl w:val="2"/>
                <w:numId w:val="0"/>
              </w:numPr>
              <w:rPr>
                <w:rFonts w:ascii="宋体" w:hAnsi="宋体" w:cs="宋体"/>
              </w:rPr>
            </w:pPr>
            <w:r>
              <w:rPr>
                <w:rFonts w:hint="eastAsia" w:ascii="宋体" w:hAnsi="宋体" w:cs="宋体"/>
              </w:rPr>
              <w:t>11.1.1点评计划管理</w:t>
            </w:r>
          </w:p>
        </w:tc>
        <w:tc>
          <w:tcPr>
            <w:tcW w:w="10807" w:type="dxa"/>
            <w:vAlign w:val="center"/>
          </w:tcPr>
          <w:p w14:paraId="1AF3F78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建立点评计划，对点评过程进行跟踪管理。药师通过点评计划的列表可进行新增计划、查看计划、修改计划名称、查看共计报表、删除计划、搜索计划、导出。点评计划分为门诊点评、住院点评、门诊专项点评、住院专项点评。</w:t>
            </w:r>
          </w:p>
          <w:p w14:paraId="46F72AD5">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系统支持导出点评计划的所有处方，导出时支持设定需要导出的信息字段。</w:t>
            </w:r>
          </w:p>
          <w:p w14:paraId="089B9924">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支持与互联网医院、云药房系统做对接，可对互联网医院、云药房处方进行抽取和点评。</w:t>
            </w:r>
          </w:p>
        </w:tc>
      </w:tr>
      <w:tr w14:paraId="3E65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Merge w:val="continue"/>
            <w:vAlign w:val="center"/>
          </w:tcPr>
          <w:p w14:paraId="523CCA93">
            <w:pPr>
              <w:widowControl/>
              <w:jc w:val="left"/>
              <w:rPr>
                <w:rFonts w:ascii="宋体" w:hAnsi="宋体" w:cs="宋体"/>
                <w:color w:val="000000"/>
                <w:kern w:val="0"/>
                <w:szCs w:val="21"/>
              </w:rPr>
            </w:pPr>
          </w:p>
        </w:tc>
        <w:tc>
          <w:tcPr>
            <w:tcW w:w="2127" w:type="dxa"/>
            <w:vAlign w:val="center"/>
          </w:tcPr>
          <w:p w14:paraId="415B81A7">
            <w:pPr>
              <w:numPr>
                <w:ilvl w:val="2"/>
                <w:numId w:val="0"/>
              </w:numPr>
              <w:rPr>
                <w:rFonts w:ascii="宋体" w:hAnsi="宋体" w:cs="宋体"/>
              </w:rPr>
            </w:pPr>
            <w:r>
              <w:rPr>
                <w:rFonts w:hint="eastAsia" w:ascii="宋体" w:hAnsi="宋体" w:cs="宋体"/>
              </w:rPr>
              <w:t>11.1.2点评模板选取与管理</w:t>
            </w:r>
          </w:p>
        </w:tc>
        <w:tc>
          <w:tcPr>
            <w:tcW w:w="10807" w:type="dxa"/>
            <w:vAlign w:val="center"/>
          </w:tcPr>
          <w:p w14:paraId="0FD876C7">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建立点评计划时，系统支持选择点评流程模板，整个点评流程将按模板设定好的路径进行。</w:t>
            </w:r>
          </w:p>
          <w:p w14:paraId="49010A6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点评模板可根据医院管理流程要求在后台预先配置，方便医院调整点评流程环节，支持多级点评、多级审核。</w:t>
            </w:r>
          </w:p>
          <w:p w14:paraId="4B76D24A">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系统支持设定药学部主任参与点评结果审核，在审核之后方可将结果发给医生。</w:t>
            </w:r>
          </w:p>
          <w:p w14:paraId="3B02EFCB">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系统支持设定医生科室主任参与点评申诉意见审核，在审核之后方可将申诉意见发给药师。</w:t>
            </w:r>
          </w:p>
        </w:tc>
      </w:tr>
      <w:tr w14:paraId="08E52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242" w:type="dxa"/>
            <w:vMerge w:val="continue"/>
            <w:vAlign w:val="center"/>
          </w:tcPr>
          <w:p w14:paraId="321DBCFF">
            <w:pPr>
              <w:widowControl/>
              <w:jc w:val="left"/>
              <w:rPr>
                <w:rFonts w:ascii="宋体" w:hAnsi="宋体" w:cs="宋体"/>
                <w:color w:val="000000"/>
                <w:kern w:val="0"/>
                <w:szCs w:val="21"/>
              </w:rPr>
            </w:pPr>
          </w:p>
        </w:tc>
        <w:tc>
          <w:tcPr>
            <w:tcW w:w="2127" w:type="dxa"/>
            <w:vAlign w:val="center"/>
          </w:tcPr>
          <w:p w14:paraId="0A33E419">
            <w:pPr>
              <w:numPr>
                <w:ilvl w:val="2"/>
                <w:numId w:val="0"/>
              </w:numPr>
              <w:rPr>
                <w:rFonts w:ascii="宋体" w:hAnsi="宋体" w:cs="宋体"/>
              </w:rPr>
            </w:pPr>
            <w:r>
              <w:rPr>
                <w:rFonts w:hint="eastAsia" w:ascii="宋体" w:hAnsi="宋体" w:cs="宋体"/>
              </w:rPr>
              <w:t>11.1.3处方/医嘱抽取</w:t>
            </w:r>
          </w:p>
        </w:tc>
        <w:tc>
          <w:tcPr>
            <w:tcW w:w="10807" w:type="dxa"/>
            <w:vAlign w:val="center"/>
          </w:tcPr>
          <w:p w14:paraId="4955AB23">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系统支持根据设定的条件抽取处方/医嘱，可用条件包括：</w:t>
            </w:r>
          </w:p>
          <w:p w14:paraId="5D36147A">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范围：抽样方式、日期范围、抽样类型、就诊类型、其中包含药品类型处方张数、合理用药分析问题类型、合理用药分析问题级别、被点评组、抽查状态、排除项。</w:t>
            </w:r>
          </w:p>
          <w:p w14:paraId="0179D517">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患者信息：患者姓名、性别、年龄、病历卡号、患者唯一号。</w:t>
            </w:r>
          </w:p>
          <w:p w14:paraId="36AF63C5">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就诊信息：病区名称、审核药师、处方类型、发药药师、诊断类型、门诊号、处方号、医生姓名、处方医生所属科室、医生职称。</w:t>
            </w:r>
          </w:p>
          <w:p w14:paraId="43059587">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药品信息：药品类型、开方科室、药品剂型、药品品种数、给药途径、用药天数、发药药房、结算类型、用药金额、药品编码、合理用药分析结果（是否合理）。</w:t>
            </w:r>
          </w:p>
          <w:p w14:paraId="37720BF0">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系统支持导入患者信息进行定向抽取。</w:t>
            </w:r>
          </w:p>
          <w:p w14:paraId="1BC503E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系统支持导入药品信息进行定向抽取。</w:t>
            </w:r>
          </w:p>
          <w:p w14:paraId="6C4F9040">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系统支持将当前选好的条件存为“抽取条件模板”。下一次抽取时可按条件模板进行抽取。</w:t>
            </w:r>
          </w:p>
          <w:p w14:paraId="7EC8DD64">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系统支持对抽取结果进行剔除、重抽、导出。</w:t>
            </w:r>
          </w:p>
        </w:tc>
      </w:tr>
      <w:tr w14:paraId="4160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242" w:type="dxa"/>
            <w:vMerge w:val="continue"/>
            <w:vAlign w:val="center"/>
          </w:tcPr>
          <w:p w14:paraId="433D7A83">
            <w:pPr>
              <w:widowControl/>
              <w:jc w:val="center"/>
              <w:rPr>
                <w:rFonts w:ascii="宋体" w:hAnsi="宋体" w:cs="宋体"/>
                <w:color w:val="000000"/>
                <w:kern w:val="0"/>
                <w:szCs w:val="21"/>
              </w:rPr>
            </w:pPr>
          </w:p>
        </w:tc>
        <w:tc>
          <w:tcPr>
            <w:tcW w:w="2127" w:type="dxa"/>
            <w:vAlign w:val="center"/>
          </w:tcPr>
          <w:p w14:paraId="0DB6DAE0">
            <w:pPr>
              <w:numPr>
                <w:ilvl w:val="2"/>
                <w:numId w:val="0"/>
              </w:numPr>
              <w:rPr>
                <w:rFonts w:ascii="宋体" w:hAnsi="宋体" w:cs="宋体"/>
              </w:rPr>
            </w:pPr>
            <w:r>
              <w:rPr>
                <w:rFonts w:hint="eastAsia" w:ascii="宋体" w:hAnsi="宋体" w:cs="宋体"/>
              </w:rPr>
              <w:t>11.1.4处方/医嘱分配</w:t>
            </w:r>
          </w:p>
        </w:tc>
        <w:tc>
          <w:tcPr>
            <w:tcW w:w="10807" w:type="dxa"/>
            <w:vAlign w:val="center"/>
          </w:tcPr>
          <w:p w14:paraId="12FE47E9">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系统支持按选中的点评组分配处方/医嘱。</w:t>
            </w:r>
          </w:p>
          <w:p w14:paraId="5A33D10C">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系统支持按比例分配模式：可按比例均分、按张数均分，可手动调节，可清空后重新分配。支持均分后锁定部分人员的处方数，清空未锁定人员的处方数，重新调整。</w:t>
            </w:r>
          </w:p>
          <w:p w14:paraId="7E7E51E6">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系统支持按药师名单分配模式：可手动选择处方分配给指定的人，可批量选中处方分配给指定的人；支持搜索药师工号、搜索处方。</w:t>
            </w:r>
          </w:p>
        </w:tc>
      </w:tr>
      <w:tr w14:paraId="102B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242" w:type="dxa"/>
            <w:vMerge w:val="continue"/>
            <w:vAlign w:val="center"/>
          </w:tcPr>
          <w:p w14:paraId="260DB075">
            <w:pPr>
              <w:widowControl/>
              <w:jc w:val="left"/>
              <w:rPr>
                <w:rFonts w:ascii="宋体" w:hAnsi="宋体" w:cs="宋体"/>
                <w:color w:val="000000"/>
                <w:kern w:val="0"/>
                <w:szCs w:val="21"/>
              </w:rPr>
            </w:pPr>
          </w:p>
        </w:tc>
        <w:tc>
          <w:tcPr>
            <w:tcW w:w="2127" w:type="dxa"/>
            <w:vAlign w:val="center"/>
          </w:tcPr>
          <w:p w14:paraId="1014930C">
            <w:pPr>
              <w:numPr>
                <w:ilvl w:val="2"/>
                <w:numId w:val="0"/>
              </w:numPr>
              <w:rPr>
                <w:rFonts w:ascii="宋体" w:hAnsi="宋体" w:cs="宋体"/>
              </w:rPr>
            </w:pPr>
            <w:r>
              <w:rPr>
                <w:rFonts w:hint="eastAsia" w:ascii="宋体" w:hAnsi="宋体" w:cs="宋体"/>
              </w:rPr>
              <w:t>11.1.5处方/医嘱预处理</w:t>
            </w:r>
          </w:p>
        </w:tc>
        <w:tc>
          <w:tcPr>
            <w:tcW w:w="10807" w:type="dxa"/>
            <w:vAlign w:val="center"/>
          </w:tcPr>
          <w:p w14:paraId="48C544C0">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处方/医嘱抽取之后，系统将按照《医院处方点评管理规范（试行）》，对处方/医嘱进行预点评，并将分析结果提供给点评药师参考。预点评的结果按文件要求，分为“三大类28小项”：</w:t>
            </w:r>
          </w:p>
          <w:p w14:paraId="3946897F">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第一类：不规范处方（15小项）</w:t>
            </w:r>
          </w:p>
          <w:p w14:paraId="63AC28E7">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第二类：用药不适宜处方（9小项）</w:t>
            </w:r>
          </w:p>
          <w:p w14:paraId="32350593">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第三类：超常规处方（4小项）</w:t>
            </w:r>
          </w:p>
          <w:p w14:paraId="6C21D60A">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系统默认提供《医院处方点评管理规范（试行）》里要求的28小项问题点，同时支持增、改新的问题点。</w:t>
            </w:r>
          </w:p>
        </w:tc>
      </w:tr>
      <w:tr w14:paraId="3C81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242" w:type="dxa"/>
            <w:vMerge w:val="continue"/>
            <w:vAlign w:val="center"/>
          </w:tcPr>
          <w:p w14:paraId="4900ECB5">
            <w:pPr>
              <w:widowControl/>
              <w:jc w:val="left"/>
              <w:rPr>
                <w:rFonts w:ascii="宋体" w:hAnsi="宋体" w:cs="宋体"/>
                <w:color w:val="000000"/>
                <w:kern w:val="0"/>
                <w:szCs w:val="21"/>
              </w:rPr>
            </w:pPr>
          </w:p>
        </w:tc>
        <w:tc>
          <w:tcPr>
            <w:tcW w:w="2127" w:type="dxa"/>
            <w:vAlign w:val="center"/>
          </w:tcPr>
          <w:p w14:paraId="0D7D0A3A">
            <w:pPr>
              <w:numPr>
                <w:ilvl w:val="2"/>
                <w:numId w:val="0"/>
              </w:numPr>
              <w:rPr>
                <w:rFonts w:ascii="宋体" w:hAnsi="宋体" w:cs="宋体"/>
              </w:rPr>
            </w:pPr>
            <w:r>
              <w:rPr>
                <w:rFonts w:hint="eastAsia" w:ascii="宋体" w:hAnsi="宋体" w:cs="宋体"/>
              </w:rPr>
              <w:t>11.1.6对分配的处方/医嘱进行点评、审核</w:t>
            </w:r>
          </w:p>
        </w:tc>
        <w:tc>
          <w:tcPr>
            <w:tcW w:w="10807" w:type="dxa"/>
            <w:vAlign w:val="center"/>
          </w:tcPr>
          <w:p w14:paraId="76AB2D8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点评组药师在点评界面可查看分配给自己的点评任务，并逐一点评，或批量点评，批量点评界面须有处方基本信息（包括处方号、患者性别、年龄、诊断、具体用药、药品用法用量、处方药品量、系统点评结果）。可根据系统预处理结果，全部或是有选择性的进行点评，并对系统分析的结果进行人工确认，同时可输入点评意见，形成最终结果。</w:t>
            </w:r>
          </w:p>
          <w:p w14:paraId="2F8A84BD">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点评人只能查看自己相关任务的病人信息，无权查看其他人处方信息。系统需支持多级点评推送功能，初点评药师、复点药师、点评专家，均可看到点评信息，每一级的药师可将计划点评为不合理的处方流转到上一级指定的药师，最终的点评意见可发送至医务处药事管理专员，最后由医务处推送至临床医生，临床医生中仅显示最终点评意见且不显示各级点评人信息。</w:t>
            </w:r>
          </w:p>
          <w:p w14:paraId="5982D7A3">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在点评任务列表可进行处方/医嘱筛选、导出。</w:t>
            </w:r>
          </w:p>
        </w:tc>
      </w:tr>
      <w:tr w14:paraId="009B4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242" w:type="dxa"/>
            <w:vMerge w:val="continue"/>
            <w:vAlign w:val="center"/>
          </w:tcPr>
          <w:p w14:paraId="7A96CF0A">
            <w:pPr>
              <w:widowControl/>
              <w:jc w:val="left"/>
              <w:rPr>
                <w:rFonts w:ascii="宋体" w:hAnsi="宋体" w:cs="宋体"/>
                <w:color w:val="000000"/>
                <w:kern w:val="0"/>
                <w:szCs w:val="21"/>
              </w:rPr>
            </w:pPr>
          </w:p>
        </w:tc>
        <w:tc>
          <w:tcPr>
            <w:tcW w:w="2127" w:type="dxa"/>
            <w:vAlign w:val="center"/>
          </w:tcPr>
          <w:p w14:paraId="74430150">
            <w:pPr>
              <w:numPr>
                <w:ilvl w:val="2"/>
                <w:numId w:val="0"/>
              </w:numPr>
              <w:rPr>
                <w:rFonts w:ascii="宋体" w:hAnsi="宋体" w:cs="宋体"/>
              </w:rPr>
            </w:pPr>
            <w:r>
              <w:rPr>
                <w:rFonts w:hint="eastAsia" w:ascii="宋体" w:hAnsi="宋体" w:cs="宋体"/>
              </w:rPr>
              <w:t>11.1.7点评组人员配置</w:t>
            </w:r>
          </w:p>
        </w:tc>
        <w:tc>
          <w:tcPr>
            <w:tcW w:w="10807" w:type="dxa"/>
            <w:vAlign w:val="center"/>
          </w:tcPr>
          <w:p w14:paraId="7AB17944">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系统可设置点评组人员，在点评任务分配时可调用点评组，按既定名单进行分配。</w:t>
            </w:r>
          </w:p>
        </w:tc>
      </w:tr>
      <w:tr w14:paraId="7BA4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242" w:type="dxa"/>
            <w:vMerge w:val="continue"/>
            <w:vAlign w:val="center"/>
          </w:tcPr>
          <w:p w14:paraId="2052EAD7">
            <w:pPr>
              <w:widowControl/>
              <w:jc w:val="left"/>
              <w:rPr>
                <w:rFonts w:ascii="宋体" w:hAnsi="宋体" w:cs="宋体"/>
                <w:color w:val="000000"/>
                <w:kern w:val="0"/>
                <w:szCs w:val="21"/>
              </w:rPr>
            </w:pPr>
          </w:p>
        </w:tc>
        <w:tc>
          <w:tcPr>
            <w:tcW w:w="2127" w:type="dxa"/>
            <w:vAlign w:val="center"/>
          </w:tcPr>
          <w:p w14:paraId="286BD13B">
            <w:pPr>
              <w:numPr>
                <w:ilvl w:val="2"/>
                <w:numId w:val="0"/>
              </w:numPr>
              <w:rPr>
                <w:rFonts w:ascii="宋体" w:hAnsi="宋体" w:cs="宋体"/>
              </w:rPr>
            </w:pPr>
            <w:r>
              <w:rPr>
                <w:rFonts w:hint="eastAsia" w:ascii="宋体" w:hAnsi="宋体" w:cs="宋体"/>
              </w:rPr>
              <w:t>11.1.8门诊点评工作表生成</w:t>
            </w:r>
          </w:p>
        </w:tc>
        <w:tc>
          <w:tcPr>
            <w:tcW w:w="10807" w:type="dxa"/>
            <w:vAlign w:val="center"/>
          </w:tcPr>
          <w:p w14:paraId="7B42019C">
            <w:pPr>
              <w:spacing w:line="360" w:lineRule="auto"/>
              <w:rPr>
                <w:rFonts w:ascii="宋体" w:hAnsi="宋体" w:cs="宋体"/>
              </w:rPr>
            </w:pPr>
            <w:r>
              <w:rPr>
                <w:rFonts w:hint="eastAsia" w:ascii="宋体" w:hAnsi="宋体" w:cs="宋体"/>
              </w:rPr>
              <w:t>系统支持根据点评结果，为每个门诊点评计划自动生成独立的点评工作表和点评统计表，并支持导出。包括：</w:t>
            </w:r>
          </w:p>
          <w:p w14:paraId="263F4FC9">
            <w:pPr>
              <w:spacing w:line="360" w:lineRule="auto"/>
              <w:rPr>
                <w:rFonts w:ascii="宋体" w:hAnsi="宋体" w:cs="宋体"/>
              </w:rPr>
            </w:pPr>
            <w:r>
              <w:rPr>
                <w:rFonts w:hint="eastAsia" w:ascii="宋体" w:hAnsi="宋体" w:cs="宋体"/>
              </w:rPr>
              <w:t>1)</w:t>
            </w:r>
            <w:r>
              <w:rPr>
                <w:rFonts w:hint="eastAsia" w:ascii="宋体" w:hAnsi="宋体" w:cs="宋体"/>
              </w:rPr>
              <w:tab/>
            </w:r>
            <w:r>
              <w:rPr>
                <w:rFonts w:hint="eastAsia" w:ascii="宋体" w:hAnsi="宋体" w:cs="宋体"/>
              </w:rPr>
              <w:t>处方点评工作表</w:t>
            </w:r>
          </w:p>
          <w:p w14:paraId="6743DA9D">
            <w:pPr>
              <w:spacing w:line="360" w:lineRule="auto"/>
              <w:rPr>
                <w:rFonts w:ascii="宋体" w:hAnsi="宋体" w:cs="宋体"/>
              </w:rPr>
            </w:pPr>
            <w:r>
              <w:rPr>
                <w:rFonts w:hint="eastAsia" w:ascii="宋体" w:hAnsi="宋体" w:cs="宋体"/>
              </w:rPr>
              <w:t>2)</w:t>
            </w:r>
            <w:r>
              <w:rPr>
                <w:rFonts w:hint="eastAsia" w:ascii="宋体" w:hAnsi="宋体" w:cs="宋体"/>
              </w:rPr>
              <w:tab/>
            </w:r>
            <w:r>
              <w:rPr>
                <w:rFonts w:hint="eastAsia" w:ascii="宋体" w:hAnsi="宋体" w:cs="宋体"/>
              </w:rPr>
              <w:t>处方点评工作明细表</w:t>
            </w:r>
          </w:p>
          <w:p w14:paraId="4EAC03C4">
            <w:pPr>
              <w:spacing w:line="360" w:lineRule="auto"/>
              <w:rPr>
                <w:rFonts w:ascii="宋体" w:hAnsi="宋体" w:cs="宋体"/>
              </w:rPr>
            </w:pPr>
            <w:r>
              <w:rPr>
                <w:rFonts w:hint="eastAsia" w:ascii="宋体" w:hAnsi="宋体" w:cs="宋体"/>
              </w:rPr>
              <w:t>3)</w:t>
            </w:r>
            <w:r>
              <w:rPr>
                <w:rFonts w:hint="eastAsia" w:ascii="宋体" w:hAnsi="宋体" w:cs="宋体"/>
              </w:rPr>
              <w:tab/>
            </w:r>
            <w:r>
              <w:rPr>
                <w:rFonts w:hint="eastAsia" w:ascii="宋体" w:hAnsi="宋体" w:cs="宋体"/>
              </w:rPr>
              <w:t>不合理处方统计表（按医生）</w:t>
            </w:r>
          </w:p>
          <w:p w14:paraId="19F5206F">
            <w:pPr>
              <w:spacing w:line="360" w:lineRule="auto"/>
              <w:rPr>
                <w:rFonts w:ascii="宋体" w:hAnsi="宋体" w:cs="宋体"/>
              </w:rPr>
            </w:pPr>
            <w:r>
              <w:rPr>
                <w:rFonts w:hint="eastAsia" w:ascii="宋体" w:hAnsi="宋体" w:cs="宋体"/>
              </w:rPr>
              <w:t>4)</w:t>
            </w:r>
            <w:r>
              <w:rPr>
                <w:rFonts w:hint="eastAsia" w:ascii="宋体" w:hAnsi="宋体" w:cs="宋体"/>
              </w:rPr>
              <w:tab/>
            </w:r>
            <w:r>
              <w:rPr>
                <w:rFonts w:hint="eastAsia" w:ascii="宋体" w:hAnsi="宋体" w:cs="宋体"/>
              </w:rPr>
              <w:t>不合理处方统计表（按问题）</w:t>
            </w:r>
          </w:p>
          <w:p w14:paraId="6D64E041">
            <w:pPr>
              <w:spacing w:line="360" w:lineRule="auto"/>
              <w:rPr>
                <w:rFonts w:ascii="宋体" w:hAnsi="宋体" w:cs="宋体"/>
                <w:color w:val="000000"/>
                <w:kern w:val="0"/>
                <w:szCs w:val="21"/>
              </w:rPr>
            </w:pPr>
            <w:r>
              <w:rPr>
                <w:rFonts w:hint="eastAsia" w:ascii="宋体" w:hAnsi="宋体" w:cs="宋体"/>
              </w:rPr>
              <w:t>5) 每个点评项目需有各科室汇总统计功能（包括各科室的点评数、合理数、不合理数、合格率）</w:t>
            </w:r>
          </w:p>
        </w:tc>
      </w:tr>
      <w:tr w14:paraId="3EC8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Merge w:val="continue"/>
            <w:vAlign w:val="center"/>
          </w:tcPr>
          <w:p w14:paraId="4A3F0FFB">
            <w:pPr>
              <w:widowControl/>
              <w:jc w:val="left"/>
              <w:rPr>
                <w:rFonts w:ascii="宋体" w:hAnsi="宋体" w:cs="宋体"/>
                <w:color w:val="000000"/>
                <w:kern w:val="0"/>
                <w:szCs w:val="21"/>
              </w:rPr>
            </w:pPr>
          </w:p>
        </w:tc>
        <w:tc>
          <w:tcPr>
            <w:tcW w:w="2127" w:type="dxa"/>
            <w:vAlign w:val="center"/>
          </w:tcPr>
          <w:p w14:paraId="6EF842BA">
            <w:pPr>
              <w:numPr>
                <w:ilvl w:val="2"/>
                <w:numId w:val="0"/>
              </w:numPr>
              <w:rPr>
                <w:rFonts w:ascii="宋体" w:hAnsi="宋体" w:cs="宋体"/>
              </w:rPr>
            </w:pPr>
            <w:r>
              <w:rPr>
                <w:rFonts w:hint="eastAsia" w:ascii="宋体" w:hAnsi="宋体" w:cs="宋体"/>
              </w:rPr>
              <w:t>11.1.9住院点评工作表生成</w:t>
            </w:r>
          </w:p>
        </w:tc>
        <w:tc>
          <w:tcPr>
            <w:tcW w:w="10807" w:type="dxa"/>
            <w:vAlign w:val="center"/>
          </w:tcPr>
          <w:p w14:paraId="50BE3A85">
            <w:pPr>
              <w:spacing w:line="360" w:lineRule="auto"/>
              <w:rPr>
                <w:rFonts w:ascii="宋体" w:hAnsi="宋体" w:cs="宋体"/>
              </w:rPr>
            </w:pPr>
            <w:r>
              <w:rPr>
                <w:rFonts w:hint="eastAsia" w:ascii="宋体" w:hAnsi="宋体" w:cs="宋体"/>
              </w:rPr>
              <w:t>系统支持根据点评结果，为每个住院点评计划自动生成独立的点评工作表和点评统计表，并支持导出。包括：</w:t>
            </w:r>
          </w:p>
          <w:p w14:paraId="23CF7BDE">
            <w:pPr>
              <w:spacing w:line="360" w:lineRule="auto"/>
              <w:rPr>
                <w:rFonts w:ascii="宋体" w:hAnsi="宋体" w:cs="宋体"/>
              </w:rPr>
            </w:pPr>
            <w:r>
              <w:rPr>
                <w:rFonts w:hint="eastAsia" w:ascii="宋体" w:hAnsi="宋体" w:cs="宋体"/>
              </w:rPr>
              <w:t>1)</w:t>
            </w:r>
            <w:r>
              <w:rPr>
                <w:rFonts w:hint="eastAsia" w:ascii="宋体" w:hAnsi="宋体" w:cs="宋体"/>
              </w:rPr>
              <w:tab/>
            </w:r>
            <w:r>
              <w:rPr>
                <w:rFonts w:hint="eastAsia" w:ascii="宋体" w:hAnsi="宋体" w:cs="宋体"/>
              </w:rPr>
              <w:t>住院医嘱点评统计表（按病历）</w:t>
            </w:r>
          </w:p>
          <w:p w14:paraId="2703D179">
            <w:pPr>
              <w:spacing w:line="360" w:lineRule="auto"/>
              <w:rPr>
                <w:rFonts w:ascii="宋体" w:hAnsi="宋体" w:cs="宋体"/>
              </w:rPr>
            </w:pPr>
            <w:r>
              <w:rPr>
                <w:rFonts w:hint="eastAsia" w:ascii="宋体" w:hAnsi="宋体" w:cs="宋体"/>
              </w:rPr>
              <w:t>2)</w:t>
            </w:r>
            <w:r>
              <w:rPr>
                <w:rFonts w:hint="eastAsia" w:ascii="宋体" w:hAnsi="宋体" w:cs="宋体"/>
              </w:rPr>
              <w:tab/>
            </w:r>
            <w:r>
              <w:rPr>
                <w:rFonts w:hint="eastAsia" w:ascii="宋体" w:hAnsi="宋体" w:cs="宋体"/>
              </w:rPr>
              <w:t>住院医嘱点评统计表（按医生）</w:t>
            </w:r>
          </w:p>
          <w:p w14:paraId="49257F57">
            <w:pPr>
              <w:spacing w:line="360" w:lineRule="auto"/>
              <w:rPr>
                <w:rFonts w:ascii="宋体" w:hAnsi="宋体" w:cs="宋体"/>
              </w:rPr>
            </w:pPr>
            <w:r>
              <w:rPr>
                <w:rFonts w:hint="eastAsia" w:ascii="宋体" w:hAnsi="宋体" w:cs="宋体"/>
              </w:rPr>
              <w:t>3)</w:t>
            </w:r>
            <w:r>
              <w:rPr>
                <w:rFonts w:hint="eastAsia" w:ascii="宋体" w:hAnsi="宋体" w:cs="宋体"/>
              </w:rPr>
              <w:tab/>
            </w:r>
            <w:r>
              <w:rPr>
                <w:rFonts w:hint="eastAsia" w:ascii="宋体" w:hAnsi="宋体" w:cs="宋体"/>
              </w:rPr>
              <w:t>住院医嘱点评统计明细表（按病历）</w:t>
            </w:r>
          </w:p>
          <w:p w14:paraId="05A16918">
            <w:pPr>
              <w:spacing w:line="360" w:lineRule="auto"/>
              <w:rPr>
                <w:rFonts w:ascii="宋体" w:hAnsi="宋体" w:cs="宋体"/>
                <w:color w:val="000000"/>
                <w:kern w:val="0"/>
                <w:szCs w:val="21"/>
              </w:rPr>
            </w:pPr>
            <w:r>
              <w:rPr>
                <w:rFonts w:hint="eastAsia" w:ascii="宋体" w:hAnsi="宋体" w:cs="宋体"/>
              </w:rPr>
              <w:t>4)</w:t>
            </w:r>
            <w:r>
              <w:rPr>
                <w:rFonts w:hint="eastAsia" w:ascii="宋体" w:hAnsi="宋体" w:cs="宋体"/>
              </w:rPr>
              <w:tab/>
            </w:r>
            <w:r>
              <w:rPr>
                <w:rFonts w:hint="eastAsia" w:ascii="宋体" w:hAnsi="宋体" w:cs="宋体"/>
              </w:rPr>
              <w:t>住院医嘱点评工作表（一病历一份）</w:t>
            </w:r>
          </w:p>
        </w:tc>
      </w:tr>
      <w:tr w14:paraId="1760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242" w:type="dxa"/>
            <w:vMerge w:val="continue"/>
            <w:vAlign w:val="center"/>
          </w:tcPr>
          <w:p w14:paraId="62ADEDC1">
            <w:pPr>
              <w:widowControl/>
              <w:jc w:val="left"/>
              <w:rPr>
                <w:rFonts w:ascii="宋体" w:hAnsi="宋体" w:cs="宋体"/>
                <w:color w:val="000000"/>
                <w:kern w:val="0"/>
                <w:szCs w:val="21"/>
              </w:rPr>
            </w:pPr>
          </w:p>
        </w:tc>
        <w:tc>
          <w:tcPr>
            <w:tcW w:w="2127" w:type="dxa"/>
            <w:vAlign w:val="center"/>
          </w:tcPr>
          <w:p w14:paraId="6E463BC6">
            <w:pPr>
              <w:numPr>
                <w:ilvl w:val="2"/>
                <w:numId w:val="0"/>
              </w:numPr>
              <w:rPr>
                <w:rFonts w:ascii="宋体" w:hAnsi="宋体" w:cs="宋体"/>
              </w:rPr>
            </w:pPr>
            <w:r>
              <w:rPr>
                <w:rFonts w:hint="eastAsia" w:ascii="宋体" w:hAnsi="宋体" w:cs="宋体"/>
              </w:rPr>
              <w:t>11.1.10点评申诉</w:t>
            </w:r>
          </w:p>
        </w:tc>
        <w:tc>
          <w:tcPr>
            <w:tcW w:w="10807" w:type="dxa"/>
            <w:vAlign w:val="center"/>
          </w:tcPr>
          <w:p w14:paraId="2C774BC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提供处方点评申诉流程。医生可在医生端对点评不合理的处方/医嘱发起申诉，临床医生的反馈必须有接受点评意见与不接受点评意见两种选择，不接受点评意见，临床医生的反馈必须经科室主任审批后推送至医务处及药学部点评人账号。点评药师组长组织专家对申诉内容进行评审，进行申诉审结处理。</w:t>
            </w:r>
          </w:p>
        </w:tc>
      </w:tr>
      <w:tr w14:paraId="1B7B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242" w:type="dxa"/>
            <w:vMerge w:val="continue"/>
            <w:vAlign w:val="center"/>
          </w:tcPr>
          <w:p w14:paraId="3009C1AB">
            <w:pPr>
              <w:widowControl/>
              <w:jc w:val="left"/>
              <w:rPr>
                <w:rFonts w:ascii="宋体" w:hAnsi="宋体" w:cs="宋体"/>
                <w:color w:val="000000"/>
                <w:kern w:val="0"/>
                <w:szCs w:val="21"/>
              </w:rPr>
            </w:pPr>
          </w:p>
        </w:tc>
        <w:tc>
          <w:tcPr>
            <w:tcW w:w="2127" w:type="dxa"/>
            <w:vAlign w:val="center"/>
          </w:tcPr>
          <w:p w14:paraId="640E40AC">
            <w:pPr>
              <w:numPr>
                <w:ilvl w:val="2"/>
                <w:numId w:val="0"/>
              </w:numPr>
              <w:rPr>
                <w:rFonts w:ascii="宋体" w:hAnsi="宋体" w:cs="宋体"/>
              </w:rPr>
            </w:pPr>
            <w:r>
              <w:rPr>
                <w:rFonts w:hint="eastAsia" w:ascii="宋体" w:hAnsi="宋体" w:cs="宋体"/>
              </w:rPr>
              <w:t>11.1.11点评消息推送记录</w:t>
            </w:r>
          </w:p>
        </w:tc>
        <w:tc>
          <w:tcPr>
            <w:tcW w:w="10807" w:type="dxa"/>
            <w:vAlign w:val="center"/>
          </w:tcPr>
          <w:p w14:paraId="0679D3BD">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系统支持查看所有点评消息的推送记录，可按门诊/住院、发送时间、发送状态、消息组号进行数据筛选。</w:t>
            </w:r>
          </w:p>
        </w:tc>
      </w:tr>
      <w:tr w14:paraId="13BE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1242" w:type="dxa"/>
            <w:vMerge w:val="continue"/>
            <w:vAlign w:val="center"/>
          </w:tcPr>
          <w:p w14:paraId="585EEBF7">
            <w:pPr>
              <w:widowControl/>
              <w:jc w:val="left"/>
              <w:rPr>
                <w:rFonts w:ascii="宋体" w:hAnsi="宋体" w:cs="宋体"/>
                <w:szCs w:val="21"/>
              </w:rPr>
            </w:pPr>
          </w:p>
        </w:tc>
        <w:tc>
          <w:tcPr>
            <w:tcW w:w="12934" w:type="dxa"/>
            <w:gridSpan w:val="2"/>
            <w:vAlign w:val="center"/>
          </w:tcPr>
          <w:p w14:paraId="3985EF1A">
            <w:pPr>
              <w:numPr>
                <w:ilvl w:val="1"/>
                <w:numId w:val="0"/>
              </w:numPr>
              <w:rPr>
                <w:rFonts w:ascii="宋体" w:hAnsi="宋体" w:cs="宋体"/>
                <w:kern w:val="0"/>
                <w:szCs w:val="21"/>
              </w:rPr>
            </w:pPr>
            <w:bookmarkStart w:id="1" w:name="_Toc192772622"/>
            <w:r>
              <w:rPr>
                <w:rFonts w:hint="eastAsia" w:ascii="宋体" w:hAnsi="宋体" w:cs="宋体"/>
                <w:kern w:val="0"/>
                <w:szCs w:val="21"/>
              </w:rPr>
              <w:t>11.2</w:t>
            </w:r>
            <w:r>
              <w:rPr>
                <w:rFonts w:hint="eastAsia" w:ascii="宋体" w:hAnsi="宋体" w:cs="宋体"/>
                <w:szCs w:val="21"/>
              </w:rPr>
              <w:t>专项点评</w:t>
            </w:r>
            <w:bookmarkEnd w:id="1"/>
          </w:p>
        </w:tc>
      </w:tr>
      <w:tr w14:paraId="1F29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242" w:type="dxa"/>
            <w:vMerge w:val="continue"/>
            <w:vAlign w:val="center"/>
          </w:tcPr>
          <w:p w14:paraId="3C6FF74C">
            <w:pPr>
              <w:widowControl/>
              <w:jc w:val="left"/>
              <w:rPr>
                <w:rFonts w:ascii="宋体" w:hAnsi="宋体" w:cs="宋体"/>
                <w:kern w:val="0"/>
                <w:szCs w:val="21"/>
              </w:rPr>
            </w:pPr>
          </w:p>
        </w:tc>
        <w:tc>
          <w:tcPr>
            <w:tcW w:w="2127" w:type="dxa"/>
            <w:vAlign w:val="center"/>
          </w:tcPr>
          <w:p w14:paraId="466C41F9">
            <w:pPr>
              <w:numPr>
                <w:ilvl w:val="2"/>
                <w:numId w:val="0"/>
              </w:numPr>
              <w:rPr>
                <w:rFonts w:ascii="宋体" w:hAnsi="宋体" w:cs="宋体"/>
              </w:rPr>
            </w:pPr>
            <w:r>
              <w:rPr>
                <w:rFonts w:hint="eastAsia" w:ascii="宋体" w:hAnsi="宋体" w:cs="宋体"/>
              </w:rPr>
              <w:t>11.2.1门急诊处方专项点评</w:t>
            </w:r>
          </w:p>
        </w:tc>
        <w:tc>
          <w:tcPr>
            <w:tcW w:w="10807" w:type="dxa"/>
            <w:vAlign w:val="center"/>
          </w:tcPr>
          <w:p w14:paraId="5CE1EC09">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支持对门急诊处方进行专项点评，医院处方点评小组选择一种处方抽样方法（简单随机抽样、等距抽样、按科室、按医生）抽取足够数量的专项处方作为点评样本，然后进行点评。</w:t>
            </w:r>
          </w:p>
        </w:tc>
      </w:tr>
      <w:tr w14:paraId="47696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242" w:type="dxa"/>
            <w:vMerge w:val="continue"/>
            <w:vAlign w:val="center"/>
          </w:tcPr>
          <w:p w14:paraId="50DFAA33">
            <w:pPr>
              <w:widowControl/>
              <w:jc w:val="left"/>
              <w:rPr>
                <w:rFonts w:ascii="宋体" w:hAnsi="宋体" w:cs="宋体"/>
                <w:kern w:val="0"/>
                <w:szCs w:val="21"/>
              </w:rPr>
            </w:pPr>
          </w:p>
        </w:tc>
        <w:tc>
          <w:tcPr>
            <w:tcW w:w="2127" w:type="dxa"/>
            <w:vAlign w:val="center"/>
          </w:tcPr>
          <w:p w14:paraId="011E877A">
            <w:pPr>
              <w:numPr>
                <w:ilvl w:val="2"/>
                <w:numId w:val="0"/>
              </w:numPr>
              <w:rPr>
                <w:rFonts w:ascii="宋体" w:hAnsi="宋体" w:cs="宋体"/>
              </w:rPr>
            </w:pPr>
            <w:r>
              <w:rPr>
                <w:rFonts w:hint="eastAsia" w:ascii="宋体" w:hAnsi="宋体" w:cs="宋体"/>
              </w:rPr>
              <w:t>11.2.2住院病人医嘱点评</w:t>
            </w:r>
          </w:p>
        </w:tc>
        <w:tc>
          <w:tcPr>
            <w:tcW w:w="10807" w:type="dxa"/>
            <w:vAlign w:val="center"/>
          </w:tcPr>
          <w:p w14:paraId="586F167D">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支持对住院病人医嘱进行专项点评，医院处方点评小组选择一种处方抽样方法（简单随机抽样、等距抽样、按科室、按医生）抽取足够数量的专项处方作为点评样本，然后进行点评。</w:t>
            </w:r>
          </w:p>
        </w:tc>
      </w:tr>
      <w:tr w14:paraId="6BAC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Merge w:val="continue"/>
            <w:vAlign w:val="center"/>
          </w:tcPr>
          <w:p w14:paraId="26B13F72">
            <w:pPr>
              <w:widowControl/>
              <w:jc w:val="left"/>
              <w:rPr>
                <w:rFonts w:ascii="宋体" w:hAnsi="宋体" w:cs="宋体"/>
                <w:kern w:val="0"/>
                <w:szCs w:val="21"/>
              </w:rPr>
            </w:pPr>
          </w:p>
        </w:tc>
        <w:tc>
          <w:tcPr>
            <w:tcW w:w="2127" w:type="dxa"/>
            <w:vAlign w:val="center"/>
          </w:tcPr>
          <w:p w14:paraId="3D763269">
            <w:pPr>
              <w:numPr>
                <w:ilvl w:val="2"/>
                <w:numId w:val="0"/>
              </w:numPr>
              <w:rPr>
                <w:rFonts w:ascii="宋体" w:hAnsi="宋体" w:cs="宋体"/>
              </w:rPr>
            </w:pPr>
            <w:r>
              <w:rPr>
                <w:rFonts w:hint="eastAsia" w:ascii="宋体" w:hAnsi="宋体" w:cs="宋体"/>
              </w:rPr>
              <w:t>11.2.3抗菌药物专项点评</w:t>
            </w:r>
          </w:p>
        </w:tc>
        <w:tc>
          <w:tcPr>
            <w:tcW w:w="10807" w:type="dxa"/>
            <w:vAlign w:val="center"/>
          </w:tcPr>
          <w:p w14:paraId="7C764E5B">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根据《全国抗菌药物临床应用专项整治活动方案》中要求落实抗菌药物处方点评制度。医疗机构组织感染、药学等相关专业技术人员对抗菌药物处方、医嘱实施专项点评。充分运用信息化手段，每个月组织对25%的具有抗菌药物处方权医师所开具的处方、医嘱进行点评，每名医师不少于50份处方、医嘱。</w:t>
            </w:r>
          </w:p>
        </w:tc>
      </w:tr>
      <w:tr w14:paraId="1D4F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Merge w:val="continue"/>
            <w:vAlign w:val="center"/>
          </w:tcPr>
          <w:p w14:paraId="3483440B">
            <w:pPr>
              <w:widowControl/>
              <w:jc w:val="left"/>
              <w:rPr>
                <w:rFonts w:ascii="宋体" w:hAnsi="宋体" w:cs="宋体"/>
                <w:kern w:val="0"/>
                <w:szCs w:val="21"/>
              </w:rPr>
            </w:pPr>
          </w:p>
        </w:tc>
        <w:tc>
          <w:tcPr>
            <w:tcW w:w="2127" w:type="dxa"/>
            <w:vAlign w:val="center"/>
          </w:tcPr>
          <w:p w14:paraId="1AAE8028">
            <w:pPr>
              <w:numPr>
                <w:ilvl w:val="2"/>
                <w:numId w:val="0"/>
              </w:numPr>
              <w:rPr>
                <w:rFonts w:ascii="宋体" w:hAnsi="宋体" w:cs="宋体"/>
              </w:rPr>
            </w:pPr>
            <w:r>
              <w:rPr>
                <w:rFonts w:hint="eastAsia" w:ascii="宋体" w:hAnsi="宋体" w:cs="宋体"/>
              </w:rPr>
              <w:t>11.2.4围手术期抗菌药物专项点评</w:t>
            </w:r>
          </w:p>
        </w:tc>
        <w:tc>
          <w:tcPr>
            <w:tcW w:w="10807" w:type="dxa"/>
            <w:vAlign w:val="center"/>
          </w:tcPr>
          <w:p w14:paraId="6A8B6248">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医院可对围手术期抗菌预防使用抗菌药物的处方/医嘱进行抽查与点评。医院可组织药学等相关专业技术人员对医嘱进行专项点评。医院医嘱点评小组选择一种抽样方法抽取足够数量的出院病例作为点评样本，结合电子病历和病人的实际情况对本次诊疗过程中药物治疗情况进行综合点评，并记录用药不合理的问题，可发送消息给相应医生。点评工作可生成工作表。</w:t>
            </w:r>
          </w:p>
        </w:tc>
      </w:tr>
      <w:tr w14:paraId="7BDA0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42" w:type="dxa"/>
            <w:vMerge w:val="continue"/>
            <w:vAlign w:val="center"/>
          </w:tcPr>
          <w:p w14:paraId="7170C8DB">
            <w:pPr>
              <w:widowControl/>
              <w:jc w:val="left"/>
              <w:rPr>
                <w:rFonts w:ascii="宋体" w:hAnsi="宋体" w:cs="宋体"/>
                <w:szCs w:val="21"/>
              </w:rPr>
            </w:pPr>
          </w:p>
        </w:tc>
        <w:tc>
          <w:tcPr>
            <w:tcW w:w="12934" w:type="dxa"/>
            <w:gridSpan w:val="2"/>
            <w:vAlign w:val="center"/>
          </w:tcPr>
          <w:p w14:paraId="3134B7F9">
            <w:pPr>
              <w:numPr>
                <w:ilvl w:val="1"/>
                <w:numId w:val="0"/>
              </w:numPr>
              <w:rPr>
                <w:rFonts w:ascii="宋体" w:hAnsi="宋体" w:cs="宋体"/>
                <w:kern w:val="0"/>
                <w:szCs w:val="21"/>
              </w:rPr>
            </w:pPr>
            <w:bookmarkStart w:id="2" w:name="_Toc192772623"/>
            <w:r>
              <w:rPr>
                <w:rFonts w:hint="eastAsia" w:ascii="宋体" w:hAnsi="宋体" w:cs="宋体"/>
                <w:kern w:val="0"/>
                <w:szCs w:val="21"/>
              </w:rPr>
              <w:t>11.3</w:t>
            </w:r>
            <w:r>
              <w:rPr>
                <w:rFonts w:hint="eastAsia" w:ascii="宋体" w:hAnsi="宋体" w:cs="宋体"/>
                <w:szCs w:val="21"/>
              </w:rPr>
              <w:t>点评报表</w:t>
            </w:r>
            <w:bookmarkEnd w:id="2"/>
          </w:p>
        </w:tc>
      </w:tr>
      <w:tr w14:paraId="6A3CA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Merge w:val="continue"/>
            <w:vAlign w:val="center"/>
          </w:tcPr>
          <w:p w14:paraId="0E17DCA2">
            <w:pPr>
              <w:widowControl/>
              <w:jc w:val="left"/>
              <w:rPr>
                <w:rFonts w:ascii="宋体" w:hAnsi="宋体" w:cs="宋体"/>
                <w:kern w:val="0"/>
                <w:szCs w:val="21"/>
              </w:rPr>
            </w:pPr>
          </w:p>
        </w:tc>
        <w:tc>
          <w:tcPr>
            <w:tcW w:w="2127" w:type="dxa"/>
            <w:vAlign w:val="center"/>
          </w:tcPr>
          <w:p w14:paraId="21307970">
            <w:pPr>
              <w:numPr>
                <w:ilvl w:val="2"/>
                <w:numId w:val="0"/>
              </w:numPr>
              <w:rPr>
                <w:rFonts w:ascii="宋体" w:hAnsi="宋体" w:cs="宋体"/>
                <w:szCs w:val="21"/>
              </w:rPr>
            </w:pPr>
            <w:r>
              <w:rPr>
                <w:rFonts w:hint="eastAsia" w:ascii="宋体" w:hAnsi="宋体" w:cs="宋体"/>
                <w:szCs w:val="21"/>
              </w:rPr>
              <w:t>11.3.1 统计查询</w:t>
            </w:r>
          </w:p>
        </w:tc>
        <w:tc>
          <w:tcPr>
            <w:tcW w:w="10807" w:type="dxa"/>
            <w:vAlign w:val="center"/>
          </w:tcPr>
          <w:p w14:paraId="0866F29D">
            <w:pPr>
              <w:spacing w:line="360" w:lineRule="auto"/>
              <w:rPr>
                <w:rFonts w:ascii="宋体" w:hAnsi="宋体" w:cs="宋体"/>
              </w:rPr>
            </w:pPr>
            <w:r>
              <w:rPr>
                <w:rFonts w:hint="eastAsia" w:ascii="宋体" w:hAnsi="宋体" w:cs="宋体"/>
              </w:rPr>
              <w:t>系统支持对阶段性的点评情况进行统计，可了解处方/医嘱的抽查情况，包括从科室、医生、问题点、药品、药师的角度分析点评情况，具体如下：</w:t>
            </w:r>
          </w:p>
          <w:p w14:paraId="0262A0F7">
            <w:pPr>
              <w:spacing w:line="360" w:lineRule="auto"/>
              <w:rPr>
                <w:rFonts w:ascii="宋体" w:hAnsi="宋体" w:cs="宋体"/>
              </w:rPr>
            </w:pPr>
            <w:r>
              <w:rPr>
                <w:rFonts w:hint="eastAsia" w:ascii="宋体" w:hAnsi="宋体" w:cs="宋体"/>
              </w:rPr>
              <w:t>1)</w:t>
            </w:r>
            <w:r>
              <w:rPr>
                <w:rFonts w:hint="eastAsia" w:ascii="宋体" w:hAnsi="宋体" w:cs="宋体"/>
              </w:rPr>
              <w:tab/>
            </w:r>
            <w:r>
              <w:rPr>
                <w:rFonts w:hint="eastAsia" w:ascii="宋体" w:hAnsi="宋体" w:cs="宋体"/>
              </w:rPr>
              <w:t>按科室统计分析：包括科室名称、科室总处方数、抽样处方数、处方抽样率、点评记录总数、点评记录数（不合理）、点评记录数（合理）、点评记录不合理率。</w:t>
            </w:r>
          </w:p>
          <w:p w14:paraId="56886D5B">
            <w:pPr>
              <w:spacing w:line="360" w:lineRule="auto"/>
              <w:rPr>
                <w:rFonts w:ascii="宋体" w:hAnsi="宋体" w:cs="宋体"/>
              </w:rPr>
            </w:pPr>
            <w:r>
              <w:rPr>
                <w:rFonts w:hint="eastAsia" w:ascii="宋体" w:hAnsi="宋体" w:cs="宋体"/>
              </w:rPr>
              <w:t>2)</w:t>
            </w:r>
            <w:r>
              <w:rPr>
                <w:rFonts w:hint="eastAsia" w:ascii="宋体" w:hAnsi="宋体" w:cs="宋体"/>
              </w:rPr>
              <w:tab/>
            </w:r>
            <w:r>
              <w:rPr>
                <w:rFonts w:hint="eastAsia" w:ascii="宋体" w:hAnsi="宋体" w:cs="宋体"/>
              </w:rPr>
              <w:t>按医生统计分析：包括医生所属科室、医生姓名、医生总处方数、抽样处方数、处方抽样率、点评记录总数、点评记录数（不合理）、点评记录数（合理）、点评记录不合理率。</w:t>
            </w:r>
          </w:p>
          <w:p w14:paraId="3F37EBD1">
            <w:pPr>
              <w:spacing w:line="360" w:lineRule="auto"/>
              <w:rPr>
                <w:rFonts w:ascii="宋体" w:hAnsi="宋体" w:cs="宋体"/>
              </w:rPr>
            </w:pPr>
            <w:r>
              <w:rPr>
                <w:rFonts w:hint="eastAsia" w:ascii="宋体" w:hAnsi="宋体" w:cs="宋体"/>
              </w:rPr>
              <w:t>3)</w:t>
            </w:r>
            <w:r>
              <w:rPr>
                <w:rFonts w:hint="eastAsia" w:ascii="宋体" w:hAnsi="宋体" w:cs="宋体"/>
              </w:rPr>
              <w:tab/>
            </w:r>
            <w:r>
              <w:rPr>
                <w:rFonts w:hint="eastAsia" w:ascii="宋体" w:hAnsi="宋体" w:cs="宋体"/>
              </w:rPr>
              <w:t>按问题点统计分析：包括问题点分类、问题点代码、问题点标题、医院处方总数、触发问题的处方数、问题处方占比、点评记录总数、触发问题的记录点评数、点评记录触发问题率。</w:t>
            </w:r>
          </w:p>
          <w:p w14:paraId="30425910">
            <w:pPr>
              <w:spacing w:line="360" w:lineRule="auto"/>
              <w:rPr>
                <w:rFonts w:ascii="宋体" w:hAnsi="宋体" w:cs="宋体"/>
              </w:rPr>
            </w:pPr>
            <w:r>
              <w:rPr>
                <w:rFonts w:hint="eastAsia" w:ascii="宋体" w:hAnsi="宋体" w:cs="宋体"/>
              </w:rPr>
              <w:t>4)</w:t>
            </w:r>
            <w:r>
              <w:rPr>
                <w:rFonts w:hint="eastAsia" w:ascii="宋体" w:hAnsi="宋体" w:cs="宋体"/>
              </w:rPr>
              <w:tab/>
            </w:r>
            <w:r>
              <w:rPr>
                <w:rFonts w:hint="eastAsia" w:ascii="宋体" w:hAnsi="宋体" w:cs="宋体"/>
              </w:rPr>
              <w:t>要药品统计分析：包括药品名称、总处方数、抽样处方数、处方抽样率、点评记录总数、点评记录数（不合理）、点评记录数（合理）、点评记录不合理率。</w:t>
            </w:r>
          </w:p>
          <w:p w14:paraId="4B2DFED5">
            <w:pPr>
              <w:spacing w:line="360" w:lineRule="auto"/>
              <w:rPr>
                <w:rFonts w:ascii="宋体" w:hAnsi="宋体" w:cs="宋体"/>
                <w:kern w:val="0"/>
                <w:szCs w:val="21"/>
              </w:rPr>
            </w:pPr>
            <w:r>
              <w:rPr>
                <w:rFonts w:hint="eastAsia" w:ascii="宋体" w:hAnsi="宋体" w:cs="宋体"/>
              </w:rPr>
              <w:t>5)</w:t>
            </w:r>
            <w:r>
              <w:rPr>
                <w:rFonts w:hint="eastAsia" w:ascii="宋体" w:hAnsi="宋体" w:cs="宋体"/>
              </w:rPr>
              <w:tab/>
            </w:r>
            <w:r>
              <w:rPr>
                <w:rFonts w:hint="eastAsia" w:ascii="宋体" w:hAnsi="宋体" w:cs="宋体"/>
              </w:rPr>
              <w:t>按药师统计分析：包括药师姓名、分配点评任务数、未点评任务数、已点评任务数、点评任务完成率、已点评任务数（不合理）、已点评任务数（合理）、点评任务不合理率。</w:t>
            </w:r>
          </w:p>
        </w:tc>
      </w:tr>
      <w:tr w14:paraId="0598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242" w:type="dxa"/>
            <w:vAlign w:val="center"/>
          </w:tcPr>
          <w:p w14:paraId="7ADCCAD3">
            <w:pPr>
              <w:widowControl/>
              <w:jc w:val="left"/>
              <w:rPr>
                <w:rFonts w:ascii="宋体" w:hAnsi="宋体" w:cs="宋体"/>
                <w:kern w:val="0"/>
                <w:szCs w:val="21"/>
              </w:rPr>
            </w:pPr>
          </w:p>
        </w:tc>
        <w:tc>
          <w:tcPr>
            <w:tcW w:w="2127" w:type="dxa"/>
            <w:vAlign w:val="center"/>
          </w:tcPr>
          <w:p w14:paraId="61678B13">
            <w:pPr>
              <w:numPr>
                <w:ilvl w:val="2"/>
                <w:numId w:val="0"/>
              </w:numPr>
              <w:rPr>
                <w:rFonts w:ascii="宋体" w:hAnsi="宋体" w:cs="宋体"/>
                <w:szCs w:val="21"/>
              </w:rPr>
            </w:pPr>
            <w:r>
              <w:rPr>
                <w:rFonts w:hint="eastAsia" w:ascii="宋体" w:hAnsi="宋体" w:cs="宋体"/>
                <w:szCs w:val="21"/>
              </w:rPr>
              <w:t>11.3.2点评功能其他需求</w:t>
            </w:r>
          </w:p>
        </w:tc>
        <w:tc>
          <w:tcPr>
            <w:tcW w:w="10807" w:type="dxa"/>
            <w:vAlign w:val="center"/>
          </w:tcPr>
          <w:p w14:paraId="08B8924C">
            <w:pPr>
              <w:spacing w:line="360" w:lineRule="auto"/>
              <w:rPr>
                <w:rFonts w:ascii="宋体" w:hAnsi="宋体" w:cs="宋体"/>
              </w:rPr>
            </w:pPr>
            <w:r>
              <w:rPr>
                <w:rFonts w:hint="eastAsia" w:ascii="宋体" w:hAnsi="宋体" w:cs="宋体"/>
                <w:szCs w:val="21"/>
              </w:rPr>
              <w:t>系统应支持并满足电子病历六级及以上，和智慧服务三级及以上的评审需求。</w:t>
            </w:r>
          </w:p>
        </w:tc>
      </w:tr>
    </w:tbl>
    <w:p w14:paraId="475A7F1D">
      <w:pPr>
        <w:spacing w:line="360" w:lineRule="auto"/>
        <w:rPr>
          <w:rFonts w:ascii="宋体" w:hAnsi="宋体" w:cs="宋体"/>
        </w:rPr>
      </w:pPr>
      <w:r>
        <w:rPr>
          <w:rFonts w:hint="eastAsia" w:ascii="宋体" w:hAnsi="宋体" w:cs="宋体"/>
        </w:rPr>
        <w:t>1.12 静配系统</w:t>
      </w:r>
    </w:p>
    <w:tbl>
      <w:tblPr>
        <w:tblStyle w:val="12"/>
        <w:tblW w:w="13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2"/>
        <w:gridCol w:w="12005"/>
      </w:tblGrid>
      <w:tr w14:paraId="28882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686" w:type="dxa"/>
            <w:vAlign w:val="center"/>
          </w:tcPr>
          <w:p w14:paraId="4A21D328">
            <w:pPr>
              <w:numPr>
                <w:ilvl w:val="2"/>
                <w:numId w:val="0"/>
              </w:numPr>
              <w:rPr>
                <w:rFonts w:ascii="宋体" w:hAnsi="宋体" w:cs="宋体"/>
                <w:kern w:val="0"/>
                <w:szCs w:val="21"/>
              </w:rPr>
            </w:pPr>
            <w:r>
              <w:rPr>
                <w:rFonts w:hint="eastAsia" w:ascii="宋体" w:hAnsi="宋体" w:cs="宋体"/>
                <w:kern w:val="0"/>
                <w:szCs w:val="21"/>
              </w:rPr>
              <w:t>12.1.1静配系统</w:t>
            </w:r>
          </w:p>
        </w:tc>
        <w:tc>
          <w:tcPr>
            <w:tcW w:w="10815" w:type="dxa"/>
            <w:vAlign w:val="center"/>
          </w:tcPr>
          <w:p w14:paraId="404B70DC">
            <w:pPr>
              <w:tabs>
                <w:tab w:val="left" w:pos="525"/>
                <w:tab w:val="left" w:pos="630"/>
              </w:tabs>
              <w:spacing w:line="360" w:lineRule="auto"/>
              <w:rPr>
                <w:rFonts w:ascii="宋体" w:hAnsi="宋体" w:cs="宋体"/>
                <w:bCs/>
                <w:szCs w:val="21"/>
              </w:rPr>
            </w:pPr>
            <w:r>
              <w:rPr>
                <w:rFonts w:hint="eastAsia" w:ascii="宋体" w:hAnsi="宋体" w:cs="宋体"/>
                <w:bCs/>
                <w:szCs w:val="21"/>
              </w:rPr>
              <w:t>HIS 提供接口</w:t>
            </w:r>
          </w:p>
          <w:p w14:paraId="652EA97F">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静脉用药医嘱接口：向静配系统推送静脉用药医嘱，包括药品名称、剂量、用法、用药时间，支持按科室、患者类型筛选，确保医嘱准确传递。增加推送抗菌药物皮试结果，由HIS提供视图，PIVAS调用。</w:t>
            </w:r>
          </w:p>
          <w:p w14:paraId="40D34449">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患者基本信息接口：提供患者年龄、性别、过敏史等基本信息，辅助静配系统进行药物配伍禁忌审核与用药安全评估。</w:t>
            </w:r>
          </w:p>
          <w:p w14:paraId="6BC47237">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科室信息与配送需求接口：提供各科室信息及药品配送时间、地点，静配系统根据需求安排药品配置与配送计划，HIS 系统实时跟踪配送状态。</w:t>
            </w:r>
          </w:p>
          <w:p w14:paraId="50508FB2">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药品库存与价格接口：共享药品库存数量、有效期、单价，静配系统可据此进行药品库存管理与成本核算。</w:t>
            </w:r>
          </w:p>
          <w:p w14:paraId="04CF1796">
            <w:pPr>
              <w:tabs>
                <w:tab w:val="left" w:pos="525"/>
                <w:tab w:val="left" w:pos="630"/>
              </w:tabs>
              <w:spacing w:line="360" w:lineRule="auto"/>
              <w:rPr>
                <w:rFonts w:ascii="宋体" w:hAnsi="宋体" w:cs="宋体"/>
                <w:bCs/>
                <w:szCs w:val="21"/>
              </w:rPr>
            </w:pPr>
            <w:r>
              <w:rPr>
                <w:rFonts w:hint="eastAsia" w:ascii="宋体" w:hAnsi="宋体" w:cs="宋体"/>
                <w:bCs/>
                <w:szCs w:val="21"/>
              </w:rPr>
              <w:t>静配系统提供接口</w:t>
            </w:r>
          </w:p>
          <w:p w14:paraId="38844835">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静配批次信息接口：将药品配置批次信息，如批次号、配置时间、配置人员同步至 HIS 系统，便于追溯药品配置过程，保障用药安全。</w:t>
            </w:r>
          </w:p>
          <w:p w14:paraId="1F98F9DC">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药品消耗与库存接口：实时反馈药品消耗数量、剩余库存，HIS 系统根据消耗情况及时补充药品库存，确保临床用药需求。</w:t>
            </w:r>
          </w:p>
          <w:p w14:paraId="584B6A76">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配置过程监控接口：将药品配置过程中的关键环节信息，如药品核对、配置操作、质量检查同步至 HIS 系统，实现配置过程透明化管理。</w:t>
            </w:r>
          </w:p>
          <w:p w14:paraId="30A08573">
            <w:pPr>
              <w:numPr>
                <w:ilvl w:val="0"/>
                <w:numId w:val="1"/>
              </w:numPr>
              <w:tabs>
                <w:tab w:val="left" w:pos="525"/>
                <w:tab w:val="left" w:pos="630"/>
              </w:tabs>
              <w:spacing w:line="360" w:lineRule="auto"/>
              <w:rPr>
                <w:rFonts w:ascii="宋体" w:hAnsi="宋体" w:cs="宋体"/>
                <w:bCs/>
                <w:szCs w:val="21"/>
              </w:rPr>
            </w:pPr>
            <w:r>
              <w:rPr>
                <w:rFonts w:hint="eastAsia" w:ascii="宋体" w:hAnsi="宋体" w:cs="宋体"/>
                <w:bCs/>
                <w:szCs w:val="21"/>
              </w:rPr>
              <w:t>成品输液配送接口：推送成品输液的配送信息，如配送时间、送达科室、签收人员，HIS 系统更新患者用药状态，确保药品及时准确送达患者。</w:t>
            </w:r>
          </w:p>
          <w:p w14:paraId="08FDBD13">
            <w:pPr>
              <w:numPr>
                <w:ilvl w:val="0"/>
                <w:numId w:val="2"/>
              </w:numPr>
              <w:tabs>
                <w:tab w:val="left" w:pos="525"/>
                <w:tab w:val="left" w:pos="630"/>
              </w:tabs>
              <w:spacing w:line="360" w:lineRule="auto"/>
              <w:rPr>
                <w:rFonts w:ascii="宋体" w:hAnsi="宋体" w:cs="宋体"/>
                <w:bCs/>
                <w:szCs w:val="21"/>
              </w:rPr>
            </w:pPr>
            <w:r>
              <w:rPr>
                <w:rFonts w:hint="eastAsia" w:ascii="宋体" w:hAnsi="宋体" w:cs="宋体"/>
                <w:bCs/>
                <w:szCs w:val="21"/>
              </w:rPr>
              <w:t>增加审方交互业务：通过系统直接退回不合理医嘱至HIS医生工作站及护理工作站，以信息化技术保留退回、展示，以及医生重签名过程。</w:t>
            </w:r>
          </w:p>
          <w:p w14:paraId="06FDB7BD">
            <w:pPr>
              <w:numPr>
                <w:ilvl w:val="0"/>
                <w:numId w:val="2"/>
              </w:numPr>
              <w:tabs>
                <w:tab w:val="left" w:pos="525"/>
                <w:tab w:val="left" w:pos="630"/>
              </w:tabs>
              <w:spacing w:line="360" w:lineRule="auto"/>
              <w:rPr>
                <w:rFonts w:ascii="宋体" w:hAnsi="宋体" w:cs="宋体"/>
                <w:bCs/>
                <w:szCs w:val="21"/>
              </w:rPr>
            </w:pPr>
            <w:r>
              <w:rPr>
                <w:rFonts w:hint="eastAsia" w:ascii="宋体" w:hAnsi="宋体" w:cs="宋体"/>
                <w:bCs/>
                <w:szCs w:val="21"/>
              </w:rPr>
              <w:t>增加移动端登入静配系统功能，部分功能如：审方，可通过移动端实现远程审方操作。</w:t>
            </w:r>
          </w:p>
          <w:p w14:paraId="702B6350">
            <w:pPr>
              <w:tabs>
                <w:tab w:val="left" w:pos="525"/>
                <w:tab w:val="left" w:pos="630"/>
              </w:tabs>
              <w:spacing w:line="360" w:lineRule="auto"/>
              <w:rPr>
                <w:rFonts w:ascii="宋体" w:hAnsi="宋体" w:cs="宋体"/>
                <w:bCs/>
                <w:szCs w:val="21"/>
              </w:rPr>
            </w:pPr>
            <w:r>
              <w:rPr>
                <w:rFonts w:hint="eastAsia" w:ascii="宋体" w:hAnsi="宋体" w:cs="宋体"/>
                <w:bCs/>
                <w:szCs w:val="21"/>
              </w:rPr>
              <w:t>审方交互接口：</w:t>
            </w:r>
          </w:p>
          <w:p w14:paraId="31E62FDC">
            <w:pPr>
              <w:numPr>
                <w:ilvl w:val="0"/>
                <w:numId w:val="3"/>
              </w:numPr>
              <w:rPr>
                <w:rFonts w:ascii="宋体" w:hAnsi="宋体" w:cs="宋体"/>
                <w:b/>
              </w:rPr>
            </w:pPr>
            <w:r>
              <w:rPr>
                <w:rFonts w:hint="eastAsia" w:ascii="宋体" w:hAnsi="宋体" w:cs="宋体"/>
                <w:b/>
              </w:rPr>
              <w:t>建立医嘱退回交互中间表：</w:t>
            </w:r>
          </w:p>
          <w:p w14:paraId="3FDD1F47">
            <w:pPr>
              <w:numPr>
                <w:ilvl w:val="0"/>
                <w:numId w:val="4"/>
              </w:numPr>
              <w:rPr>
                <w:rFonts w:ascii="宋体" w:hAnsi="宋体" w:cs="宋体"/>
              </w:rPr>
            </w:pPr>
            <w:r>
              <w:rPr>
                <w:rFonts w:hint="eastAsia" w:ascii="宋体" w:hAnsi="宋体" w:cs="宋体"/>
              </w:rPr>
              <w:t>HIS系统增加医嘱审查中间表，记录PIVAS退回的不合理医嘱信息</w:t>
            </w:r>
          </w:p>
          <w:p w14:paraId="78564F73">
            <w:pPr>
              <w:numPr>
                <w:ilvl w:val="0"/>
                <w:numId w:val="4"/>
              </w:numPr>
              <w:rPr>
                <w:rFonts w:ascii="宋体" w:hAnsi="宋体" w:cs="宋体"/>
              </w:rPr>
            </w:pPr>
            <w:r>
              <w:rPr>
                <w:rFonts w:hint="eastAsia" w:ascii="宋体" w:hAnsi="宋体" w:cs="宋体"/>
              </w:rPr>
              <w:t>HIS为了保持表结构命名规则一致性，表名与字段名由HIS命名</w:t>
            </w:r>
          </w:p>
          <w:tbl>
            <w:tblPr>
              <w:tblStyle w:val="12"/>
              <w:tblW w:w="7988" w:type="dxa"/>
              <w:tblInd w:w="534" w:type="dxa"/>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Layout w:type="autofit"/>
              <w:tblCellMar>
                <w:top w:w="0" w:type="dxa"/>
                <w:left w:w="108" w:type="dxa"/>
                <w:bottom w:w="0" w:type="dxa"/>
                <w:right w:w="108" w:type="dxa"/>
              </w:tblCellMar>
            </w:tblPr>
            <w:tblGrid>
              <w:gridCol w:w="708"/>
              <w:gridCol w:w="2615"/>
              <w:gridCol w:w="1440"/>
              <w:gridCol w:w="3225"/>
            </w:tblGrid>
            <w:tr w14:paraId="79187A8F">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shd w:val="clear" w:color="auto" w:fill="4BACC6"/>
                </w:tcPr>
                <w:p w14:paraId="21475381">
                  <w:pPr>
                    <w:jc w:val="center"/>
                    <w:rPr>
                      <w:rFonts w:ascii="宋体" w:hAnsi="宋体" w:cs="宋体"/>
                      <w:b/>
                      <w:bCs/>
                      <w:color w:val="FFFFFF"/>
                      <w:szCs w:val="21"/>
                    </w:rPr>
                  </w:pPr>
                  <w:r>
                    <w:rPr>
                      <w:rFonts w:hint="eastAsia" w:ascii="宋体" w:hAnsi="宋体" w:cs="宋体"/>
                      <w:b/>
                      <w:bCs/>
                      <w:color w:val="FFFFFF"/>
                      <w:szCs w:val="21"/>
                    </w:rPr>
                    <w:t>序号</w:t>
                  </w:r>
                </w:p>
              </w:tc>
              <w:tc>
                <w:tcPr>
                  <w:tcW w:w="2615" w:type="dxa"/>
                  <w:shd w:val="clear" w:color="auto" w:fill="4BACC6"/>
                </w:tcPr>
                <w:p w14:paraId="3E5FAABD">
                  <w:pPr>
                    <w:jc w:val="center"/>
                    <w:rPr>
                      <w:rFonts w:ascii="宋体" w:hAnsi="宋体" w:cs="宋体"/>
                      <w:b/>
                      <w:bCs/>
                      <w:color w:val="FFFFFF"/>
                      <w:szCs w:val="21"/>
                    </w:rPr>
                  </w:pPr>
                  <w:r>
                    <w:rPr>
                      <w:rFonts w:hint="eastAsia" w:ascii="宋体" w:hAnsi="宋体" w:cs="宋体"/>
                      <w:b/>
                      <w:bCs/>
                      <w:color w:val="FFFFFF"/>
                      <w:szCs w:val="21"/>
                    </w:rPr>
                    <w:t>字段名称</w:t>
                  </w:r>
                </w:p>
              </w:tc>
              <w:tc>
                <w:tcPr>
                  <w:tcW w:w="1440" w:type="dxa"/>
                  <w:shd w:val="clear" w:color="auto" w:fill="4BACC6"/>
                </w:tcPr>
                <w:p w14:paraId="00D8CD7D">
                  <w:pPr>
                    <w:jc w:val="center"/>
                    <w:rPr>
                      <w:rFonts w:ascii="宋体" w:hAnsi="宋体" w:cs="宋体"/>
                      <w:b/>
                      <w:bCs/>
                      <w:color w:val="FFFFFF"/>
                      <w:szCs w:val="21"/>
                    </w:rPr>
                  </w:pPr>
                  <w:r>
                    <w:rPr>
                      <w:rFonts w:hint="eastAsia" w:ascii="宋体" w:hAnsi="宋体" w:cs="宋体"/>
                      <w:b/>
                      <w:bCs/>
                      <w:color w:val="FFFFFF"/>
                      <w:szCs w:val="21"/>
                    </w:rPr>
                    <w:t>中文名称</w:t>
                  </w:r>
                </w:p>
              </w:tc>
              <w:tc>
                <w:tcPr>
                  <w:tcW w:w="3225" w:type="dxa"/>
                  <w:shd w:val="clear" w:color="auto" w:fill="4BACC6"/>
                </w:tcPr>
                <w:p w14:paraId="77E76CB6">
                  <w:pPr>
                    <w:jc w:val="center"/>
                    <w:rPr>
                      <w:rFonts w:ascii="宋体" w:hAnsi="宋体" w:cs="宋体"/>
                      <w:b/>
                      <w:bCs/>
                      <w:color w:val="FFFFFF"/>
                      <w:szCs w:val="21"/>
                    </w:rPr>
                  </w:pPr>
                  <w:r>
                    <w:rPr>
                      <w:rFonts w:hint="eastAsia" w:ascii="宋体" w:hAnsi="宋体" w:cs="宋体"/>
                      <w:b/>
                      <w:bCs/>
                      <w:color w:val="FFFFFF"/>
                      <w:szCs w:val="21"/>
                    </w:rPr>
                    <w:t>备注</w:t>
                  </w:r>
                </w:p>
              </w:tc>
            </w:tr>
            <w:tr w14:paraId="42E443A0">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71C126E3">
                  <w:pPr>
                    <w:jc w:val="center"/>
                    <w:rPr>
                      <w:rFonts w:ascii="宋体" w:hAnsi="宋体" w:cs="宋体"/>
                      <w:bCs/>
                      <w:szCs w:val="21"/>
                    </w:rPr>
                  </w:pPr>
                  <w:r>
                    <w:rPr>
                      <w:rFonts w:hint="eastAsia" w:ascii="宋体" w:hAnsi="宋体" w:cs="宋体"/>
                      <w:bCs/>
                      <w:szCs w:val="21"/>
                    </w:rPr>
                    <w:t>1</w:t>
                  </w:r>
                </w:p>
              </w:tc>
              <w:tc>
                <w:tcPr>
                  <w:tcW w:w="2615" w:type="dxa"/>
                </w:tcPr>
                <w:p w14:paraId="530B83C2">
                  <w:pPr>
                    <w:rPr>
                      <w:rFonts w:ascii="宋体" w:hAnsi="宋体" w:cs="宋体"/>
                      <w:bCs/>
                      <w:szCs w:val="21"/>
                    </w:rPr>
                  </w:pPr>
                  <w:r>
                    <w:rPr>
                      <w:rFonts w:hint="eastAsia" w:ascii="宋体" w:hAnsi="宋体" w:cs="宋体"/>
                      <w:bCs/>
                      <w:szCs w:val="21"/>
                    </w:rPr>
                    <w:t>Patient_id</w:t>
                  </w:r>
                </w:p>
              </w:tc>
              <w:tc>
                <w:tcPr>
                  <w:tcW w:w="1440" w:type="dxa"/>
                </w:tcPr>
                <w:p w14:paraId="47531B5A">
                  <w:pPr>
                    <w:rPr>
                      <w:rFonts w:ascii="宋体" w:hAnsi="宋体" w:cs="宋体"/>
                      <w:bCs/>
                      <w:szCs w:val="21"/>
                    </w:rPr>
                  </w:pPr>
                  <w:r>
                    <w:rPr>
                      <w:rFonts w:hint="eastAsia" w:ascii="宋体" w:hAnsi="宋体" w:cs="宋体"/>
                    </w:rPr>
                    <w:t>病人ID</w:t>
                  </w:r>
                </w:p>
              </w:tc>
              <w:tc>
                <w:tcPr>
                  <w:tcW w:w="3225" w:type="dxa"/>
                </w:tcPr>
                <w:p w14:paraId="1134ADF5">
                  <w:pPr>
                    <w:rPr>
                      <w:rFonts w:ascii="宋体" w:hAnsi="宋体" w:cs="宋体"/>
                      <w:bCs/>
                      <w:szCs w:val="21"/>
                    </w:rPr>
                  </w:pPr>
                  <w:r>
                    <w:rPr>
                      <w:rFonts w:hint="eastAsia" w:ascii="宋体" w:hAnsi="宋体" w:cs="宋体"/>
                      <w:bCs/>
                      <w:szCs w:val="21"/>
                    </w:rPr>
                    <w:t>HIS病人编码。</w:t>
                  </w:r>
                </w:p>
              </w:tc>
            </w:tr>
            <w:tr w14:paraId="37752883">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65D58965">
                  <w:pPr>
                    <w:jc w:val="center"/>
                    <w:rPr>
                      <w:rFonts w:ascii="宋体" w:hAnsi="宋体" w:cs="宋体"/>
                      <w:bCs/>
                      <w:szCs w:val="21"/>
                    </w:rPr>
                  </w:pPr>
                  <w:r>
                    <w:rPr>
                      <w:rFonts w:hint="eastAsia" w:ascii="宋体" w:hAnsi="宋体" w:cs="宋体"/>
                      <w:bCs/>
                      <w:szCs w:val="21"/>
                    </w:rPr>
                    <w:t>2</w:t>
                  </w:r>
                </w:p>
              </w:tc>
              <w:tc>
                <w:tcPr>
                  <w:tcW w:w="2615" w:type="dxa"/>
                </w:tcPr>
                <w:p w14:paraId="3D3A7B79">
                  <w:pPr>
                    <w:rPr>
                      <w:rFonts w:ascii="宋体" w:hAnsi="宋体" w:cs="宋体"/>
                      <w:bCs/>
                      <w:szCs w:val="21"/>
                    </w:rPr>
                  </w:pPr>
                  <w:r>
                    <w:rPr>
                      <w:rFonts w:hint="eastAsia" w:ascii="宋体" w:hAnsi="宋体" w:cs="宋体"/>
                      <w:bCs/>
                      <w:szCs w:val="21"/>
                    </w:rPr>
                    <w:t>Visit_id</w:t>
                  </w:r>
                </w:p>
              </w:tc>
              <w:tc>
                <w:tcPr>
                  <w:tcW w:w="1440" w:type="dxa"/>
                </w:tcPr>
                <w:p w14:paraId="18416485">
                  <w:pPr>
                    <w:rPr>
                      <w:rFonts w:ascii="宋体" w:hAnsi="宋体" w:cs="宋体"/>
                      <w:bCs/>
                      <w:szCs w:val="21"/>
                    </w:rPr>
                  </w:pPr>
                  <w:r>
                    <w:rPr>
                      <w:rFonts w:hint="eastAsia" w:ascii="宋体" w:hAnsi="宋体" w:cs="宋体"/>
                    </w:rPr>
                    <w:t>住院次数</w:t>
                  </w:r>
                </w:p>
              </w:tc>
              <w:tc>
                <w:tcPr>
                  <w:tcW w:w="3225" w:type="dxa"/>
                </w:tcPr>
                <w:p w14:paraId="16869624">
                  <w:pPr>
                    <w:rPr>
                      <w:rFonts w:ascii="宋体" w:hAnsi="宋体" w:cs="宋体"/>
                      <w:bCs/>
                      <w:szCs w:val="21"/>
                    </w:rPr>
                  </w:pPr>
                  <w:r>
                    <w:rPr>
                      <w:rFonts w:hint="eastAsia" w:ascii="宋体" w:hAnsi="宋体" w:cs="宋体"/>
                      <w:bCs/>
                      <w:szCs w:val="21"/>
                    </w:rPr>
                    <w:t>病人本次住院标识</w:t>
                  </w:r>
                </w:p>
              </w:tc>
            </w:tr>
            <w:tr w14:paraId="685CF090">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586743B8">
                  <w:pPr>
                    <w:jc w:val="center"/>
                    <w:rPr>
                      <w:rFonts w:ascii="宋体" w:hAnsi="宋体" w:cs="宋体"/>
                      <w:bCs/>
                      <w:szCs w:val="21"/>
                    </w:rPr>
                  </w:pPr>
                  <w:r>
                    <w:rPr>
                      <w:rFonts w:hint="eastAsia" w:ascii="宋体" w:hAnsi="宋体" w:cs="宋体"/>
                      <w:bCs/>
                      <w:szCs w:val="21"/>
                    </w:rPr>
                    <w:t>3</w:t>
                  </w:r>
                </w:p>
              </w:tc>
              <w:tc>
                <w:tcPr>
                  <w:tcW w:w="2615" w:type="dxa"/>
                </w:tcPr>
                <w:p w14:paraId="648D43D1">
                  <w:pPr>
                    <w:rPr>
                      <w:rFonts w:ascii="宋体" w:hAnsi="宋体" w:cs="宋体"/>
                      <w:bCs/>
                      <w:szCs w:val="21"/>
                    </w:rPr>
                  </w:pPr>
                  <w:r>
                    <w:rPr>
                      <w:rFonts w:hint="eastAsia" w:ascii="宋体" w:hAnsi="宋体" w:cs="宋体"/>
                      <w:bCs/>
                      <w:szCs w:val="21"/>
                    </w:rPr>
                    <w:t>Order_no</w:t>
                  </w:r>
                </w:p>
              </w:tc>
              <w:tc>
                <w:tcPr>
                  <w:tcW w:w="1440" w:type="dxa"/>
                </w:tcPr>
                <w:p w14:paraId="2E716CE2">
                  <w:pPr>
                    <w:rPr>
                      <w:rFonts w:ascii="宋体" w:hAnsi="宋体" w:cs="宋体"/>
                      <w:bCs/>
                      <w:szCs w:val="21"/>
                    </w:rPr>
                  </w:pPr>
                  <w:r>
                    <w:rPr>
                      <w:rFonts w:hint="eastAsia" w:ascii="宋体" w:hAnsi="宋体" w:cs="宋体"/>
                    </w:rPr>
                    <w:t>医嘱组号</w:t>
                  </w:r>
                </w:p>
              </w:tc>
              <w:tc>
                <w:tcPr>
                  <w:tcW w:w="3225" w:type="dxa"/>
                </w:tcPr>
                <w:p w14:paraId="1B7E6BC2">
                  <w:pPr>
                    <w:rPr>
                      <w:rFonts w:ascii="宋体" w:hAnsi="宋体" w:cs="宋体"/>
                      <w:bCs/>
                      <w:szCs w:val="21"/>
                    </w:rPr>
                  </w:pPr>
                  <w:r>
                    <w:rPr>
                      <w:rFonts w:hint="eastAsia" w:ascii="宋体" w:hAnsi="宋体" w:cs="宋体"/>
                      <w:bCs/>
                      <w:szCs w:val="21"/>
                    </w:rPr>
                    <w:t>医嘱组合号</w:t>
                  </w:r>
                </w:p>
              </w:tc>
            </w:tr>
            <w:tr w14:paraId="03F5AD83">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10CA55A3">
                  <w:pPr>
                    <w:jc w:val="center"/>
                    <w:rPr>
                      <w:rFonts w:ascii="宋体" w:hAnsi="宋体" w:cs="宋体"/>
                      <w:bCs/>
                      <w:szCs w:val="21"/>
                    </w:rPr>
                  </w:pPr>
                  <w:r>
                    <w:rPr>
                      <w:rFonts w:hint="eastAsia" w:ascii="宋体" w:hAnsi="宋体" w:cs="宋体"/>
                      <w:bCs/>
                      <w:szCs w:val="21"/>
                    </w:rPr>
                    <w:t>4</w:t>
                  </w:r>
                </w:p>
              </w:tc>
              <w:tc>
                <w:tcPr>
                  <w:tcW w:w="2615" w:type="dxa"/>
                </w:tcPr>
                <w:p w14:paraId="01C25B9B">
                  <w:pPr>
                    <w:rPr>
                      <w:rFonts w:ascii="宋体" w:hAnsi="宋体" w:cs="宋体"/>
                      <w:bCs/>
                      <w:szCs w:val="21"/>
                    </w:rPr>
                  </w:pPr>
                  <w:r>
                    <w:rPr>
                      <w:rFonts w:hint="eastAsia" w:ascii="宋体" w:hAnsi="宋体" w:cs="宋体"/>
                      <w:bCs/>
                      <w:szCs w:val="21"/>
                    </w:rPr>
                    <w:t>Back_reason</w:t>
                  </w:r>
                </w:p>
              </w:tc>
              <w:tc>
                <w:tcPr>
                  <w:tcW w:w="1440" w:type="dxa"/>
                </w:tcPr>
                <w:p w14:paraId="74F4CED4">
                  <w:pPr>
                    <w:rPr>
                      <w:rFonts w:ascii="宋体" w:hAnsi="宋体" w:cs="宋体"/>
                      <w:bCs/>
                      <w:szCs w:val="21"/>
                    </w:rPr>
                  </w:pPr>
                  <w:r>
                    <w:rPr>
                      <w:rFonts w:hint="eastAsia" w:ascii="宋体" w:hAnsi="宋体" w:cs="宋体"/>
                    </w:rPr>
                    <w:t>退回原因</w:t>
                  </w:r>
                </w:p>
              </w:tc>
              <w:tc>
                <w:tcPr>
                  <w:tcW w:w="3225" w:type="dxa"/>
                </w:tcPr>
                <w:p w14:paraId="1DAA60DD">
                  <w:pPr>
                    <w:rPr>
                      <w:rFonts w:ascii="宋体" w:hAnsi="宋体" w:cs="宋体"/>
                      <w:bCs/>
                      <w:szCs w:val="21"/>
                    </w:rPr>
                  </w:pPr>
                  <w:r>
                    <w:rPr>
                      <w:rFonts w:hint="eastAsia" w:ascii="宋体" w:hAnsi="宋体" w:cs="宋体"/>
                      <w:bCs/>
                      <w:szCs w:val="21"/>
                    </w:rPr>
                    <w:t>医嘱退回原因</w:t>
                  </w:r>
                </w:p>
              </w:tc>
            </w:tr>
            <w:tr w14:paraId="3AB127DD">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5234038F">
                  <w:pPr>
                    <w:jc w:val="center"/>
                    <w:rPr>
                      <w:rFonts w:ascii="宋体" w:hAnsi="宋体" w:cs="宋体"/>
                      <w:bCs/>
                      <w:szCs w:val="21"/>
                    </w:rPr>
                  </w:pPr>
                  <w:r>
                    <w:rPr>
                      <w:rFonts w:hint="eastAsia" w:ascii="宋体" w:hAnsi="宋体" w:cs="宋体"/>
                      <w:bCs/>
                      <w:szCs w:val="21"/>
                    </w:rPr>
                    <w:t>5</w:t>
                  </w:r>
                </w:p>
              </w:tc>
              <w:tc>
                <w:tcPr>
                  <w:tcW w:w="2615" w:type="dxa"/>
                </w:tcPr>
                <w:p w14:paraId="735715DE">
                  <w:pPr>
                    <w:rPr>
                      <w:rFonts w:ascii="宋体" w:hAnsi="宋体" w:cs="宋体"/>
                      <w:bCs/>
                      <w:szCs w:val="21"/>
                    </w:rPr>
                  </w:pPr>
                  <w:r>
                    <w:rPr>
                      <w:rFonts w:hint="eastAsia" w:ascii="宋体" w:hAnsi="宋体" w:cs="宋体"/>
                      <w:bCs/>
                      <w:szCs w:val="21"/>
                    </w:rPr>
                    <w:t>Back_pharmacist</w:t>
                  </w:r>
                </w:p>
              </w:tc>
              <w:tc>
                <w:tcPr>
                  <w:tcW w:w="1440" w:type="dxa"/>
                </w:tcPr>
                <w:p w14:paraId="0433C917">
                  <w:pPr>
                    <w:rPr>
                      <w:rFonts w:ascii="宋体" w:hAnsi="宋体" w:cs="宋体"/>
                      <w:bCs/>
                      <w:szCs w:val="21"/>
                    </w:rPr>
                  </w:pPr>
                  <w:r>
                    <w:rPr>
                      <w:rFonts w:hint="eastAsia" w:ascii="宋体" w:hAnsi="宋体" w:cs="宋体"/>
                    </w:rPr>
                    <w:t>审查药师</w:t>
                  </w:r>
                </w:p>
              </w:tc>
              <w:tc>
                <w:tcPr>
                  <w:tcW w:w="3225" w:type="dxa"/>
                </w:tcPr>
                <w:p w14:paraId="5CAD572E">
                  <w:pPr>
                    <w:rPr>
                      <w:rFonts w:ascii="宋体" w:hAnsi="宋体" w:cs="宋体"/>
                      <w:bCs/>
                      <w:szCs w:val="21"/>
                    </w:rPr>
                  </w:pPr>
                  <w:r>
                    <w:rPr>
                      <w:rFonts w:hint="eastAsia" w:ascii="宋体" w:hAnsi="宋体" w:cs="宋体"/>
                      <w:bCs/>
                      <w:szCs w:val="21"/>
                    </w:rPr>
                    <w:t>审方药师代码</w:t>
                  </w:r>
                </w:p>
              </w:tc>
            </w:tr>
            <w:tr w14:paraId="5D4B7E45">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4526F156">
                  <w:pPr>
                    <w:jc w:val="center"/>
                    <w:rPr>
                      <w:rFonts w:ascii="宋体" w:hAnsi="宋体" w:cs="宋体"/>
                      <w:bCs/>
                      <w:szCs w:val="21"/>
                    </w:rPr>
                  </w:pPr>
                  <w:r>
                    <w:rPr>
                      <w:rFonts w:hint="eastAsia" w:ascii="宋体" w:hAnsi="宋体" w:cs="宋体"/>
                      <w:bCs/>
                      <w:szCs w:val="21"/>
                    </w:rPr>
                    <w:t>6</w:t>
                  </w:r>
                </w:p>
              </w:tc>
              <w:tc>
                <w:tcPr>
                  <w:tcW w:w="2615" w:type="dxa"/>
                </w:tcPr>
                <w:p w14:paraId="19DB89D2">
                  <w:pPr>
                    <w:rPr>
                      <w:rFonts w:ascii="宋体" w:hAnsi="宋体" w:cs="宋体"/>
                      <w:bCs/>
                      <w:szCs w:val="21"/>
                    </w:rPr>
                  </w:pPr>
                  <w:r>
                    <w:rPr>
                      <w:rFonts w:hint="eastAsia" w:ascii="宋体" w:hAnsi="宋体" w:cs="宋体"/>
                      <w:bCs/>
                      <w:szCs w:val="21"/>
                    </w:rPr>
                    <w:t>Back_time</w:t>
                  </w:r>
                </w:p>
              </w:tc>
              <w:tc>
                <w:tcPr>
                  <w:tcW w:w="1440" w:type="dxa"/>
                </w:tcPr>
                <w:p w14:paraId="2C6E126A">
                  <w:pPr>
                    <w:rPr>
                      <w:rFonts w:ascii="宋体" w:hAnsi="宋体" w:cs="宋体"/>
                      <w:bCs/>
                      <w:szCs w:val="21"/>
                    </w:rPr>
                  </w:pPr>
                  <w:r>
                    <w:rPr>
                      <w:rFonts w:hint="eastAsia" w:ascii="宋体" w:hAnsi="宋体" w:cs="宋体"/>
                    </w:rPr>
                    <w:t>审查时间</w:t>
                  </w:r>
                </w:p>
              </w:tc>
              <w:tc>
                <w:tcPr>
                  <w:tcW w:w="3225" w:type="dxa"/>
                </w:tcPr>
                <w:p w14:paraId="4B63A5E1">
                  <w:pPr>
                    <w:rPr>
                      <w:rFonts w:ascii="宋体" w:hAnsi="宋体" w:cs="宋体"/>
                      <w:bCs/>
                      <w:szCs w:val="21"/>
                    </w:rPr>
                  </w:pPr>
                  <w:r>
                    <w:rPr>
                      <w:rFonts w:hint="eastAsia" w:ascii="宋体" w:hAnsi="宋体" w:cs="宋体"/>
                      <w:bCs/>
                      <w:szCs w:val="21"/>
                    </w:rPr>
                    <w:t>审方退回时间</w:t>
                  </w:r>
                </w:p>
              </w:tc>
            </w:tr>
            <w:tr w14:paraId="11FEA244">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0861604B">
                  <w:pPr>
                    <w:jc w:val="center"/>
                    <w:rPr>
                      <w:rFonts w:ascii="宋体" w:hAnsi="宋体" w:cs="宋体"/>
                      <w:bCs/>
                      <w:szCs w:val="21"/>
                    </w:rPr>
                  </w:pPr>
                  <w:r>
                    <w:rPr>
                      <w:rFonts w:hint="eastAsia" w:ascii="宋体" w:hAnsi="宋体" w:cs="宋体"/>
                      <w:bCs/>
                      <w:szCs w:val="21"/>
                    </w:rPr>
                    <w:t>7</w:t>
                  </w:r>
                </w:p>
              </w:tc>
              <w:tc>
                <w:tcPr>
                  <w:tcW w:w="2615" w:type="dxa"/>
                </w:tcPr>
                <w:p w14:paraId="78BA0C87">
                  <w:pPr>
                    <w:rPr>
                      <w:rFonts w:ascii="宋体" w:hAnsi="宋体" w:cs="宋体"/>
                      <w:bCs/>
                      <w:szCs w:val="21"/>
                    </w:rPr>
                  </w:pPr>
                  <w:r>
                    <w:rPr>
                      <w:rFonts w:hint="eastAsia" w:ascii="宋体" w:hAnsi="宋体" w:cs="宋体"/>
                      <w:bCs/>
                      <w:szCs w:val="21"/>
                    </w:rPr>
                    <w:t>Exec_reason</w:t>
                  </w:r>
                </w:p>
              </w:tc>
              <w:tc>
                <w:tcPr>
                  <w:tcW w:w="1440" w:type="dxa"/>
                </w:tcPr>
                <w:p w14:paraId="58CD6B76">
                  <w:pPr>
                    <w:rPr>
                      <w:rFonts w:ascii="宋体" w:hAnsi="宋体" w:cs="宋体"/>
                    </w:rPr>
                  </w:pPr>
                  <w:r>
                    <w:rPr>
                      <w:rFonts w:hint="eastAsia" w:ascii="宋体" w:hAnsi="宋体" w:cs="宋体"/>
                    </w:rPr>
                    <w:t>医师意见</w:t>
                  </w:r>
                </w:p>
              </w:tc>
              <w:tc>
                <w:tcPr>
                  <w:tcW w:w="3225" w:type="dxa"/>
                </w:tcPr>
                <w:p w14:paraId="648812A7">
                  <w:pPr>
                    <w:rPr>
                      <w:rFonts w:ascii="宋体" w:hAnsi="宋体" w:cs="宋体"/>
                      <w:bCs/>
                      <w:szCs w:val="21"/>
                    </w:rPr>
                  </w:pPr>
                  <w:r>
                    <w:rPr>
                      <w:rFonts w:hint="eastAsia" w:ascii="宋体" w:hAnsi="宋体" w:cs="宋体"/>
                      <w:bCs/>
                      <w:szCs w:val="21"/>
                    </w:rPr>
                    <w:t>药师审查退回医嘱后，若因病人病情需要、或审方药师退回原因不成立等因素，需坚持用药的，医生可填写相应意见后，要求静配中心强制处理。</w:t>
                  </w:r>
                </w:p>
              </w:tc>
            </w:tr>
            <w:tr w14:paraId="641948E4">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568B57B0">
                  <w:pPr>
                    <w:jc w:val="center"/>
                    <w:rPr>
                      <w:rFonts w:ascii="宋体" w:hAnsi="宋体" w:cs="宋体"/>
                      <w:bCs/>
                      <w:szCs w:val="21"/>
                    </w:rPr>
                  </w:pPr>
                  <w:r>
                    <w:rPr>
                      <w:rFonts w:hint="eastAsia" w:ascii="宋体" w:hAnsi="宋体" w:cs="宋体"/>
                      <w:bCs/>
                      <w:szCs w:val="21"/>
                    </w:rPr>
                    <w:t>8</w:t>
                  </w:r>
                </w:p>
              </w:tc>
              <w:tc>
                <w:tcPr>
                  <w:tcW w:w="2615" w:type="dxa"/>
                </w:tcPr>
                <w:p w14:paraId="05A89D60">
                  <w:pPr>
                    <w:rPr>
                      <w:rFonts w:ascii="宋体" w:hAnsi="宋体" w:cs="宋体"/>
                      <w:bCs/>
                      <w:szCs w:val="21"/>
                    </w:rPr>
                  </w:pPr>
                  <w:r>
                    <w:rPr>
                      <w:rFonts w:hint="eastAsia" w:ascii="宋体" w:hAnsi="宋体" w:cs="宋体"/>
                      <w:bCs/>
                      <w:szCs w:val="21"/>
                    </w:rPr>
                    <w:t>Exec_doctor</w:t>
                  </w:r>
                </w:p>
              </w:tc>
              <w:tc>
                <w:tcPr>
                  <w:tcW w:w="1440" w:type="dxa"/>
                </w:tcPr>
                <w:p w14:paraId="0B65ADB3">
                  <w:pPr>
                    <w:rPr>
                      <w:rFonts w:ascii="宋体" w:hAnsi="宋体" w:cs="宋体"/>
                      <w:bCs/>
                      <w:szCs w:val="21"/>
                    </w:rPr>
                  </w:pPr>
                  <w:r>
                    <w:rPr>
                      <w:rFonts w:hint="eastAsia" w:ascii="宋体" w:hAnsi="宋体" w:cs="宋体"/>
                    </w:rPr>
                    <w:t>医师代码</w:t>
                  </w:r>
                </w:p>
              </w:tc>
              <w:tc>
                <w:tcPr>
                  <w:tcW w:w="3225" w:type="dxa"/>
                </w:tcPr>
                <w:p w14:paraId="28251C81">
                  <w:pPr>
                    <w:rPr>
                      <w:rFonts w:ascii="宋体" w:hAnsi="宋体" w:cs="宋体"/>
                      <w:bCs/>
                      <w:szCs w:val="21"/>
                    </w:rPr>
                  </w:pPr>
                  <w:r>
                    <w:rPr>
                      <w:rFonts w:hint="eastAsia" w:ascii="宋体" w:hAnsi="宋体" w:cs="宋体"/>
                      <w:bCs/>
                      <w:szCs w:val="21"/>
                    </w:rPr>
                    <w:t>医生代码</w:t>
                  </w:r>
                </w:p>
              </w:tc>
            </w:tr>
            <w:tr w14:paraId="14B4E4A3">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600A079B">
                  <w:pPr>
                    <w:jc w:val="center"/>
                    <w:rPr>
                      <w:rFonts w:ascii="宋体" w:hAnsi="宋体" w:cs="宋体"/>
                      <w:bCs/>
                      <w:szCs w:val="21"/>
                    </w:rPr>
                  </w:pPr>
                  <w:r>
                    <w:rPr>
                      <w:rFonts w:hint="eastAsia" w:ascii="宋体" w:hAnsi="宋体" w:cs="宋体"/>
                      <w:bCs/>
                      <w:szCs w:val="21"/>
                    </w:rPr>
                    <w:t>9</w:t>
                  </w:r>
                </w:p>
              </w:tc>
              <w:tc>
                <w:tcPr>
                  <w:tcW w:w="2615" w:type="dxa"/>
                </w:tcPr>
                <w:p w14:paraId="4E6D3AED">
                  <w:pPr>
                    <w:rPr>
                      <w:rFonts w:ascii="宋体" w:hAnsi="宋体" w:cs="宋体"/>
                      <w:bCs/>
                      <w:szCs w:val="21"/>
                    </w:rPr>
                  </w:pPr>
                  <w:r>
                    <w:rPr>
                      <w:rFonts w:hint="eastAsia" w:ascii="宋体" w:hAnsi="宋体" w:cs="宋体"/>
                      <w:bCs/>
                      <w:szCs w:val="21"/>
                    </w:rPr>
                    <w:t>Exec_time</w:t>
                  </w:r>
                </w:p>
              </w:tc>
              <w:tc>
                <w:tcPr>
                  <w:tcW w:w="1440" w:type="dxa"/>
                </w:tcPr>
                <w:p w14:paraId="34129C2A">
                  <w:pPr>
                    <w:rPr>
                      <w:rFonts w:ascii="宋体" w:hAnsi="宋体" w:cs="宋体"/>
                      <w:bCs/>
                      <w:szCs w:val="21"/>
                    </w:rPr>
                  </w:pPr>
                  <w:r>
                    <w:rPr>
                      <w:rFonts w:hint="eastAsia" w:ascii="宋体" w:hAnsi="宋体" w:cs="宋体"/>
                    </w:rPr>
                    <w:t>处理时间</w:t>
                  </w:r>
                </w:p>
              </w:tc>
              <w:tc>
                <w:tcPr>
                  <w:tcW w:w="3225" w:type="dxa"/>
                </w:tcPr>
                <w:p w14:paraId="60F8CE51">
                  <w:pPr>
                    <w:rPr>
                      <w:rFonts w:ascii="宋体" w:hAnsi="宋体" w:cs="宋体"/>
                      <w:bCs/>
                      <w:szCs w:val="21"/>
                    </w:rPr>
                  </w:pPr>
                  <w:r>
                    <w:rPr>
                      <w:rFonts w:hint="eastAsia" w:ascii="宋体" w:hAnsi="宋体" w:cs="宋体"/>
                      <w:bCs/>
                      <w:szCs w:val="21"/>
                    </w:rPr>
                    <w:t>医生处理医嘱时间</w:t>
                  </w:r>
                </w:p>
              </w:tc>
            </w:tr>
            <w:tr w14:paraId="7ACB67A8">
              <w:tblPrEx>
                <w:tblBorders>
                  <w:top w:val="single" w:color="78C0D4" w:sz="4" w:space="0"/>
                  <w:left w:val="single" w:color="78C0D4" w:sz="4" w:space="0"/>
                  <w:bottom w:val="single" w:color="78C0D4" w:sz="4" w:space="0"/>
                  <w:right w:val="single" w:color="78C0D4" w:sz="4" w:space="0"/>
                  <w:insideH w:val="single" w:color="78C0D4" w:sz="4" w:space="0"/>
                  <w:insideV w:val="single" w:color="78C0D4" w:sz="4" w:space="0"/>
                </w:tblBorders>
                <w:tblCellMar>
                  <w:top w:w="0" w:type="dxa"/>
                  <w:left w:w="108" w:type="dxa"/>
                  <w:bottom w:w="0" w:type="dxa"/>
                  <w:right w:w="108" w:type="dxa"/>
                </w:tblCellMar>
              </w:tblPrEx>
              <w:tc>
                <w:tcPr>
                  <w:tcW w:w="708" w:type="dxa"/>
                </w:tcPr>
                <w:p w14:paraId="6417E033">
                  <w:pPr>
                    <w:jc w:val="center"/>
                    <w:rPr>
                      <w:rFonts w:ascii="宋体" w:hAnsi="宋体" w:cs="宋体"/>
                      <w:bCs/>
                      <w:szCs w:val="21"/>
                    </w:rPr>
                  </w:pPr>
                  <w:r>
                    <w:rPr>
                      <w:rFonts w:hint="eastAsia" w:ascii="宋体" w:hAnsi="宋体" w:cs="宋体"/>
                      <w:bCs/>
                      <w:szCs w:val="21"/>
                    </w:rPr>
                    <w:t>10</w:t>
                  </w:r>
                </w:p>
              </w:tc>
              <w:tc>
                <w:tcPr>
                  <w:tcW w:w="2615" w:type="dxa"/>
                </w:tcPr>
                <w:p w14:paraId="5DFA19DE">
                  <w:pPr>
                    <w:rPr>
                      <w:rFonts w:ascii="宋体" w:hAnsi="宋体" w:cs="宋体"/>
                      <w:bCs/>
                      <w:szCs w:val="21"/>
                    </w:rPr>
                  </w:pPr>
                  <w:r>
                    <w:rPr>
                      <w:rFonts w:hint="eastAsia" w:ascii="宋体" w:hAnsi="宋体" w:cs="宋体"/>
                      <w:bCs/>
                      <w:szCs w:val="21"/>
                    </w:rPr>
                    <w:t>Check_state</w:t>
                  </w:r>
                </w:p>
              </w:tc>
              <w:tc>
                <w:tcPr>
                  <w:tcW w:w="1440" w:type="dxa"/>
                </w:tcPr>
                <w:p w14:paraId="19EFC2FD">
                  <w:pPr>
                    <w:rPr>
                      <w:rFonts w:ascii="宋体" w:hAnsi="宋体" w:cs="宋体"/>
                    </w:rPr>
                  </w:pPr>
                  <w:r>
                    <w:rPr>
                      <w:rFonts w:hint="eastAsia" w:ascii="宋体" w:hAnsi="宋体" w:cs="宋体"/>
                    </w:rPr>
                    <w:t>审查状态</w:t>
                  </w:r>
                </w:p>
              </w:tc>
              <w:tc>
                <w:tcPr>
                  <w:tcW w:w="3225" w:type="dxa"/>
                </w:tcPr>
                <w:p w14:paraId="1E367118">
                  <w:pPr>
                    <w:rPr>
                      <w:rFonts w:ascii="宋体" w:hAnsi="宋体" w:cs="宋体"/>
                    </w:rPr>
                  </w:pPr>
                  <w:r>
                    <w:rPr>
                      <w:rFonts w:hint="eastAsia" w:ascii="宋体" w:hAnsi="宋体" w:cs="宋体"/>
                    </w:rPr>
                    <w:t>0－药师退回（默认为0）</w:t>
                  </w:r>
                </w:p>
                <w:p w14:paraId="6DD06B39">
                  <w:pPr>
                    <w:rPr>
                      <w:rFonts w:ascii="宋体" w:hAnsi="宋体" w:cs="宋体"/>
                    </w:rPr>
                  </w:pPr>
                  <w:r>
                    <w:rPr>
                      <w:rFonts w:hint="eastAsia" w:ascii="宋体" w:hAnsi="宋体" w:cs="宋体"/>
                    </w:rPr>
                    <w:t>2－医生要求强制配置</w:t>
                  </w:r>
                </w:p>
                <w:p w14:paraId="7DA076DE">
                  <w:pPr>
                    <w:rPr>
                      <w:rFonts w:ascii="宋体" w:hAnsi="宋体" w:cs="宋体"/>
                      <w:bCs/>
                      <w:szCs w:val="21"/>
                    </w:rPr>
                  </w:pPr>
                  <w:r>
                    <w:rPr>
                      <w:rFonts w:hint="eastAsia" w:ascii="宋体" w:hAnsi="宋体" w:cs="宋体"/>
                    </w:rPr>
                    <w:t>3－停止用药</w:t>
                  </w:r>
                </w:p>
              </w:tc>
            </w:tr>
          </w:tbl>
          <w:p w14:paraId="0A89C5A2">
            <w:pPr>
              <w:numPr>
                <w:ilvl w:val="0"/>
                <w:numId w:val="3"/>
              </w:numPr>
              <w:rPr>
                <w:rFonts w:ascii="宋体" w:hAnsi="宋体" w:cs="宋体"/>
                <w:b/>
              </w:rPr>
            </w:pPr>
            <w:r>
              <w:rPr>
                <w:rFonts w:hint="eastAsia" w:ascii="宋体" w:hAnsi="宋体" w:cs="宋体"/>
                <w:b/>
              </w:rPr>
              <w:t>提供退回医嘱接口：</w:t>
            </w:r>
          </w:p>
          <w:p w14:paraId="7CB085D2">
            <w:pPr>
              <w:numPr>
                <w:ilvl w:val="0"/>
                <w:numId w:val="5"/>
              </w:numPr>
              <w:rPr>
                <w:rFonts w:ascii="宋体" w:hAnsi="宋体" w:cs="宋体"/>
              </w:rPr>
            </w:pPr>
            <w:r>
              <w:rPr>
                <w:rFonts w:hint="eastAsia" w:ascii="宋体" w:hAnsi="宋体" w:cs="宋体"/>
              </w:rPr>
              <w:t>由HIS提供退回医嘱接口，即PIVAS系统将不合理医嘱，回写至中间表的接口。</w:t>
            </w:r>
          </w:p>
          <w:p w14:paraId="7849DA72">
            <w:pPr>
              <w:numPr>
                <w:ilvl w:val="0"/>
                <w:numId w:val="5"/>
              </w:numPr>
              <w:rPr>
                <w:rFonts w:ascii="宋体" w:hAnsi="宋体" w:cs="宋体"/>
              </w:rPr>
            </w:pPr>
            <w:r>
              <w:rPr>
                <w:rFonts w:hint="eastAsia" w:ascii="宋体" w:hAnsi="宋体" w:cs="宋体"/>
              </w:rPr>
              <w:t>接口方式及接口名称，由HIS确定，退回接口的入参，应包括上述表中序号为1至7的参数，出参为处理结果标志与描述两个字段。</w:t>
            </w:r>
          </w:p>
          <w:p w14:paraId="70143672">
            <w:pPr>
              <w:numPr>
                <w:ilvl w:val="0"/>
                <w:numId w:val="3"/>
              </w:numPr>
              <w:rPr>
                <w:rFonts w:ascii="宋体" w:hAnsi="宋体" w:cs="宋体"/>
                <w:b/>
              </w:rPr>
            </w:pPr>
            <w:r>
              <w:rPr>
                <w:rFonts w:hint="eastAsia" w:ascii="宋体" w:hAnsi="宋体" w:cs="宋体"/>
                <w:b/>
              </w:rPr>
              <w:t>退回医嘱自动提醒与展示：</w:t>
            </w:r>
          </w:p>
          <w:p w14:paraId="0463865E">
            <w:pPr>
              <w:numPr>
                <w:ilvl w:val="0"/>
                <w:numId w:val="6"/>
              </w:numPr>
              <w:rPr>
                <w:rFonts w:ascii="宋体" w:hAnsi="宋体" w:cs="宋体"/>
              </w:rPr>
            </w:pPr>
            <w:r>
              <w:rPr>
                <w:rFonts w:hint="eastAsia" w:ascii="宋体" w:hAnsi="宋体" w:cs="宋体"/>
              </w:rPr>
              <w:t>由HIS检测中间表中，是否有新退回的，且未处理的医嘱；</w:t>
            </w:r>
          </w:p>
          <w:p w14:paraId="6361ABFE">
            <w:pPr>
              <w:numPr>
                <w:ilvl w:val="0"/>
                <w:numId w:val="6"/>
              </w:numPr>
              <w:rPr>
                <w:rFonts w:ascii="宋体" w:hAnsi="宋体" w:cs="宋体"/>
              </w:rPr>
            </w:pPr>
            <w:r>
              <w:rPr>
                <w:rFonts w:hint="eastAsia" w:ascii="宋体" w:hAnsi="宋体" w:cs="宋体"/>
              </w:rPr>
              <w:t>若有新退回医嘱，则通过自动消息提醒的方式，提醒至医生站和护理站，同时在病人卡片上作明显提醒。</w:t>
            </w:r>
          </w:p>
          <w:p w14:paraId="239E9B10">
            <w:pPr>
              <w:numPr>
                <w:ilvl w:val="0"/>
                <w:numId w:val="3"/>
              </w:numPr>
              <w:rPr>
                <w:rFonts w:ascii="宋体" w:hAnsi="宋体" w:cs="宋体"/>
                <w:b/>
              </w:rPr>
            </w:pPr>
            <w:r>
              <w:rPr>
                <w:rFonts w:hint="eastAsia" w:ascii="宋体" w:hAnsi="宋体" w:cs="宋体"/>
                <w:b/>
              </w:rPr>
              <w:t>医生处理：</w:t>
            </w:r>
          </w:p>
          <w:p w14:paraId="3BC030A4">
            <w:pPr>
              <w:numPr>
                <w:ilvl w:val="0"/>
                <w:numId w:val="6"/>
              </w:numPr>
              <w:rPr>
                <w:rFonts w:ascii="宋体" w:hAnsi="宋体" w:cs="宋体"/>
              </w:rPr>
            </w:pPr>
            <w:r>
              <w:rPr>
                <w:rFonts w:hint="eastAsia" w:ascii="宋体" w:hAnsi="宋体" w:cs="宋体"/>
              </w:rPr>
              <w:t>对于退回的医嘱，若停用，则正常停止医嘱，且把中间表医嘱状态，修改为“3”；</w:t>
            </w:r>
          </w:p>
          <w:p w14:paraId="7DF2828B">
            <w:pPr>
              <w:numPr>
                <w:ilvl w:val="0"/>
                <w:numId w:val="6"/>
              </w:numPr>
              <w:rPr>
                <w:rFonts w:ascii="宋体" w:hAnsi="宋体" w:cs="宋体"/>
              </w:rPr>
            </w:pPr>
            <w:r>
              <w:rPr>
                <w:rFonts w:hint="eastAsia" w:ascii="宋体" w:hAnsi="宋体" w:cs="宋体"/>
              </w:rPr>
              <w:t>对于必须要强制使用的医嘱，则允许医生“强制重签名”，即最终把医嘱状态，修改为“2”；</w:t>
            </w:r>
          </w:p>
          <w:p w14:paraId="14DFD678">
            <w:pPr>
              <w:numPr>
                <w:ilvl w:val="0"/>
                <w:numId w:val="6"/>
              </w:numPr>
              <w:rPr>
                <w:rFonts w:ascii="宋体" w:hAnsi="宋体" w:cs="宋体"/>
              </w:rPr>
            </w:pPr>
            <w:r>
              <w:rPr>
                <w:rFonts w:hint="eastAsia" w:ascii="宋体" w:hAnsi="宋体" w:cs="宋体"/>
              </w:rPr>
              <w:t>注：医生在强制重签名时，必须要录入“意见”，同时在中间表中记录医生工号及操作时间。</w:t>
            </w:r>
          </w:p>
          <w:p w14:paraId="5409C01F">
            <w:pPr>
              <w:numPr>
                <w:ilvl w:val="0"/>
                <w:numId w:val="3"/>
              </w:numPr>
              <w:rPr>
                <w:rFonts w:ascii="宋体" w:hAnsi="宋体" w:cs="宋体"/>
                <w:b/>
              </w:rPr>
            </w:pPr>
            <w:r>
              <w:rPr>
                <w:rFonts w:hint="eastAsia" w:ascii="宋体" w:hAnsi="宋体" w:cs="宋体"/>
                <w:b/>
              </w:rPr>
              <w:t>中间表状态查询接口：</w:t>
            </w:r>
          </w:p>
          <w:p w14:paraId="10412B78">
            <w:pPr>
              <w:numPr>
                <w:ilvl w:val="0"/>
                <w:numId w:val="7"/>
              </w:numPr>
              <w:ind w:left="0" w:firstLine="0"/>
              <w:rPr>
                <w:rFonts w:ascii="宋体" w:hAnsi="宋体" w:cs="宋体"/>
                <w:bCs/>
                <w:szCs w:val="21"/>
              </w:rPr>
            </w:pPr>
            <w:r>
              <w:rPr>
                <w:rFonts w:hint="eastAsia" w:ascii="宋体" w:hAnsi="宋体" w:cs="宋体"/>
              </w:rPr>
              <w:t>HIS提供中间表的查询权限或视图，或提供单组医嘱的中间表状态查询接口，PIVAS系统通过接口，可获取到相关状态，并进行相应业务流程处理。</w:t>
            </w:r>
          </w:p>
          <w:p w14:paraId="53C3FD19">
            <w:pPr>
              <w:tabs>
                <w:tab w:val="left" w:pos="525"/>
                <w:tab w:val="left" w:pos="630"/>
              </w:tabs>
              <w:spacing w:line="360" w:lineRule="auto"/>
              <w:rPr>
                <w:rFonts w:ascii="宋体" w:hAnsi="宋体" w:cs="宋体"/>
                <w:bCs/>
                <w:szCs w:val="21"/>
              </w:rPr>
            </w:pPr>
          </w:p>
        </w:tc>
      </w:tr>
    </w:tbl>
    <w:p w14:paraId="4B525CEE">
      <w:pPr>
        <w:rPr>
          <w:rFonts w:ascii="宋体" w:hAnsi="宋体" w:cs="宋体"/>
        </w:rPr>
      </w:pPr>
      <w:bookmarkStart w:id="3" w:name="_GoBack"/>
      <w:bookmarkEnd w:id="3"/>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长城仿宋">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CB1875"/>
    <w:multiLevelType w:val="singleLevel"/>
    <w:tmpl w:val="9CCB1875"/>
    <w:lvl w:ilvl="0" w:tentative="0">
      <w:start w:val="1"/>
      <w:numFmt w:val="bullet"/>
      <w:lvlText w:val=""/>
      <w:lvlJc w:val="left"/>
      <w:pPr>
        <w:ind w:left="420" w:hanging="420"/>
      </w:pPr>
      <w:rPr>
        <w:rFonts w:hint="default" w:ascii="Wingdings" w:hAnsi="Wingdings"/>
      </w:rPr>
    </w:lvl>
  </w:abstractNum>
  <w:abstractNum w:abstractNumId="1">
    <w:nsid w:val="1A1E1D60"/>
    <w:multiLevelType w:val="multilevel"/>
    <w:tmpl w:val="1A1E1D60"/>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43BA6682"/>
    <w:multiLevelType w:val="multilevel"/>
    <w:tmpl w:val="43BA6682"/>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47862DAC"/>
    <w:multiLevelType w:val="multilevel"/>
    <w:tmpl w:val="47862DA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23C16DE"/>
    <w:multiLevelType w:val="multilevel"/>
    <w:tmpl w:val="523C16DE"/>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716F0BAF"/>
    <w:multiLevelType w:val="multilevel"/>
    <w:tmpl w:val="716F0BA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B3E3A44"/>
    <w:multiLevelType w:val="multilevel"/>
    <w:tmpl w:val="7B3E3A4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0"/>
  </w:num>
  <w:num w:numId="3">
    <w:abstractNumId w:val="5"/>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E6"/>
    <w:rsid w:val="00070761"/>
    <w:rsid w:val="00115F07"/>
    <w:rsid w:val="00286969"/>
    <w:rsid w:val="00415400"/>
    <w:rsid w:val="00454653"/>
    <w:rsid w:val="00464C10"/>
    <w:rsid w:val="005B12B9"/>
    <w:rsid w:val="00707AE6"/>
    <w:rsid w:val="007F5515"/>
    <w:rsid w:val="007F691C"/>
    <w:rsid w:val="00921688"/>
    <w:rsid w:val="00932966"/>
    <w:rsid w:val="00991990"/>
    <w:rsid w:val="00A91497"/>
    <w:rsid w:val="00D41D8D"/>
    <w:rsid w:val="00F47D67"/>
    <w:rsid w:val="05B02D82"/>
    <w:rsid w:val="07B611C8"/>
    <w:rsid w:val="09DF6D3E"/>
    <w:rsid w:val="0EEA6891"/>
    <w:rsid w:val="0FE30D00"/>
    <w:rsid w:val="11EF2D19"/>
    <w:rsid w:val="12AC56E1"/>
    <w:rsid w:val="17262F4C"/>
    <w:rsid w:val="1B8078AA"/>
    <w:rsid w:val="1FAD32A0"/>
    <w:rsid w:val="253D5BD1"/>
    <w:rsid w:val="2B2350CE"/>
    <w:rsid w:val="2D375814"/>
    <w:rsid w:val="2E3470C9"/>
    <w:rsid w:val="2EC55732"/>
    <w:rsid w:val="30081D38"/>
    <w:rsid w:val="30A53739"/>
    <w:rsid w:val="34886A0C"/>
    <w:rsid w:val="357A4A20"/>
    <w:rsid w:val="36572C90"/>
    <w:rsid w:val="3ABC2B89"/>
    <w:rsid w:val="3B5DF5CC"/>
    <w:rsid w:val="3C38308B"/>
    <w:rsid w:val="3D4257D9"/>
    <w:rsid w:val="431531D8"/>
    <w:rsid w:val="49041C08"/>
    <w:rsid w:val="49A847CD"/>
    <w:rsid w:val="4DE43140"/>
    <w:rsid w:val="52E33AC0"/>
    <w:rsid w:val="531E0DED"/>
    <w:rsid w:val="53E14053"/>
    <w:rsid w:val="549A1404"/>
    <w:rsid w:val="56365D03"/>
    <w:rsid w:val="5AC70DFE"/>
    <w:rsid w:val="5B01445B"/>
    <w:rsid w:val="5B1A1FC4"/>
    <w:rsid w:val="5C046DCC"/>
    <w:rsid w:val="63116428"/>
    <w:rsid w:val="67BC0160"/>
    <w:rsid w:val="6E255482"/>
    <w:rsid w:val="6F9D0FDB"/>
    <w:rsid w:val="731C6642"/>
    <w:rsid w:val="73C371D9"/>
    <w:rsid w:val="74021B30"/>
    <w:rsid w:val="76783F68"/>
    <w:rsid w:val="772E53A2"/>
    <w:rsid w:val="77AD4519"/>
    <w:rsid w:val="796D7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340" w:after="330" w:line="360" w:lineRule="auto"/>
      <w:jc w:val="center"/>
      <w:outlineLvl w:val="0"/>
    </w:pPr>
    <w:rPr>
      <w:rFonts w:eastAsia="黑体"/>
      <w:kern w:val="44"/>
      <w:szCs w:val="44"/>
    </w:rPr>
  </w:style>
  <w:style w:type="paragraph" w:styleId="3">
    <w:name w:val="heading 2"/>
    <w:basedOn w:val="1"/>
    <w:next w:val="1"/>
    <w:link w:val="2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1"/>
    <w:qFormat/>
    <w:uiPriority w:val="0"/>
    <w:pPr>
      <w:spacing w:before="260" w:after="260"/>
      <w:outlineLvl w:val="2"/>
    </w:pPr>
    <w:rPr>
      <w:rFonts w:ascii="宋体" w:hAnsi="宋体"/>
      <w:kern w:val="0"/>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18"/>
    <w:qFormat/>
    <w:uiPriority w:val="0"/>
    <w:pPr>
      <w:jc w:val="left"/>
    </w:pPr>
  </w:style>
  <w:style w:type="paragraph" w:styleId="7">
    <w:name w:val="Body Text"/>
    <w:basedOn w:val="1"/>
    <w:qFormat/>
    <w:uiPriority w:val="0"/>
    <w:pPr>
      <w:spacing w:line="360" w:lineRule="auto"/>
    </w:pPr>
    <w:rPr>
      <w:b/>
      <w:bCs/>
      <w:sz w:val="24"/>
    </w:rPr>
  </w:style>
  <w:style w:type="paragraph" w:styleId="8">
    <w:name w:val="Balloon Text"/>
    <w:basedOn w:val="1"/>
    <w:link w:val="17"/>
    <w:qFormat/>
    <w:uiPriority w:val="0"/>
    <w:rPr>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19"/>
    <w:qFormat/>
    <w:uiPriority w:val="0"/>
    <w:rPr>
      <w:b/>
      <w:bCs/>
    </w:rPr>
  </w:style>
  <w:style w:type="character" w:styleId="14">
    <w:name w:val="annotation reference"/>
    <w:basedOn w:val="13"/>
    <w:qFormat/>
    <w:uiPriority w:val="0"/>
    <w:rPr>
      <w:sz w:val="21"/>
      <w:szCs w:val="21"/>
    </w:rPr>
  </w:style>
  <w:style w:type="paragraph" w:styleId="15">
    <w:name w:val="List Paragraph"/>
    <w:basedOn w:val="1"/>
    <w:qFormat/>
    <w:uiPriority w:val="0"/>
    <w:pPr>
      <w:ind w:firstLine="420" w:firstLineChars="200"/>
    </w:pPr>
    <w:rPr>
      <w:szCs w:val="22"/>
    </w:rPr>
  </w:style>
  <w:style w:type="paragraph" w:customStyle="1" w:styleId="16">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character" w:customStyle="1" w:styleId="17">
    <w:name w:val="批注框文本 字符"/>
    <w:basedOn w:val="13"/>
    <w:link w:val="8"/>
    <w:qFormat/>
    <w:uiPriority w:val="0"/>
    <w:rPr>
      <w:rFonts w:ascii="Times New Roman" w:hAnsi="Times New Roman" w:eastAsia="宋体" w:cs="Times New Roman"/>
      <w:kern w:val="2"/>
      <w:sz w:val="18"/>
      <w:szCs w:val="18"/>
    </w:rPr>
  </w:style>
  <w:style w:type="character" w:customStyle="1" w:styleId="18">
    <w:name w:val="批注文字 字符"/>
    <w:basedOn w:val="13"/>
    <w:link w:val="6"/>
    <w:qFormat/>
    <w:uiPriority w:val="0"/>
    <w:rPr>
      <w:rFonts w:ascii="Times New Roman" w:hAnsi="Times New Roman" w:eastAsia="宋体" w:cs="Times New Roman"/>
      <w:kern w:val="2"/>
      <w:sz w:val="21"/>
      <w:szCs w:val="24"/>
    </w:rPr>
  </w:style>
  <w:style w:type="character" w:customStyle="1" w:styleId="19">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0">
    <w:name w:val="页眉 字符"/>
    <w:basedOn w:val="13"/>
    <w:link w:val="10"/>
    <w:qFormat/>
    <w:uiPriority w:val="0"/>
    <w:rPr>
      <w:rFonts w:ascii="Times New Roman" w:hAnsi="Times New Roman" w:eastAsia="宋体" w:cs="Times New Roman"/>
      <w:kern w:val="2"/>
      <w:sz w:val="18"/>
      <w:szCs w:val="18"/>
    </w:rPr>
  </w:style>
  <w:style w:type="character" w:customStyle="1" w:styleId="21">
    <w:name w:val="页脚 字符"/>
    <w:basedOn w:val="13"/>
    <w:link w:val="9"/>
    <w:qFormat/>
    <w:uiPriority w:val="0"/>
    <w:rPr>
      <w:rFonts w:ascii="Times New Roman" w:hAnsi="Times New Roman" w:eastAsia="宋体" w:cs="Times New Roman"/>
      <w:kern w:val="2"/>
      <w:sz w:val="18"/>
      <w:szCs w:val="18"/>
    </w:rPr>
  </w:style>
  <w:style w:type="character" w:customStyle="1" w:styleId="22">
    <w:name w:val="标题 2 字符"/>
    <w:basedOn w:val="13"/>
    <w:link w:val="3"/>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4291</Words>
  <Characters>4564</Characters>
  <Lines>323</Lines>
  <Paragraphs>91</Paragraphs>
  <TotalTime>1</TotalTime>
  <ScaleCrop>false</ScaleCrop>
  <LinksUpToDate>false</LinksUpToDate>
  <CharactersWithSpaces>4588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2025-09-16T06:15:00Z</dcterms:created>
  <dc:creator>Administrator</dc:creator>
  <cp:lastModifiedBy>V</cp:lastModifiedBy>
  <dcterms:modified xsi:type="dcterms:W3CDTF">2025-10-24T01:27:23Z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eyJoZGlkIjoiZmEzYTNiOTFiZjA2NTcxMzk4MGVkMzdlNGQwOTAwZmEiLCJ1c2VySWQiOiI0NTA5ODQyODEifQ==</vt:lpwstr>
  </property>
  <property fmtid="{D5CDD505-2E9C-101B-9397-08002B2CF9AE}" pid="4" name="ICV">
    <vt:lpwstr>9AAE36CB495D493A9F946AD5CC6D177C_13</vt:lpwstr>
  </property>
</Properties>
</file>