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A7E33">
      <w:pPr>
        <w:numPr>
          <w:ilvl w:val="0"/>
          <w:numId w:val="1"/>
        </w:numPr>
        <w:tabs>
          <w:tab w:val="left" w:pos="525"/>
          <w:tab w:val="left" w:pos="630"/>
        </w:tabs>
        <w:spacing w:line="360" w:lineRule="auto"/>
        <w:rPr>
          <w:b/>
          <w:bCs/>
          <w:color w:val="auto"/>
          <w:sz w:val="28"/>
          <w:szCs w:val="28"/>
        </w:rPr>
      </w:pPr>
      <w:r>
        <w:rPr>
          <w:rFonts w:hint="eastAsia"/>
          <w:b/>
          <w:bCs/>
          <w:color w:val="auto"/>
          <w:sz w:val="28"/>
          <w:szCs w:val="28"/>
        </w:rPr>
        <w:t>诊前管理需求</w:t>
      </w:r>
    </w:p>
    <w:tbl>
      <w:tblPr>
        <w:tblStyle w:val="17"/>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418"/>
        <w:gridCol w:w="11482"/>
      </w:tblGrid>
      <w:tr w14:paraId="1842A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 w:hRule="atLeast"/>
        </w:trPr>
        <w:tc>
          <w:tcPr>
            <w:tcW w:w="1129" w:type="dxa"/>
            <w:vAlign w:val="center"/>
          </w:tcPr>
          <w:p w14:paraId="2F6C9238">
            <w:pPr>
              <w:jc w:val="center"/>
              <w:rPr>
                <w:color w:val="auto"/>
              </w:rPr>
            </w:pPr>
            <w:r>
              <w:rPr>
                <w:rFonts w:hint="eastAsia" w:ascii="宋体" w:hAnsi="宋体" w:cs="宋体"/>
                <w:color w:val="auto"/>
                <w:kern w:val="0"/>
                <w:szCs w:val="21"/>
              </w:rPr>
              <w:t>需求名称</w:t>
            </w:r>
          </w:p>
        </w:tc>
        <w:tc>
          <w:tcPr>
            <w:tcW w:w="1418" w:type="dxa"/>
            <w:vAlign w:val="center"/>
          </w:tcPr>
          <w:p w14:paraId="73323DFD">
            <w:pPr>
              <w:jc w:val="center"/>
              <w:rPr>
                <w:color w:val="auto"/>
              </w:rPr>
            </w:pPr>
            <w:r>
              <w:rPr>
                <w:rFonts w:hint="eastAsia" w:ascii="宋体" w:hAnsi="宋体" w:cs="宋体"/>
                <w:color w:val="auto"/>
                <w:kern w:val="0"/>
                <w:szCs w:val="21"/>
              </w:rPr>
              <w:t>序号</w:t>
            </w:r>
          </w:p>
        </w:tc>
        <w:tc>
          <w:tcPr>
            <w:tcW w:w="11482" w:type="dxa"/>
            <w:vAlign w:val="center"/>
          </w:tcPr>
          <w:p w14:paraId="69811655">
            <w:pPr>
              <w:jc w:val="center"/>
              <w:rPr>
                <w:color w:val="auto"/>
              </w:rPr>
            </w:pPr>
            <w:r>
              <w:rPr>
                <w:rFonts w:hint="eastAsia" w:ascii="宋体" w:hAnsi="宋体" w:cs="宋体"/>
                <w:color w:val="auto"/>
                <w:kern w:val="0"/>
                <w:szCs w:val="21"/>
              </w:rPr>
              <w:t>需求描述</w:t>
            </w:r>
          </w:p>
        </w:tc>
      </w:tr>
      <w:tr w14:paraId="6508D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29" w:type="dxa"/>
          </w:tcPr>
          <w:p w14:paraId="50C580AF">
            <w:pPr>
              <w:pStyle w:val="33"/>
              <w:numPr>
                <w:ilvl w:val="0"/>
                <w:numId w:val="2"/>
              </w:numPr>
              <w:rPr>
                <w:color w:val="auto"/>
              </w:rPr>
            </w:pPr>
            <w:r>
              <w:rPr>
                <w:rFonts w:hint="eastAsia" w:ascii="宋体" w:hAnsi="宋体" w:cs="宋体"/>
                <w:color w:val="auto"/>
                <w:szCs w:val="21"/>
              </w:rPr>
              <w:t>门诊医生站</w:t>
            </w:r>
          </w:p>
        </w:tc>
        <w:tc>
          <w:tcPr>
            <w:tcW w:w="1418" w:type="dxa"/>
          </w:tcPr>
          <w:p w14:paraId="43E68FAB">
            <w:pPr>
              <w:pStyle w:val="33"/>
              <w:numPr>
                <w:ilvl w:val="1"/>
                <w:numId w:val="2"/>
              </w:numPr>
              <w:rPr>
                <w:color w:val="auto"/>
              </w:rPr>
            </w:pPr>
            <w:r>
              <w:rPr>
                <w:rFonts w:hint="eastAsia" w:ascii="宋体" w:hAnsi="宋体"/>
                <w:color w:val="auto"/>
                <w:szCs w:val="21"/>
              </w:rPr>
              <w:t>患者诊前</w:t>
            </w:r>
            <w:r>
              <w:rPr>
                <w:rFonts w:hint="eastAsia" w:ascii="宋体" w:hAnsi="宋体" w:cs="宋体"/>
                <w:color w:val="auto"/>
                <w:kern w:val="0"/>
                <w:szCs w:val="21"/>
              </w:rPr>
              <w:t>管理</w:t>
            </w:r>
          </w:p>
        </w:tc>
        <w:tc>
          <w:tcPr>
            <w:tcW w:w="11482" w:type="dxa"/>
          </w:tcPr>
          <w:p w14:paraId="77C8C1F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提供门诊日志模式，前置诊疗流程，在医生接诊患者前，提供预问诊流程</w:t>
            </w:r>
          </w:p>
          <w:p w14:paraId="6BC5E570">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门诊程序入口：支持通过二维码扫码、PAD、微信公众号和第三方APP集成方式进入程序。</w:t>
            </w:r>
          </w:p>
          <w:p w14:paraId="21FFE942">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 xml:space="preserve">问诊模板选择：支持按照院级、科室级、个人，指定模板等方式灵活指定相应的模板。 </w:t>
            </w:r>
          </w:p>
          <w:p w14:paraId="71A44E48">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多轮问诊：支持基于大模型的医疗复杂语言理解能力、多轮主动与被动交互能力对患者描述的病情信息进行人性化个性化多轮问诊，采集患者病情信息。</w:t>
            </w:r>
          </w:p>
          <w:p w14:paraId="475C2108">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多模态输入方式：支持患者通过文字、语音输入的方式，描述自己不舒服的症状或疾病。</w:t>
            </w:r>
          </w:p>
          <w:p w14:paraId="346C19EE">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 xml:space="preserve">结构化输入：支持对日期、时间等内容有单选、多选等结构化点选和输入方式。 </w:t>
            </w:r>
          </w:p>
          <w:p w14:paraId="322B9A20">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单条消息语音播报：病史采集的多轮问诊过程中系统提问单条问题支持语音播报。</w:t>
            </w:r>
          </w:p>
          <w:p w14:paraId="4DC48F39">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全局语音自动播报：支持患者在使用病史采集时设置全局语音自动语音播报，自动播报系统问诊内容。</w:t>
            </w:r>
          </w:p>
          <w:p w14:paraId="08B75022">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描述性内容：针对专业术语选项，可进行口语化描述性内容展示，帮助用户理解。</w:t>
            </w:r>
          </w:p>
          <w:p w14:paraId="7B89D455">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拍照上传：支持对医疗报告拍照或选择本地照片上传。</w:t>
            </w:r>
          </w:p>
          <w:p w14:paraId="71A3B29E">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辅助选择工具：在问诊中提供提问选择器、疼痛程度选择器、颜色选择器等辅助描述病情的选择工具。</w:t>
            </w:r>
          </w:p>
          <w:p w14:paraId="30084D69">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图形化选择：在问诊中提供提问选择器、疼痛程度选择器、颜色选择器等辅助描述病情的选择工具</w:t>
            </w:r>
          </w:p>
          <w:p w14:paraId="498E9248">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 xml:space="preserve">病史智能生成：支持基于大模型的医疗专业文书生成能力根据患者回答的病情内容自动生成结构化病史信息。 </w:t>
            </w:r>
          </w:p>
          <w:p w14:paraId="7D8EA586">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修改已回答的问题：预问诊过程中，可重新回答已回答的问题。</w:t>
            </w:r>
          </w:p>
          <w:p w14:paraId="64710FEC">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 xml:space="preserve">修改病史：预问诊结束后，支持编辑修改病史信息 </w:t>
            </w:r>
          </w:p>
          <w:p w14:paraId="607CAF84">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下载病史信息图片 ：支持下载病史信息图片。</w:t>
            </w:r>
          </w:p>
          <w:p w14:paraId="2A66528A">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文字识别功能（OCR） ：可根据上传的检查/检验报告图片，自动识别转码成可编码文字，方便用户便捷输入。</w:t>
            </w:r>
          </w:p>
          <w:p w14:paraId="32794E14">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病史采集说明：主页面展示病史采集使用说明卡片，用户可点击进入查看病史采集的使用说明。</w:t>
            </w:r>
          </w:p>
          <w:p w14:paraId="72B515DA">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既往病史信息展示：对于复诊患者，支持展示已采集过的过往病史页。</w:t>
            </w:r>
          </w:p>
          <w:p w14:paraId="28143C11">
            <w:pPr>
              <w:numPr>
                <w:ilvl w:val="0"/>
                <w:numId w:val="1"/>
              </w:numPr>
              <w:tabs>
                <w:tab w:val="left" w:pos="525"/>
                <w:tab w:val="left" w:pos="630"/>
              </w:tabs>
              <w:spacing w:line="360" w:lineRule="auto"/>
              <w:rPr>
                <w:color w:val="auto"/>
              </w:rPr>
            </w:pPr>
            <w:r>
              <w:rPr>
                <w:rFonts w:ascii="Wingdings" w:hAnsi="Wingdings" w:cs="Wingdings"/>
                <w:color w:val="auto"/>
              </w:rPr>
              <w:t></w:t>
            </w:r>
            <w:r>
              <w:rPr>
                <w:rFonts w:ascii="宋体" w:hAnsi="宋体" w:cs="宋体"/>
                <w:color w:val="auto"/>
              </w:rPr>
              <w:t>病史采集进度展示：支持病史采集过程中，实时显示病史采集的进度条。</w:t>
            </w:r>
          </w:p>
          <w:p w14:paraId="2B5112FF">
            <w:pPr>
              <w:numPr>
                <w:ilvl w:val="0"/>
                <w:numId w:val="1"/>
              </w:numPr>
              <w:rPr>
                <w:color w:val="auto"/>
              </w:rPr>
            </w:pPr>
            <w:r>
              <w:rPr>
                <w:rFonts w:ascii="宋体" w:hAnsi="宋体" w:cs="宋体"/>
                <w:color w:val="auto"/>
              </w:rPr>
              <w:t>后台管理</w:t>
            </w:r>
          </w:p>
          <w:p w14:paraId="60528AAA">
            <w:pPr>
              <w:numPr>
                <w:ilvl w:val="0"/>
                <w:numId w:val="1"/>
              </w:numPr>
              <w:rPr>
                <w:color w:val="auto"/>
              </w:rPr>
            </w:pPr>
            <w:r>
              <w:rPr>
                <w:rFonts w:hint="eastAsia" w:ascii="Wingdings" w:hAnsi="Wingdings" w:cs="Wingdings"/>
                <w:color w:val="auto"/>
              </w:rPr>
              <w:t>患者诊前管理需求</w:t>
            </w:r>
          </w:p>
          <w:p w14:paraId="599E8747">
            <w:pPr>
              <w:numPr>
                <w:ilvl w:val="0"/>
                <w:numId w:val="1"/>
              </w:numPr>
              <w:rPr>
                <w:color w:val="auto"/>
              </w:rPr>
            </w:pPr>
            <w:r>
              <w:rPr>
                <w:rFonts w:ascii="宋体" w:hAnsi="宋体" w:cs="宋体"/>
                <w:color w:val="auto"/>
              </w:rPr>
              <w:t>模板管理：支持医院级、科室级、个人3个维度模板管理。。</w:t>
            </w:r>
          </w:p>
          <w:p w14:paraId="31B8A1BC">
            <w:pPr>
              <w:numPr>
                <w:ilvl w:val="0"/>
                <w:numId w:val="1"/>
              </w:numPr>
              <w:rPr>
                <w:color w:val="auto"/>
              </w:rPr>
            </w:pPr>
            <w:r>
              <w:rPr>
                <w:rFonts w:ascii="Wingdings" w:hAnsi="Wingdings" w:cs="Wingdings"/>
                <w:color w:val="auto"/>
              </w:rPr>
              <w:t></w:t>
            </w:r>
            <w:r>
              <w:rPr>
                <w:rFonts w:ascii="宋体" w:hAnsi="宋体" w:cs="宋体"/>
                <w:color w:val="auto"/>
              </w:rPr>
              <w:t>智能体管理：支持管理问诊智能体和病历生成智能体。</w:t>
            </w:r>
          </w:p>
          <w:p w14:paraId="13217534">
            <w:pPr>
              <w:numPr>
                <w:ilvl w:val="0"/>
                <w:numId w:val="1"/>
              </w:numPr>
              <w:rPr>
                <w:color w:val="auto"/>
              </w:rPr>
            </w:pPr>
            <w:r>
              <w:rPr>
                <w:rFonts w:ascii="Wingdings" w:hAnsi="Wingdings" w:cs="Wingdings"/>
                <w:color w:val="auto"/>
              </w:rPr>
              <w:t></w:t>
            </w:r>
            <w:r>
              <w:rPr>
                <w:rFonts w:ascii="宋体" w:hAnsi="宋体" w:cs="宋体"/>
                <w:color w:val="auto"/>
              </w:rPr>
              <w:t>模板编辑器：可以简单、方便、可视化操作设计模板。支持病历段落章节、问题、问题组内容属性的维护。可视化的问题间逻辑关系操作方式。可维护需要生成的结构化病历内容。。</w:t>
            </w:r>
          </w:p>
          <w:p w14:paraId="0599FF72">
            <w:pPr>
              <w:numPr>
                <w:ilvl w:val="0"/>
                <w:numId w:val="1"/>
              </w:numPr>
              <w:rPr>
                <w:color w:val="auto"/>
              </w:rPr>
            </w:pPr>
            <w:r>
              <w:rPr>
                <w:rFonts w:ascii="Wingdings" w:hAnsi="Wingdings" w:cs="Wingdings"/>
                <w:color w:val="auto"/>
              </w:rPr>
              <w:t></w:t>
            </w:r>
            <w:r>
              <w:rPr>
                <w:rFonts w:ascii="宋体" w:hAnsi="宋体" w:cs="宋体"/>
                <w:color w:val="auto"/>
              </w:rPr>
              <w:t>医学量表：可针对患者自身主观情况进行医</w:t>
            </w:r>
            <w:bookmarkStart w:id="0" w:name="_GoBack"/>
            <w:bookmarkEnd w:id="0"/>
            <w:r>
              <w:rPr>
                <w:rFonts w:ascii="宋体" w:hAnsi="宋体" w:cs="宋体"/>
                <w:color w:val="auto"/>
              </w:rPr>
              <w:t>学量表评测或问卷采集，最终得出评测结果，并同步给医生使用和参考。</w:t>
            </w:r>
          </w:p>
          <w:p w14:paraId="7FE96AB0">
            <w:pPr>
              <w:numPr>
                <w:ilvl w:val="0"/>
                <w:numId w:val="1"/>
              </w:numPr>
              <w:rPr>
                <w:rFonts w:ascii="宋体" w:hAnsi="宋体" w:cs="宋体"/>
                <w:bCs/>
                <w:color w:val="auto"/>
                <w:szCs w:val="21"/>
              </w:rPr>
            </w:pPr>
            <w:r>
              <w:rPr>
                <w:rFonts w:ascii="Wingdings" w:hAnsi="Wingdings" w:cs="Wingdings"/>
                <w:color w:val="auto"/>
              </w:rPr>
              <w:t></w:t>
            </w:r>
            <w:r>
              <w:rPr>
                <w:rFonts w:ascii="宋体" w:hAnsi="宋体" w:cs="宋体"/>
                <w:color w:val="auto"/>
              </w:rPr>
              <w:t>统计报表：可针对采集病历数、采集设备、模板使用量等维度进行图形化报表展示。可按照科室、日期等条件输出相关统计报表。</w:t>
            </w:r>
            <w:r>
              <w:rPr>
                <w:rFonts w:hint="eastAsia" w:ascii="宋体" w:hAnsi="宋体" w:cs="宋体"/>
                <w:bCs/>
                <w:color w:val="auto"/>
                <w:szCs w:val="21"/>
              </w:rPr>
              <w:t>对患者基本病情进行了解；</w:t>
            </w:r>
          </w:p>
          <w:p w14:paraId="38AEDD9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支持对接体征采集设备的对接，采集患者体征，并在病历创建时自动引用体征数据，方便医生获取患者就诊信息；</w:t>
            </w:r>
          </w:p>
          <w:p w14:paraId="2776F8C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提供生命体征页面，既可以查看已采集的患者体征数据，也可手动补充体征数据；针对血糖、血酮提供趋势图分析患者体征数据变化情况；</w:t>
            </w:r>
          </w:p>
          <w:p w14:paraId="1A33338E">
            <w:pPr>
              <w:numPr>
                <w:ilvl w:val="0"/>
                <w:numId w:val="1"/>
              </w:numPr>
              <w:tabs>
                <w:tab w:val="left" w:pos="525"/>
                <w:tab w:val="left" w:pos="630"/>
              </w:tabs>
              <w:spacing w:line="360" w:lineRule="auto"/>
              <w:rPr>
                <w:rFonts w:ascii="宋体" w:hAnsi="宋体" w:cs="宋体"/>
                <w:color w:val="auto"/>
                <w:kern w:val="0"/>
                <w:szCs w:val="21"/>
              </w:rPr>
            </w:pPr>
            <w:r>
              <w:rPr>
                <w:rFonts w:hint="eastAsia" w:ascii="宋体" w:hAnsi="宋体" w:cs="宋体"/>
                <w:bCs/>
                <w:color w:val="auto"/>
                <w:szCs w:val="21"/>
              </w:rPr>
              <w:t>支持发热患者自动触发发热病人登记。</w:t>
            </w:r>
          </w:p>
          <w:p w14:paraId="7F2261A4">
            <w:pPr>
              <w:numPr>
                <w:ilvl w:val="0"/>
                <w:numId w:val="1"/>
              </w:numPr>
              <w:tabs>
                <w:tab w:val="left" w:pos="525"/>
                <w:tab w:val="left" w:pos="630"/>
              </w:tabs>
              <w:spacing w:line="360" w:lineRule="auto"/>
              <w:rPr>
                <w:color w:val="auto"/>
              </w:rPr>
            </w:pPr>
            <w:r>
              <w:rPr>
                <w:rFonts w:hint="eastAsia" w:ascii="宋体" w:hAnsi="宋体" w:cs="宋体"/>
                <w:bCs/>
                <w:color w:val="auto"/>
                <w:szCs w:val="21"/>
              </w:rPr>
              <w:t>由医院协调互联网医院厂商提供接口，在互联网医院厂商配合的前提下，实现内嵌互联网医院的功能，增加互联网患者队列，出诊医师登录医生工作站默认开启线上问诊模式，在医生工作站能同步接诊互联网患者，内嵌互联网医院的问诊功能，实现医生工作站能同步接诊线上以及线下的患者。</w:t>
            </w:r>
          </w:p>
        </w:tc>
      </w:tr>
    </w:tbl>
    <w:p w14:paraId="1424E6D7">
      <w:pPr>
        <w:rPr>
          <w:color w:val="auto"/>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E1D60"/>
    <w:multiLevelType w:val="multilevel"/>
    <w:tmpl w:val="1A1E1D60"/>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70F36FAA"/>
    <w:multiLevelType w:val="multilevel"/>
    <w:tmpl w:val="70F36FAA"/>
    <w:lvl w:ilvl="0" w:tentative="0">
      <w:start w:val="1"/>
      <w:numFmt w:val="decimal"/>
      <w:lvlText w:val="%1"/>
      <w:lvlJc w:val="left"/>
      <w:pPr>
        <w:ind w:left="425" w:hanging="425"/>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F0B"/>
    <w:rsid w:val="001A3565"/>
    <w:rsid w:val="006D1721"/>
    <w:rsid w:val="006E3A50"/>
    <w:rsid w:val="00767D2C"/>
    <w:rsid w:val="00927756"/>
    <w:rsid w:val="00A81109"/>
    <w:rsid w:val="00B74F0B"/>
    <w:rsid w:val="00C66BCF"/>
    <w:rsid w:val="00FA0046"/>
    <w:rsid w:val="27FA5BEE"/>
    <w:rsid w:val="350607E9"/>
    <w:rsid w:val="506B379F"/>
    <w:rsid w:val="57A3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2E75B6"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E75B6"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2E75B6"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2E75B6"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2E75B6"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2E75B6"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0"/>
    <w:semiHidden/>
    <w:qFormat/>
    <w:uiPriority w:val="99"/>
    <w:pPr>
      <w:autoSpaceDE w:val="0"/>
      <w:autoSpaceDN w:val="0"/>
      <w:adjustRightInd w:val="0"/>
      <w:jc w:val="left"/>
      <w:textAlignment w:val="baseline"/>
    </w:pPr>
    <w:rPr>
      <w:rFonts w:ascii="宋体"/>
      <w:kern w:val="0"/>
      <w:sz w:val="34"/>
      <w:szCs w:val="20"/>
    </w:rPr>
  </w:style>
  <w:style w:type="paragraph" w:styleId="12">
    <w:name w:val="footer"/>
    <w:basedOn w:val="1"/>
    <w:link w:val="39"/>
    <w:unhideWhenUsed/>
    <w:qFormat/>
    <w:uiPriority w:val="99"/>
    <w:pPr>
      <w:tabs>
        <w:tab w:val="center" w:pos="4153"/>
        <w:tab w:val="right" w:pos="8306"/>
      </w:tabs>
      <w:snapToGrid w:val="0"/>
      <w:jc w:val="left"/>
    </w:pPr>
    <w:rPr>
      <w:sz w:val="18"/>
      <w:szCs w:val="18"/>
    </w:rPr>
  </w:style>
  <w:style w:type="paragraph" w:styleId="13">
    <w:name w:val="header"/>
    <w:basedOn w:val="1"/>
    <w:link w:val="38"/>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7">
    <w:name w:val="Table Grid"/>
    <w:basedOn w:val="1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qFormat/>
    <w:uiPriority w:val="99"/>
    <w:rPr>
      <w:sz w:val="21"/>
      <w:szCs w:val="21"/>
    </w:rPr>
  </w:style>
  <w:style w:type="character" w:customStyle="1" w:styleId="20">
    <w:name w:val="标题 1 字符"/>
    <w:basedOn w:val="18"/>
    <w:link w:val="2"/>
    <w:qFormat/>
    <w:uiPriority w:val="9"/>
    <w:rPr>
      <w:rFonts w:asciiTheme="majorHAnsi" w:hAnsiTheme="majorHAnsi" w:eastAsiaTheme="majorEastAsia" w:cstheme="majorBidi"/>
      <w:color w:val="2E75B6" w:themeColor="accent1" w:themeShade="BF"/>
      <w:sz w:val="48"/>
      <w:szCs w:val="48"/>
    </w:rPr>
  </w:style>
  <w:style w:type="character" w:customStyle="1" w:styleId="21">
    <w:name w:val="标题 2 字符"/>
    <w:basedOn w:val="18"/>
    <w:link w:val="3"/>
    <w:semiHidden/>
    <w:qFormat/>
    <w:uiPriority w:val="9"/>
    <w:rPr>
      <w:rFonts w:asciiTheme="majorHAnsi" w:hAnsiTheme="majorHAnsi" w:eastAsiaTheme="majorEastAsia" w:cstheme="majorBidi"/>
      <w:color w:val="2E75B6" w:themeColor="accent1" w:themeShade="BF"/>
      <w:sz w:val="40"/>
      <w:szCs w:val="40"/>
    </w:rPr>
  </w:style>
  <w:style w:type="character" w:customStyle="1" w:styleId="22">
    <w:name w:val="标题 3 字符"/>
    <w:basedOn w:val="18"/>
    <w:link w:val="4"/>
    <w:semiHidden/>
    <w:qFormat/>
    <w:uiPriority w:val="9"/>
    <w:rPr>
      <w:rFonts w:asciiTheme="majorHAnsi" w:hAnsiTheme="majorHAnsi" w:eastAsiaTheme="majorEastAsia" w:cstheme="majorBidi"/>
      <w:color w:val="2E75B6" w:themeColor="accent1" w:themeShade="BF"/>
      <w:sz w:val="32"/>
      <w:szCs w:val="32"/>
    </w:rPr>
  </w:style>
  <w:style w:type="character" w:customStyle="1" w:styleId="23">
    <w:name w:val="标题 4 字符"/>
    <w:basedOn w:val="18"/>
    <w:link w:val="5"/>
    <w:semiHidden/>
    <w:qFormat/>
    <w:uiPriority w:val="9"/>
    <w:rPr>
      <w:rFonts w:cstheme="majorBidi"/>
      <w:color w:val="2E75B6" w:themeColor="accent1" w:themeShade="BF"/>
      <w:sz w:val="28"/>
      <w:szCs w:val="28"/>
    </w:rPr>
  </w:style>
  <w:style w:type="character" w:customStyle="1" w:styleId="24">
    <w:name w:val="标题 5 字符"/>
    <w:basedOn w:val="18"/>
    <w:link w:val="6"/>
    <w:semiHidden/>
    <w:qFormat/>
    <w:uiPriority w:val="9"/>
    <w:rPr>
      <w:rFonts w:cstheme="majorBidi"/>
      <w:color w:val="2E75B6" w:themeColor="accent1" w:themeShade="BF"/>
      <w:sz w:val="24"/>
      <w:szCs w:val="24"/>
    </w:rPr>
  </w:style>
  <w:style w:type="character" w:customStyle="1" w:styleId="25">
    <w:name w:val="标题 6 字符"/>
    <w:basedOn w:val="18"/>
    <w:link w:val="7"/>
    <w:semiHidden/>
    <w:qFormat/>
    <w:uiPriority w:val="9"/>
    <w:rPr>
      <w:rFonts w:cstheme="majorBidi"/>
      <w:b/>
      <w:bCs/>
      <w:color w:val="2E75B6" w:themeColor="accent1" w:themeShade="BF"/>
    </w:rPr>
  </w:style>
  <w:style w:type="character" w:customStyle="1" w:styleId="26">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8"/>
    <w:link w:val="15"/>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2E75B6" w:themeColor="accent1" w:themeShade="BF"/>
    </w:rPr>
  </w:style>
  <w:style w:type="paragraph" w:styleId="35">
    <w:name w:val="Intense Quote"/>
    <w:basedOn w:val="1"/>
    <w:next w:val="1"/>
    <w:link w:val="36"/>
    <w:qFormat/>
    <w:uiPriority w:val="30"/>
    <w:pPr>
      <w:pBdr>
        <w:top w:val="single" w:color="2E75B5" w:themeColor="accent1" w:themeShade="BF" w:sz="4" w:space="10"/>
        <w:bottom w:val="single" w:color="2E75B5" w:themeColor="accent1" w:themeShade="BF" w:sz="4" w:space="10"/>
      </w:pBdr>
      <w:spacing w:before="360" w:after="360"/>
      <w:ind w:left="864" w:right="864"/>
      <w:jc w:val="center"/>
    </w:pPr>
    <w:rPr>
      <w:i/>
      <w:iCs/>
      <w:color w:val="2E75B6" w:themeColor="accent1" w:themeShade="BF"/>
    </w:rPr>
  </w:style>
  <w:style w:type="character" w:customStyle="1" w:styleId="36">
    <w:name w:val="明显引用 字符"/>
    <w:basedOn w:val="18"/>
    <w:link w:val="35"/>
    <w:qFormat/>
    <w:uiPriority w:val="30"/>
    <w:rPr>
      <w:i/>
      <w:iCs/>
      <w:color w:val="2E75B6" w:themeColor="accent1" w:themeShade="BF"/>
    </w:rPr>
  </w:style>
  <w:style w:type="character" w:customStyle="1" w:styleId="37">
    <w:name w:val="Intense Reference"/>
    <w:basedOn w:val="18"/>
    <w:qFormat/>
    <w:uiPriority w:val="32"/>
    <w:rPr>
      <w:b/>
      <w:bCs/>
      <w:smallCaps/>
      <w:color w:val="2E75B6" w:themeColor="accent1" w:themeShade="BF"/>
      <w:spacing w:val="5"/>
    </w:rPr>
  </w:style>
  <w:style w:type="character" w:customStyle="1" w:styleId="38">
    <w:name w:val="页眉 字符"/>
    <w:basedOn w:val="18"/>
    <w:link w:val="13"/>
    <w:qFormat/>
    <w:uiPriority w:val="99"/>
    <w:rPr>
      <w:sz w:val="18"/>
      <w:szCs w:val="18"/>
    </w:rPr>
  </w:style>
  <w:style w:type="character" w:customStyle="1" w:styleId="39">
    <w:name w:val="页脚 字符"/>
    <w:basedOn w:val="18"/>
    <w:link w:val="12"/>
    <w:qFormat/>
    <w:uiPriority w:val="99"/>
    <w:rPr>
      <w:sz w:val="18"/>
      <w:szCs w:val="18"/>
    </w:rPr>
  </w:style>
  <w:style w:type="character" w:customStyle="1" w:styleId="40">
    <w:name w:val="批注文字 字符"/>
    <w:basedOn w:val="18"/>
    <w:link w:val="11"/>
    <w:semiHidden/>
    <w:qFormat/>
    <w:uiPriority w:val="99"/>
    <w:rPr>
      <w:rFonts w:ascii="宋体" w:hAnsi="Calibri" w:eastAsia="宋体" w:cs="Times New Roman"/>
      <w:kern w:val="0"/>
      <w:sz w:val="3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1344</Words>
  <Characters>1350</Characters>
  <Lines>33</Lines>
  <Paragraphs>34</Paragraphs>
  <TotalTime>10</TotalTime>
  <ScaleCrop>false</ScaleCrop>
  <LinksUpToDate>false</LinksUpToDate>
  <CharactersWithSpaces>1356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2025-08-25T00:39:00Z</dcterms:created>
  <dc:creator>墨 朱</dc:creator>
  <cp:lastModifiedBy>V</cp:lastModifiedBy>
  <dcterms:modified xsi:type="dcterms:W3CDTF">2025-10-24T01:17:21Z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eyJoZGlkIjoiZmEzYTNiOTFiZjA2NTcxMzk4MGVkMzdlNGQwOTAwZmEiLCJ1c2VySWQiOiI0NTA5ODQyODEifQ==</vt:lpwstr>
  </property>
  <property fmtid="{D5CDD505-2E9C-101B-9397-08002B2CF9AE}" pid="3" name="KSOProductBuildVer">
    <vt:lpwstr>2052-12.1.0.22529</vt:lpwstr>
  </property>
  <property fmtid="{D5CDD505-2E9C-101B-9397-08002B2CF9AE}" pid="4" name="ICV">
    <vt:lpwstr>C60E8BFDA94248408B999DB639190BB2_13</vt:lpwstr>
  </property>
</Properties>
</file>