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B48EC">
      <w:pPr>
        <w:pStyle w:val="2"/>
        <w:jc w:val="center"/>
        <w:rPr>
          <w:rFonts w:hint="eastAsia" w:ascii="宋体" w:hAnsi="宋体" w:eastAsia="宋体" w:cstheme="majorEastAsia"/>
          <w:b/>
          <w:bCs/>
          <w:color w:val="auto"/>
          <w:kern w:val="0"/>
          <w:sz w:val="44"/>
          <w:szCs w:val="44"/>
          <w:lang w:val="en-US" w:eastAsia="zh-CN" w:bidi="ar-SA"/>
        </w:rPr>
      </w:pPr>
      <w:r>
        <w:rPr>
          <w:rFonts w:hint="eastAsia" w:ascii="宋体" w:hAnsi="宋体" w:cstheme="majorEastAsia"/>
          <w:color w:val="auto"/>
          <w:sz w:val="44"/>
          <w:szCs w:val="44"/>
          <w:lang w:val="en-US" w:eastAsia="zh-CN"/>
        </w:rPr>
        <w:t>认知康复训练与评估软件（脑健康与认知障碍测评系统)</w:t>
      </w:r>
      <w:r>
        <w:rPr>
          <w:rFonts w:hint="eastAsia" w:ascii="宋体" w:hAnsi="宋体" w:eastAsia="宋体" w:cstheme="majorEastAsia"/>
          <w:b/>
          <w:bCs/>
          <w:color w:val="auto"/>
          <w:kern w:val="0"/>
          <w:sz w:val="44"/>
          <w:szCs w:val="44"/>
          <w:lang w:val="en-US" w:eastAsia="zh-CN" w:bidi="ar-SA"/>
        </w:rPr>
        <w:t>需求书</w:t>
      </w:r>
    </w:p>
    <w:p w14:paraId="4E1064C6">
      <w:pPr>
        <w:pStyle w:val="2"/>
        <w:numPr>
          <w:ilvl w:val="0"/>
          <w:numId w:val="1"/>
        </w:numPr>
        <w:bidi w:val="0"/>
        <w:rPr>
          <w:rFonts w:hint="eastAsia"/>
          <w:sz w:val="32"/>
          <w:szCs w:val="32"/>
          <w:lang w:val="en-US" w:eastAsia="zh-CN"/>
        </w:rPr>
      </w:pPr>
      <w:r>
        <w:rPr>
          <w:rFonts w:hint="eastAsia"/>
          <w:sz w:val="32"/>
          <w:szCs w:val="32"/>
          <w:lang w:val="en-US" w:eastAsia="zh-CN"/>
        </w:rPr>
        <w:t>项目基本概况：</w:t>
      </w:r>
    </w:p>
    <w:p w14:paraId="5F39B520">
      <w:pPr>
        <w:pStyle w:val="14"/>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Tahoma"/>
          <w:kern w:val="0"/>
          <w:sz w:val="24"/>
        </w:rPr>
      </w:pPr>
      <w:r>
        <w:rPr>
          <w:rFonts w:hint="eastAsia" w:ascii="宋体" w:hAnsi="宋体" w:cs="宋体"/>
          <w:sz w:val="24"/>
        </w:rPr>
        <w:t>随着我国向老龄化社会的加速演进，为贯彻落实党的二十大精神，更好地开展面向民众全生命周期的脑健康管理，积极预防重大神经精神系统疾病，国家中医药管理局中医脑健康与认知障碍防治办公室，组织各省开展中医脑健康与认知障碍防治试点单位建设项目。我院脑病科积极参与项目，进一步促进我省脑科学的发展，为广大老年认知患者及潜在的认知障碍人群提供高水平的服务，引领我省老年脑认知临床、科研的发展。科室拟部署中医脑健康与认知障碍防治试点单位，参与多中心协作，共同推动中医脑健康与认知障碍规范化诊疗的标准制定、专业人才培养、健康知识普及、技术创新、成果转化应用等工作，成为全国脑健康有效检测、康复训练、科普教育融合的实践范本。更好地带动临床科研的发展，促进人才队伍建设，加速科研课题申报和学术论文发表。</w:t>
      </w:r>
      <w:r>
        <w:rPr>
          <w:rFonts w:hint="eastAsia" w:ascii="宋体" w:hAnsi="宋体" w:cs="Tahoma"/>
          <w:kern w:val="0"/>
          <w:sz w:val="24"/>
        </w:rPr>
        <w:t>将以此次项目为契机，通过引进认知功能康复训练与评估软件，规范中西医特色认知障碍诊疗体系，强化专科医务队伍建设和认知障碍疾病管理，助力科研成果转化，增强医院认知障碍学科发展的综合竞争力，提升医院的整体经济效益，使认知障碍患者及家庭获益。</w:t>
      </w:r>
    </w:p>
    <w:p w14:paraId="300F8FB1">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目前已有的脑健康认知障碍检测方案通常采用成套神经心理学测验，存在诸多不便；而目前市场上的众多大脑训练程序在内容、形式、难度等方面较为死板，针对性不强，并且无法根据训练者认知功能损伤程度、疾病进程及康复期认知提升状况进行及时调整。</w:t>
      </w:r>
    </w:p>
    <w:p w14:paraId="1B3CA3DC">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此次所需认知功能康复训练与评估软件可实现认知障碍及痴呆相关疾病的科研管理、筛查预警，需具备以下优点。</w:t>
      </w:r>
    </w:p>
    <w:p w14:paraId="5C71B401">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（1）检测内容科学性：采用灵敏度高（依据中国人群常模标准精准分析）的认知测验评估大脑认知功能，生成科学专业的脑健康体检报告。</w:t>
      </w:r>
    </w:p>
    <w:p w14:paraId="6E8BB228">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（2）操作智能化：通过移动端的设置，操作简单，便于存储和管理数据，可以及时更新现有数据和查看检测报告。</w:t>
      </w:r>
    </w:p>
    <w:p w14:paraId="5041FFF2">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sz w:val="24"/>
        </w:rPr>
        <w:t>（3）信息连通性：收集分析被试数据，为科研管理人员提供丰富的参考信息，帮助其管理被试健康档案，实时掌握脑健康指数。</w:t>
      </w:r>
    </w:p>
    <w:p w14:paraId="0B650B85">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lang w:val="en-US" w:eastAsia="zh-CN"/>
        </w:rPr>
      </w:pPr>
      <w:r>
        <w:rPr>
          <w:rFonts w:hint="eastAsia" w:ascii="宋体" w:hAnsi="宋体" w:cs="宋体"/>
          <w:sz w:val="24"/>
        </w:rPr>
        <w:t>（4）测评高效性：测评系统分级设定，初步测评应在10分钟以内，可智能评估认知功能水平、精神情绪状态，精准预警脑健康疾病患病风险。</w:t>
      </w:r>
    </w:p>
    <w:p w14:paraId="07ABB363">
      <w:pPr>
        <w:pStyle w:val="2"/>
        <w:numPr>
          <w:ilvl w:val="0"/>
          <w:numId w:val="1"/>
        </w:numPr>
        <w:bidi w:val="0"/>
        <w:rPr>
          <w:rFonts w:hint="eastAsia"/>
          <w:lang w:val="en-US" w:eastAsia="zh-CN"/>
        </w:rPr>
      </w:pPr>
      <w:r>
        <w:rPr>
          <w:rFonts w:hint="eastAsia"/>
          <w:sz w:val="32"/>
          <w:szCs w:val="32"/>
          <w:lang w:val="en-US" w:eastAsia="zh-CN"/>
        </w:rPr>
        <w:t>项目采购标的清单：</w:t>
      </w:r>
    </w:p>
    <w:tbl>
      <w:tblPr>
        <w:tblStyle w:val="10"/>
        <w:tblW w:w="5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90"/>
        <w:gridCol w:w="724"/>
        <w:gridCol w:w="635"/>
        <w:gridCol w:w="1341"/>
        <w:gridCol w:w="2364"/>
      </w:tblGrid>
      <w:tr w14:paraId="732FF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33" w:type="pct"/>
            <w:shd w:val="clear" w:color="auto" w:fill="E7E6E6" w:themeFill="background2"/>
            <w:vAlign w:val="center"/>
          </w:tcPr>
          <w:p w14:paraId="692CCED4">
            <w:pPr>
              <w:rPr>
                <w:rFonts w:ascii="宋体" w:hAnsi="宋体"/>
                <w:b/>
                <w:bCs/>
                <w:color w:val="auto"/>
                <w:kern w:val="0"/>
                <w:sz w:val="24"/>
                <w:szCs w:val="24"/>
              </w:rPr>
            </w:pPr>
            <w:r>
              <w:rPr>
                <w:rFonts w:hint="eastAsia" w:ascii="宋体" w:hAnsi="宋体"/>
                <w:b/>
                <w:bCs/>
                <w:color w:val="auto"/>
                <w:kern w:val="0"/>
                <w:sz w:val="24"/>
                <w:szCs w:val="24"/>
              </w:rPr>
              <w:t>序号</w:t>
            </w:r>
          </w:p>
        </w:tc>
        <w:tc>
          <w:tcPr>
            <w:tcW w:w="1158" w:type="pct"/>
            <w:shd w:val="clear" w:color="auto" w:fill="E7E6E6" w:themeFill="background2"/>
            <w:vAlign w:val="center"/>
          </w:tcPr>
          <w:p w14:paraId="5561D59D">
            <w:pPr>
              <w:jc w:val="center"/>
              <w:rPr>
                <w:rFonts w:ascii="宋体" w:hAnsi="宋体"/>
                <w:b/>
                <w:bCs/>
                <w:color w:val="auto"/>
                <w:kern w:val="0"/>
                <w:sz w:val="24"/>
                <w:szCs w:val="24"/>
              </w:rPr>
            </w:pPr>
            <w:r>
              <w:rPr>
                <w:rFonts w:hint="eastAsia" w:ascii="宋体" w:hAnsi="宋体"/>
                <w:b/>
                <w:bCs/>
                <w:color w:val="auto"/>
                <w:kern w:val="0"/>
                <w:sz w:val="24"/>
                <w:szCs w:val="24"/>
              </w:rPr>
              <w:t>功能模块</w:t>
            </w:r>
          </w:p>
        </w:tc>
        <w:tc>
          <w:tcPr>
            <w:tcW w:w="401" w:type="pct"/>
            <w:shd w:val="clear" w:color="auto" w:fill="E7E6E6" w:themeFill="background2"/>
            <w:vAlign w:val="center"/>
          </w:tcPr>
          <w:p w14:paraId="3FA42507">
            <w:pPr>
              <w:jc w:val="center"/>
              <w:rPr>
                <w:rFonts w:ascii="宋体" w:hAnsi="宋体"/>
                <w:b/>
                <w:bCs/>
                <w:color w:val="auto"/>
                <w:kern w:val="0"/>
                <w:sz w:val="24"/>
                <w:szCs w:val="24"/>
              </w:rPr>
            </w:pPr>
            <w:r>
              <w:rPr>
                <w:rFonts w:hint="eastAsia" w:ascii="宋体" w:hAnsi="宋体"/>
                <w:b/>
                <w:bCs/>
                <w:color w:val="auto"/>
                <w:kern w:val="0"/>
                <w:sz w:val="24"/>
                <w:szCs w:val="24"/>
              </w:rPr>
              <w:t>数量</w:t>
            </w:r>
          </w:p>
        </w:tc>
        <w:tc>
          <w:tcPr>
            <w:tcW w:w="352" w:type="pct"/>
            <w:shd w:val="clear" w:color="auto" w:fill="E7E6E6" w:themeFill="background2"/>
            <w:vAlign w:val="center"/>
          </w:tcPr>
          <w:p w14:paraId="6602DCBC">
            <w:pPr>
              <w:jc w:val="center"/>
              <w:rPr>
                <w:rFonts w:ascii="宋体" w:hAnsi="宋体"/>
                <w:b/>
                <w:bCs/>
                <w:color w:val="auto"/>
                <w:kern w:val="0"/>
                <w:sz w:val="24"/>
                <w:szCs w:val="24"/>
              </w:rPr>
            </w:pPr>
            <w:r>
              <w:rPr>
                <w:rFonts w:hint="eastAsia" w:ascii="宋体" w:hAnsi="宋体"/>
                <w:b/>
                <w:bCs/>
                <w:color w:val="auto"/>
                <w:kern w:val="0"/>
                <w:sz w:val="24"/>
                <w:szCs w:val="24"/>
              </w:rPr>
              <w:t>单位</w:t>
            </w:r>
          </w:p>
        </w:tc>
        <w:tc>
          <w:tcPr>
            <w:tcW w:w="743" w:type="pct"/>
            <w:shd w:val="clear" w:color="auto" w:fill="E7E6E6" w:themeFill="background2"/>
            <w:vAlign w:val="center"/>
          </w:tcPr>
          <w:p w14:paraId="1F7CF32E">
            <w:pPr>
              <w:jc w:val="center"/>
              <w:rPr>
                <w:rFonts w:ascii="宋体" w:hAnsi="宋体"/>
                <w:b/>
                <w:bCs/>
                <w:color w:val="auto"/>
                <w:kern w:val="0"/>
                <w:sz w:val="24"/>
                <w:szCs w:val="24"/>
              </w:rPr>
            </w:pPr>
            <w:r>
              <w:rPr>
                <w:rFonts w:hint="eastAsia" w:ascii="宋体" w:hAnsi="宋体"/>
                <w:b/>
                <w:bCs/>
                <w:color w:val="auto"/>
                <w:kern w:val="0"/>
                <w:sz w:val="24"/>
                <w:szCs w:val="24"/>
              </w:rPr>
              <w:t>预算金额（必填）</w:t>
            </w:r>
          </w:p>
        </w:tc>
        <w:tc>
          <w:tcPr>
            <w:tcW w:w="1310" w:type="pct"/>
            <w:shd w:val="clear" w:color="auto" w:fill="E7E6E6" w:themeFill="background2"/>
            <w:vAlign w:val="center"/>
          </w:tcPr>
          <w:p w14:paraId="6A76C2C6">
            <w:pPr>
              <w:jc w:val="center"/>
              <w:rPr>
                <w:rFonts w:ascii="宋体" w:hAnsi="宋体"/>
                <w:b/>
                <w:bCs/>
                <w:color w:val="auto"/>
                <w:kern w:val="0"/>
                <w:sz w:val="24"/>
                <w:szCs w:val="24"/>
              </w:rPr>
            </w:pPr>
            <w:r>
              <w:rPr>
                <w:rFonts w:hint="eastAsia" w:ascii="宋体" w:hAnsi="宋体"/>
                <w:b/>
                <w:bCs/>
                <w:color w:val="auto"/>
                <w:kern w:val="0"/>
                <w:sz w:val="24"/>
                <w:szCs w:val="24"/>
              </w:rPr>
              <w:t>所属行业</w:t>
            </w:r>
          </w:p>
        </w:tc>
      </w:tr>
      <w:tr w14:paraId="75C82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33" w:type="pct"/>
            <w:vAlign w:val="center"/>
          </w:tcPr>
          <w:p w14:paraId="5E8EC4BF">
            <w:pPr>
              <w:jc w:val="center"/>
              <w:rPr>
                <w:rFonts w:hint="eastAsia" w:ascii="宋体" w:hAnsi="宋体"/>
                <w:color w:val="auto"/>
                <w:kern w:val="0"/>
                <w:sz w:val="24"/>
                <w:szCs w:val="24"/>
              </w:rPr>
            </w:pPr>
            <w:r>
              <w:rPr>
                <w:rFonts w:hint="eastAsia" w:ascii="宋体" w:hAnsi="宋体"/>
                <w:color w:val="auto"/>
                <w:kern w:val="0"/>
                <w:sz w:val="24"/>
                <w:szCs w:val="24"/>
              </w:rPr>
              <w:t>1</w:t>
            </w:r>
          </w:p>
        </w:tc>
        <w:tc>
          <w:tcPr>
            <w:tcW w:w="2090" w:type="dxa"/>
            <w:vAlign w:val="center"/>
          </w:tcPr>
          <w:p w14:paraId="1761A55C">
            <w:pPr>
              <w:jc w:val="center"/>
              <w:rPr>
                <w:rFonts w:hint="eastAsia" w:ascii="宋体" w:hAnsi="宋体"/>
                <w:color w:val="auto"/>
                <w:kern w:val="0"/>
                <w:sz w:val="24"/>
                <w:szCs w:val="24"/>
              </w:rPr>
            </w:pPr>
            <w:r>
              <w:rPr>
                <w:rFonts w:hint="eastAsia" w:ascii="宋体" w:hAnsi="宋体"/>
                <w:color w:val="auto"/>
                <w:kern w:val="0"/>
                <w:sz w:val="24"/>
                <w:szCs w:val="24"/>
              </w:rPr>
              <w:t>认知康复训练与评估软件</w:t>
            </w:r>
          </w:p>
          <w:p w14:paraId="24AC79C7">
            <w:pPr>
              <w:jc w:val="center"/>
              <w:rPr>
                <w:rFonts w:hint="default" w:ascii="宋体" w:hAnsi="宋体"/>
                <w:color w:val="auto"/>
                <w:kern w:val="0"/>
                <w:sz w:val="24"/>
                <w:szCs w:val="24"/>
                <w:lang w:val="en-US" w:eastAsia="zh-CN"/>
              </w:rPr>
            </w:pPr>
            <w:r>
              <w:rPr>
                <w:rFonts w:hint="eastAsia" w:ascii="宋体" w:hAnsi="宋体"/>
                <w:color w:val="auto"/>
                <w:kern w:val="0"/>
                <w:sz w:val="24"/>
                <w:szCs w:val="24"/>
              </w:rPr>
              <w:t>（脑健康与认知障碍测评系统）</w:t>
            </w:r>
          </w:p>
        </w:tc>
        <w:tc>
          <w:tcPr>
            <w:tcW w:w="724" w:type="dxa"/>
            <w:vAlign w:val="center"/>
          </w:tcPr>
          <w:p w14:paraId="4310975C">
            <w:pPr>
              <w:jc w:val="center"/>
              <w:rPr>
                <w:rFonts w:hint="eastAsia" w:ascii="宋体" w:hAnsi="宋体"/>
                <w:color w:val="auto"/>
                <w:kern w:val="0"/>
                <w:sz w:val="24"/>
                <w:szCs w:val="24"/>
              </w:rPr>
            </w:pPr>
            <w:r>
              <w:rPr>
                <w:rFonts w:hint="eastAsia" w:ascii="宋体" w:hAnsi="宋体"/>
                <w:color w:val="auto"/>
                <w:kern w:val="0"/>
                <w:sz w:val="24"/>
                <w:szCs w:val="24"/>
              </w:rPr>
              <w:t>1</w:t>
            </w:r>
          </w:p>
        </w:tc>
        <w:tc>
          <w:tcPr>
            <w:tcW w:w="635" w:type="dxa"/>
            <w:vAlign w:val="center"/>
          </w:tcPr>
          <w:p w14:paraId="159D17C1">
            <w:pPr>
              <w:jc w:val="center"/>
              <w:rPr>
                <w:rFonts w:hint="eastAsia" w:ascii="宋体" w:hAnsi="宋体"/>
                <w:color w:val="auto"/>
                <w:kern w:val="0"/>
                <w:sz w:val="24"/>
                <w:szCs w:val="24"/>
              </w:rPr>
            </w:pPr>
            <w:r>
              <w:rPr>
                <w:rFonts w:hint="eastAsia" w:ascii="宋体" w:hAnsi="宋体"/>
                <w:color w:val="auto"/>
                <w:kern w:val="0"/>
                <w:sz w:val="24"/>
                <w:szCs w:val="24"/>
              </w:rPr>
              <w:t>套</w:t>
            </w:r>
          </w:p>
        </w:tc>
        <w:tc>
          <w:tcPr>
            <w:tcW w:w="1341" w:type="dxa"/>
            <w:vAlign w:val="center"/>
          </w:tcPr>
          <w:p w14:paraId="3C8226C7">
            <w:pPr>
              <w:ind w:firstLine="240" w:firstLineChars="100"/>
              <w:jc w:val="both"/>
              <w:rPr>
                <w:rFonts w:hint="default" w:ascii="宋体" w:hAnsi="宋体" w:eastAsia="宋体"/>
                <w:color w:val="auto"/>
                <w:kern w:val="0"/>
                <w:sz w:val="24"/>
                <w:szCs w:val="24"/>
                <w:lang w:val="en-US" w:eastAsia="zh-CN"/>
              </w:rPr>
            </w:pPr>
          </w:p>
        </w:tc>
        <w:tc>
          <w:tcPr>
            <w:tcW w:w="1310" w:type="pct"/>
            <w:vAlign w:val="center"/>
          </w:tcPr>
          <w:p w14:paraId="12DE5712">
            <w:pPr>
              <w:jc w:val="center"/>
              <w:rPr>
                <w:rFonts w:ascii="宋体" w:hAnsi="宋体"/>
                <w:color w:val="auto"/>
                <w:kern w:val="0"/>
                <w:sz w:val="24"/>
                <w:szCs w:val="24"/>
              </w:rPr>
            </w:pPr>
            <w:r>
              <w:rPr>
                <w:rFonts w:hint="eastAsia" w:ascii="宋体" w:hAnsi="宋体"/>
                <w:color w:val="auto"/>
                <w:kern w:val="0"/>
                <w:sz w:val="24"/>
                <w:szCs w:val="24"/>
              </w:rPr>
              <w:t>软件和信息技术服务业</w:t>
            </w:r>
          </w:p>
        </w:tc>
      </w:tr>
      <w:tr w14:paraId="0D9B9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33" w:type="pct"/>
            <w:vAlign w:val="center"/>
          </w:tcPr>
          <w:p w14:paraId="18758717">
            <w:pPr>
              <w:jc w:val="center"/>
              <w:rPr>
                <w:rFonts w:hint="eastAsia" w:ascii="宋体" w:hAnsi="宋体"/>
                <w:color w:val="auto"/>
                <w:kern w:val="0"/>
                <w:sz w:val="24"/>
                <w:szCs w:val="24"/>
                <w:lang w:val="en-US" w:eastAsia="zh-CN"/>
              </w:rPr>
            </w:pPr>
            <w:r>
              <w:rPr>
                <w:rFonts w:hint="eastAsia" w:ascii="宋体" w:hAnsi="宋体"/>
                <w:color w:val="auto"/>
                <w:kern w:val="0"/>
                <w:sz w:val="24"/>
                <w:szCs w:val="24"/>
                <w:lang w:val="en-US" w:eastAsia="zh-CN"/>
              </w:rPr>
              <w:t>2</w:t>
            </w:r>
          </w:p>
        </w:tc>
        <w:tc>
          <w:tcPr>
            <w:tcW w:w="2090" w:type="dxa"/>
            <w:vAlign w:val="center"/>
          </w:tcPr>
          <w:p w14:paraId="7A4AF03E">
            <w:pPr>
              <w:jc w:val="center"/>
              <w:rPr>
                <w:rFonts w:hint="default" w:ascii="宋体" w:hAnsi="宋体"/>
                <w:color w:val="auto"/>
                <w:kern w:val="0"/>
                <w:sz w:val="24"/>
                <w:szCs w:val="24"/>
                <w:lang w:val="en-US" w:eastAsia="zh-CN"/>
              </w:rPr>
            </w:pPr>
            <w:r>
              <w:rPr>
                <w:rFonts w:hint="eastAsia" w:ascii="宋体" w:hAnsi="宋体"/>
                <w:color w:val="auto"/>
                <w:kern w:val="0"/>
                <w:sz w:val="24"/>
                <w:szCs w:val="24"/>
              </w:rPr>
              <w:t>测评专用移动设备端</w:t>
            </w:r>
          </w:p>
        </w:tc>
        <w:tc>
          <w:tcPr>
            <w:tcW w:w="724" w:type="dxa"/>
            <w:vAlign w:val="center"/>
          </w:tcPr>
          <w:p w14:paraId="6654845A">
            <w:pPr>
              <w:jc w:val="center"/>
              <w:rPr>
                <w:rFonts w:hint="eastAsia" w:ascii="宋体" w:hAnsi="宋体"/>
                <w:color w:val="auto"/>
                <w:kern w:val="0"/>
                <w:sz w:val="24"/>
                <w:szCs w:val="24"/>
                <w:lang w:val="en-US" w:eastAsia="zh-CN"/>
              </w:rPr>
            </w:pPr>
            <w:r>
              <w:rPr>
                <w:rFonts w:hint="eastAsia" w:ascii="宋体" w:hAnsi="宋体"/>
                <w:color w:val="auto"/>
                <w:kern w:val="0"/>
                <w:sz w:val="24"/>
                <w:szCs w:val="24"/>
              </w:rPr>
              <w:t>2</w:t>
            </w:r>
          </w:p>
        </w:tc>
        <w:tc>
          <w:tcPr>
            <w:tcW w:w="635" w:type="dxa"/>
            <w:vAlign w:val="center"/>
          </w:tcPr>
          <w:p w14:paraId="4C47DAB1">
            <w:pPr>
              <w:jc w:val="center"/>
              <w:rPr>
                <w:rFonts w:hint="eastAsia" w:ascii="宋体" w:hAnsi="宋体"/>
                <w:color w:val="auto"/>
                <w:kern w:val="0"/>
                <w:sz w:val="24"/>
                <w:szCs w:val="24"/>
                <w:lang w:val="en-US" w:eastAsia="zh-CN"/>
              </w:rPr>
            </w:pPr>
            <w:r>
              <w:rPr>
                <w:rFonts w:hint="eastAsia" w:ascii="宋体" w:hAnsi="宋体"/>
                <w:color w:val="auto"/>
                <w:kern w:val="0"/>
                <w:sz w:val="24"/>
                <w:szCs w:val="24"/>
              </w:rPr>
              <w:t>台</w:t>
            </w:r>
          </w:p>
        </w:tc>
        <w:tc>
          <w:tcPr>
            <w:tcW w:w="1341" w:type="dxa"/>
            <w:vAlign w:val="center"/>
          </w:tcPr>
          <w:p w14:paraId="19853F50">
            <w:pPr>
              <w:jc w:val="center"/>
              <w:rPr>
                <w:rFonts w:hint="default" w:ascii="宋体" w:hAnsi="宋体" w:eastAsia="宋体"/>
                <w:color w:val="auto"/>
                <w:kern w:val="0"/>
                <w:sz w:val="24"/>
                <w:szCs w:val="24"/>
                <w:lang w:val="en-US" w:eastAsia="zh-CN"/>
              </w:rPr>
            </w:pPr>
          </w:p>
        </w:tc>
        <w:tc>
          <w:tcPr>
            <w:tcW w:w="1310" w:type="pct"/>
            <w:vAlign w:val="center"/>
          </w:tcPr>
          <w:p w14:paraId="04A232BF">
            <w:pPr>
              <w:jc w:val="center"/>
              <w:rPr>
                <w:rFonts w:hint="eastAsia" w:ascii="宋体" w:hAnsi="宋体"/>
                <w:color w:val="auto"/>
                <w:kern w:val="0"/>
                <w:sz w:val="24"/>
                <w:szCs w:val="24"/>
              </w:rPr>
            </w:pPr>
            <w:r>
              <w:rPr>
                <w:rFonts w:hint="eastAsia" w:ascii="宋体" w:hAnsi="宋体"/>
                <w:color w:val="auto"/>
                <w:kern w:val="0"/>
                <w:sz w:val="24"/>
                <w:szCs w:val="24"/>
              </w:rPr>
              <w:t>软件和信息技术服务业</w:t>
            </w:r>
          </w:p>
        </w:tc>
      </w:tr>
    </w:tbl>
    <w:p w14:paraId="5A99D965">
      <w:pPr>
        <w:pStyle w:val="6"/>
        <w:numPr>
          <w:ilvl w:val="0"/>
          <w:numId w:val="0"/>
        </w:numPr>
        <w:tabs>
          <w:tab w:val="left" w:pos="540"/>
        </w:tabs>
        <w:adjustRightInd w:val="0"/>
        <w:snapToGrid w:val="0"/>
        <w:spacing w:line="360" w:lineRule="auto"/>
        <w:ind w:leftChars="0"/>
        <w:rPr>
          <w:rFonts w:hint="eastAsia" w:ascii="宋体" w:hAnsi="宋体" w:eastAsia="宋体" w:cs="宋体"/>
          <w:b/>
          <w:color w:val="auto"/>
          <w:sz w:val="32"/>
          <w:szCs w:val="32"/>
          <w:highlight w:val="none"/>
        </w:rPr>
      </w:pPr>
    </w:p>
    <w:p w14:paraId="3504B44D">
      <w:pPr>
        <w:pStyle w:val="2"/>
        <w:numPr>
          <w:ilvl w:val="0"/>
          <w:numId w:val="1"/>
        </w:numPr>
        <w:bidi w:val="0"/>
        <w:rPr>
          <w:rFonts w:hint="eastAsia"/>
          <w:sz w:val="32"/>
          <w:szCs w:val="32"/>
          <w:lang w:val="en-US" w:eastAsia="zh-CN"/>
        </w:rPr>
      </w:pPr>
      <w:r>
        <w:rPr>
          <w:rFonts w:hint="eastAsia"/>
          <w:sz w:val="32"/>
          <w:szCs w:val="32"/>
          <w:lang w:val="en-US" w:eastAsia="zh-CN"/>
        </w:rPr>
        <w:t>技术要求-性能需求</w:t>
      </w:r>
    </w:p>
    <w:p w14:paraId="282C9BB2">
      <w:pPr>
        <w:bidi w:val="0"/>
        <w:spacing w:line="360" w:lineRule="auto"/>
        <w:ind w:firstLine="240" w:firstLine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.1 实现表现层（应用端）和控制层（管理端）的分离。</w:t>
      </w:r>
    </w:p>
    <w:p w14:paraId="05775DE5">
      <w:pPr>
        <w:bidi w:val="0"/>
        <w:spacing w:line="360" w:lineRule="auto"/>
        <w:ind w:firstLine="240" w:firstLine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.2 可操作性：系统界面简单美观，功能设计简洁合理，菜单按钮易辨认。</w:t>
      </w:r>
    </w:p>
    <w:p w14:paraId="28602C3C">
      <w:pPr>
        <w:bidi w:val="0"/>
        <w:spacing w:line="360" w:lineRule="auto"/>
        <w:ind w:left="479" w:leftChars="114" w:hanging="240" w:hanging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.3 高效性：用户登录系统用时≤3s，页面操作响应时间≤3s之内；报表统计分析操作响应时间≤5s。支持多端同时访问，可支持≥1000人并发访问（1000tps）。</w:t>
      </w:r>
    </w:p>
    <w:p w14:paraId="08746E72">
      <w:pPr>
        <w:bidi w:val="0"/>
        <w:spacing w:line="360" w:lineRule="auto"/>
        <w:ind w:left="479" w:leftChars="114" w:hanging="240" w:hanging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.4 系统兼容性：具备与第三方平台、系统的集成和整合能力，可接入医院体检管理系统。</w:t>
      </w:r>
    </w:p>
    <w:p w14:paraId="25C2CB86">
      <w:pPr>
        <w:bidi w:val="0"/>
        <w:spacing w:line="360" w:lineRule="auto"/>
        <w:ind w:left="479" w:leftChars="114" w:hanging="240" w:hanging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.5 安全性：具备包括数据加密、网络安全、应用安全和系统安全等层次的安全设计。要有管理员身份认证机制、数据加密机制。应使用国产密码加密系统（或同等效力的加密系统）对患者敏感个人信息数据的采集、存储、传输和使用进行加密，严禁明文传输。</w:t>
      </w:r>
    </w:p>
    <w:p w14:paraId="59A40636">
      <w:pPr>
        <w:bidi w:val="0"/>
        <w:spacing w:line="360" w:lineRule="auto"/>
        <w:ind w:left="479" w:leftChars="114" w:hanging="240" w:hanging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.6.可扩展性：信息系统采用B/S结构，系统要采用积木式结构，组件化设计，整体构架要考虑系统间的无缝连接，为系统扩展和集成留有扩充余量。</w:t>
      </w:r>
    </w:p>
    <w:p w14:paraId="1EE3522D">
      <w:pPr>
        <w:bidi w:val="0"/>
        <w:spacing w:line="360" w:lineRule="auto"/>
        <w:ind w:left="479" w:leftChars="114" w:hanging="240" w:hanging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.7.可维护性：系统管理模块定期进行数据备份、日志等管理维护。项目数据存储方式采取多重保障，包括：云存储、本地存储以及异地灾备等。</w:t>
      </w:r>
    </w:p>
    <w:p w14:paraId="4A17581F">
      <w:pPr>
        <w:bidi w:val="0"/>
        <w:spacing w:line="360" w:lineRule="auto"/>
        <w:ind w:left="479" w:leftChars="114" w:hanging="240" w:hangingChars="1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3</w:t>
      </w:r>
      <w:r>
        <w:rPr>
          <w:rFonts w:hint="eastAsia" w:ascii="宋体" w:hAnsi="宋体" w:eastAsia="宋体" w:cs="宋体"/>
          <w:kern w:val="2"/>
          <w:sz w:val="24"/>
          <w:szCs w:val="24"/>
          <w:lang w:val="en-US" w:eastAsia="zh-CN" w:bidi="ar-SA"/>
        </w:rPr>
        <w:t xml:space="preserve">.8.可靠性：系统必须正常稳定运行。系统平均年故障时间≤5天；具有较强的灾难恢复能力，平均故障修复时间少于24 小时。   </w:t>
      </w:r>
    </w:p>
    <w:p w14:paraId="41C74D06">
      <w:pPr>
        <w:pStyle w:val="6"/>
        <w:numPr>
          <w:ilvl w:val="0"/>
          <w:numId w:val="0"/>
        </w:numPr>
        <w:tabs>
          <w:tab w:val="left" w:pos="540"/>
        </w:tabs>
        <w:adjustRightInd w:val="0"/>
        <w:snapToGrid w:val="0"/>
        <w:spacing w:line="360" w:lineRule="auto"/>
        <w:ind w:leftChars="0"/>
        <w:rPr>
          <w:rFonts w:hint="eastAsia" w:hAnsi="宋体" w:eastAsia="宋体" w:cs="宋体"/>
          <w:b/>
          <w:color w:val="auto"/>
          <w:sz w:val="32"/>
          <w:szCs w:val="32"/>
          <w:highlight w:val="none"/>
          <w:lang w:eastAsia="zh-CN"/>
        </w:rPr>
      </w:pPr>
    </w:p>
    <w:p w14:paraId="0F51E65E">
      <w:pPr>
        <w:pStyle w:val="2"/>
        <w:numPr>
          <w:ilvl w:val="0"/>
          <w:numId w:val="1"/>
        </w:numPr>
        <w:bidi w:val="0"/>
        <w:rPr>
          <w:rFonts w:hint="eastAsia"/>
          <w:sz w:val="32"/>
          <w:szCs w:val="32"/>
          <w:lang w:val="en-US" w:eastAsia="zh-CN"/>
        </w:rPr>
      </w:pPr>
      <w:r>
        <w:rPr>
          <w:rFonts w:hint="eastAsia"/>
          <w:sz w:val="32"/>
          <w:szCs w:val="32"/>
          <w:lang w:val="en-US" w:eastAsia="zh-CN"/>
        </w:rPr>
        <w:t>技术要求-功能需求</w:t>
      </w:r>
    </w:p>
    <w:tbl>
      <w:tblPr>
        <w:tblStyle w:val="10"/>
        <w:tblpPr w:leftFromText="180" w:rightFromText="180" w:vertAnchor="text" w:horzAnchor="page" w:tblpX="1773" w:tblpY="519"/>
        <w:tblOverlap w:val="never"/>
        <w:tblW w:w="8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360"/>
        <w:gridCol w:w="861"/>
        <w:gridCol w:w="5567"/>
      </w:tblGrid>
      <w:tr w14:paraId="2DD8E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846" w:type="dxa"/>
            <w:vAlign w:val="center"/>
          </w:tcPr>
          <w:p w14:paraId="4E2F282F">
            <w:pPr>
              <w:pStyle w:val="6"/>
              <w:tabs>
                <w:tab w:val="left" w:pos="420"/>
                <w:tab w:val="left" w:pos="540"/>
              </w:tabs>
              <w:adjustRightInd w:val="0"/>
              <w:snapToGrid w:val="0"/>
              <w:jc w:val="center"/>
              <w:rPr>
                <w:rFonts w:hint="default" w:hAnsi="宋体" w:eastAsia="宋体"/>
                <w:b/>
                <w:color w:val="auto"/>
                <w:kern w:val="0"/>
                <w:sz w:val="22"/>
                <w:szCs w:val="22"/>
                <w:lang w:val="en-US" w:eastAsia="zh-CN"/>
              </w:rPr>
            </w:pPr>
            <w:r>
              <w:rPr>
                <w:rFonts w:hint="eastAsia" w:hAnsi="宋体" w:eastAsia="宋体"/>
                <w:b/>
                <w:color w:val="auto"/>
                <w:kern w:val="0"/>
                <w:sz w:val="22"/>
                <w:szCs w:val="22"/>
              </w:rPr>
              <w:t>序号</w:t>
            </w:r>
          </w:p>
        </w:tc>
        <w:tc>
          <w:tcPr>
            <w:tcW w:w="1360" w:type="dxa"/>
            <w:vAlign w:val="center"/>
          </w:tcPr>
          <w:p w14:paraId="49E3F25A">
            <w:pPr>
              <w:pStyle w:val="6"/>
              <w:tabs>
                <w:tab w:val="left" w:pos="420"/>
                <w:tab w:val="left" w:pos="540"/>
              </w:tabs>
              <w:adjustRightInd w:val="0"/>
              <w:snapToGrid w:val="0"/>
              <w:jc w:val="center"/>
              <w:rPr>
                <w:rFonts w:hint="default" w:hAnsi="宋体" w:eastAsia="宋体"/>
                <w:b/>
                <w:color w:val="auto"/>
                <w:kern w:val="0"/>
                <w:sz w:val="22"/>
                <w:szCs w:val="22"/>
                <w:lang w:val="en-US" w:eastAsia="zh-CN"/>
              </w:rPr>
            </w:pPr>
            <w:r>
              <w:rPr>
                <w:rFonts w:hint="eastAsia" w:hAnsi="宋体" w:eastAsia="宋体"/>
                <w:b/>
                <w:color w:val="auto"/>
                <w:kern w:val="0"/>
                <w:sz w:val="22"/>
                <w:szCs w:val="22"/>
              </w:rPr>
              <w:t>需求指标</w:t>
            </w:r>
          </w:p>
        </w:tc>
        <w:tc>
          <w:tcPr>
            <w:tcW w:w="6428" w:type="dxa"/>
            <w:gridSpan w:val="2"/>
            <w:vAlign w:val="center"/>
          </w:tcPr>
          <w:p w14:paraId="7D91EBE1">
            <w:pPr>
              <w:pStyle w:val="6"/>
              <w:tabs>
                <w:tab w:val="left" w:pos="420"/>
                <w:tab w:val="left" w:pos="540"/>
              </w:tabs>
              <w:adjustRightInd w:val="0"/>
              <w:snapToGrid w:val="0"/>
              <w:jc w:val="center"/>
              <w:rPr>
                <w:rFonts w:hint="default" w:hAnsi="宋体" w:eastAsia="宋体"/>
                <w:b/>
                <w:color w:val="auto"/>
                <w:kern w:val="0"/>
                <w:sz w:val="22"/>
                <w:szCs w:val="22"/>
                <w:lang w:val="en-US" w:eastAsia="zh-CN"/>
              </w:rPr>
            </w:pPr>
            <w:r>
              <w:rPr>
                <w:rFonts w:hint="eastAsia" w:hAnsi="宋体" w:eastAsia="宋体"/>
                <w:b/>
                <w:color w:val="auto"/>
                <w:kern w:val="0"/>
                <w:sz w:val="22"/>
                <w:szCs w:val="22"/>
              </w:rPr>
              <w:t>需求参数要求</w:t>
            </w:r>
          </w:p>
        </w:tc>
      </w:tr>
      <w:tr w14:paraId="6DC7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vAlign w:val="center"/>
          </w:tcPr>
          <w:p w14:paraId="6DA91186">
            <w:pPr>
              <w:pStyle w:val="6"/>
              <w:widowControl w:val="0"/>
              <w:numPr>
                <w:ilvl w:val="0"/>
                <w:numId w:val="0"/>
              </w:numPr>
              <w:tabs>
                <w:tab w:val="left" w:pos="540"/>
              </w:tabs>
              <w:adjustRightInd w:val="0"/>
              <w:snapToGrid w:val="0"/>
              <w:spacing w:line="360" w:lineRule="auto"/>
              <w:jc w:val="center"/>
              <w:rPr>
                <w:rFonts w:hint="default" w:hAnsi="宋体" w:eastAsia="宋体" w:cs="宋体"/>
                <w:b/>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1</w:t>
            </w:r>
          </w:p>
        </w:tc>
        <w:tc>
          <w:tcPr>
            <w:tcW w:w="1360" w:type="dxa"/>
            <w:vMerge w:val="restart"/>
            <w:vAlign w:val="center"/>
          </w:tcPr>
          <w:p w14:paraId="50DEF625">
            <w:pPr>
              <w:pStyle w:val="6"/>
              <w:widowControl w:val="0"/>
              <w:numPr>
                <w:ilvl w:val="0"/>
                <w:numId w:val="0"/>
              </w:numPr>
              <w:tabs>
                <w:tab w:val="left" w:pos="540"/>
              </w:tabs>
              <w:adjustRightInd w:val="0"/>
              <w:snapToGrid w:val="0"/>
              <w:spacing w:line="360" w:lineRule="auto"/>
              <w:jc w:val="center"/>
              <w:rPr>
                <w:rFonts w:hint="default" w:hAnsi="宋体" w:eastAsia="宋体" w:cs="宋体"/>
                <w:b/>
                <w:color w:val="auto"/>
                <w:sz w:val="22"/>
                <w:szCs w:val="22"/>
                <w:highlight w:val="none"/>
                <w:vertAlign w:val="baseline"/>
                <w:lang w:val="en-US" w:eastAsia="zh-CN"/>
              </w:rPr>
            </w:pPr>
            <w:r>
              <w:rPr>
                <w:rFonts w:hint="eastAsia" w:ascii="宋体" w:hAnsi="宋体" w:eastAsia="宋体" w:cs="宋体"/>
                <w:b w:val="0"/>
                <w:bCs w:val="0"/>
                <w:color w:val="auto"/>
                <w:sz w:val="22"/>
                <w:szCs w:val="22"/>
              </w:rPr>
              <w:t>医生管理</w:t>
            </w:r>
          </w:p>
        </w:tc>
        <w:tc>
          <w:tcPr>
            <w:tcW w:w="861" w:type="dxa"/>
            <w:vAlign w:val="center"/>
          </w:tcPr>
          <w:p w14:paraId="2583CF57">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w:t>
            </w:r>
          </w:p>
        </w:tc>
        <w:tc>
          <w:tcPr>
            <w:tcW w:w="5567" w:type="dxa"/>
          </w:tcPr>
          <w:p w14:paraId="3A189EAE">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r>
              <w:rPr>
                <w:rFonts w:hint="eastAsia" w:ascii="宋体" w:hAnsi="宋体" w:eastAsia="宋体" w:cs="宋体"/>
                <w:color w:val="auto"/>
                <w:sz w:val="22"/>
                <w:szCs w:val="22"/>
              </w:rPr>
              <w:t>可创建医生管理账号，开通医生权限设置：采用管理员、普通医生用户二级管理模式，支持自定义多个用户类型和用户角色，支持自定义设置部门管理</w:t>
            </w:r>
            <w:r>
              <w:rPr>
                <w:rFonts w:hint="eastAsia" w:ascii="宋体" w:hAnsi="宋体" w:eastAsia="宋体" w:cs="宋体"/>
                <w:color w:val="auto"/>
                <w:sz w:val="22"/>
                <w:szCs w:val="22"/>
                <w:lang w:eastAsia="zh-CN"/>
              </w:rPr>
              <w:t>。</w:t>
            </w:r>
          </w:p>
        </w:tc>
      </w:tr>
      <w:tr w14:paraId="7C64B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46" w:type="dxa"/>
            <w:vMerge w:val="continue"/>
          </w:tcPr>
          <w:p w14:paraId="0C08459F">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1360" w:type="dxa"/>
            <w:vMerge w:val="continue"/>
          </w:tcPr>
          <w:p w14:paraId="02B7EE67">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861" w:type="dxa"/>
            <w:vAlign w:val="center"/>
          </w:tcPr>
          <w:p w14:paraId="78AE80C5">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4.2</w:t>
            </w:r>
          </w:p>
        </w:tc>
        <w:tc>
          <w:tcPr>
            <w:tcW w:w="5567" w:type="dxa"/>
          </w:tcPr>
          <w:p w14:paraId="5767C1C7">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r>
              <w:rPr>
                <w:rFonts w:hint="eastAsia" w:ascii="宋体" w:hAnsi="宋体" w:eastAsia="宋体" w:cs="宋体"/>
                <w:color w:val="auto"/>
                <w:sz w:val="22"/>
                <w:szCs w:val="22"/>
              </w:rPr>
              <w:t>提供机构管理、科室管理、角色管理、医生管理等功能</w:t>
            </w:r>
            <w:r>
              <w:rPr>
                <w:rFonts w:hint="eastAsia" w:ascii="宋体" w:hAnsi="宋体" w:eastAsia="宋体" w:cs="宋体"/>
                <w:color w:val="auto"/>
                <w:sz w:val="22"/>
                <w:szCs w:val="22"/>
                <w:lang w:val="en-US" w:eastAsia="zh-CN"/>
              </w:rPr>
              <w:t>.</w:t>
            </w:r>
            <w:r>
              <w:rPr>
                <w:rFonts w:hint="eastAsia" w:ascii="宋体" w:hAnsi="宋体" w:eastAsia="宋体" w:cs="宋体"/>
                <w:color w:val="auto"/>
                <w:sz w:val="22"/>
                <w:szCs w:val="22"/>
              </w:rPr>
              <w:t>根据医生的职责配置相应的权限，各机构和机构各科室间相互独立运行。管理员权限内容：在普通医生用户所有权限基础上，具备创建普通医生账号、管理医生工作权限、查看医生工作动态、评估不同医生工作量、汇总分析医生管理系统中的患者认知测评相关数据、可视化呈现数据分析结果的功能。</w:t>
            </w:r>
          </w:p>
        </w:tc>
      </w:tr>
      <w:tr w14:paraId="00938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846" w:type="dxa"/>
            <w:vMerge w:val="continue"/>
          </w:tcPr>
          <w:p w14:paraId="7A10E9DE">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1360" w:type="dxa"/>
            <w:vMerge w:val="continue"/>
          </w:tcPr>
          <w:p w14:paraId="24B030B3">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861" w:type="dxa"/>
            <w:vAlign w:val="center"/>
          </w:tcPr>
          <w:p w14:paraId="69878C31">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4.3</w:t>
            </w:r>
          </w:p>
        </w:tc>
        <w:tc>
          <w:tcPr>
            <w:tcW w:w="5567" w:type="dxa"/>
          </w:tcPr>
          <w:p w14:paraId="60361EFD">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r>
              <w:rPr>
                <w:rFonts w:hint="eastAsia" w:ascii="宋体" w:hAnsi="宋体" w:eastAsia="宋体" w:cs="宋体"/>
                <w:color w:val="auto"/>
                <w:sz w:val="22"/>
                <w:szCs w:val="22"/>
              </w:rPr>
              <w:t>可展示医生个人身份二维码，患者扫码后可在公众号中关联该医生。</w:t>
            </w:r>
          </w:p>
        </w:tc>
      </w:tr>
      <w:tr w14:paraId="08B06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12DCFC72">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1360" w:type="dxa"/>
            <w:vMerge w:val="continue"/>
          </w:tcPr>
          <w:p w14:paraId="2E529DBE">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861" w:type="dxa"/>
            <w:vAlign w:val="center"/>
          </w:tcPr>
          <w:p w14:paraId="5E6B8323">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4.4</w:t>
            </w:r>
          </w:p>
        </w:tc>
        <w:tc>
          <w:tcPr>
            <w:tcW w:w="5567" w:type="dxa"/>
          </w:tcPr>
          <w:p w14:paraId="745FE5F0">
            <w:pPr>
              <w:pStyle w:val="6"/>
              <w:widowControl w:val="0"/>
              <w:numPr>
                <w:ilvl w:val="0"/>
                <w:numId w:val="0"/>
              </w:numPr>
              <w:tabs>
                <w:tab w:val="left" w:pos="540"/>
              </w:tabs>
              <w:adjustRightInd w:val="0"/>
              <w:snapToGrid w:val="0"/>
              <w:spacing w:line="360" w:lineRule="auto"/>
              <w:jc w:val="both"/>
              <w:rPr>
                <w:rFonts w:hint="eastAsia" w:hAnsi="宋体" w:eastAsia="宋体" w:cs="宋体"/>
                <w:b/>
                <w:color w:val="auto"/>
                <w:sz w:val="22"/>
                <w:szCs w:val="22"/>
                <w:highlight w:val="none"/>
                <w:vertAlign w:val="baseline"/>
                <w:lang w:val="en-US" w:eastAsia="zh-CN"/>
              </w:rPr>
            </w:pPr>
            <w:r>
              <w:rPr>
                <w:rFonts w:hint="eastAsia" w:ascii="宋体" w:hAnsi="宋体" w:eastAsia="宋体" w:cs="宋体"/>
                <w:color w:val="auto"/>
                <w:sz w:val="22"/>
                <w:szCs w:val="22"/>
                <w:lang w:val="en-US" w:eastAsia="zh-CN"/>
              </w:rPr>
              <w:t>具</w:t>
            </w:r>
            <w:r>
              <w:rPr>
                <w:rFonts w:hint="eastAsia" w:ascii="宋体" w:hAnsi="宋体" w:eastAsia="宋体" w:cs="宋体"/>
                <w:color w:val="auto"/>
                <w:sz w:val="22"/>
                <w:szCs w:val="22"/>
              </w:rPr>
              <w:t>有医生工作台，包含实时概括、我的待办、消息中心、最新测评、最新训练等模块，</w:t>
            </w:r>
            <w:r>
              <w:rPr>
                <w:rFonts w:hint="eastAsia" w:ascii="宋体" w:hAnsi="宋体" w:eastAsia="宋体" w:cs="宋体"/>
                <w:color w:val="auto"/>
                <w:sz w:val="22"/>
                <w:szCs w:val="22"/>
                <w:lang w:val="en-US" w:eastAsia="zh-CN"/>
              </w:rPr>
              <w:t>可显示</w:t>
            </w:r>
            <w:r>
              <w:rPr>
                <w:rFonts w:hint="eastAsia" w:ascii="宋体" w:hAnsi="宋体" w:eastAsia="宋体" w:cs="宋体"/>
                <w:color w:val="auto"/>
                <w:sz w:val="22"/>
                <w:szCs w:val="22"/>
              </w:rPr>
              <w:t>当前医生管理账户下每一个测评量表的测评进度，当前需要医生处理的测评任务、评分任务、预约任务以及提醒任务等。医生可全面了解所有业务诊疗情况</w:t>
            </w:r>
            <w:r>
              <w:rPr>
                <w:rFonts w:hint="eastAsia" w:hAnsi="宋体" w:eastAsia="宋体" w:cs="宋体"/>
                <w:color w:val="auto"/>
                <w:sz w:val="22"/>
                <w:szCs w:val="22"/>
                <w:lang w:eastAsia="zh-CN"/>
              </w:rPr>
              <w:t>。</w:t>
            </w:r>
          </w:p>
        </w:tc>
      </w:tr>
      <w:tr w14:paraId="7E6DE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vAlign w:val="center"/>
          </w:tcPr>
          <w:p w14:paraId="54BE06E9">
            <w:pPr>
              <w:pStyle w:val="6"/>
              <w:widowControl w:val="0"/>
              <w:numPr>
                <w:ilvl w:val="0"/>
                <w:numId w:val="0"/>
              </w:numPr>
              <w:tabs>
                <w:tab w:val="left" w:pos="540"/>
              </w:tabs>
              <w:adjustRightInd w:val="0"/>
              <w:snapToGrid w:val="0"/>
              <w:spacing w:line="360" w:lineRule="auto"/>
              <w:jc w:val="center"/>
              <w:rPr>
                <w:rFonts w:hint="default" w:hAnsi="宋体" w:eastAsia="宋体" w:cs="宋体"/>
                <w:b/>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2</w:t>
            </w:r>
          </w:p>
        </w:tc>
        <w:tc>
          <w:tcPr>
            <w:tcW w:w="1360" w:type="dxa"/>
            <w:vMerge w:val="restart"/>
            <w:vAlign w:val="center"/>
          </w:tcPr>
          <w:p w14:paraId="35335616">
            <w:pPr>
              <w:pStyle w:val="6"/>
              <w:widowControl w:val="0"/>
              <w:numPr>
                <w:ilvl w:val="0"/>
                <w:numId w:val="0"/>
              </w:numPr>
              <w:tabs>
                <w:tab w:val="left" w:pos="540"/>
              </w:tabs>
              <w:adjustRightInd w:val="0"/>
              <w:snapToGrid w:val="0"/>
              <w:spacing w:line="360" w:lineRule="auto"/>
              <w:jc w:val="center"/>
              <w:rPr>
                <w:rFonts w:hint="default" w:hAnsi="宋体" w:eastAsia="宋体" w:cs="宋体"/>
                <w:b/>
                <w:color w:val="auto"/>
                <w:sz w:val="22"/>
                <w:szCs w:val="22"/>
                <w:highlight w:val="none"/>
                <w:vertAlign w:val="baseline"/>
                <w:lang w:val="en-US" w:eastAsia="zh-CN"/>
              </w:rPr>
            </w:pPr>
            <w:r>
              <w:rPr>
                <w:rFonts w:hint="eastAsia" w:ascii="宋体" w:hAnsi="宋体" w:eastAsia="宋体" w:cs="宋体"/>
                <w:color w:val="auto"/>
                <w:sz w:val="22"/>
                <w:szCs w:val="22"/>
              </w:rPr>
              <w:t>患者管理</w:t>
            </w:r>
          </w:p>
        </w:tc>
        <w:tc>
          <w:tcPr>
            <w:tcW w:w="861" w:type="dxa"/>
            <w:vAlign w:val="center"/>
          </w:tcPr>
          <w:p w14:paraId="0B7029D5">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4.5</w:t>
            </w:r>
          </w:p>
        </w:tc>
        <w:tc>
          <w:tcPr>
            <w:tcW w:w="5567" w:type="dxa"/>
            <w:vAlign w:val="center"/>
          </w:tcPr>
          <w:p w14:paraId="328D3304">
            <w:pPr>
              <w:pStyle w:val="6"/>
              <w:widowControl w:val="0"/>
              <w:numPr>
                <w:ilvl w:val="0"/>
                <w:numId w:val="0"/>
              </w:numPr>
              <w:tabs>
                <w:tab w:val="left" w:pos="540"/>
              </w:tabs>
              <w:adjustRightInd w:val="0"/>
              <w:snapToGrid w:val="0"/>
              <w:spacing w:line="360" w:lineRule="auto"/>
              <w:jc w:val="left"/>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可新增、修改患者信息。</w:t>
            </w:r>
          </w:p>
        </w:tc>
      </w:tr>
      <w:tr w14:paraId="17BF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32420550">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1360" w:type="dxa"/>
            <w:vMerge w:val="continue"/>
          </w:tcPr>
          <w:p w14:paraId="0F78D640">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861" w:type="dxa"/>
            <w:vAlign w:val="center"/>
          </w:tcPr>
          <w:p w14:paraId="07D942B6">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4.6</w:t>
            </w:r>
          </w:p>
        </w:tc>
        <w:tc>
          <w:tcPr>
            <w:tcW w:w="5567" w:type="dxa"/>
            <w:vAlign w:val="center"/>
          </w:tcPr>
          <w:p w14:paraId="46A90474">
            <w:pPr>
              <w:pStyle w:val="6"/>
              <w:widowControl w:val="0"/>
              <w:numPr>
                <w:ilvl w:val="0"/>
                <w:numId w:val="0"/>
              </w:numPr>
              <w:tabs>
                <w:tab w:val="left" w:pos="540"/>
              </w:tabs>
              <w:adjustRightInd w:val="0"/>
              <w:snapToGrid w:val="0"/>
              <w:spacing w:line="360" w:lineRule="auto"/>
              <w:jc w:val="left"/>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可查看患者的个人信息、测评和训练记录等。患者信息查询支持多条件模糊查询模式，可以按分级管理定义的级别快速查询，可按当日、本周、本月、本年、姓名快速查询。</w:t>
            </w:r>
          </w:p>
        </w:tc>
      </w:tr>
      <w:tr w14:paraId="08FF1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04052CA2">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1360" w:type="dxa"/>
            <w:vMerge w:val="continue"/>
          </w:tcPr>
          <w:p w14:paraId="76CE12B2">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861" w:type="dxa"/>
            <w:vAlign w:val="center"/>
          </w:tcPr>
          <w:p w14:paraId="1FBE2552">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4.7</w:t>
            </w:r>
          </w:p>
        </w:tc>
        <w:tc>
          <w:tcPr>
            <w:tcW w:w="5567" w:type="dxa"/>
            <w:vAlign w:val="center"/>
          </w:tcPr>
          <w:p w14:paraId="689D9D71">
            <w:pPr>
              <w:pStyle w:val="6"/>
              <w:widowControl w:val="0"/>
              <w:numPr>
                <w:ilvl w:val="0"/>
                <w:numId w:val="0"/>
              </w:numPr>
              <w:tabs>
                <w:tab w:val="left" w:pos="540"/>
              </w:tabs>
              <w:adjustRightInd w:val="0"/>
              <w:snapToGrid w:val="0"/>
              <w:spacing w:line="360" w:lineRule="auto"/>
              <w:jc w:val="left"/>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可查看平台内全部患者测评与训练数据，</w:t>
            </w:r>
            <w:r>
              <w:rPr>
                <w:rFonts w:hint="eastAsia" w:ascii="宋体" w:hAnsi="宋体" w:eastAsia="宋体" w:cs="宋体"/>
                <w:color w:val="auto"/>
                <w:sz w:val="22"/>
                <w:szCs w:val="22"/>
              </w:rPr>
              <w:t>按照创建时间从近到远展现</w:t>
            </w:r>
            <w:r>
              <w:rPr>
                <w:rFonts w:hint="eastAsia" w:ascii="宋体" w:hAnsi="宋体" w:eastAsia="宋体" w:cs="宋体"/>
                <w:color w:val="auto"/>
                <w:sz w:val="22"/>
                <w:szCs w:val="22"/>
                <w:lang w:eastAsia="zh-CN"/>
              </w:rPr>
              <w:t>。</w:t>
            </w:r>
            <w:r>
              <w:rPr>
                <w:rFonts w:hint="eastAsia" w:ascii="宋体" w:hAnsi="宋体" w:eastAsia="宋体" w:cs="宋体"/>
                <w:color w:val="auto"/>
                <w:sz w:val="22"/>
                <w:szCs w:val="22"/>
                <w:lang w:val="en-US" w:eastAsia="zh-CN"/>
              </w:rPr>
              <w:t>也可按患者信息、测评与训练量表名称方案、测评跟训练结果进行查询。</w:t>
            </w:r>
          </w:p>
        </w:tc>
      </w:tr>
      <w:tr w14:paraId="7B57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72A6AF62">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1360" w:type="dxa"/>
            <w:vMerge w:val="continue"/>
          </w:tcPr>
          <w:p w14:paraId="00D7C22E">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861" w:type="dxa"/>
            <w:vAlign w:val="center"/>
          </w:tcPr>
          <w:p w14:paraId="27BF914F">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4.8</w:t>
            </w:r>
          </w:p>
        </w:tc>
        <w:tc>
          <w:tcPr>
            <w:tcW w:w="5567" w:type="dxa"/>
            <w:vAlign w:val="center"/>
          </w:tcPr>
          <w:p w14:paraId="1830A048">
            <w:pPr>
              <w:bidi w:val="0"/>
              <w:spacing w:line="360" w:lineRule="auto"/>
              <w:jc w:val="left"/>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可</w:t>
            </w:r>
            <w:r>
              <w:rPr>
                <w:rFonts w:hint="eastAsia" w:ascii="宋体" w:hAnsi="宋体" w:eastAsia="宋体" w:cs="宋体"/>
                <w:color w:val="auto"/>
                <w:sz w:val="22"/>
                <w:szCs w:val="22"/>
              </w:rPr>
              <w:t>在微信服务号中关联此患者。</w:t>
            </w:r>
            <w:r>
              <w:rPr>
                <w:rFonts w:hint="eastAsia" w:ascii="宋体" w:hAnsi="宋体" w:eastAsia="宋体" w:cs="宋体"/>
                <w:color w:val="auto"/>
                <w:sz w:val="22"/>
                <w:szCs w:val="22"/>
                <w:lang w:val="en-US" w:eastAsia="zh-CN"/>
              </w:rPr>
              <w:t>点击绑定，弹出患者信息二维码，微信扫一扫后关联此患者。</w:t>
            </w:r>
          </w:p>
        </w:tc>
      </w:tr>
      <w:tr w14:paraId="7D4A2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19046DD1">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1360" w:type="dxa"/>
            <w:vMerge w:val="continue"/>
          </w:tcPr>
          <w:p w14:paraId="56BA0DDD">
            <w:pPr>
              <w:pStyle w:val="6"/>
              <w:widowControl w:val="0"/>
              <w:numPr>
                <w:ilvl w:val="0"/>
                <w:numId w:val="0"/>
              </w:numPr>
              <w:tabs>
                <w:tab w:val="left" w:pos="540"/>
              </w:tabs>
              <w:adjustRightInd w:val="0"/>
              <w:snapToGrid w:val="0"/>
              <w:spacing w:line="360" w:lineRule="auto"/>
              <w:jc w:val="both"/>
              <w:rPr>
                <w:rFonts w:hint="default" w:hAnsi="宋体" w:eastAsia="宋体" w:cs="宋体"/>
                <w:b/>
                <w:color w:val="auto"/>
                <w:sz w:val="22"/>
                <w:szCs w:val="22"/>
                <w:highlight w:val="none"/>
                <w:vertAlign w:val="baseline"/>
                <w:lang w:val="en-US" w:eastAsia="zh-CN"/>
              </w:rPr>
            </w:pPr>
          </w:p>
        </w:tc>
        <w:tc>
          <w:tcPr>
            <w:tcW w:w="861" w:type="dxa"/>
            <w:vAlign w:val="center"/>
          </w:tcPr>
          <w:p w14:paraId="271B9767">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4.9</w:t>
            </w:r>
          </w:p>
        </w:tc>
        <w:tc>
          <w:tcPr>
            <w:tcW w:w="5567" w:type="dxa"/>
            <w:vAlign w:val="center"/>
          </w:tcPr>
          <w:p w14:paraId="21BD1DEF">
            <w:pPr>
              <w:pStyle w:val="6"/>
              <w:widowControl w:val="0"/>
              <w:numPr>
                <w:ilvl w:val="0"/>
                <w:numId w:val="0"/>
              </w:numPr>
              <w:tabs>
                <w:tab w:val="left" w:pos="540"/>
              </w:tabs>
              <w:adjustRightInd w:val="0"/>
              <w:snapToGrid w:val="0"/>
              <w:spacing w:line="360" w:lineRule="auto"/>
              <w:jc w:val="left"/>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医生可将患者分到不同的组别中，便于管理维护。分组可由医生自定义，也可根据患者性别、年龄、受教育程度等人口学信息进行划分。</w:t>
            </w:r>
            <w:r>
              <w:rPr>
                <w:rFonts w:hint="eastAsia" w:ascii="宋体" w:hAnsi="宋体" w:eastAsia="宋体" w:cs="宋体"/>
                <w:color w:val="auto"/>
                <w:sz w:val="22"/>
                <w:szCs w:val="22"/>
                <w:lang w:val="en-US" w:eastAsia="zh-CN"/>
              </w:rPr>
              <w:t>还可根据测评结果和医生自定义的阈值对患者进行分组，（如：完成某个测评的患者共X人，医生划定n为cut-off值，自动将X人分为&gt;n和≤n两组）。</w:t>
            </w:r>
            <w:r>
              <w:rPr>
                <w:rFonts w:hint="eastAsia" w:ascii="宋体" w:hAnsi="宋体" w:eastAsia="宋体" w:cs="宋体"/>
                <w:color w:val="auto"/>
                <w:sz w:val="22"/>
                <w:szCs w:val="22"/>
              </w:rPr>
              <w:t>医生管理的患者可以有多类分组，一个患者可以拥有多个组别标签。</w:t>
            </w:r>
          </w:p>
        </w:tc>
      </w:tr>
      <w:tr w14:paraId="222B2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846" w:type="dxa"/>
            <w:vMerge w:val="restart"/>
            <w:vAlign w:val="center"/>
          </w:tcPr>
          <w:p w14:paraId="6282C72D">
            <w:pPr>
              <w:pStyle w:val="6"/>
              <w:widowControl w:val="0"/>
              <w:numPr>
                <w:ilvl w:val="0"/>
                <w:numId w:val="0"/>
              </w:numPr>
              <w:tabs>
                <w:tab w:val="left" w:pos="540"/>
              </w:tabs>
              <w:adjustRightInd w:val="0"/>
              <w:snapToGrid w:val="0"/>
              <w:spacing w:line="360" w:lineRule="auto"/>
              <w:jc w:val="center"/>
              <w:rPr>
                <w:rFonts w:hint="default" w:hAnsi="宋体" w:eastAsia="宋体" w:cs="宋体"/>
                <w:b/>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3</w:t>
            </w:r>
          </w:p>
        </w:tc>
        <w:tc>
          <w:tcPr>
            <w:tcW w:w="1360" w:type="dxa"/>
            <w:vMerge w:val="restart"/>
            <w:vAlign w:val="center"/>
          </w:tcPr>
          <w:p w14:paraId="5C20C732">
            <w:pPr>
              <w:pStyle w:val="6"/>
              <w:widowControl w:val="0"/>
              <w:numPr>
                <w:ilvl w:val="0"/>
                <w:numId w:val="0"/>
              </w:numPr>
              <w:tabs>
                <w:tab w:val="left" w:pos="540"/>
              </w:tabs>
              <w:adjustRightInd w:val="0"/>
              <w:snapToGrid w:val="0"/>
              <w:spacing w:line="360" w:lineRule="auto"/>
              <w:jc w:val="center"/>
              <w:rPr>
                <w:rFonts w:hint="default" w:hAnsi="宋体" w:eastAsia="宋体" w:cs="宋体"/>
                <w:b/>
                <w:color w:val="auto"/>
                <w:sz w:val="22"/>
                <w:szCs w:val="22"/>
                <w:highlight w:val="none"/>
                <w:vertAlign w:val="baseline"/>
                <w:lang w:val="en-US" w:eastAsia="zh-CN"/>
              </w:rPr>
            </w:pPr>
            <w:r>
              <w:rPr>
                <w:rFonts w:hint="eastAsia" w:ascii="宋体" w:hAnsi="宋体" w:eastAsia="宋体" w:cs="宋体"/>
                <w:color w:val="auto"/>
                <w:sz w:val="22"/>
                <w:szCs w:val="22"/>
                <w:lang w:val="en-US" w:eastAsia="zh-CN"/>
              </w:rPr>
              <w:t>数据管理</w:t>
            </w:r>
          </w:p>
        </w:tc>
        <w:tc>
          <w:tcPr>
            <w:tcW w:w="861" w:type="dxa"/>
            <w:vAlign w:val="center"/>
          </w:tcPr>
          <w:p w14:paraId="24762861">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4.10</w:t>
            </w:r>
          </w:p>
        </w:tc>
        <w:tc>
          <w:tcPr>
            <w:tcW w:w="5567" w:type="dxa"/>
            <w:vAlign w:val="center"/>
          </w:tcPr>
          <w:p w14:paraId="5CFA8797">
            <w:pPr>
              <w:bidi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数据概览：可查看当前医生的整体诊疗情况，也可选择日期搜索范围内的诊疗详情数据。还可根据测评内容查看完成人数等情况。</w:t>
            </w:r>
          </w:p>
        </w:tc>
      </w:tr>
      <w:tr w14:paraId="1F408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2647BF26">
            <w:pPr>
              <w:pStyle w:val="6"/>
              <w:widowControl w:val="0"/>
              <w:numPr>
                <w:ilvl w:val="0"/>
                <w:numId w:val="0"/>
              </w:numPr>
              <w:tabs>
                <w:tab w:val="left" w:pos="540"/>
              </w:tabs>
              <w:adjustRightInd w:val="0"/>
              <w:snapToGrid w:val="0"/>
              <w:spacing w:line="360" w:lineRule="auto"/>
              <w:jc w:val="both"/>
              <w:rPr>
                <w:rFonts w:hint="eastAsia" w:hAnsi="宋体" w:eastAsia="宋体" w:cs="宋体"/>
                <w:b/>
                <w:color w:val="auto"/>
                <w:sz w:val="22"/>
                <w:szCs w:val="22"/>
                <w:highlight w:val="none"/>
                <w:vertAlign w:val="baseline"/>
                <w:lang w:val="en-US" w:eastAsia="zh-CN"/>
              </w:rPr>
            </w:pPr>
          </w:p>
        </w:tc>
        <w:tc>
          <w:tcPr>
            <w:tcW w:w="1360" w:type="dxa"/>
            <w:vMerge w:val="continue"/>
          </w:tcPr>
          <w:p w14:paraId="45C8CEB3">
            <w:pPr>
              <w:pStyle w:val="6"/>
              <w:widowControl w:val="0"/>
              <w:numPr>
                <w:ilvl w:val="0"/>
                <w:numId w:val="0"/>
              </w:numPr>
              <w:tabs>
                <w:tab w:val="left" w:pos="540"/>
              </w:tabs>
              <w:adjustRightInd w:val="0"/>
              <w:snapToGrid w:val="0"/>
              <w:spacing w:line="360" w:lineRule="auto"/>
              <w:jc w:val="both"/>
              <w:rPr>
                <w:rFonts w:hint="eastAsia" w:ascii="宋体" w:hAnsi="宋体" w:eastAsia="宋体" w:cs="宋体"/>
                <w:color w:val="auto"/>
                <w:sz w:val="22"/>
                <w:szCs w:val="22"/>
                <w:lang w:val="en-US" w:eastAsia="zh-CN"/>
              </w:rPr>
            </w:pPr>
          </w:p>
        </w:tc>
        <w:tc>
          <w:tcPr>
            <w:tcW w:w="861" w:type="dxa"/>
            <w:vAlign w:val="center"/>
          </w:tcPr>
          <w:p w14:paraId="1D3066B4">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4.11</w:t>
            </w:r>
          </w:p>
        </w:tc>
        <w:tc>
          <w:tcPr>
            <w:tcW w:w="5567" w:type="dxa"/>
            <w:vAlign w:val="center"/>
          </w:tcPr>
          <w:p w14:paraId="67794E12">
            <w:pPr>
              <w:pStyle w:val="6"/>
              <w:widowControl w:val="0"/>
              <w:numPr>
                <w:ilvl w:val="0"/>
                <w:numId w:val="0"/>
              </w:numPr>
              <w:tabs>
                <w:tab w:val="left" w:pos="540"/>
              </w:tabs>
              <w:adjustRightInd w:val="0"/>
              <w:snapToGrid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可查看当前医生开具处方的全部测评结果，支持导出患者作答原始数据。</w:t>
            </w:r>
          </w:p>
        </w:tc>
      </w:tr>
      <w:tr w14:paraId="0F30D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0130A1CF">
            <w:pPr>
              <w:pStyle w:val="6"/>
              <w:widowControl w:val="0"/>
              <w:numPr>
                <w:ilvl w:val="0"/>
                <w:numId w:val="0"/>
              </w:numPr>
              <w:tabs>
                <w:tab w:val="left" w:pos="540"/>
              </w:tabs>
              <w:adjustRightInd w:val="0"/>
              <w:snapToGrid w:val="0"/>
              <w:spacing w:line="360" w:lineRule="auto"/>
              <w:jc w:val="both"/>
              <w:rPr>
                <w:rFonts w:hint="eastAsia" w:hAnsi="宋体" w:eastAsia="宋体" w:cs="宋体"/>
                <w:b/>
                <w:color w:val="auto"/>
                <w:sz w:val="22"/>
                <w:szCs w:val="22"/>
                <w:highlight w:val="none"/>
                <w:vertAlign w:val="baseline"/>
                <w:lang w:val="en-US" w:eastAsia="zh-CN"/>
              </w:rPr>
            </w:pPr>
          </w:p>
        </w:tc>
        <w:tc>
          <w:tcPr>
            <w:tcW w:w="1360" w:type="dxa"/>
            <w:vMerge w:val="continue"/>
          </w:tcPr>
          <w:p w14:paraId="2CC6794D">
            <w:pPr>
              <w:pStyle w:val="6"/>
              <w:widowControl w:val="0"/>
              <w:numPr>
                <w:ilvl w:val="0"/>
                <w:numId w:val="0"/>
              </w:numPr>
              <w:tabs>
                <w:tab w:val="left" w:pos="540"/>
              </w:tabs>
              <w:adjustRightInd w:val="0"/>
              <w:snapToGrid w:val="0"/>
              <w:spacing w:line="360" w:lineRule="auto"/>
              <w:jc w:val="both"/>
              <w:rPr>
                <w:rFonts w:hint="eastAsia" w:ascii="宋体" w:hAnsi="宋体" w:eastAsia="宋体" w:cs="宋体"/>
                <w:color w:val="auto"/>
                <w:sz w:val="22"/>
                <w:szCs w:val="22"/>
                <w:lang w:val="en-US" w:eastAsia="zh-CN"/>
              </w:rPr>
            </w:pPr>
          </w:p>
        </w:tc>
        <w:tc>
          <w:tcPr>
            <w:tcW w:w="861" w:type="dxa"/>
            <w:vAlign w:val="center"/>
          </w:tcPr>
          <w:p w14:paraId="256EF2ED">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4.12</w:t>
            </w:r>
          </w:p>
        </w:tc>
        <w:tc>
          <w:tcPr>
            <w:tcW w:w="5567" w:type="dxa"/>
            <w:vAlign w:val="center"/>
          </w:tcPr>
          <w:p w14:paraId="401945CA">
            <w:pPr>
              <w:pStyle w:val="6"/>
              <w:widowControl w:val="0"/>
              <w:numPr>
                <w:ilvl w:val="0"/>
                <w:numId w:val="0"/>
              </w:numPr>
              <w:tabs>
                <w:tab w:val="left" w:pos="540"/>
              </w:tabs>
              <w:adjustRightInd w:val="0"/>
              <w:snapToGrid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可对所有患者或完成某项测评的患者进行心理画像，对该人群年龄、性别、受教育程度等人口学信息进行描述性统计，并对该项测评的完成情况进行描述性统计，包括得分均值、标准差、全距、峰度、偏度等</w:t>
            </w:r>
          </w:p>
        </w:tc>
      </w:tr>
      <w:tr w14:paraId="4523F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7C239E18">
            <w:pPr>
              <w:pStyle w:val="6"/>
              <w:widowControl w:val="0"/>
              <w:numPr>
                <w:ilvl w:val="0"/>
                <w:numId w:val="0"/>
              </w:numPr>
              <w:tabs>
                <w:tab w:val="left" w:pos="540"/>
              </w:tabs>
              <w:adjustRightInd w:val="0"/>
              <w:snapToGrid w:val="0"/>
              <w:spacing w:line="360" w:lineRule="auto"/>
              <w:jc w:val="both"/>
              <w:rPr>
                <w:rFonts w:hint="eastAsia" w:hAnsi="宋体" w:eastAsia="宋体" w:cs="宋体"/>
                <w:b/>
                <w:color w:val="auto"/>
                <w:sz w:val="22"/>
                <w:szCs w:val="22"/>
                <w:highlight w:val="none"/>
                <w:vertAlign w:val="baseline"/>
                <w:lang w:val="en-US" w:eastAsia="zh-CN"/>
              </w:rPr>
            </w:pPr>
          </w:p>
        </w:tc>
        <w:tc>
          <w:tcPr>
            <w:tcW w:w="1360" w:type="dxa"/>
            <w:vMerge w:val="continue"/>
          </w:tcPr>
          <w:p w14:paraId="610AD488">
            <w:pPr>
              <w:pStyle w:val="6"/>
              <w:widowControl w:val="0"/>
              <w:numPr>
                <w:ilvl w:val="0"/>
                <w:numId w:val="0"/>
              </w:numPr>
              <w:tabs>
                <w:tab w:val="left" w:pos="540"/>
              </w:tabs>
              <w:adjustRightInd w:val="0"/>
              <w:snapToGrid w:val="0"/>
              <w:spacing w:line="360" w:lineRule="auto"/>
              <w:jc w:val="both"/>
              <w:rPr>
                <w:rFonts w:hint="eastAsia" w:ascii="宋体" w:hAnsi="宋体" w:eastAsia="宋体" w:cs="宋体"/>
                <w:color w:val="auto"/>
                <w:sz w:val="22"/>
                <w:szCs w:val="22"/>
                <w:lang w:val="en-US" w:eastAsia="zh-CN"/>
              </w:rPr>
            </w:pPr>
          </w:p>
        </w:tc>
        <w:tc>
          <w:tcPr>
            <w:tcW w:w="861" w:type="dxa"/>
            <w:vAlign w:val="center"/>
          </w:tcPr>
          <w:p w14:paraId="3B141BC2">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4.13</w:t>
            </w:r>
          </w:p>
        </w:tc>
        <w:tc>
          <w:tcPr>
            <w:tcW w:w="5567" w:type="dxa"/>
            <w:vAlign w:val="center"/>
          </w:tcPr>
          <w:p w14:paraId="292644AE">
            <w:pPr>
              <w:pStyle w:val="6"/>
              <w:widowControl w:val="0"/>
              <w:numPr>
                <w:ilvl w:val="0"/>
                <w:numId w:val="0"/>
              </w:numPr>
              <w:tabs>
                <w:tab w:val="left" w:pos="540"/>
              </w:tabs>
              <w:adjustRightInd w:val="0"/>
              <w:snapToGrid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可根据患者的年龄、性别、部分量表分值、慢病或自定义分组标签等进行数据可视化呈现对患者的测评结果进行组间比较等推断性统计。</w:t>
            </w:r>
          </w:p>
        </w:tc>
      </w:tr>
      <w:tr w14:paraId="63CE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3D50BEA2">
            <w:pPr>
              <w:pStyle w:val="6"/>
              <w:widowControl w:val="0"/>
              <w:numPr>
                <w:ilvl w:val="0"/>
                <w:numId w:val="0"/>
              </w:numPr>
              <w:tabs>
                <w:tab w:val="left" w:pos="540"/>
              </w:tabs>
              <w:adjustRightInd w:val="0"/>
              <w:snapToGrid w:val="0"/>
              <w:spacing w:line="360" w:lineRule="auto"/>
              <w:jc w:val="both"/>
              <w:rPr>
                <w:rFonts w:hint="eastAsia" w:hAnsi="宋体" w:eastAsia="宋体" w:cs="宋体"/>
                <w:b/>
                <w:color w:val="auto"/>
                <w:sz w:val="22"/>
                <w:szCs w:val="22"/>
                <w:highlight w:val="none"/>
                <w:vertAlign w:val="baseline"/>
                <w:lang w:val="en-US" w:eastAsia="zh-CN"/>
              </w:rPr>
            </w:pPr>
          </w:p>
        </w:tc>
        <w:tc>
          <w:tcPr>
            <w:tcW w:w="1360" w:type="dxa"/>
            <w:vMerge w:val="continue"/>
          </w:tcPr>
          <w:p w14:paraId="0E0E2E75">
            <w:pPr>
              <w:pStyle w:val="6"/>
              <w:widowControl w:val="0"/>
              <w:numPr>
                <w:ilvl w:val="0"/>
                <w:numId w:val="0"/>
              </w:numPr>
              <w:tabs>
                <w:tab w:val="left" w:pos="540"/>
              </w:tabs>
              <w:adjustRightInd w:val="0"/>
              <w:snapToGrid w:val="0"/>
              <w:spacing w:line="360" w:lineRule="auto"/>
              <w:jc w:val="both"/>
              <w:rPr>
                <w:rFonts w:hint="eastAsia" w:ascii="宋体" w:hAnsi="宋体" w:eastAsia="宋体" w:cs="宋体"/>
                <w:color w:val="auto"/>
                <w:sz w:val="22"/>
                <w:szCs w:val="22"/>
                <w:lang w:val="en-US" w:eastAsia="zh-CN"/>
              </w:rPr>
            </w:pPr>
          </w:p>
        </w:tc>
        <w:tc>
          <w:tcPr>
            <w:tcW w:w="861" w:type="dxa"/>
            <w:vAlign w:val="center"/>
          </w:tcPr>
          <w:p w14:paraId="66207FFD">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4.14</w:t>
            </w:r>
          </w:p>
        </w:tc>
        <w:tc>
          <w:tcPr>
            <w:tcW w:w="5567" w:type="dxa"/>
            <w:vAlign w:val="center"/>
          </w:tcPr>
          <w:p w14:paraId="3FDBCC6F">
            <w:pPr>
              <w:bidi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数据质检：针对采集数据，根据数据辨识规则，自动识别数据质量，并提供整体数据预警提醒。</w:t>
            </w:r>
          </w:p>
        </w:tc>
      </w:tr>
      <w:tr w14:paraId="02BB3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vAlign w:val="center"/>
          </w:tcPr>
          <w:p w14:paraId="3A9B3EB6">
            <w:pPr>
              <w:jc w:val="center"/>
              <w:rPr>
                <w:rFonts w:hint="default"/>
                <w:sz w:val="22"/>
                <w:szCs w:val="22"/>
                <w:lang w:val="en-US" w:eastAsia="zh-CN"/>
              </w:rPr>
            </w:pPr>
            <w:r>
              <w:rPr>
                <w:rFonts w:hint="eastAsia" w:hAnsi="宋体" w:eastAsia="宋体" w:cs="宋体"/>
                <w:b w:val="0"/>
                <w:bCs/>
                <w:color w:val="auto"/>
                <w:sz w:val="22"/>
                <w:szCs w:val="22"/>
                <w:highlight w:val="none"/>
                <w:vertAlign w:val="baseline"/>
                <w:lang w:val="en-US" w:eastAsia="zh-CN"/>
              </w:rPr>
              <w:t>4</w:t>
            </w:r>
          </w:p>
        </w:tc>
        <w:tc>
          <w:tcPr>
            <w:tcW w:w="1360" w:type="dxa"/>
            <w:vMerge w:val="restart"/>
            <w:vAlign w:val="center"/>
          </w:tcPr>
          <w:p w14:paraId="048226B5">
            <w:pPr>
              <w:pStyle w:val="6"/>
              <w:widowControl w:val="0"/>
              <w:numPr>
                <w:ilvl w:val="0"/>
                <w:numId w:val="0"/>
              </w:numPr>
              <w:tabs>
                <w:tab w:val="left" w:pos="540"/>
              </w:tabs>
              <w:adjustRightInd w:val="0"/>
              <w:snapToGrid w:val="0"/>
              <w:spacing w:line="360" w:lineRule="auto"/>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测评管理系统（管理端与应用端）</w:t>
            </w:r>
          </w:p>
        </w:tc>
        <w:tc>
          <w:tcPr>
            <w:tcW w:w="861" w:type="dxa"/>
            <w:vAlign w:val="center"/>
          </w:tcPr>
          <w:p w14:paraId="603C1633">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4.15</w:t>
            </w:r>
          </w:p>
        </w:tc>
        <w:tc>
          <w:tcPr>
            <w:tcW w:w="5567" w:type="dxa"/>
            <w:vAlign w:val="center"/>
          </w:tcPr>
          <w:p w14:paraId="12EE10F8">
            <w:pPr>
              <w:bidi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测评量表集设置：根据临床科室的不同需求支持具备门诊或住院测评处方的开具、分配等功能，能够对测评项目进行自由组合并根据需要对量表集组合进行修改和重组。</w:t>
            </w:r>
          </w:p>
        </w:tc>
      </w:tr>
      <w:tr w14:paraId="662F5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7CCE57E6">
            <w:pPr>
              <w:jc w:val="center"/>
              <w:rPr>
                <w:rFonts w:hint="eastAsia" w:ascii="宋体" w:hAnsi="宋体" w:eastAsia="宋体" w:cs="宋体"/>
                <w:b/>
                <w:color w:val="auto"/>
                <w:kern w:val="2"/>
                <w:sz w:val="22"/>
                <w:szCs w:val="22"/>
                <w:highlight w:val="none"/>
                <w:vertAlign w:val="baseline"/>
                <w:lang w:val="en-US" w:eastAsia="zh-CN" w:bidi="ar-SA"/>
              </w:rPr>
            </w:pPr>
          </w:p>
        </w:tc>
        <w:tc>
          <w:tcPr>
            <w:tcW w:w="1360" w:type="dxa"/>
            <w:vMerge w:val="continue"/>
          </w:tcPr>
          <w:p w14:paraId="06B33624">
            <w:pPr>
              <w:pStyle w:val="6"/>
              <w:widowControl w:val="0"/>
              <w:numPr>
                <w:ilvl w:val="0"/>
                <w:numId w:val="0"/>
              </w:numPr>
              <w:tabs>
                <w:tab w:val="left" w:pos="540"/>
              </w:tabs>
              <w:adjustRightInd w:val="0"/>
              <w:snapToGrid w:val="0"/>
              <w:spacing w:line="360" w:lineRule="auto"/>
              <w:jc w:val="both"/>
              <w:rPr>
                <w:rFonts w:hint="eastAsia" w:ascii="宋体" w:hAnsi="宋体" w:eastAsia="宋体" w:cs="宋体"/>
                <w:color w:val="auto"/>
                <w:sz w:val="22"/>
                <w:szCs w:val="22"/>
                <w:lang w:val="en-US" w:eastAsia="zh-CN"/>
              </w:rPr>
            </w:pPr>
          </w:p>
        </w:tc>
        <w:tc>
          <w:tcPr>
            <w:tcW w:w="861" w:type="dxa"/>
            <w:vAlign w:val="center"/>
          </w:tcPr>
          <w:p w14:paraId="4CEE758B">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4.16</w:t>
            </w:r>
          </w:p>
        </w:tc>
        <w:tc>
          <w:tcPr>
            <w:tcW w:w="5567" w:type="dxa"/>
            <w:vAlign w:val="center"/>
          </w:tcPr>
          <w:p w14:paraId="2F38D2D4">
            <w:pPr>
              <w:bidi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测评量表内容要求：具备量表及测评内容不少于</w:t>
            </w:r>
            <w:r>
              <w:rPr>
                <w:rFonts w:hint="eastAsia" w:ascii="宋体" w:hAnsi="宋体" w:eastAsia="宋体" w:cs="宋体"/>
                <w:color w:val="auto"/>
                <w:sz w:val="22"/>
                <w:szCs w:val="22"/>
                <w:lang w:val="en-US" w:eastAsia="zh-CN"/>
              </w:rPr>
              <w:t>80</w:t>
            </w:r>
            <w:r>
              <w:rPr>
                <w:rFonts w:hint="eastAsia" w:ascii="宋体" w:hAnsi="宋体" w:eastAsia="宋体" w:cs="宋体"/>
                <w:color w:val="auto"/>
                <w:sz w:val="22"/>
                <w:szCs w:val="22"/>
              </w:rPr>
              <w:t>款，包含相关认知功能专项评估及临床综合评估，还需包括精神情绪、生活功能、中医症候等内容的测评量表。</w:t>
            </w:r>
          </w:p>
        </w:tc>
      </w:tr>
      <w:tr w14:paraId="4BD61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115D2157">
            <w:pPr>
              <w:jc w:val="center"/>
              <w:rPr>
                <w:rFonts w:hint="eastAsia" w:ascii="宋体" w:hAnsi="宋体" w:eastAsia="宋体" w:cs="宋体"/>
                <w:b/>
                <w:color w:val="auto"/>
                <w:kern w:val="2"/>
                <w:sz w:val="22"/>
                <w:szCs w:val="22"/>
                <w:highlight w:val="none"/>
                <w:vertAlign w:val="baseline"/>
                <w:lang w:val="en-US" w:eastAsia="zh-CN" w:bidi="ar-SA"/>
              </w:rPr>
            </w:pPr>
          </w:p>
        </w:tc>
        <w:tc>
          <w:tcPr>
            <w:tcW w:w="1360" w:type="dxa"/>
            <w:vMerge w:val="continue"/>
          </w:tcPr>
          <w:p w14:paraId="16D7E351">
            <w:pPr>
              <w:pStyle w:val="6"/>
              <w:widowControl w:val="0"/>
              <w:numPr>
                <w:ilvl w:val="0"/>
                <w:numId w:val="0"/>
              </w:numPr>
              <w:tabs>
                <w:tab w:val="left" w:pos="540"/>
              </w:tabs>
              <w:adjustRightInd w:val="0"/>
              <w:snapToGrid w:val="0"/>
              <w:spacing w:line="360" w:lineRule="auto"/>
              <w:jc w:val="both"/>
              <w:rPr>
                <w:rFonts w:hint="eastAsia" w:ascii="宋体" w:hAnsi="宋体" w:eastAsia="宋体" w:cs="宋体"/>
                <w:color w:val="auto"/>
                <w:sz w:val="22"/>
                <w:szCs w:val="22"/>
                <w:lang w:val="en-US" w:eastAsia="zh-CN"/>
              </w:rPr>
            </w:pPr>
          </w:p>
        </w:tc>
        <w:tc>
          <w:tcPr>
            <w:tcW w:w="861" w:type="dxa"/>
            <w:vAlign w:val="center"/>
          </w:tcPr>
          <w:p w14:paraId="68A4DEED">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4.17</w:t>
            </w:r>
          </w:p>
        </w:tc>
        <w:tc>
          <w:tcPr>
            <w:tcW w:w="5567" w:type="dxa"/>
            <w:vAlign w:val="center"/>
          </w:tcPr>
          <w:p w14:paraId="59797F0B">
            <w:pPr>
              <w:bidi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rPr>
              <w:t>可自由选择测评项目的实施方式，支持网页、智能手机或平板电脑等电子化评估形式。</w:t>
            </w:r>
          </w:p>
        </w:tc>
      </w:tr>
      <w:tr w14:paraId="4369A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tcPr>
          <w:p w14:paraId="50DE7ED9">
            <w:pPr>
              <w:jc w:val="center"/>
              <w:rPr>
                <w:rFonts w:hint="eastAsia" w:ascii="宋体" w:hAnsi="宋体" w:eastAsia="宋体" w:cs="宋体"/>
                <w:b/>
                <w:color w:val="auto"/>
                <w:kern w:val="2"/>
                <w:sz w:val="22"/>
                <w:szCs w:val="22"/>
                <w:highlight w:val="none"/>
                <w:vertAlign w:val="baseline"/>
                <w:lang w:val="en-US" w:eastAsia="zh-CN" w:bidi="ar-SA"/>
              </w:rPr>
            </w:pPr>
          </w:p>
        </w:tc>
        <w:tc>
          <w:tcPr>
            <w:tcW w:w="1360" w:type="dxa"/>
            <w:vMerge w:val="continue"/>
          </w:tcPr>
          <w:p w14:paraId="1453653C">
            <w:pPr>
              <w:pStyle w:val="6"/>
              <w:widowControl w:val="0"/>
              <w:numPr>
                <w:ilvl w:val="0"/>
                <w:numId w:val="0"/>
              </w:numPr>
              <w:tabs>
                <w:tab w:val="left" w:pos="540"/>
              </w:tabs>
              <w:adjustRightInd w:val="0"/>
              <w:snapToGrid w:val="0"/>
              <w:spacing w:line="360" w:lineRule="auto"/>
              <w:jc w:val="both"/>
              <w:rPr>
                <w:rFonts w:hint="eastAsia" w:ascii="宋体" w:hAnsi="宋体" w:eastAsia="宋体" w:cs="宋体"/>
                <w:color w:val="auto"/>
                <w:sz w:val="22"/>
                <w:szCs w:val="22"/>
                <w:lang w:val="en-US" w:eastAsia="zh-CN"/>
              </w:rPr>
            </w:pPr>
          </w:p>
        </w:tc>
        <w:tc>
          <w:tcPr>
            <w:tcW w:w="861" w:type="dxa"/>
            <w:vAlign w:val="center"/>
          </w:tcPr>
          <w:p w14:paraId="67903158">
            <w:pPr>
              <w:pStyle w:val="6"/>
              <w:widowControl w:val="0"/>
              <w:numPr>
                <w:ilvl w:val="0"/>
                <w:numId w:val="0"/>
              </w:numPr>
              <w:tabs>
                <w:tab w:val="left" w:pos="540"/>
              </w:tabs>
              <w:adjustRightInd w:val="0"/>
              <w:snapToGrid w:val="0"/>
              <w:spacing w:line="360" w:lineRule="auto"/>
              <w:jc w:val="center"/>
              <w:rPr>
                <w:rFonts w:hint="default" w:hAnsi="宋体" w:eastAsia="宋体" w:cs="宋体"/>
                <w:b w:val="0"/>
                <w:bCs/>
                <w:color w:val="auto"/>
                <w:sz w:val="22"/>
                <w:szCs w:val="22"/>
                <w:highlight w:val="none"/>
                <w:vertAlign w:val="baseline"/>
                <w:lang w:val="en-US" w:eastAsia="zh-CN"/>
              </w:rPr>
            </w:pPr>
            <w:r>
              <w:rPr>
                <w:rFonts w:hint="eastAsia" w:hAnsi="宋体" w:eastAsia="宋体" w:cs="宋体"/>
                <w:b w:val="0"/>
                <w:bCs/>
                <w:color w:val="auto"/>
                <w:sz w:val="22"/>
                <w:szCs w:val="22"/>
                <w:highlight w:val="none"/>
                <w:vertAlign w:val="baseline"/>
                <w:lang w:val="en-US" w:eastAsia="zh-CN"/>
              </w:rPr>
              <w:t>4.19</w:t>
            </w:r>
          </w:p>
        </w:tc>
        <w:tc>
          <w:tcPr>
            <w:tcW w:w="5567" w:type="dxa"/>
            <w:vAlign w:val="center"/>
          </w:tcPr>
          <w:p w14:paraId="4F5D30EF">
            <w:pPr>
              <w:bidi w:val="0"/>
              <w:spacing w:line="360" w:lineRule="auto"/>
              <w:jc w:val="left"/>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系统支持医生为个体、团体患者开具适宜的测评处方，并分发至方便患者测评的终端。处方可以打印或发送到绑定的患者移动终端。</w:t>
            </w:r>
          </w:p>
        </w:tc>
      </w:tr>
    </w:tbl>
    <w:p w14:paraId="60EAF512">
      <w:pPr>
        <w:rPr>
          <w:rFonts w:hint="eastAsia"/>
          <w:lang w:val="en-US" w:eastAsia="zh-CN"/>
        </w:rPr>
      </w:pPr>
    </w:p>
    <w:p w14:paraId="03E39246">
      <w:pPr>
        <w:pStyle w:val="6"/>
        <w:keepNext w:val="0"/>
        <w:keepLines w:val="0"/>
        <w:pageBreakBefore w:val="0"/>
        <w:widowControl w:val="0"/>
        <w:numPr>
          <w:ilvl w:val="0"/>
          <w:numId w:val="0"/>
        </w:numPr>
        <w:tabs>
          <w:tab w:val="left" w:pos="540"/>
        </w:tabs>
        <w:kinsoku/>
        <w:wordWrap/>
        <w:overflowPunct/>
        <w:topLinePunct w:val="0"/>
        <w:autoSpaceDE/>
        <w:autoSpaceDN/>
        <w:bidi w:val="0"/>
        <w:adjustRightInd w:val="0"/>
        <w:snapToGrid w:val="0"/>
        <w:spacing w:line="360" w:lineRule="auto"/>
        <w:ind w:leftChars="0"/>
        <w:textAlignment w:val="auto"/>
        <w:rPr>
          <w:rFonts w:hint="eastAsia" w:hAnsi="宋体" w:eastAsia="宋体" w:cs="宋体"/>
          <w:b/>
          <w:color w:val="auto"/>
          <w:sz w:val="32"/>
          <w:szCs w:val="32"/>
          <w:highlight w:val="none"/>
          <w:lang w:val="en-US" w:eastAsia="zh-CN"/>
        </w:rPr>
      </w:pPr>
    </w:p>
    <w:p w14:paraId="3B8A9F18">
      <w:pPr>
        <w:pStyle w:val="2"/>
        <w:numPr>
          <w:ilvl w:val="0"/>
          <w:numId w:val="1"/>
        </w:numPr>
        <w:bidi w:val="0"/>
        <w:rPr>
          <w:rFonts w:hint="eastAsia" w:ascii="Times New Roman" w:hAnsi="Times New Roman" w:eastAsia="宋体"/>
          <w:sz w:val="32"/>
          <w:szCs w:val="32"/>
          <w:lang w:val="en-US" w:eastAsia="zh-CN"/>
        </w:rPr>
      </w:pPr>
      <w:r>
        <w:rPr>
          <w:rFonts w:hint="eastAsia" w:ascii="Times New Roman" w:hAnsi="Times New Roman" w:eastAsia="宋体"/>
          <w:sz w:val="32"/>
          <w:szCs w:val="32"/>
          <w:lang w:val="en-US" w:eastAsia="zh-CN"/>
        </w:rPr>
        <w:t>商务需求</w:t>
      </w:r>
    </w:p>
    <w:tbl>
      <w:tblPr>
        <w:tblStyle w:val="9"/>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620"/>
        <w:gridCol w:w="5940"/>
      </w:tblGrid>
      <w:tr w14:paraId="29AD7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771CC4FA">
            <w:pPr>
              <w:jc w:val="center"/>
              <w:rPr>
                <w:rFonts w:hint="eastAsia" w:ascii="宋体" w:hAnsi="宋体" w:cs="宋体"/>
                <w:b/>
                <w:szCs w:val="21"/>
              </w:rPr>
            </w:pPr>
            <w:r>
              <w:rPr>
                <w:rFonts w:hint="eastAsia" w:ascii="宋体" w:hAnsi="宋体" w:cs="宋体"/>
                <w:b/>
                <w:szCs w:val="21"/>
                <w:lang w:bidi="ar"/>
              </w:rPr>
              <w:t>序号</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CF1F117">
            <w:pPr>
              <w:jc w:val="center"/>
              <w:rPr>
                <w:rFonts w:hint="eastAsia" w:ascii="宋体" w:hAnsi="宋体" w:cs="宋体"/>
                <w:b/>
                <w:szCs w:val="21"/>
              </w:rPr>
            </w:pPr>
            <w:r>
              <w:rPr>
                <w:rFonts w:hint="eastAsia" w:ascii="宋体" w:hAnsi="宋体" w:cs="宋体"/>
                <w:b/>
                <w:szCs w:val="21"/>
                <w:lang w:bidi="ar"/>
              </w:rPr>
              <w:t>目录</w:t>
            </w:r>
          </w:p>
        </w:tc>
        <w:tc>
          <w:tcPr>
            <w:tcW w:w="5940" w:type="dxa"/>
            <w:tcBorders>
              <w:top w:val="single" w:color="auto" w:sz="4" w:space="0"/>
              <w:left w:val="single" w:color="auto" w:sz="4" w:space="0"/>
              <w:bottom w:val="single" w:color="auto" w:sz="4" w:space="0"/>
              <w:right w:val="single" w:color="auto" w:sz="4" w:space="0"/>
            </w:tcBorders>
            <w:noWrap w:val="0"/>
            <w:vAlign w:val="center"/>
          </w:tcPr>
          <w:p w14:paraId="4AB75546">
            <w:pPr>
              <w:jc w:val="center"/>
              <w:rPr>
                <w:rFonts w:hint="eastAsia" w:ascii="宋体" w:hAnsi="宋体" w:cs="宋体"/>
                <w:b/>
                <w:szCs w:val="21"/>
              </w:rPr>
            </w:pPr>
            <w:r>
              <w:rPr>
                <w:rFonts w:hint="eastAsia" w:ascii="宋体" w:hAnsi="宋体" w:cs="宋体"/>
                <w:b/>
                <w:szCs w:val="21"/>
                <w:lang w:bidi="ar"/>
              </w:rPr>
              <w:t>招标商务需求</w:t>
            </w:r>
          </w:p>
        </w:tc>
      </w:tr>
      <w:tr w14:paraId="0FCFC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0" w:type="dxa"/>
            <w:gridSpan w:val="3"/>
            <w:tcBorders>
              <w:top w:val="single" w:color="auto" w:sz="4" w:space="0"/>
              <w:left w:val="single" w:color="auto" w:sz="4" w:space="0"/>
              <w:bottom w:val="single" w:color="auto" w:sz="4" w:space="0"/>
              <w:right w:val="single" w:color="auto" w:sz="4" w:space="0"/>
            </w:tcBorders>
            <w:noWrap w:val="0"/>
            <w:vAlign w:val="top"/>
          </w:tcPr>
          <w:p w14:paraId="6FD09305">
            <w:pPr>
              <w:rPr>
                <w:rFonts w:hint="eastAsia" w:ascii="宋体" w:hAnsi="宋体" w:cs="宋体"/>
                <w:b/>
                <w:szCs w:val="21"/>
              </w:rPr>
            </w:pPr>
            <w:r>
              <w:rPr>
                <w:rFonts w:hint="eastAsia" w:ascii="宋体" w:hAnsi="宋体" w:cs="宋体"/>
                <w:b/>
                <w:szCs w:val="21"/>
                <w:lang w:bidi="ar"/>
              </w:rPr>
              <w:t>（一）免费保修期内售后服务要求</w:t>
            </w:r>
          </w:p>
        </w:tc>
      </w:tr>
      <w:tr w14:paraId="3F57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12AC7154">
            <w:pPr>
              <w:jc w:val="center"/>
              <w:rPr>
                <w:rFonts w:hint="eastAsia" w:ascii="宋体" w:hAnsi="宋体" w:cs="宋体"/>
                <w:b/>
                <w:sz w:val="22"/>
                <w:szCs w:val="22"/>
              </w:rPr>
            </w:pPr>
            <w:r>
              <w:rPr>
                <w:rFonts w:hint="eastAsia" w:ascii="宋体" w:hAnsi="宋体" w:cs="宋体"/>
                <w:b/>
                <w:sz w:val="22"/>
                <w:szCs w:val="22"/>
                <w:lang w:bidi="ar"/>
              </w:rPr>
              <w:t>1</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E4BE7C1">
            <w:pPr>
              <w:rPr>
                <w:rFonts w:hint="eastAsia" w:ascii="宋体" w:hAnsi="宋体" w:cs="宋体"/>
                <w:sz w:val="22"/>
                <w:szCs w:val="22"/>
              </w:rPr>
            </w:pPr>
            <w:r>
              <w:rPr>
                <w:rFonts w:hint="eastAsia" w:ascii="宋体" w:hAnsi="宋体" w:cs="宋体"/>
                <w:sz w:val="22"/>
                <w:szCs w:val="22"/>
                <w:lang w:bidi="ar"/>
              </w:rPr>
              <w:t>免费保修期</w:t>
            </w:r>
          </w:p>
        </w:tc>
        <w:tc>
          <w:tcPr>
            <w:tcW w:w="5940" w:type="dxa"/>
            <w:tcBorders>
              <w:top w:val="single" w:color="auto" w:sz="4" w:space="0"/>
              <w:left w:val="single" w:color="auto" w:sz="4" w:space="0"/>
              <w:bottom w:val="single" w:color="auto" w:sz="4" w:space="0"/>
              <w:right w:val="single" w:color="auto" w:sz="4" w:space="0"/>
            </w:tcBorders>
            <w:noWrap w:val="0"/>
            <w:vAlign w:val="top"/>
          </w:tcPr>
          <w:p w14:paraId="04231F3B">
            <w:pPr>
              <w:pStyle w:val="24"/>
              <w:widowControl/>
              <w:rPr>
                <w:sz w:val="22"/>
                <w:szCs w:val="22"/>
              </w:rPr>
            </w:pPr>
            <w:r>
              <w:rPr>
                <w:sz w:val="22"/>
                <w:szCs w:val="22"/>
              </w:rPr>
              <w:t>★要求</w:t>
            </w:r>
            <w:r>
              <w:rPr>
                <w:rFonts w:hint="eastAsia"/>
                <w:sz w:val="22"/>
                <w:szCs w:val="22"/>
                <w:lang w:val="en-US" w:eastAsia="zh-CN"/>
              </w:rPr>
              <w:t>5</w:t>
            </w:r>
            <w:r>
              <w:rPr>
                <w:sz w:val="22"/>
                <w:szCs w:val="22"/>
              </w:rPr>
              <w:t>年免费保修及售后服务，保修期和系统技术支持自双方代表在系统安装验收单上签字之日起计算。免费保修期内所发生的一切费用包括系统维护或升级、人员交通、差旅服务等费用全部由中标人承担。（特别提示：免费保修期达不到招标文件要求的，该投标文件按废标处理），时间自最终验收合格并交付使用之日起计算。</w:t>
            </w:r>
          </w:p>
        </w:tc>
      </w:tr>
      <w:tr w14:paraId="5E43D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44AF58FF">
            <w:pPr>
              <w:jc w:val="center"/>
              <w:rPr>
                <w:rFonts w:hint="eastAsia" w:ascii="宋体" w:hAnsi="宋体" w:cs="宋体"/>
                <w:b/>
                <w:sz w:val="22"/>
                <w:szCs w:val="22"/>
              </w:rPr>
            </w:pPr>
            <w:r>
              <w:rPr>
                <w:rFonts w:hint="eastAsia" w:ascii="宋体" w:hAnsi="宋体" w:cs="宋体"/>
                <w:b/>
                <w:sz w:val="22"/>
                <w:szCs w:val="22"/>
                <w:lang w:bidi="ar"/>
              </w:rPr>
              <w:t>2</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25FC0CDD">
            <w:pPr>
              <w:rPr>
                <w:rFonts w:hint="eastAsia" w:ascii="宋体" w:hAnsi="宋体" w:cs="宋体"/>
                <w:sz w:val="22"/>
                <w:szCs w:val="22"/>
              </w:rPr>
            </w:pPr>
            <w:r>
              <w:rPr>
                <w:rFonts w:hint="eastAsia" w:ascii="宋体" w:hAnsi="宋体" w:cs="宋体"/>
                <w:sz w:val="22"/>
                <w:szCs w:val="22"/>
                <w:lang w:bidi="ar"/>
              </w:rPr>
              <w:t>维修响应及故障解决时间</w:t>
            </w:r>
          </w:p>
        </w:tc>
        <w:tc>
          <w:tcPr>
            <w:tcW w:w="5940" w:type="dxa"/>
            <w:tcBorders>
              <w:top w:val="single" w:color="auto" w:sz="4" w:space="0"/>
              <w:left w:val="single" w:color="auto" w:sz="4" w:space="0"/>
              <w:bottom w:val="single" w:color="auto" w:sz="4" w:space="0"/>
              <w:right w:val="single" w:color="auto" w:sz="4" w:space="0"/>
            </w:tcBorders>
            <w:noWrap w:val="0"/>
            <w:vAlign w:val="top"/>
          </w:tcPr>
          <w:p w14:paraId="1749AED8">
            <w:pPr>
              <w:pStyle w:val="24"/>
              <w:widowControl/>
              <w:rPr>
                <w:sz w:val="22"/>
                <w:szCs w:val="22"/>
              </w:rPr>
            </w:pPr>
            <w:r>
              <w:rPr>
                <w:sz w:val="22"/>
                <w:szCs w:val="22"/>
              </w:rPr>
              <w:t>系统维护：系统在免费保修期内，中标人必须安排</w:t>
            </w:r>
            <w:r>
              <w:rPr>
                <w:rFonts w:hint="eastAsia"/>
                <w:sz w:val="22"/>
                <w:szCs w:val="22"/>
                <w:lang w:eastAsia="zh-CN"/>
              </w:rPr>
              <w:t>至少</w:t>
            </w:r>
            <w:r>
              <w:rPr>
                <w:sz w:val="22"/>
                <w:szCs w:val="22"/>
              </w:rPr>
              <w:t>1名工程师进行免费驻场维护服务，其作息时间严格按照甲方工作时间。驻场时间以开始进场实施到系统上线验收单签字日截止，系统稳定上线运行，签字验收后经与医院协商沟通后驻场人员方可撤离。</w:t>
            </w:r>
          </w:p>
          <w:p w14:paraId="1CC761BB">
            <w:pPr>
              <w:pStyle w:val="24"/>
              <w:widowControl/>
              <w:rPr>
                <w:sz w:val="22"/>
                <w:szCs w:val="22"/>
              </w:rPr>
            </w:pPr>
            <w:r>
              <w:rPr>
                <w:sz w:val="22"/>
                <w:szCs w:val="22"/>
              </w:rPr>
              <w:t>系统响应时间：投标人必须提供7*24小时技术支持热线电话（固话、手机）。当系统发生故障时，投标人应在接到维修通知后2小时内响应并派员远程解决问题，远程无法解决的，应在一个工作日内响应并派遣技术人员到达现场服务。</w:t>
            </w:r>
          </w:p>
        </w:tc>
      </w:tr>
      <w:tr w14:paraId="24F3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3DB62484">
            <w:pPr>
              <w:jc w:val="center"/>
              <w:rPr>
                <w:rFonts w:hint="eastAsia" w:ascii="宋体" w:hAnsi="宋体" w:cs="宋体"/>
                <w:sz w:val="22"/>
                <w:szCs w:val="22"/>
              </w:rPr>
            </w:pPr>
            <w:r>
              <w:rPr>
                <w:rFonts w:hint="eastAsia" w:ascii="宋体" w:hAnsi="宋体" w:cs="宋体"/>
                <w:sz w:val="22"/>
                <w:szCs w:val="22"/>
                <w:lang w:bidi="ar"/>
              </w:rPr>
              <w:t>3</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2FFF5A3">
            <w:pPr>
              <w:jc w:val="center"/>
              <w:rPr>
                <w:rFonts w:hint="eastAsia" w:ascii="宋体" w:hAnsi="宋体" w:cs="宋体"/>
                <w:sz w:val="22"/>
                <w:szCs w:val="22"/>
              </w:rPr>
            </w:pPr>
            <w:r>
              <w:rPr>
                <w:rFonts w:hint="eastAsia" w:ascii="宋体" w:hAnsi="宋体" w:cs="宋体"/>
                <w:sz w:val="22"/>
                <w:szCs w:val="22"/>
                <w:lang w:bidi="ar"/>
              </w:rPr>
              <w:t>培训服务</w:t>
            </w:r>
          </w:p>
        </w:tc>
        <w:tc>
          <w:tcPr>
            <w:tcW w:w="5940" w:type="dxa"/>
            <w:tcBorders>
              <w:top w:val="single" w:color="auto" w:sz="4" w:space="0"/>
              <w:left w:val="single" w:color="auto" w:sz="4" w:space="0"/>
              <w:bottom w:val="single" w:color="auto" w:sz="4" w:space="0"/>
              <w:right w:val="single" w:color="auto" w:sz="4" w:space="0"/>
            </w:tcBorders>
            <w:noWrap w:val="0"/>
            <w:vAlign w:val="center"/>
          </w:tcPr>
          <w:p w14:paraId="2712A6F5">
            <w:pPr>
              <w:pStyle w:val="24"/>
              <w:widowControl/>
              <w:rPr>
                <w:sz w:val="22"/>
                <w:szCs w:val="22"/>
              </w:rPr>
            </w:pPr>
            <w:r>
              <w:rPr>
                <w:sz w:val="22"/>
                <w:szCs w:val="22"/>
              </w:rPr>
              <w:t>中标方需要为院方提供软件产品全部功能安装、调试、培训工作。培训方式至少包含：按职责分类现场指导、培训课件、讨论交流、上机操作、现场指导。</w:t>
            </w:r>
          </w:p>
          <w:p w14:paraId="1047A471">
            <w:pPr>
              <w:pStyle w:val="24"/>
              <w:widowControl/>
              <w:rPr>
                <w:rFonts w:hAnsi="宋体" w:cs="Times New Roman"/>
                <w:kern w:val="2"/>
                <w:sz w:val="22"/>
                <w:szCs w:val="22"/>
              </w:rPr>
            </w:pPr>
            <w:r>
              <w:rPr>
                <w:sz w:val="22"/>
                <w:szCs w:val="22"/>
              </w:rPr>
              <w:t>培训</w:t>
            </w:r>
            <w:r>
              <w:rPr>
                <w:rFonts w:hAnsi="宋体" w:cs="Times New Roman"/>
                <w:kern w:val="2"/>
                <w:sz w:val="22"/>
                <w:szCs w:val="22"/>
              </w:rPr>
              <w:t>主要包括：</w:t>
            </w:r>
          </w:p>
          <w:p w14:paraId="6E965E3C">
            <w:pPr>
              <w:pStyle w:val="24"/>
              <w:widowControl/>
              <w:rPr>
                <w:sz w:val="22"/>
                <w:szCs w:val="22"/>
              </w:rPr>
            </w:pPr>
            <w:r>
              <w:rPr>
                <w:sz w:val="22"/>
                <w:szCs w:val="22"/>
              </w:rPr>
              <w:t>1、培训大纲：其中应注明每次课程的内容和目的；</w:t>
            </w:r>
          </w:p>
          <w:p w14:paraId="72F6793A">
            <w:pPr>
              <w:pStyle w:val="24"/>
              <w:widowControl/>
              <w:rPr>
                <w:sz w:val="22"/>
                <w:szCs w:val="22"/>
              </w:rPr>
            </w:pPr>
            <w:r>
              <w:rPr>
                <w:sz w:val="22"/>
                <w:szCs w:val="22"/>
              </w:rPr>
              <w:t>2、培训计划：其中应注明每次培训课程的时间及课时；</w:t>
            </w:r>
          </w:p>
          <w:p w14:paraId="5568635D">
            <w:pPr>
              <w:pStyle w:val="24"/>
              <w:widowControl/>
              <w:rPr>
                <w:sz w:val="22"/>
                <w:szCs w:val="22"/>
              </w:rPr>
            </w:pPr>
            <w:r>
              <w:rPr>
                <w:sz w:val="22"/>
                <w:szCs w:val="22"/>
              </w:rPr>
              <w:t>3、培训内容：系统的性能、相关技术原理和操作使用方法，维护管理的技术，实际的操作练习；</w:t>
            </w:r>
          </w:p>
          <w:p w14:paraId="7C4C1F44">
            <w:pPr>
              <w:pStyle w:val="24"/>
              <w:widowControl/>
              <w:rPr>
                <w:sz w:val="22"/>
                <w:szCs w:val="22"/>
              </w:rPr>
            </w:pPr>
            <w:r>
              <w:rPr>
                <w:sz w:val="22"/>
                <w:szCs w:val="22"/>
              </w:rPr>
              <w:t>4、培训课程应安排在整个项目计划的合适时间段内；</w:t>
            </w:r>
          </w:p>
          <w:p w14:paraId="5817CD01">
            <w:pPr>
              <w:pStyle w:val="24"/>
              <w:widowControl/>
              <w:rPr>
                <w:sz w:val="22"/>
                <w:szCs w:val="22"/>
              </w:rPr>
            </w:pPr>
            <w:r>
              <w:rPr>
                <w:sz w:val="22"/>
                <w:szCs w:val="22"/>
              </w:rPr>
              <w:t>5、课程的文件和资料；</w:t>
            </w:r>
          </w:p>
          <w:p w14:paraId="1ACCDC00">
            <w:pPr>
              <w:pStyle w:val="24"/>
              <w:widowControl/>
              <w:rPr>
                <w:rFonts w:hAnsi="宋体"/>
                <w:sz w:val="22"/>
                <w:szCs w:val="22"/>
              </w:rPr>
            </w:pPr>
            <w:r>
              <w:rPr>
                <w:sz w:val="22"/>
                <w:szCs w:val="22"/>
              </w:rPr>
              <w:t>投标公司详细列出培训方案，对于合同中确定提出变更，需提出书面通知。</w:t>
            </w:r>
          </w:p>
        </w:tc>
      </w:tr>
      <w:tr w14:paraId="46166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0" w:type="dxa"/>
            <w:gridSpan w:val="3"/>
            <w:tcBorders>
              <w:top w:val="single" w:color="auto" w:sz="4" w:space="0"/>
              <w:left w:val="single" w:color="auto" w:sz="4" w:space="0"/>
              <w:bottom w:val="single" w:color="auto" w:sz="4" w:space="0"/>
              <w:right w:val="single" w:color="auto" w:sz="4" w:space="0"/>
            </w:tcBorders>
            <w:noWrap w:val="0"/>
            <w:vAlign w:val="top"/>
          </w:tcPr>
          <w:p w14:paraId="0C718C97">
            <w:pPr>
              <w:rPr>
                <w:rFonts w:hint="eastAsia" w:ascii="宋体" w:hAnsi="宋体" w:cs="宋体"/>
                <w:b/>
                <w:szCs w:val="21"/>
              </w:rPr>
            </w:pPr>
            <w:r>
              <w:rPr>
                <w:rFonts w:hint="eastAsia" w:ascii="宋体" w:hAnsi="宋体" w:cs="宋体"/>
                <w:b/>
                <w:szCs w:val="21"/>
                <w:lang w:bidi="ar"/>
              </w:rPr>
              <w:t>（二）其他商务要求</w:t>
            </w:r>
          </w:p>
        </w:tc>
      </w:tr>
      <w:tr w14:paraId="37B3D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7BD637CE">
            <w:pPr>
              <w:jc w:val="center"/>
              <w:rPr>
                <w:rFonts w:hint="eastAsia" w:ascii="宋体" w:hAnsi="宋体" w:cs="宋体"/>
                <w:b/>
                <w:szCs w:val="21"/>
              </w:rPr>
            </w:pPr>
            <w:r>
              <w:rPr>
                <w:rFonts w:hint="eastAsia" w:ascii="宋体" w:hAnsi="宋体" w:cs="宋体"/>
                <w:b/>
                <w:szCs w:val="21"/>
                <w:lang w:bidi="ar"/>
              </w:rPr>
              <w:t>1</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29EC005D">
            <w:pPr>
              <w:jc w:val="center"/>
              <w:rPr>
                <w:rFonts w:hint="eastAsia" w:ascii="宋体" w:hAnsi="宋体" w:cs="宋体"/>
                <w:szCs w:val="21"/>
              </w:rPr>
            </w:pPr>
            <w:r>
              <w:rPr>
                <w:rFonts w:hint="eastAsia" w:ascii="宋体" w:hAnsi="宋体" w:cs="宋体"/>
                <w:szCs w:val="21"/>
                <w:lang w:bidi="ar"/>
              </w:rPr>
              <w:t>关于交货</w:t>
            </w:r>
          </w:p>
        </w:tc>
        <w:tc>
          <w:tcPr>
            <w:tcW w:w="5940" w:type="dxa"/>
            <w:tcBorders>
              <w:top w:val="single" w:color="auto" w:sz="4" w:space="0"/>
              <w:left w:val="single" w:color="auto" w:sz="4" w:space="0"/>
              <w:bottom w:val="single" w:color="auto" w:sz="4" w:space="0"/>
              <w:right w:val="single" w:color="auto" w:sz="4" w:space="0"/>
            </w:tcBorders>
            <w:noWrap w:val="0"/>
            <w:vAlign w:val="top"/>
          </w:tcPr>
          <w:p w14:paraId="7F5A606D">
            <w:pPr>
              <w:rPr>
                <w:rFonts w:hint="eastAsia" w:ascii="宋体" w:hAnsi="宋体" w:cs="宋体"/>
                <w:b/>
                <w:sz w:val="22"/>
                <w:szCs w:val="22"/>
              </w:rPr>
            </w:pPr>
            <w:r>
              <w:rPr>
                <w:rFonts w:hint="eastAsia" w:ascii="宋体" w:hAnsi="宋体" w:cs="宋体"/>
                <w:b/>
                <w:sz w:val="22"/>
                <w:szCs w:val="22"/>
                <w:lang w:bidi="ar"/>
              </w:rPr>
              <w:t>硬件在合同签订</w:t>
            </w:r>
            <w:r>
              <w:rPr>
                <w:rFonts w:hint="eastAsia" w:ascii="宋体" w:hAnsi="宋体" w:cs="宋体"/>
                <w:b/>
                <w:sz w:val="22"/>
                <w:szCs w:val="22"/>
                <w:lang w:val="en-US" w:eastAsia="zh-CN" w:bidi="ar"/>
              </w:rPr>
              <w:t>30</w:t>
            </w:r>
            <w:r>
              <w:rPr>
                <w:rFonts w:hint="eastAsia" w:ascii="宋体" w:hAnsi="宋体" w:cs="宋体"/>
                <w:b/>
                <w:sz w:val="22"/>
                <w:szCs w:val="22"/>
                <w:lang w:bidi="ar"/>
              </w:rPr>
              <w:t>个工作日提</w:t>
            </w:r>
            <w:r>
              <w:rPr>
                <w:rFonts w:hint="eastAsia" w:ascii="宋体" w:hAnsi="宋体" w:cs="宋体"/>
                <w:sz w:val="22"/>
                <w:szCs w:val="22"/>
                <w:lang w:bidi="ar"/>
              </w:rPr>
              <w:t xml:space="preserve">供，签订合同后 </w:t>
            </w:r>
            <w:r>
              <w:rPr>
                <w:rFonts w:hint="eastAsia" w:ascii="宋体" w:hAnsi="宋体" w:cs="宋体"/>
                <w:sz w:val="22"/>
                <w:szCs w:val="22"/>
                <w:lang w:val="en-US" w:eastAsia="zh-CN" w:bidi="ar"/>
              </w:rPr>
              <w:t>90</w:t>
            </w:r>
            <w:r>
              <w:rPr>
                <w:rFonts w:hint="eastAsia" w:ascii="宋体" w:hAnsi="宋体" w:cs="宋体"/>
                <w:sz w:val="22"/>
                <w:szCs w:val="22"/>
                <w:lang w:bidi="ar"/>
              </w:rPr>
              <w:t xml:space="preserve"> 天内完</w:t>
            </w:r>
            <w:r>
              <w:rPr>
                <w:rFonts w:hint="eastAsia" w:ascii="宋体" w:hAnsi="宋体" w:cs="宋体"/>
                <w:bCs/>
                <w:sz w:val="22"/>
                <w:szCs w:val="22"/>
                <w:lang w:bidi="ar"/>
              </w:rPr>
              <w:t>成系统的安装、调试、上线运行。</w:t>
            </w:r>
          </w:p>
        </w:tc>
      </w:tr>
      <w:tr w14:paraId="7D554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260" w:type="dxa"/>
            <w:vMerge w:val="restart"/>
            <w:tcBorders>
              <w:top w:val="single" w:color="auto" w:sz="4" w:space="0"/>
              <w:left w:val="single" w:color="auto" w:sz="4" w:space="0"/>
              <w:right w:val="single" w:color="auto" w:sz="4" w:space="0"/>
            </w:tcBorders>
            <w:noWrap w:val="0"/>
            <w:vAlign w:val="center"/>
          </w:tcPr>
          <w:p w14:paraId="24E456E0">
            <w:pPr>
              <w:jc w:val="center"/>
              <w:rPr>
                <w:rFonts w:hint="eastAsia" w:ascii="Times New Roman" w:hAnsi="Times New Roman" w:eastAsia="宋体"/>
                <w:sz w:val="20"/>
                <w:szCs w:val="20"/>
                <w:lang w:val="en-US" w:eastAsia="zh-CN"/>
              </w:rPr>
            </w:pPr>
            <w:r>
              <w:rPr>
                <w:rFonts w:hint="eastAsia" w:ascii="Times New Roman" w:hAnsi="Times New Roman"/>
                <w:sz w:val="20"/>
                <w:szCs w:val="20"/>
                <w:lang w:val="en-US" w:eastAsia="zh-CN"/>
              </w:rPr>
              <w:t>2</w:t>
            </w:r>
          </w:p>
        </w:tc>
        <w:tc>
          <w:tcPr>
            <w:tcW w:w="1620" w:type="dxa"/>
            <w:vMerge w:val="restart"/>
            <w:tcBorders>
              <w:top w:val="single" w:color="auto" w:sz="4" w:space="0"/>
              <w:left w:val="single" w:color="auto" w:sz="4" w:space="0"/>
              <w:right w:val="single" w:color="auto" w:sz="4" w:space="0"/>
            </w:tcBorders>
            <w:noWrap w:val="0"/>
            <w:vAlign w:val="center"/>
          </w:tcPr>
          <w:p w14:paraId="1EB0CDFA">
            <w:pPr>
              <w:jc w:val="center"/>
              <w:rPr>
                <w:rFonts w:hint="eastAsia" w:ascii="Times New Roman" w:hAnsi="Times New Roman" w:eastAsia="宋体"/>
                <w:sz w:val="20"/>
                <w:szCs w:val="20"/>
                <w:lang w:eastAsia="zh-CN"/>
              </w:rPr>
            </w:pPr>
            <w:r>
              <w:rPr>
                <w:rFonts w:hint="eastAsia" w:ascii="宋体" w:hAnsi="宋体" w:eastAsia="宋体" w:cs="宋体"/>
                <w:szCs w:val="21"/>
                <w:lang w:eastAsia="zh-CN" w:bidi="ar"/>
              </w:rPr>
              <w:t>关于接口</w:t>
            </w:r>
          </w:p>
        </w:tc>
        <w:tc>
          <w:tcPr>
            <w:tcW w:w="5940" w:type="dxa"/>
            <w:tcBorders>
              <w:top w:val="single" w:color="auto" w:sz="4" w:space="0"/>
              <w:left w:val="single" w:color="auto" w:sz="4" w:space="0"/>
              <w:bottom w:val="single" w:color="auto" w:sz="4" w:space="0"/>
              <w:right w:val="single" w:color="auto" w:sz="4" w:space="0"/>
            </w:tcBorders>
            <w:noWrap w:val="0"/>
            <w:vAlign w:val="top"/>
          </w:tcPr>
          <w:p w14:paraId="75230EE4">
            <w:pPr>
              <w:pStyle w:val="25"/>
              <w:widowControl/>
              <w:tabs>
                <w:tab w:val="left" w:pos="420"/>
                <w:tab w:val="clear" w:pos="4"/>
              </w:tabs>
              <w:ind w:left="0" w:firstLine="0"/>
              <w:jc w:val="left"/>
              <w:rPr>
                <w:rFonts w:cs="宋体"/>
                <w:bCs/>
                <w:sz w:val="22"/>
                <w:szCs w:val="22"/>
              </w:rPr>
            </w:pPr>
            <w:r>
              <w:rPr>
                <w:rFonts w:cs="宋体"/>
                <w:bCs/>
                <w:sz w:val="22"/>
                <w:szCs w:val="22"/>
              </w:rPr>
              <w:t>对软件开发接口予以</w:t>
            </w:r>
            <w:r>
              <w:rPr>
                <w:rFonts w:hint="eastAsia" w:cs="宋体"/>
                <w:bCs/>
                <w:sz w:val="22"/>
                <w:szCs w:val="22"/>
                <w:lang w:eastAsia="zh-CN"/>
              </w:rPr>
              <w:t>免费</w:t>
            </w:r>
            <w:r>
              <w:rPr>
                <w:rFonts w:cs="宋体"/>
                <w:bCs/>
                <w:sz w:val="22"/>
                <w:szCs w:val="22"/>
              </w:rPr>
              <w:t>开放</w:t>
            </w:r>
            <w:r>
              <w:rPr>
                <w:rFonts w:hint="eastAsia" w:cs="宋体"/>
                <w:bCs/>
                <w:sz w:val="22"/>
                <w:szCs w:val="22"/>
                <w:lang w:eastAsia="zh-CN"/>
              </w:rPr>
              <w:t>，</w:t>
            </w:r>
            <w:r>
              <w:rPr>
                <w:rFonts w:cs="宋体"/>
                <w:bCs/>
                <w:sz w:val="22"/>
                <w:szCs w:val="22"/>
              </w:rPr>
              <w:t>因本院系统原因需要进行接口开发实现对接的，不得收取接口费用。</w:t>
            </w:r>
          </w:p>
        </w:tc>
      </w:tr>
      <w:tr w14:paraId="1E94A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60FCE8AD">
            <w:pPr>
              <w:jc w:val="center"/>
              <w:rPr>
                <w:rFonts w:ascii="Times New Roman" w:hAnsi="Times New Roman"/>
                <w:sz w:val="20"/>
                <w:szCs w:val="20"/>
              </w:rPr>
            </w:pPr>
          </w:p>
        </w:tc>
        <w:tc>
          <w:tcPr>
            <w:tcW w:w="1620" w:type="dxa"/>
            <w:vMerge w:val="continue"/>
            <w:tcBorders>
              <w:top w:val="single" w:color="auto" w:sz="4" w:space="0"/>
              <w:left w:val="single" w:color="auto" w:sz="4" w:space="0"/>
              <w:bottom w:val="single" w:color="auto" w:sz="4" w:space="0"/>
              <w:right w:val="single" w:color="auto" w:sz="4" w:space="0"/>
            </w:tcBorders>
            <w:noWrap w:val="0"/>
            <w:vAlign w:val="center"/>
          </w:tcPr>
          <w:p w14:paraId="741EF376">
            <w:pPr>
              <w:rPr>
                <w:rFonts w:ascii="Times New Roman" w:hAnsi="Times New Roman"/>
                <w:sz w:val="20"/>
                <w:szCs w:val="20"/>
              </w:rPr>
            </w:pPr>
          </w:p>
        </w:tc>
        <w:tc>
          <w:tcPr>
            <w:tcW w:w="5940" w:type="dxa"/>
            <w:tcBorders>
              <w:top w:val="single" w:color="auto" w:sz="4" w:space="0"/>
              <w:left w:val="single" w:color="auto" w:sz="4" w:space="0"/>
              <w:bottom w:val="single" w:color="auto" w:sz="4" w:space="0"/>
              <w:right w:val="single" w:color="auto" w:sz="4" w:space="0"/>
            </w:tcBorders>
            <w:noWrap w:val="0"/>
            <w:vAlign w:val="top"/>
          </w:tcPr>
          <w:p w14:paraId="5562106C">
            <w:pPr>
              <w:pStyle w:val="25"/>
              <w:widowControl/>
              <w:tabs>
                <w:tab w:val="left" w:pos="420"/>
                <w:tab w:val="clear" w:pos="4"/>
              </w:tabs>
              <w:ind w:left="0" w:firstLine="0"/>
              <w:jc w:val="left"/>
              <w:rPr>
                <w:rFonts w:cs="宋体"/>
                <w:bCs/>
                <w:sz w:val="22"/>
                <w:szCs w:val="22"/>
              </w:rPr>
            </w:pPr>
            <w:r>
              <w:rPr>
                <w:rFonts w:cs="宋体"/>
                <w:bCs/>
                <w:sz w:val="22"/>
                <w:szCs w:val="22"/>
              </w:rPr>
              <w:t>中标方系统需按采购方要求，接入采购方SSO单点登录，使用院内统一账号密码管理。</w:t>
            </w:r>
          </w:p>
        </w:tc>
      </w:tr>
      <w:tr w14:paraId="11A25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260" w:type="dxa"/>
            <w:vMerge w:val="restart"/>
            <w:tcBorders>
              <w:top w:val="single" w:color="auto" w:sz="4" w:space="0"/>
              <w:left w:val="single" w:color="auto" w:sz="4" w:space="0"/>
              <w:right w:val="single" w:color="auto" w:sz="4" w:space="0"/>
            </w:tcBorders>
            <w:noWrap w:val="0"/>
            <w:vAlign w:val="center"/>
          </w:tcPr>
          <w:p w14:paraId="49FBD700">
            <w:pPr>
              <w:jc w:val="center"/>
              <w:rPr>
                <w:rFonts w:hint="eastAsia" w:ascii="Times New Roman" w:hAnsi="Times New Roman" w:eastAsia="宋体"/>
                <w:sz w:val="20"/>
                <w:szCs w:val="20"/>
                <w:lang w:val="en-US" w:eastAsia="zh-CN"/>
              </w:rPr>
            </w:pPr>
            <w:r>
              <w:rPr>
                <w:rFonts w:hint="eastAsia" w:ascii="Times New Roman" w:hAnsi="Times New Roman"/>
                <w:sz w:val="20"/>
                <w:szCs w:val="20"/>
                <w:lang w:val="en-US" w:eastAsia="zh-CN"/>
              </w:rPr>
              <w:t>3</w:t>
            </w:r>
          </w:p>
        </w:tc>
        <w:tc>
          <w:tcPr>
            <w:tcW w:w="1620" w:type="dxa"/>
            <w:vMerge w:val="restart"/>
            <w:tcBorders>
              <w:top w:val="single" w:color="auto" w:sz="4" w:space="0"/>
              <w:left w:val="single" w:color="auto" w:sz="4" w:space="0"/>
              <w:right w:val="single" w:color="auto" w:sz="4" w:space="0"/>
            </w:tcBorders>
            <w:noWrap w:val="0"/>
            <w:vAlign w:val="center"/>
          </w:tcPr>
          <w:p w14:paraId="45C57A4F">
            <w:pPr>
              <w:rPr>
                <w:rFonts w:ascii="Times New Roman" w:hAnsi="Times New Roman"/>
                <w:sz w:val="20"/>
                <w:szCs w:val="20"/>
              </w:rPr>
            </w:pPr>
            <w:r>
              <w:rPr>
                <w:rFonts w:hint="eastAsia" w:ascii="宋体" w:hAnsi="宋体" w:eastAsia="宋体" w:cs="宋体"/>
                <w:szCs w:val="21"/>
                <w:lang w:eastAsia="zh-CN" w:bidi="ar"/>
              </w:rPr>
              <w:t>关于移动设备</w:t>
            </w:r>
          </w:p>
        </w:tc>
        <w:tc>
          <w:tcPr>
            <w:tcW w:w="5940" w:type="dxa"/>
            <w:tcBorders>
              <w:top w:val="single" w:color="auto" w:sz="4" w:space="0"/>
              <w:left w:val="single" w:color="auto" w:sz="4" w:space="0"/>
              <w:bottom w:val="single" w:color="auto" w:sz="4" w:space="0"/>
              <w:right w:val="single" w:color="auto" w:sz="4" w:space="0"/>
            </w:tcBorders>
            <w:noWrap w:val="0"/>
            <w:vAlign w:val="top"/>
          </w:tcPr>
          <w:p w14:paraId="2C87F686">
            <w:pPr>
              <w:widowControl/>
              <w:tabs>
                <w:tab w:val="left" w:pos="3850"/>
              </w:tabs>
              <w:spacing w:line="400" w:lineRule="exact"/>
              <w:rPr>
                <w:rFonts w:cs="宋体"/>
                <w:bCs/>
                <w:sz w:val="22"/>
                <w:szCs w:val="22"/>
              </w:rPr>
            </w:pPr>
            <w:r>
              <w:rPr>
                <w:rFonts w:hint="eastAsia" w:ascii="宋体" w:hAnsi="宋体" w:eastAsia="宋体" w:cs="宋体"/>
                <w:color w:val="auto"/>
                <w:sz w:val="22"/>
                <w:szCs w:val="22"/>
                <w:lang w:val="en-US" w:eastAsia="zh-CN"/>
              </w:rPr>
              <w:t>投标文件中需提供</w:t>
            </w:r>
            <w:r>
              <w:rPr>
                <w:rFonts w:hint="eastAsia" w:ascii="宋体" w:hAnsi="宋体"/>
                <w:color w:val="auto"/>
                <w:kern w:val="0"/>
                <w:sz w:val="22"/>
                <w:szCs w:val="22"/>
              </w:rPr>
              <w:t>测评专用移动设备</w:t>
            </w:r>
            <w:r>
              <w:rPr>
                <w:rFonts w:hint="eastAsia" w:ascii="宋体" w:hAnsi="宋体"/>
                <w:color w:val="auto"/>
                <w:kern w:val="0"/>
                <w:sz w:val="22"/>
                <w:szCs w:val="22"/>
                <w:lang w:eastAsia="zh-CN"/>
              </w:rPr>
              <w:t>参数；</w:t>
            </w:r>
          </w:p>
        </w:tc>
      </w:tr>
      <w:tr w14:paraId="23163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260" w:type="dxa"/>
            <w:vMerge w:val="continue"/>
            <w:tcBorders>
              <w:left w:val="single" w:color="auto" w:sz="4" w:space="0"/>
              <w:bottom w:val="single" w:color="auto" w:sz="4" w:space="0"/>
              <w:right w:val="single" w:color="auto" w:sz="4" w:space="0"/>
            </w:tcBorders>
            <w:noWrap w:val="0"/>
            <w:vAlign w:val="center"/>
          </w:tcPr>
          <w:p w14:paraId="683812A6">
            <w:pPr>
              <w:jc w:val="center"/>
              <w:rPr>
                <w:rFonts w:ascii="Times New Roman" w:hAnsi="Times New Roman"/>
                <w:sz w:val="20"/>
                <w:szCs w:val="20"/>
              </w:rPr>
            </w:pPr>
          </w:p>
        </w:tc>
        <w:tc>
          <w:tcPr>
            <w:tcW w:w="1620" w:type="dxa"/>
            <w:vMerge w:val="continue"/>
            <w:tcBorders>
              <w:left w:val="single" w:color="auto" w:sz="4" w:space="0"/>
              <w:bottom w:val="single" w:color="auto" w:sz="4" w:space="0"/>
              <w:right w:val="single" w:color="auto" w:sz="4" w:space="0"/>
            </w:tcBorders>
            <w:noWrap w:val="0"/>
            <w:vAlign w:val="center"/>
          </w:tcPr>
          <w:p w14:paraId="3DBCBD0C">
            <w:pPr>
              <w:rPr>
                <w:rFonts w:ascii="Times New Roman" w:hAnsi="Times New Roman"/>
                <w:sz w:val="20"/>
                <w:szCs w:val="20"/>
              </w:rPr>
            </w:pPr>
          </w:p>
        </w:tc>
        <w:tc>
          <w:tcPr>
            <w:tcW w:w="5940" w:type="dxa"/>
            <w:tcBorders>
              <w:top w:val="single" w:color="auto" w:sz="4" w:space="0"/>
              <w:left w:val="single" w:color="auto" w:sz="4" w:space="0"/>
              <w:bottom w:val="single" w:color="auto" w:sz="4" w:space="0"/>
              <w:right w:val="single" w:color="auto" w:sz="4" w:space="0"/>
            </w:tcBorders>
            <w:noWrap w:val="0"/>
            <w:vAlign w:val="top"/>
          </w:tcPr>
          <w:p w14:paraId="5569E8C0">
            <w:pPr>
              <w:pStyle w:val="25"/>
              <w:widowControl/>
              <w:tabs>
                <w:tab w:val="left" w:pos="420"/>
                <w:tab w:val="clear" w:pos="4"/>
              </w:tabs>
              <w:ind w:left="0" w:firstLine="0"/>
              <w:jc w:val="left"/>
              <w:rPr>
                <w:rFonts w:cs="宋体"/>
                <w:bCs/>
                <w:sz w:val="22"/>
                <w:szCs w:val="22"/>
              </w:rPr>
            </w:pPr>
            <w:r>
              <w:rPr>
                <w:rFonts w:hint="eastAsia" w:ascii="宋体" w:hAnsi="宋体" w:eastAsia="宋体" w:cs="宋体"/>
                <w:color w:val="auto"/>
                <w:sz w:val="22"/>
                <w:szCs w:val="22"/>
                <w:lang w:val="en-US" w:eastAsia="zh-CN"/>
              </w:rPr>
              <w:t>脑健康与认知障碍数字医疗平台测评管理系统不做点位限制，若采购人提供与相同配置移动设备可免费安装软件平台供采购方使用</w:t>
            </w:r>
          </w:p>
        </w:tc>
      </w:tr>
      <w:tr w14:paraId="67B8C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14:paraId="6F9A13CC">
            <w:pPr>
              <w:jc w:val="center"/>
              <w:rPr>
                <w:rFonts w:hint="eastAsia" w:ascii="宋体" w:hAnsi="宋体" w:eastAsia="宋体" w:cs="宋体"/>
                <w:b/>
                <w:szCs w:val="21"/>
                <w:lang w:val="en-US" w:eastAsia="zh-CN"/>
              </w:rPr>
            </w:pPr>
            <w:r>
              <w:rPr>
                <w:rFonts w:hint="eastAsia" w:ascii="宋体" w:hAnsi="宋体" w:cs="宋体"/>
                <w:b/>
                <w:szCs w:val="21"/>
                <w:lang w:val="en-US" w:eastAsia="zh-CN"/>
              </w:rPr>
              <w:t>4</w:t>
            </w:r>
          </w:p>
        </w:tc>
        <w:tc>
          <w:tcPr>
            <w:tcW w:w="1620" w:type="dxa"/>
            <w:vMerge w:val="restart"/>
            <w:tcBorders>
              <w:top w:val="single" w:color="auto" w:sz="4" w:space="0"/>
              <w:left w:val="single" w:color="auto" w:sz="4" w:space="0"/>
              <w:bottom w:val="single" w:color="auto" w:sz="4" w:space="0"/>
              <w:right w:val="single" w:color="auto" w:sz="4" w:space="0"/>
            </w:tcBorders>
            <w:noWrap w:val="0"/>
            <w:vAlign w:val="center"/>
          </w:tcPr>
          <w:p w14:paraId="3D334A3E">
            <w:pPr>
              <w:jc w:val="center"/>
              <w:rPr>
                <w:rFonts w:hint="eastAsia" w:ascii="宋体" w:hAnsi="宋体" w:cs="宋体"/>
                <w:szCs w:val="21"/>
              </w:rPr>
            </w:pPr>
            <w:r>
              <w:rPr>
                <w:rFonts w:hint="eastAsia" w:ascii="宋体" w:hAnsi="宋体" w:cs="宋体"/>
                <w:szCs w:val="21"/>
                <w:lang w:bidi="ar"/>
              </w:rPr>
              <w:t>关于验收</w:t>
            </w:r>
          </w:p>
        </w:tc>
        <w:tc>
          <w:tcPr>
            <w:tcW w:w="5940" w:type="dxa"/>
            <w:tcBorders>
              <w:top w:val="single" w:color="auto" w:sz="4" w:space="0"/>
              <w:left w:val="single" w:color="auto" w:sz="4" w:space="0"/>
              <w:bottom w:val="single" w:color="auto" w:sz="4" w:space="0"/>
              <w:right w:val="single" w:color="auto" w:sz="4" w:space="0"/>
            </w:tcBorders>
            <w:noWrap w:val="0"/>
            <w:vAlign w:val="top"/>
          </w:tcPr>
          <w:p w14:paraId="3366C506">
            <w:pPr>
              <w:spacing w:line="340" w:lineRule="exact"/>
              <w:rPr>
                <w:rFonts w:hint="eastAsia" w:ascii="宋体" w:hAnsi="宋体" w:cs="宋体"/>
                <w:bCs/>
                <w:sz w:val="22"/>
                <w:szCs w:val="22"/>
              </w:rPr>
            </w:pPr>
            <w:r>
              <w:rPr>
                <w:rFonts w:hint="eastAsia" w:ascii="宋体" w:hAnsi="宋体" w:cs="宋体"/>
                <w:bCs/>
                <w:sz w:val="22"/>
                <w:szCs w:val="22"/>
                <w:lang w:bidi="ar"/>
              </w:rPr>
              <w:t>根据合同约定，达到验收条件，由乙方提出，甲方需在十日内组织人员进行验收。</w:t>
            </w:r>
          </w:p>
        </w:tc>
      </w:tr>
      <w:tr w14:paraId="12DFC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0E8EF293">
            <w:pPr>
              <w:rPr>
                <w:rFonts w:ascii="Times New Roman" w:hAnsi="Times New Roman"/>
                <w:sz w:val="20"/>
                <w:szCs w:val="20"/>
              </w:rPr>
            </w:pPr>
          </w:p>
        </w:tc>
        <w:tc>
          <w:tcPr>
            <w:tcW w:w="1620" w:type="dxa"/>
            <w:vMerge w:val="continue"/>
            <w:tcBorders>
              <w:top w:val="single" w:color="auto" w:sz="4" w:space="0"/>
              <w:left w:val="single" w:color="auto" w:sz="4" w:space="0"/>
              <w:bottom w:val="single" w:color="auto" w:sz="4" w:space="0"/>
              <w:right w:val="single" w:color="auto" w:sz="4" w:space="0"/>
            </w:tcBorders>
            <w:noWrap w:val="0"/>
            <w:vAlign w:val="center"/>
          </w:tcPr>
          <w:p w14:paraId="3BAC32B3">
            <w:pPr>
              <w:rPr>
                <w:rFonts w:ascii="Times New Roman" w:hAnsi="Times New Roman"/>
                <w:sz w:val="20"/>
                <w:szCs w:val="20"/>
              </w:rPr>
            </w:pPr>
          </w:p>
        </w:tc>
        <w:tc>
          <w:tcPr>
            <w:tcW w:w="5940" w:type="dxa"/>
            <w:tcBorders>
              <w:top w:val="single" w:color="auto" w:sz="4" w:space="0"/>
              <w:left w:val="single" w:color="auto" w:sz="4" w:space="0"/>
              <w:bottom w:val="single" w:color="auto" w:sz="4" w:space="0"/>
              <w:right w:val="single" w:color="auto" w:sz="4" w:space="0"/>
            </w:tcBorders>
            <w:noWrap w:val="0"/>
            <w:vAlign w:val="top"/>
          </w:tcPr>
          <w:p w14:paraId="08A4B889">
            <w:pPr>
              <w:tabs>
                <w:tab w:val="left" w:pos="1260"/>
              </w:tabs>
              <w:spacing w:line="340" w:lineRule="exact"/>
              <w:rPr>
                <w:rFonts w:hint="eastAsia" w:ascii="宋体" w:hAnsi="宋体" w:cs="宋体"/>
                <w:bCs/>
                <w:szCs w:val="21"/>
              </w:rPr>
            </w:pPr>
            <w:r>
              <w:rPr>
                <w:rFonts w:hint="eastAsia" w:ascii="宋体" w:hAnsi="宋体" w:cs="宋体"/>
                <w:bCs/>
                <w:szCs w:val="21"/>
                <w:lang w:bidi="ar"/>
              </w:rPr>
              <w:t>技术文档：系统验收后投标方须提供详细的软件相关技术文档（含数据结构、数据流程图、系统字典说明等）、使用说明书、维护手册等文档资料。提供系统应急方案。文档包括但不限于以下内容：</w:t>
            </w:r>
          </w:p>
          <w:p w14:paraId="62D24287">
            <w:pPr>
              <w:numPr>
                <w:ilvl w:val="0"/>
                <w:numId w:val="2"/>
              </w:numPr>
              <w:tabs>
                <w:tab w:val="left" w:pos="1260"/>
                <w:tab w:val="clear" w:pos="0"/>
              </w:tabs>
              <w:spacing w:line="340" w:lineRule="exact"/>
              <w:rPr>
                <w:rFonts w:hint="eastAsia" w:ascii="宋体" w:hAnsi="宋体" w:cs="宋体"/>
                <w:bCs/>
                <w:szCs w:val="21"/>
              </w:rPr>
            </w:pPr>
            <w:r>
              <w:rPr>
                <w:rFonts w:hint="eastAsia" w:ascii="宋体" w:hAnsi="宋体" w:cs="宋体"/>
                <w:bCs/>
                <w:szCs w:val="21"/>
                <w:lang w:bidi="ar"/>
              </w:rPr>
              <w:t>项目计划书、用户需求分析报告、数据库字典；项目概要设计书；项目</w:t>
            </w:r>
            <w:r>
              <w:rPr>
                <w:rFonts w:hint="eastAsia" w:ascii="宋体" w:hAnsi="宋体" w:cs="宋体"/>
                <w:bCs/>
                <w:szCs w:val="21"/>
                <w:lang w:eastAsia="zh-CN" w:bidi="ar"/>
              </w:rPr>
              <w:t>详细</w:t>
            </w:r>
            <w:r>
              <w:rPr>
                <w:rFonts w:hint="eastAsia" w:ascii="宋体" w:hAnsi="宋体" w:cs="宋体"/>
                <w:bCs/>
                <w:szCs w:val="21"/>
                <w:lang w:bidi="ar"/>
              </w:rPr>
              <w:t>设计书；</w:t>
            </w:r>
          </w:p>
          <w:p w14:paraId="756BC3F5">
            <w:pPr>
              <w:numPr>
                <w:ilvl w:val="0"/>
                <w:numId w:val="2"/>
              </w:numPr>
              <w:tabs>
                <w:tab w:val="left" w:pos="1260"/>
                <w:tab w:val="clear" w:pos="0"/>
              </w:tabs>
              <w:spacing w:line="340" w:lineRule="exact"/>
              <w:rPr>
                <w:rFonts w:hint="eastAsia" w:ascii="宋体" w:hAnsi="宋体" w:cs="宋体"/>
                <w:bCs/>
                <w:szCs w:val="21"/>
              </w:rPr>
            </w:pPr>
            <w:r>
              <w:rPr>
                <w:rFonts w:hint="eastAsia" w:ascii="宋体" w:hAnsi="宋体" w:cs="宋体"/>
                <w:bCs/>
                <w:szCs w:val="21"/>
                <w:lang w:bidi="ar"/>
              </w:rPr>
              <w:t>实施文档、部署文档、接口文档、数据库说明书；</w:t>
            </w:r>
          </w:p>
          <w:p w14:paraId="039375AB">
            <w:pPr>
              <w:tabs>
                <w:tab w:val="left" w:pos="1260"/>
              </w:tabs>
              <w:spacing w:line="340" w:lineRule="exact"/>
              <w:rPr>
                <w:rFonts w:hint="eastAsia" w:ascii="宋体" w:hAnsi="宋体" w:cs="宋体"/>
                <w:bCs/>
                <w:szCs w:val="21"/>
              </w:rPr>
            </w:pPr>
            <w:r>
              <w:rPr>
                <w:rFonts w:hint="eastAsia" w:ascii="宋体" w:hAnsi="宋体" w:cs="宋体"/>
                <w:bCs/>
                <w:szCs w:val="21"/>
                <w:lang w:bidi="ar"/>
              </w:rPr>
              <w:t>3）安装、测试报告：包括《安装报告》、《测试</w:t>
            </w:r>
            <w:r>
              <w:rPr>
                <w:rFonts w:hint="eastAsia" w:ascii="宋体" w:hAnsi="宋体" w:cs="宋体"/>
                <w:bCs/>
                <w:szCs w:val="21"/>
                <w:lang w:eastAsia="zh-CN" w:bidi="ar"/>
              </w:rPr>
              <w:t>报告</w:t>
            </w:r>
            <w:r>
              <w:rPr>
                <w:rFonts w:hint="eastAsia" w:ascii="宋体" w:hAnsi="宋体" w:cs="宋体"/>
                <w:bCs/>
                <w:szCs w:val="21"/>
                <w:lang w:bidi="ar"/>
              </w:rPr>
              <w:t>》等；</w:t>
            </w:r>
          </w:p>
          <w:p w14:paraId="74C84755">
            <w:pPr>
              <w:tabs>
                <w:tab w:val="left" w:pos="1260"/>
              </w:tabs>
              <w:spacing w:line="340" w:lineRule="exact"/>
              <w:rPr>
                <w:rFonts w:hint="eastAsia" w:ascii="宋体" w:hAnsi="宋体" w:cs="宋体"/>
                <w:bCs/>
                <w:szCs w:val="21"/>
              </w:rPr>
            </w:pPr>
            <w:r>
              <w:rPr>
                <w:rFonts w:hint="eastAsia" w:ascii="宋体" w:hAnsi="宋体" w:cs="宋体"/>
                <w:bCs/>
                <w:szCs w:val="21"/>
                <w:lang w:bidi="ar"/>
              </w:rPr>
              <w:t>4）使用手册：《用户手册》、《培训手册》、系统维护手册。</w:t>
            </w:r>
          </w:p>
        </w:tc>
      </w:tr>
      <w:tr w14:paraId="3E3A6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14:paraId="3332E0DC">
            <w:pPr>
              <w:jc w:val="center"/>
              <w:rPr>
                <w:rFonts w:hint="eastAsia" w:ascii="宋体" w:hAnsi="宋体" w:eastAsia="宋体" w:cs="宋体"/>
                <w:b/>
                <w:szCs w:val="21"/>
                <w:lang w:val="en-US" w:eastAsia="zh-CN" w:bidi="ar"/>
              </w:rPr>
            </w:pPr>
            <w:r>
              <w:rPr>
                <w:rFonts w:hint="eastAsia" w:ascii="宋体" w:hAnsi="宋体" w:cs="宋体"/>
                <w:b/>
                <w:szCs w:val="21"/>
                <w:lang w:val="en-US" w:eastAsia="zh-CN" w:bidi="ar"/>
              </w:rPr>
              <w:t>5</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AFB1240">
            <w:pPr>
              <w:jc w:val="center"/>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保密要求</w:t>
            </w:r>
          </w:p>
        </w:tc>
        <w:tc>
          <w:tcPr>
            <w:tcW w:w="5940" w:type="dxa"/>
            <w:tcBorders>
              <w:top w:val="single" w:color="auto" w:sz="4" w:space="0"/>
              <w:left w:val="single" w:color="auto" w:sz="4" w:space="0"/>
              <w:bottom w:val="single" w:color="auto" w:sz="4" w:space="0"/>
              <w:right w:val="single" w:color="auto" w:sz="4" w:space="0"/>
            </w:tcBorders>
            <w:noWrap w:val="0"/>
            <w:vAlign w:val="top"/>
          </w:tcPr>
          <w:p w14:paraId="6192EE5C">
            <w:pPr>
              <w:keepNext w:val="0"/>
              <w:keepLines w:val="0"/>
              <w:pageBreakBefore w:val="0"/>
              <w:numPr>
                <w:ilvl w:val="0"/>
                <w:numId w:val="0"/>
              </w:numPr>
              <w:tabs>
                <w:tab w:val="left" w:pos="1685"/>
              </w:tabs>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1、</w:t>
            </w:r>
            <w:r>
              <w:rPr>
                <w:rFonts w:hint="eastAsia" w:ascii="宋体" w:hAnsi="宋体" w:eastAsia="宋体" w:cs="宋体"/>
                <w:color w:val="auto"/>
                <w:kern w:val="0"/>
                <w:sz w:val="22"/>
                <w:szCs w:val="22"/>
                <w:lang w:eastAsia="zh-CN"/>
              </w:rPr>
              <w:t>涉及本项目方案病患及医生、医院相关方的个人信息、敏感信息、关键信息，中标人不能接触的由采购人负责及保密，双方达成此协议。</w:t>
            </w:r>
          </w:p>
          <w:p w14:paraId="5EAC516E">
            <w:pPr>
              <w:keepNext w:val="0"/>
              <w:keepLines w:val="0"/>
              <w:pageBreakBefore w:val="0"/>
              <w:numPr>
                <w:ilvl w:val="0"/>
                <w:numId w:val="0"/>
              </w:numPr>
              <w:tabs>
                <w:tab w:val="left" w:pos="1685"/>
              </w:tabs>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2、</w:t>
            </w:r>
            <w:r>
              <w:rPr>
                <w:rFonts w:hint="eastAsia" w:ascii="宋体" w:hAnsi="宋体" w:eastAsia="宋体" w:cs="宋体"/>
                <w:color w:val="auto"/>
                <w:kern w:val="0"/>
                <w:sz w:val="22"/>
                <w:szCs w:val="22"/>
                <w:lang w:eastAsia="zh-CN"/>
              </w:rPr>
              <w:t>相关数据库中中标人不能接触的由采购人负责及保密。</w:t>
            </w:r>
          </w:p>
          <w:p w14:paraId="0646912D">
            <w:pPr>
              <w:keepNext w:val="0"/>
              <w:keepLines w:val="0"/>
              <w:pageBreakBefore w:val="0"/>
              <w:numPr>
                <w:ilvl w:val="0"/>
                <w:numId w:val="0"/>
              </w:numPr>
              <w:tabs>
                <w:tab w:val="left" w:pos="1685"/>
              </w:tabs>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3、</w:t>
            </w:r>
            <w:r>
              <w:rPr>
                <w:rFonts w:hint="eastAsia" w:ascii="宋体" w:hAnsi="宋体" w:eastAsia="宋体" w:cs="宋体"/>
                <w:color w:val="auto"/>
                <w:kern w:val="0"/>
                <w:sz w:val="22"/>
                <w:szCs w:val="22"/>
                <w:lang w:eastAsia="zh-CN"/>
              </w:rPr>
              <w:t>中标人所提供软件产品中涉及到采购人及个人信息的中标人将在采购人允许的条件下使用相关数据，并尽到保密义务。</w:t>
            </w:r>
          </w:p>
          <w:p w14:paraId="5B8D25A8">
            <w:pPr>
              <w:keepNext w:val="0"/>
              <w:keepLines w:val="0"/>
              <w:pageBreakBefore w:val="0"/>
              <w:numPr>
                <w:ilvl w:val="0"/>
                <w:numId w:val="0"/>
              </w:numPr>
              <w:tabs>
                <w:tab w:val="left" w:pos="1685"/>
              </w:tabs>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4、</w:t>
            </w:r>
            <w:r>
              <w:rPr>
                <w:rFonts w:hint="eastAsia" w:ascii="宋体" w:hAnsi="宋体" w:eastAsia="宋体" w:cs="宋体"/>
                <w:color w:val="auto"/>
                <w:kern w:val="0"/>
                <w:sz w:val="22"/>
                <w:szCs w:val="22"/>
                <w:lang w:eastAsia="zh-CN"/>
              </w:rPr>
              <w:t>合同未经合同另一方事先书面同意，合同任何一方均不得发布或者发表任何透露本合同中任何条款。</w:t>
            </w:r>
          </w:p>
          <w:p w14:paraId="64DA731A">
            <w:pPr>
              <w:rPr>
                <w:rFonts w:hint="eastAsia" w:ascii="宋体" w:hAnsi="宋体" w:cs="宋体"/>
                <w:sz w:val="22"/>
                <w:szCs w:val="22"/>
              </w:rPr>
            </w:pPr>
            <w:r>
              <w:rPr>
                <w:rFonts w:hint="eastAsia" w:ascii="宋体" w:hAnsi="宋体" w:eastAsia="宋体" w:cs="宋体"/>
                <w:color w:val="auto"/>
                <w:kern w:val="0"/>
                <w:sz w:val="22"/>
                <w:szCs w:val="22"/>
                <w:lang w:val="en-US" w:eastAsia="zh-CN"/>
              </w:rPr>
              <w:t>5、</w:t>
            </w:r>
            <w:r>
              <w:rPr>
                <w:rFonts w:hint="eastAsia" w:ascii="宋体" w:hAnsi="宋体" w:eastAsia="宋体" w:cs="宋体"/>
                <w:color w:val="auto"/>
                <w:kern w:val="0"/>
                <w:sz w:val="22"/>
                <w:szCs w:val="22"/>
                <w:lang w:eastAsia="zh-CN"/>
              </w:rPr>
              <w:t>甲乙双方对因本合同履行所获悉的对方的技术秘密、商业秘密、合同、技术资料、书面资料、图纸、笔记、报告、网络通讯工具聊天记录、电子邮件、传真以及其他任何形式载体的信息负有保密义务，不能以任何形式把相关内容直接或间接地透露给任何第三方，包括但不限于各自的关联公司或对外公布。</w:t>
            </w:r>
          </w:p>
        </w:tc>
      </w:tr>
    </w:tbl>
    <w:p w14:paraId="275A78E4">
      <w:pPr>
        <w:spacing w:line="360" w:lineRule="auto"/>
        <w:rPr>
          <w:rFonts w:hint="default" w:ascii="宋体" w:hAnsi="宋体" w:eastAsia="宋体" w:cs="宋体"/>
          <w:b/>
          <w:color w:val="auto"/>
          <w:kern w:val="2"/>
          <w:sz w:val="32"/>
          <w:szCs w:val="32"/>
          <w:highlight w:val="none"/>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264DE8"/>
    <w:multiLevelType w:val="multilevel"/>
    <w:tmpl w:val="F8264DE8"/>
    <w:lvl w:ilvl="0" w:tentative="0">
      <w:start w:val="1"/>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5AC778E"/>
    <w:multiLevelType w:val="multilevel"/>
    <w:tmpl w:val="25AC778E"/>
    <w:lvl w:ilvl="0" w:tentative="0">
      <w:start w:val="1"/>
      <w:numFmt w:val="japaneseCounting"/>
      <w:lvlText w:val="%1、"/>
      <w:lvlJc w:val="left"/>
      <w:pPr>
        <w:tabs>
          <w:tab w:val="left" w:pos="420"/>
        </w:tabs>
        <w:ind w:left="420" w:hanging="420"/>
      </w:pPr>
      <w:rPr>
        <w:rFonts w:ascii="宋体" w:hAnsi="宋体" w:eastAsia="宋体" w:cs="Courier New"/>
      </w:rPr>
    </w:lvl>
    <w:lvl w:ilvl="1" w:tentative="0">
      <w:start w:val="1"/>
      <w:numFmt w:val="decimal"/>
      <w:lvlText w:val="%2、"/>
      <w:lvlJc w:val="left"/>
      <w:pPr>
        <w:tabs>
          <w:tab w:val="left" w:pos="780"/>
        </w:tabs>
        <w:ind w:left="780" w:hanging="360"/>
      </w:pPr>
      <w:rPr>
        <w:rFonts w:hint="default"/>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hZGM1YTEzMWZkYWMwMWJjZDY3YjliOGU2ZWI0MjEifQ=="/>
  </w:docVars>
  <w:rsids>
    <w:rsidRoot w:val="0094324C"/>
    <w:rsid w:val="001B3FF4"/>
    <w:rsid w:val="001C69EE"/>
    <w:rsid w:val="00341C7D"/>
    <w:rsid w:val="005F10F9"/>
    <w:rsid w:val="0094324C"/>
    <w:rsid w:val="00D57FF1"/>
    <w:rsid w:val="00DB34E2"/>
    <w:rsid w:val="03722553"/>
    <w:rsid w:val="03983C96"/>
    <w:rsid w:val="049E134B"/>
    <w:rsid w:val="04BF51F2"/>
    <w:rsid w:val="05AA0371"/>
    <w:rsid w:val="091C075D"/>
    <w:rsid w:val="0A9C702F"/>
    <w:rsid w:val="0E43789C"/>
    <w:rsid w:val="0F5D52E9"/>
    <w:rsid w:val="11F9068E"/>
    <w:rsid w:val="12934CCE"/>
    <w:rsid w:val="14202185"/>
    <w:rsid w:val="15EF3AF7"/>
    <w:rsid w:val="17FF0516"/>
    <w:rsid w:val="1A3C5D88"/>
    <w:rsid w:val="1ADD5EA3"/>
    <w:rsid w:val="1B537293"/>
    <w:rsid w:val="1C112A19"/>
    <w:rsid w:val="1C234DBB"/>
    <w:rsid w:val="1E7C36CA"/>
    <w:rsid w:val="1F217CD4"/>
    <w:rsid w:val="2446347C"/>
    <w:rsid w:val="29C94933"/>
    <w:rsid w:val="2B845250"/>
    <w:rsid w:val="2EEC200B"/>
    <w:rsid w:val="34381B90"/>
    <w:rsid w:val="3FBE2479"/>
    <w:rsid w:val="44C37CDE"/>
    <w:rsid w:val="47A60E8E"/>
    <w:rsid w:val="48E52492"/>
    <w:rsid w:val="4B6F4FFE"/>
    <w:rsid w:val="4BB26E58"/>
    <w:rsid w:val="579A2E39"/>
    <w:rsid w:val="590D65AA"/>
    <w:rsid w:val="5BF00249"/>
    <w:rsid w:val="5D28296A"/>
    <w:rsid w:val="688356D2"/>
    <w:rsid w:val="6A006303"/>
    <w:rsid w:val="6C197461"/>
    <w:rsid w:val="6C621FDF"/>
    <w:rsid w:val="6CD618A0"/>
    <w:rsid w:val="6E810905"/>
    <w:rsid w:val="734E2D80"/>
    <w:rsid w:val="7942675C"/>
    <w:rsid w:val="7EA53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widowControl/>
      <w:jc w:val="left"/>
      <w:outlineLvl w:val="0"/>
    </w:pPr>
    <w:rPr>
      <w:rFonts w:ascii="Times New Roman" w:hAnsi="Times New Roman" w:eastAsia="宋体"/>
      <w:b/>
      <w:bCs/>
      <w:kern w:val="0"/>
      <w:sz w:val="24"/>
    </w:rPr>
  </w:style>
  <w:style w:type="paragraph" w:styleId="3">
    <w:name w:val="heading 4"/>
    <w:basedOn w:val="1"/>
    <w:next w:val="1"/>
    <w:autoRedefine/>
    <w:qFormat/>
    <w:uiPriority w:val="0"/>
    <w:pPr>
      <w:keepNext/>
      <w:keepLines/>
      <w:spacing w:before="280" w:after="290" w:line="376" w:lineRule="auto"/>
      <w:outlineLvl w:val="3"/>
    </w:pPr>
    <w:rPr>
      <w:rFonts w:ascii="Arial" w:hAnsi="Arial" w:eastAsia="黑体"/>
      <w:b/>
      <w:bCs/>
      <w:kern w:val="0"/>
      <w:sz w:val="28"/>
      <w:szCs w:val="28"/>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semiHidden/>
    <w:unhideWhenUsed/>
    <w:qFormat/>
    <w:uiPriority w:val="99"/>
    <w:pPr>
      <w:ind w:firstLine="420" w:firstLineChars="200"/>
    </w:pPr>
  </w:style>
  <w:style w:type="paragraph" w:styleId="5">
    <w:name w:val="Body Text"/>
    <w:basedOn w:val="1"/>
    <w:autoRedefine/>
    <w:qFormat/>
    <w:uiPriority w:val="0"/>
    <w:pPr>
      <w:spacing w:after="120"/>
    </w:pPr>
  </w:style>
  <w:style w:type="paragraph" w:styleId="6">
    <w:name w:val="Plain Text"/>
    <w:basedOn w:val="1"/>
    <w:next w:val="1"/>
    <w:link w:val="13"/>
    <w:autoRedefine/>
    <w:qFormat/>
    <w:uiPriority w:val="0"/>
    <w:rPr>
      <w:rFonts w:ascii="宋体" w:hAnsi="Courier New" w:cs="Courier New" w:eastAsiaTheme="minorEastAsia"/>
      <w:szCs w:val="21"/>
    </w:rPr>
  </w:style>
  <w:style w:type="paragraph" w:styleId="7">
    <w:name w:val="footer"/>
    <w:basedOn w:val="1"/>
    <w:link w:val="18"/>
    <w:autoRedefine/>
    <w:unhideWhenUsed/>
    <w:qFormat/>
    <w:uiPriority w:val="99"/>
    <w:pPr>
      <w:tabs>
        <w:tab w:val="center" w:pos="4153"/>
        <w:tab w:val="right" w:pos="8306"/>
      </w:tabs>
      <w:snapToGrid w:val="0"/>
      <w:jc w:val="left"/>
    </w:pPr>
    <w:rPr>
      <w:sz w:val="18"/>
      <w:szCs w:val="18"/>
    </w:rPr>
  </w:style>
  <w:style w:type="paragraph" w:styleId="8">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basedOn w:val="11"/>
    <w:link w:val="2"/>
    <w:autoRedefine/>
    <w:qFormat/>
    <w:uiPriority w:val="0"/>
    <w:rPr>
      <w:rFonts w:ascii="Times New Roman" w:hAnsi="Times New Roman" w:eastAsia="宋体" w:cs="Times New Roman"/>
      <w:b/>
      <w:bCs/>
      <w:kern w:val="0"/>
      <w:sz w:val="24"/>
      <w:szCs w:val="24"/>
    </w:rPr>
  </w:style>
  <w:style w:type="character" w:customStyle="1" w:styleId="13">
    <w:name w:val="纯文本 字符"/>
    <w:basedOn w:val="11"/>
    <w:link w:val="6"/>
    <w:autoRedefine/>
    <w:qFormat/>
    <w:uiPriority w:val="0"/>
    <w:rPr>
      <w:rFonts w:ascii="宋体" w:hAnsi="Courier New" w:cs="Courier New"/>
      <w:szCs w:val="21"/>
    </w:rPr>
  </w:style>
  <w:style w:type="paragraph" w:styleId="14">
    <w:name w:val="List Paragraph"/>
    <w:basedOn w:val="1"/>
    <w:autoRedefine/>
    <w:qFormat/>
    <w:uiPriority w:val="34"/>
    <w:pPr>
      <w:ind w:firstLine="420" w:firstLineChars="200"/>
    </w:pPr>
  </w:style>
  <w:style w:type="paragraph" w:customStyle="1" w:styleId="15">
    <w:name w:val="Table Paragraph"/>
    <w:basedOn w:val="1"/>
    <w:autoRedefine/>
    <w:qFormat/>
    <w:uiPriority w:val="99"/>
    <w:rPr>
      <w:rFonts w:ascii="宋体" w:hAnsi="宋体" w:cs="宋体"/>
    </w:rPr>
  </w:style>
  <w:style w:type="paragraph" w:customStyle="1" w:styleId="16">
    <w:name w:val="文档正文"/>
    <w:basedOn w:val="1"/>
    <w:autoRedefine/>
    <w:qFormat/>
    <w:uiPriority w:val="0"/>
    <w:pPr>
      <w:adjustRightInd w:val="0"/>
      <w:spacing w:line="480" w:lineRule="atLeast"/>
      <w:ind w:firstLine="567" w:firstLineChars="200"/>
      <w:textAlignment w:val="baseline"/>
    </w:pPr>
    <w:rPr>
      <w:rFonts w:ascii="长城仿宋" w:hAnsi="Calibri"/>
      <w:kern w:val="0"/>
      <w:szCs w:val="20"/>
    </w:rPr>
  </w:style>
  <w:style w:type="character" w:customStyle="1" w:styleId="17">
    <w:name w:val="页眉 字符"/>
    <w:basedOn w:val="11"/>
    <w:link w:val="8"/>
    <w:autoRedefine/>
    <w:qFormat/>
    <w:uiPriority w:val="99"/>
    <w:rPr>
      <w:rFonts w:ascii="Times New Roman" w:hAnsi="Times New Roman" w:eastAsia="宋体" w:cs="Times New Roman"/>
      <w:sz w:val="18"/>
      <w:szCs w:val="18"/>
    </w:rPr>
  </w:style>
  <w:style w:type="character" w:customStyle="1" w:styleId="18">
    <w:name w:val="页脚 字符"/>
    <w:basedOn w:val="11"/>
    <w:link w:val="7"/>
    <w:autoRedefine/>
    <w:qFormat/>
    <w:uiPriority w:val="99"/>
    <w:rPr>
      <w:rFonts w:ascii="Times New Roman" w:hAnsi="Times New Roman" w:eastAsia="宋体" w:cs="Times New Roman"/>
      <w:sz w:val="18"/>
      <w:szCs w:val="18"/>
    </w:rPr>
  </w:style>
  <w:style w:type="paragraph" w:customStyle="1" w:styleId="19">
    <w:name w:val="列出段落1"/>
    <w:basedOn w:val="20"/>
    <w:next w:val="21"/>
    <w:autoRedefine/>
    <w:qFormat/>
    <w:uiPriority w:val="99"/>
    <w:pPr>
      <w:ind w:firstLine="420" w:firstLineChars="200"/>
    </w:pPr>
    <w:rPr>
      <w:rFonts w:ascii="Calibri" w:hAnsi="Calibri" w:cs="Calibri"/>
      <w:szCs w:val="21"/>
    </w:rPr>
  </w:style>
  <w:style w:type="paragraph" w:customStyle="1" w:styleId="20">
    <w:name w:val="正文_10_42"/>
    <w:autoRedefine/>
    <w:qFormat/>
    <w:uiPriority w:val="0"/>
    <w:pPr>
      <w:widowControl w:val="0"/>
      <w:jc w:val="both"/>
    </w:pPr>
    <w:rPr>
      <w:rFonts w:ascii="Calibri" w:hAnsi="Calibri" w:eastAsia="宋体" w:cs="Times New Roman"/>
      <w:kern w:val="2"/>
      <w:sz w:val="24"/>
      <w:szCs w:val="22"/>
      <w:lang w:val="en-US" w:eastAsia="zh-CN" w:bidi="ar-SA"/>
    </w:rPr>
  </w:style>
  <w:style w:type="paragraph" w:customStyle="1" w:styleId="21">
    <w:name w:val="标题 7_0"/>
    <w:basedOn w:val="22"/>
    <w:next w:val="22"/>
    <w:autoRedefine/>
    <w:unhideWhenUsed/>
    <w:qFormat/>
    <w:uiPriority w:val="9"/>
    <w:pPr>
      <w:keepNext/>
      <w:keepLines/>
      <w:adjustRightInd w:val="0"/>
      <w:spacing w:before="240" w:after="64" w:line="320" w:lineRule="atLeast"/>
      <w:jc w:val="left"/>
      <w:textAlignment w:val="baseline"/>
      <w:outlineLvl w:val="6"/>
    </w:pPr>
    <w:rPr>
      <w:b/>
      <w:bCs/>
      <w:kern w:val="0"/>
      <w:sz w:val="24"/>
    </w:rPr>
  </w:style>
  <w:style w:type="paragraph" w:customStyle="1" w:styleId="22">
    <w:name w:val="正文_37"/>
    <w:next w:val="2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标题 2_37"/>
    <w:basedOn w:val="22"/>
    <w:next w:val="22"/>
    <w:autoRedefine/>
    <w:unhideWhenUsed/>
    <w:qFormat/>
    <w:uiPriority w:val="9"/>
    <w:pPr>
      <w:keepNext/>
      <w:keepLines/>
      <w:spacing w:line="360" w:lineRule="auto"/>
      <w:outlineLvl w:val="1"/>
    </w:pPr>
    <w:rPr>
      <w:rFonts w:ascii="Arial" w:hAnsi="Arial"/>
      <w:b/>
      <w:bCs/>
      <w:sz w:val="24"/>
      <w:szCs w:val="32"/>
    </w:rPr>
  </w:style>
  <w:style w:type="paragraph" w:customStyle="1" w:styleId="24">
    <w:name w:val="Default"/>
    <w:basedOn w:val="1"/>
    <w:qFormat/>
    <w:uiPriority w:val="0"/>
    <w:pPr>
      <w:keepNext w:val="0"/>
      <w:keepLines w:val="0"/>
      <w:widowControl w:val="0"/>
      <w:suppressLineNumbers w:val="0"/>
      <w:autoSpaceDE w:val="0"/>
      <w:autoSpaceDN w:val="0"/>
      <w:adjustRightInd w:val="0"/>
      <w:spacing w:before="0" w:beforeAutospacing="0" w:after="0" w:afterAutospacing="0"/>
      <w:ind w:left="0" w:right="0"/>
      <w:jc w:val="left"/>
    </w:pPr>
    <w:rPr>
      <w:rFonts w:hint="eastAsia" w:ascii="宋体" w:hAnsi="Calibri" w:eastAsia="宋体" w:cs="宋体"/>
      <w:color w:val="000000"/>
      <w:kern w:val="0"/>
      <w:sz w:val="24"/>
      <w:szCs w:val="24"/>
      <w:lang w:val="en-US" w:eastAsia="zh-CN" w:bidi="ar"/>
    </w:rPr>
  </w:style>
  <w:style w:type="paragraph" w:customStyle="1" w:styleId="25">
    <w:name w:val="正文1"/>
    <w:basedOn w:val="1"/>
    <w:autoRedefine/>
    <w:qFormat/>
    <w:uiPriority w:val="0"/>
    <w:pPr>
      <w:keepNext w:val="0"/>
      <w:keepLines w:val="0"/>
      <w:widowControl w:val="0"/>
      <w:suppressLineNumbers w:val="0"/>
      <w:tabs>
        <w:tab w:val="left" w:pos="4"/>
      </w:tabs>
      <w:spacing w:before="0" w:beforeAutospacing="0" w:after="0" w:afterAutospacing="0" w:line="360" w:lineRule="auto"/>
      <w:ind w:left="-2" w:right="0" w:firstLine="482"/>
      <w:jc w:val="both"/>
    </w:pPr>
    <w:rPr>
      <w:rFonts w:hint="eastAsia" w:ascii="宋体" w:hAnsi="宋体" w:eastAsia="宋体" w:cs="Times New Roman"/>
      <w:kern w:val="2"/>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2694</Words>
  <Characters>2788</Characters>
  <Lines>5</Lines>
  <Paragraphs>1</Paragraphs>
  <TotalTime>20</TotalTime>
  <ScaleCrop>false</ScaleCrop>
  <LinksUpToDate>false</LinksUpToDate>
  <CharactersWithSpaces>2797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2023-06-27T03:51:00Z</dcterms:created>
  <dc:creator>zhangmy</dc:creator>
  <cp:lastModifiedBy>筱筱芳</cp:lastModifiedBy>
  <cp:lastPrinted>2024-06-24T08:55:00Z</cp:lastPrinted>
  <dcterms:modified xsi:type="dcterms:W3CDTF">2025-11-03T14:11:49Z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F5A109F4FF694969B0B84C6E23D5ED39_13</vt:lpwstr>
  </property>
  <property fmtid="{D5CDD505-2E9C-101B-9397-08002B2CF9AE}" pid="4" name="KSOTemplateDocerSaveRecord">
    <vt:lpwstr>eyJoZGlkIjoiNTdkNTRiZDRlNWY1MTQ3ZGNmNzljMmZiMDk0NWQ1YzkiLCJ1c2VySWQiOiI2MzMyOTc1MzgifQ==</vt:lpwstr>
  </property>
</Properties>
</file>