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center"/>
        <w:rPr>
          <w:rFonts w:eastAsia="黑体"/>
          <w:b/>
          <w:bCs/>
          <w:spacing w:val="20"/>
          <w:sz w:val="44"/>
          <w:szCs w:val="72"/>
        </w:rPr>
      </w:pPr>
    </w:p>
    <w:p>
      <w:pPr>
        <w:spacing w:line="1000" w:lineRule="exact"/>
        <w:jc w:val="center"/>
        <w:rPr>
          <w:rFonts w:eastAsia="黑体"/>
          <w:b/>
          <w:bCs/>
          <w:spacing w:val="20"/>
          <w:sz w:val="44"/>
          <w:szCs w:val="72"/>
        </w:rPr>
      </w:pPr>
    </w:p>
    <w:p>
      <w:pPr>
        <w:spacing w:line="1000" w:lineRule="exact"/>
        <w:jc w:val="center"/>
        <w:rPr>
          <w:rFonts w:eastAsia="黑体"/>
          <w:b/>
          <w:bCs/>
          <w:color w:val="000000" w:themeColor="text1"/>
          <w:spacing w:val="20"/>
          <w:sz w:val="44"/>
          <w:szCs w:val="72"/>
          <w14:textFill>
            <w14:solidFill>
              <w14:schemeClr w14:val="tx1"/>
            </w14:solidFill>
          </w14:textFill>
        </w:rPr>
      </w:pPr>
    </w:p>
    <w:p>
      <w:pPr>
        <w:spacing w:line="1000" w:lineRule="exact"/>
        <w:jc w:val="center"/>
        <w:rPr>
          <w:rFonts w:eastAsia="黑体"/>
          <w:b/>
          <w:bCs/>
          <w:color w:val="000000" w:themeColor="text1"/>
          <w:spacing w:val="20"/>
          <w:sz w:val="44"/>
          <w:szCs w:val="72"/>
          <w14:textFill>
            <w14:solidFill>
              <w14:schemeClr w14:val="tx1"/>
            </w14:solidFill>
          </w14:textFill>
        </w:rPr>
      </w:pPr>
    </w:p>
    <w:p>
      <w:pPr>
        <w:spacing w:line="1000" w:lineRule="exact"/>
        <w:jc w:val="center"/>
        <w:rPr>
          <w:rFonts w:eastAsia="黑体"/>
          <w:b/>
          <w:bCs/>
          <w:color w:val="000000" w:themeColor="text1"/>
          <w:spacing w:val="20"/>
          <w:sz w:val="44"/>
          <w:szCs w:val="72"/>
          <w14:textFill>
            <w14:solidFill>
              <w14:schemeClr w14:val="tx1"/>
            </w14:solidFill>
          </w14:textFill>
        </w:rPr>
      </w:pPr>
      <w:r>
        <w:rPr>
          <w:rFonts w:hint="eastAsia" w:eastAsia="黑体"/>
          <w:b/>
          <w:bCs/>
          <w:color w:val="000000" w:themeColor="text1"/>
          <w:spacing w:val="20"/>
          <w:sz w:val="44"/>
          <w:szCs w:val="72"/>
          <w14:textFill>
            <w14:solidFill>
              <w14:schemeClr w14:val="tx1"/>
            </w14:solidFill>
          </w14:textFill>
        </w:rPr>
        <w:t>结算机房基础设施</w:t>
      </w:r>
      <w:r>
        <w:rPr>
          <w:rFonts w:hint="eastAsia" w:eastAsia="黑体"/>
          <w:b/>
          <w:bCs/>
          <w:color w:val="000000" w:themeColor="text1"/>
          <w:spacing w:val="20"/>
          <w:sz w:val="44"/>
          <w:szCs w:val="72"/>
          <w:lang w:eastAsia="zh-CN"/>
          <w14:textFill>
            <w14:solidFill>
              <w14:schemeClr w14:val="tx1"/>
            </w14:solidFill>
          </w14:textFill>
        </w:rPr>
        <w:t>工程</w:t>
      </w:r>
      <w:r>
        <w:rPr>
          <w:rFonts w:hint="eastAsia" w:eastAsia="黑体"/>
          <w:b/>
          <w:bCs/>
          <w:color w:val="000000" w:themeColor="text1"/>
          <w:spacing w:val="20"/>
          <w:sz w:val="44"/>
          <w:szCs w:val="72"/>
          <w14:textFill>
            <w14:solidFill>
              <w14:schemeClr w14:val="tx1"/>
            </w14:solidFill>
          </w14:textFill>
        </w:rPr>
        <w:t>项目</w:t>
      </w:r>
    </w:p>
    <w:p>
      <w:pPr>
        <w:spacing w:line="1000" w:lineRule="exact"/>
        <w:jc w:val="center"/>
        <w:rPr>
          <w:rFonts w:eastAsia="黑体"/>
          <w:b/>
          <w:bCs/>
          <w:color w:val="000000" w:themeColor="text1"/>
          <w:spacing w:val="20"/>
          <w:sz w:val="44"/>
          <w:szCs w:val="72"/>
          <w14:textFill>
            <w14:solidFill>
              <w14:schemeClr w14:val="tx1"/>
            </w14:solidFill>
          </w14:textFill>
        </w:rPr>
      </w:pPr>
      <w:r>
        <w:rPr>
          <w:rFonts w:hint="eastAsia" w:eastAsia="黑体"/>
          <w:b/>
          <w:bCs/>
          <w:color w:val="000000" w:themeColor="text1"/>
          <w:spacing w:val="20"/>
          <w:sz w:val="44"/>
          <w:szCs w:val="72"/>
          <w14:textFill>
            <w14:solidFill>
              <w14:schemeClr w14:val="tx1"/>
            </w14:solidFill>
          </w14:textFill>
        </w:rPr>
        <w:t>需求书</w:t>
      </w:r>
    </w:p>
    <w:p>
      <w:pPr>
        <w:pStyle w:val="52"/>
        <w:spacing w:after="156" w:afterLines="50"/>
        <w:rPr>
          <w:rFonts w:ascii="Times New Roman" w:hAnsi="Times New Roman"/>
          <w:b/>
          <w:bCs/>
          <w:sz w:val="24"/>
          <w:lang w:eastAsia="zh-CN"/>
        </w:rPr>
        <w:sectPr>
          <w:pgSz w:w="11906" w:h="16838"/>
          <w:pgMar w:top="1134" w:right="1134" w:bottom="1134" w:left="1134" w:header="851" w:footer="992" w:gutter="0"/>
          <w:cols w:space="720" w:num="1"/>
          <w:docGrid w:type="lines" w:linePitch="312" w:charSpace="0"/>
        </w:sectPr>
      </w:pPr>
    </w:p>
    <w:p>
      <w:pPr>
        <w:pStyle w:val="52"/>
        <w:spacing w:after="156" w:afterLines="50"/>
        <w:rPr>
          <w:rFonts w:ascii="宋体" w:hAnsi="宋体" w:cs="宋体"/>
          <w:b/>
          <w:bCs/>
          <w:sz w:val="32"/>
          <w:szCs w:val="32"/>
          <w:lang w:eastAsia="zh-CN"/>
        </w:rPr>
      </w:pPr>
      <w:r>
        <w:rPr>
          <w:rFonts w:hint="eastAsia" w:ascii="宋体" w:hAnsi="宋体" w:cs="宋体"/>
          <w:b/>
          <w:bCs/>
          <w:sz w:val="32"/>
          <w:szCs w:val="32"/>
          <w:lang w:eastAsia="zh-CN"/>
        </w:rPr>
        <w:t>一、项目清单</w:t>
      </w:r>
    </w:p>
    <w:tbl>
      <w:tblPr>
        <w:tblStyle w:val="41"/>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5127"/>
        <w:gridCol w:w="995"/>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831" w:type="dxa"/>
            <w:vAlign w:val="center"/>
          </w:tcPr>
          <w:p>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序号</w:t>
            </w:r>
          </w:p>
        </w:tc>
        <w:tc>
          <w:tcPr>
            <w:tcW w:w="5127" w:type="dxa"/>
            <w:vAlign w:val="center"/>
          </w:tcPr>
          <w:p>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名称</w:t>
            </w:r>
          </w:p>
        </w:tc>
        <w:tc>
          <w:tcPr>
            <w:tcW w:w="995" w:type="dxa"/>
            <w:vAlign w:val="center"/>
          </w:tcPr>
          <w:p>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数量</w:t>
            </w:r>
          </w:p>
        </w:tc>
        <w:tc>
          <w:tcPr>
            <w:tcW w:w="921" w:type="dxa"/>
            <w:vAlign w:val="center"/>
          </w:tcPr>
          <w:p>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Align w:val="center"/>
          </w:tcPr>
          <w:p>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1</w:t>
            </w:r>
          </w:p>
        </w:tc>
        <w:tc>
          <w:tcPr>
            <w:tcW w:w="5127" w:type="dxa"/>
            <w:vAlign w:val="center"/>
          </w:tcPr>
          <w:p>
            <w:pPr>
              <w:jc w:val="center"/>
              <w:rPr>
                <w:rStyle w:val="138"/>
                <w:rFonts w:ascii="宋体" w:hAnsi="宋体" w:cs="宋体"/>
                <w:sz w:val="28"/>
                <w:szCs w:val="28"/>
              </w:rPr>
            </w:pPr>
            <w:r>
              <w:rPr>
                <w:rFonts w:hint="eastAsia" w:ascii="宋体" w:hAnsi="宋体" w:cs="宋体"/>
                <w:sz w:val="28"/>
                <w:szCs w:val="28"/>
                <w:lang w:eastAsia="zh-CN"/>
              </w:rPr>
              <w:t>结算机房基础设施工程项目</w:t>
            </w:r>
            <w:r>
              <w:rPr>
                <w:rFonts w:hint="eastAsia" w:ascii="宋体" w:hAnsi="宋体" w:cs="宋体"/>
                <w:sz w:val="28"/>
                <w:szCs w:val="28"/>
              </w:rPr>
              <w:t>需求书</w:t>
            </w:r>
          </w:p>
        </w:tc>
        <w:tc>
          <w:tcPr>
            <w:tcW w:w="995" w:type="dxa"/>
            <w:vAlign w:val="center"/>
          </w:tcPr>
          <w:p>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1</w:t>
            </w:r>
          </w:p>
        </w:tc>
        <w:tc>
          <w:tcPr>
            <w:tcW w:w="921" w:type="dxa"/>
            <w:vAlign w:val="center"/>
          </w:tcPr>
          <w:p>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套</w:t>
            </w:r>
          </w:p>
        </w:tc>
      </w:tr>
    </w:tbl>
    <w:p>
      <w:pPr>
        <w:rPr>
          <w:rFonts w:ascii="宋体" w:hAnsi="宋体" w:cs="宋体"/>
          <w:b/>
          <w:bCs/>
          <w:sz w:val="28"/>
          <w:szCs w:val="28"/>
        </w:rPr>
      </w:pPr>
    </w:p>
    <w:p>
      <w:pPr>
        <w:pStyle w:val="52"/>
        <w:spacing w:after="156" w:afterLines="50"/>
        <w:rPr>
          <w:rFonts w:ascii="宋体" w:hAnsi="宋体" w:cs="宋体"/>
          <w:b/>
          <w:bCs/>
          <w:sz w:val="32"/>
          <w:szCs w:val="32"/>
          <w:lang w:eastAsia="zh-CN"/>
        </w:rPr>
      </w:pPr>
      <w:r>
        <w:rPr>
          <w:rFonts w:hint="eastAsia" w:ascii="宋体" w:hAnsi="宋体" w:cs="宋体"/>
          <w:b/>
          <w:bCs/>
          <w:sz w:val="32"/>
          <w:szCs w:val="32"/>
          <w:lang w:eastAsia="zh-CN"/>
        </w:rPr>
        <w:t>二、项目概况</w:t>
      </w:r>
    </w:p>
    <w:p>
      <w:pPr>
        <w:pStyle w:val="140"/>
        <w:widowControl/>
        <w:spacing w:line="360" w:lineRule="auto"/>
        <w:ind w:firstLine="562"/>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理由：</w:t>
      </w:r>
    </w:p>
    <w:p>
      <w:pPr>
        <w:spacing w:line="360" w:lineRule="auto"/>
        <w:ind w:firstLine="560" w:firstLineChars="200"/>
        <w:rPr>
          <w:rFonts w:ascii="宋体" w:hAnsi="宋体" w:cs="宋体"/>
          <w:sz w:val="28"/>
          <w:szCs w:val="28"/>
        </w:rPr>
      </w:pPr>
      <w:r>
        <w:rPr>
          <w:rFonts w:hint="eastAsia" w:ascii="宋体" w:hAnsi="宋体" w:cs="宋体"/>
          <w:sz w:val="28"/>
          <w:szCs w:val="28"/>
        </w:rPr>
        <w:t>结算信息机房作为信息化建设的最重要组成部分之一，是整个医院关键数据信息计算、交换和存储的中心，机房的建设必须按照安全可靠、绿色节能、美观大气原则进行，以满足IT服务应用的需求。目前我院为新建信息机房。</w:t>
      </w:r>
    </w:p>
    <w:p>
      <w:pPr>
        <w:spacing w:line="360" w:lineRule="auto"/>
        <w:ind w:firstLine="562" w:firstLineChars="200"/>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目标：</w:t>
      </w:r>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信息中心机房设计与施工的优劣，直接关系到信息机房内部各种设备是否能够稳定可靠地运行，是否能够保证各类信息通畅无阻。数据中心既要保障机房设备安全可靠地运行，延长计算机系统使用寿命，又能为系统管理员创造一个舒适的环境。能够满足系统管理员对温度、湿度、洁净度、场强强度、安全防护、电源配电和防雷接地的要求，所以一个现代化的机房需具备高度可靠，舒适实用，节能高效和可扩展性等基本特点。</w:t>
      </w:r>
    </w:p>
    <w:p>
      <w:pPr>
        <w:spacing w:line="360" w:lineRule="auto"/>
        <w:ind w:firstLine="562" w:firstLineChars="200"/>
        <w:textAlignment w:val="center"/>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主要功能：</w:t>
      </w:r>
    </w:p>
    <w:p>
      <w:pPr>
        <w:spacing w:line="360" w:lineRule="auto"/>
        <w:ind w:firstLine="560" w:firstLineChars="200"/>
        <w:textAlignment w:val="center"/>
        <w:rPr>
          <w:rFonts w:ascii="宋体" w:hAnsi="宋体" w:cs="宋体"/>
          <w:szCs w:val="21"/>
        </w:rPr>
      </w:pPr>
      <w:r>
        <w:rPr>
          <w:rFonts w:hint="eastAsia" w:ascii="宋体" w:hAnsi="宋体" w:cs="宋体"/>
          <w:sz w:val="28"/>
          <w:szCs w:val="28"/>
        </w:rPr>
        <w:t>科研楼5层结算机房的配电系统服务、气体灭火系统和综合布线系统</w:t>
      </w:r>
      <w:r>
        <w:rPr>
          <w:rFonts w:hint="eastAsia" w:ascii="宋体" w:hAnsi="宋体" w:cs="宋体"/>
          <w:szCs w:val="21"/>
        </w:rPr>
        <w:t>。</w:t>
      </w:r>
    </w:p>
    <w:p>
      <w:pPr>
        <w:numPr>
          <w:ilvl w:val="0"/>
          <w:numId w:val="2"/>
        </w:numPr>
        <w:spacing w:line="360" w:lineRule="auto"/>
        <w:ind w:firstLine="560" w:firstLineChars="200"/>
        <w:textAlignment w:val="center"/>
        <w:rPr>
          <w:rFonts w:ascii="宋体" w:hAnsi="宋体" w:cs="宋体"/>
          <w:sz w:val="28"/>
          <w:szCs w:val="28"/>
        </w:rPr>
      </w:pPr>
      <w:r>
        <w:rPr>
          <w:rFonts w:hint="eastAsia" w:ascii="宋体" w:hAnsi="宋体" w:cs="宋体"/>
          <w:sz w:val="28"/>
          <w:szCs w:val="28"/>
        </w:rPr>
        <w:t>配电系统含UPS、铅酸蓄电池、电池架、电池柜、无线电池监控系统、2000A密集型母线、市电柜到UPS线缆、UPS输出柜电缆、列头柜输入电缆、精密空调室内机电缆、精密空调室外机供电线缆、密空空调室内外机信号线缆、18台配电箱输入输出电缆、PDU线缆等设备</w:t>
      </w:r>
    </w:p>
    <w:p>
      <w:pPr>
        <w:numPr>
          <w:ilvl w:val="0"/>
          <w:numId w:val="2"/>
        </w:numPr>
        <w:spacing w:line="360" w:lineRule="auto"/>
        <w:ind w:firstLine="560" w:firstLineChars="200"/>
        <w:textAlignment w:val="center"/>
        <w:rPr>
          <w:rFonts w:ascii="宋体" w:hAnsi="宋体" w:cs="宋体"/>
          <w:sz w:val="28"/>
          <w:szCs w:val="28"/>
        </w:rPr>
      </w:pPr>
      <w:r>
        <w:rPr>
          <w:rFonts w:hint="eastAsia" w:ascii="宋体" w:hAnsi="宋体" w:cs="宋体"/>
          <w:sz w:val="28"/>
          <w:szCs w:val="28"/>
        </w:rPr>
        <w:t>气体灭火系统含气体灭火系统</w:t>
      </w:r>
    </w:p>
    <w:p>
      <w:pPr>
        <w:numPr>
          <w:ilvl w:val="0"/>
          <w:numId w:val="2"/>
        </w:num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综合布线系统含108个模块，每个模块含一个布线柜，每个机柜布置24个六类信息点，主干12芯光缆。设备包含光纤配线架、金属理线器、光纤跳线、12芯光纤、光纤熔接</w:t>
      </w:r>
    </w:p>
    <w:p>
      <w:pPr>
        <w:pStyle w:val="4"/>
        <w:spacing w:before="120" w:after="120"/>
      </w:pPr>
      <w:bookmarkStart w:id="0" w:name="_Toc27338"/>
      <w:bookmarkStart w:id="1" w:name="_Toc12055"/>
      <w:r>
        <w:rPr>
          <w:rFonts w:hint="eastAsia"/>
        </w:rPr>
        <w:t>机房供配电系统规划</w:t>
      </w:r>
      <w:bookmarkEnd w:id="0"/>
      <w:bookmarkEnd w:id="1"/>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医院的计算机机房按照国家规定设计为一级负荷，一级负荷要求供配电系统具有非常高的可靠性，一级负荷的总供电电源应符合下列要求：</w:t>
      </w:r>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一级负荷由两路电源供电，当一个设备发生故障时，另一个设备可以支撑系统的正常工作。</w:t>
      </w:r>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计算机机房电源要求： 频率：50Hz</w:t>
      </w:r>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电压：380V/220V</w:t>
      </w:r>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相数：三相五线制/单相三线制</w:t>
      </w:r>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依据计算机的性能，对电源质量要求如下表所示：</w:t>
      </w:r>
    </w:p>
    <w:p>
      <w:pPr>
        <w:autoSpaceDE w:val="0"/>
        <w:autoSpaceDN w:val="0"/>
        <w:spacing w:line="436" w:lineRule="auto"/>
        <w:ind w:left="969" w:right="733" w:firstLine="420"/>
        <w:jc w:val="center"/>
        <w:rPr>
          <w:szCs w:val="22"/>
        </w:rPr>
      </w:pPr>
      <w:r>
        <w:rPr>
          <w:rFonts w:hint="eastAsia" w:ascii="宋体" w:hAnsi="宋体"/>
          <w:szCs w:val="22"/>
          <w:lang w:bidi="ar"/>
        </w:rPr>
        <w:t>电源质量要求表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79"/>
        <w:gridCol w:w="2240"/>
        <w:gridCol w:w="2028"/>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52" w:type="pct"/>
          </w:tcPr>
          <w:p>
            <w:pPr>
              <w:pStyle w:val="37"/>
              <w:tabs>
                <w:tab w:val="left" w:pos="440"/>
              </w:tabs>
              <w:autoSpaceDE w:val="0"/>
              <w:autoSpaceDN w:val="0"/>
              <w:spacing w:before="0" w:after="0"/>
              <w:jc w:val="center"/>
              <w:rPr>
                <w:kern w:val="2"/>
                <w:sz w:val="20"/>
                <w:szCs w:val="20"/>
              </w:rPr>
            </w:pPr>
            <w:r>
              <w:rPr>
                <w:rFonts w:hint="eastAsia"/>
                <w:kern w:val="2"/>
                <w:sz w:val="20"/>
                <w:szCs w:val="20"/>
                <w:lang w:bidi="ar"/>
              </w:rPr>
              <w:t>参</w:t>
            </w:r>
            <w:r>
              <w:rPr>
                <w:rFonts w:hint="eastAsia"/>
                <w:kern w:val="2"/>
                <w:sz w:val="20"/>
                <w:szCs w:val="20"/>
                <w:lang w:bidi="ar"/>
              </w:rPr>
              <w:tab/>
            </w:r>
            <w:r>
              <w:rPr>
                <w:rFonts w:hint="eastAsia"/>
                <w:kern w:val="2"/>
                <w:sz w:val="20"/>
                <w:szCs w:val="20"/>
                <w:lang w:bidi="ar"/>
              </w:rPr>
              <w:t>数</w:t>
            </w:r>
          </w:p>
        </w:tc>
        <w:tc>
          <w:tcPr>
            <w:tcW w:w="1161" w:type="pct"/>
          </w:tcPr>
          <w:p>
            <w:pPr>
              <w:pStyle w:val="37"/>
              <w:autoSpaceDE w:val="0"/>
              <w:autoSpaceDN w:val="0"/>
              <w:spacing w:before="0" w:after="0"/>
              <w:jc w:val="center"/>
              <w:rPr>
                <w:kern w:val="2"/>
                <w:sz w:val="20"/>
                <w:szCs w:val="20"/>
              </w:rPr>
            </w:pPr>
            <w:r>
              <w:rPr>
                <w:rFonts w:eastAsia="Times New Roman"/>
                <w:kern w:val="2"/>
                <w:sz w:val="20"/>
                <w:szCs w:val="20"/>
                <w:lang w:bidi="ar"/>
              </w:rPr>
              <w:t xml:space="preserve">A </w:t>
            </w:r>
            <w:r>
              <w:rPr>
                <w:rFonts w:hint="eastAsia"/>
                <w:kern w:val="2"/>
                <w:sz w:val="20"/>
                <w:szCs w:val="20"/>
                <w:lang w:bidi="ar"/>
              </w:rPr>
              <w:t>级</w:t>
            </w:r>
          </w:p>
        </w:tc>
        <w:tc>
          <w:tcPr>
            <w:tcW w:w="1050" w:type="pct"/>
          </w:tcPr>
          <w:p>
            <w:pPr>
              <w:pStyle w:val="37"/>
              <w:autoSpaceDE w:val="0"/>
              <w:autoSpaceDN w:val="0"/>
              <w:spacing w:before="0" w:after="0"/>
              <w:jc w:val="center"/>
              <w:rPr>
                <w:kern w:val="2"/>
                <w:sz w:val="20"/>
                <w:szCs w:val="20"/>
              </w:rPr>
            </w:pPr>
            <w:r>
              <w:rPr>
                <w:rFonts w:eastAsia="Times New Roman"/>
                <w:kern w:val="2"/>
                <w:sz w:val="20"/>
                <w:szCs w:val="20"/>
                <w:lang w:bidi="ar"/>
              </w:rPr>
              <w:t xml:space="preserve">B </w:t>
            </w:r>
            <w:r>
              <w:rPr>
                <w:rFonts w:hint="eastAsia"/>
                <w:kern w:val="2"/>
                <w:sz w:val="20"/>
                <w:szCs w:val="20"/>
                <w:lang w:bidi="ar"/>
              </w:rPr>
              <w:t>级</w:t>
            </w:r>
          </w:p>
        </w:tc>
        <w:tc>
          <w:tcPr>
            <w:tcW w:w="1035" w:type="pct"/>
          </w:tcPr>
          <w:p>
            <w:pPr>
              <w:pStyle w:val="37"/>
              <w:autoSpaceDE w:val="0"/>
              <w:autoSpaceDN w:val="0"/>
              <w:spacing w:before="0" w:after="0"/>
              <w:jc w:val="center"/>
              <w:rPr>
                <w:kern w:val="2"/>
                <w:sz w:val="20"/>
                <w:szCs w:val="20"/>
              </w:rPr>
            </w:pPr>
            <w:r>
              <w:rPr>
                <w:rFonts w:eastAsia="Times New Roman"/>
                <w:kern w:val="2"/>
                <w:sz w:val="20"/>
                <w:szCs w:val="20"/>
                <w:lang w:bidi="ar"/>
              </w:rPr>
              <w:t xml:space="preserve">C </w:t>
            </w:r>
            <w:r>
              <w:rPr>
                <w:rFonts w:hint="eastAsia"/>
                <w:kern w:val="2"/>
                <w:sz w:val="20"/>
                <w:szCs w:val="20"/>
                <w:lang w:bidi="ar"/>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pPr>
              <w:pStyle w:val="37"/>
              <w:autoSpaceDE w:val="0"/>
              <w:autoSpaceDN w:val="0"/>
              <w:spacing w:before="0" w:after="0"/>
              <w:rPr>
                <w:kern w:val="2"/>
                <w:sz w:val="20"/>
                <w:szCs w:val="20"/>
              </w:rPr>
            </w:pPr>
            <w:r>
              <w:rPr>
                <w:rFonts w:hint="eastAsia"/>
                <w:kern w:val="2"/>
                <w:sz w:val="20"/>
                <w:szCs w:val="20"/>
                <w:lang w:bidi="ar"/>
              </w:rPr>
              <w:t>稳态电压偏移范围</w:t>
            </w:r>
          </w:p>
        </w:tc>
        <w:tc>
          <w:tcPr>
            <w:tcW w:w="2212" w:type="pct"/>
            <w:gridSpan w:val="2"/>
          </w:tcPr>
          <w:p>
            <w:pPr>
              <w:pStyle w:val="37"/>
              <w:autoSpaceDE w:val="0"/>
              <w:autoSpaceDN w:val="0"/>
              <w:spacing w:before="0" w:after="0"/>
              <w:jc w:val="center"/>
              <w:rPr>
                <w:kern w:val="2"/>
                <w:sz w:val="20"/>
                <w:szCs w:val="20"/>
              </w:rPr>
            </w:pPr>
            <w:r>
              <w:rPr>
                <w:rFonts w:hint="eastAsia"/>
                <w:kern w:val="2"/>
                <w:sz w:val="20"/>
                <w:szCs w:val="20"/>
                <w:lang w:bidi="ar"/>
              </w:rPr>
              <w:t>±</w:t>
            </w:r>
            <w:r>
              <w:rPr>
                <w:kern w:val="2"/>
                <w:sz w:val="20"/>
                <w:szCs w:val="20"/>
                <w:lang w:bidi="ar"/>
              </w:rPr>
              <w:t>3 %</w:t>
            </w:r>
          </w:p>
        </w:tc>
        <w:tc>
          <w:tcPr>
            <w:tcW w:w="1035" w:type="pct"/>
          </w:tcPr>
          <w:p>
            <w:pPr>
              <w:pStyle w:val="37"/>
              <w:autoSpaceDE w:val="0"/>
              <w:autoSpaceDN w:val="0"/>
              <w:spacing w:before="0" w:after="0"/>
              <w:jc w:val="center"/>
              <w:rPr>
                <w:kern w:val="2"/>
                <w:sz w:val="20"/>
                <w:szCs w:val="20"/>
              </w:rPr>
            </w:pPr>
            <w:r>
              <w:rPr>
                <w:rFonts w:hint="eastAsia"/>
                <w:kern w:val="2"/>
                <w:sz w:val="20"/>
                <w:szCs w:val="20"/>
                <w:lang w:bidi="ar"/>
              </w:rPr>
              <w:t>±</w:t>
            </w:r>
            <w:r>
              <w:rPr>
                <w:kern w:val="2"/>
                <w:sz w:val="20"/>
                <w:szCs w:val="20"/>
                <w:lang w:bidi="ar"/>
              </w:rPr>
              <w:t>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pPr>
              <w:pStyle w:val="37"/>
              <w:autoSpaceDE w:val="0"/>
              <w:autoSpaceDN w:val="0"/>
              <w:spacing w:before="0" w:after="0"/>
              <w:rPr>
                <w:kern w:val="2"/>
                <w:sz w:val="20"/>
                <w:szCs w:val="20"/>
              </w:rPr>
            </w:pPr>
            <w:r>
              <w:rPr>
                <w:rFonts w:hint="eastAsia"/>
                <w:kern w:val="2"/>
                <w:sz w:val="20"/>
                <w:szCs w:val="20"/>
                <w:lang w:bidi="ar"/>
              </w:rPr>
              <w:t>稳态频率偏移范围</w:t>
            </w:r>
          </w:p>
        </w:tc>
        <w:tc>
          <w:tcPr>
            <w:tcW w:w="3247" w:type="pct"/>
            <w:gridSpan w:val="3"/>
          </w:tcPr>
          <w:p>
            <w:pPr>
              <w:pStyle w:val="37"/>
              <w:autoSpaceDE w:val="0"/>
              <w:autoSpaceDN w:val="0"/>
              <w:spacing w:before="0" w:after="0"/>
              <w:jc w:val="center"/>
              <w:rPr>
                <w:kern w:val="2"/>
                <w:sz w:val="20"/>
                <w:szCs w:val="20"/>
              </w:rPr>
            </w:pPr>
            <w:r>
              <w:rPr>
                <w:rFonts w:hint="eastAsia"/>
                <w:kern w:val="2"/>
                <w:sz w:val="20"/>
                <w:szCs w:val="20"/>
                <w:lang w:bidi="ar"/>
              </w:rPr>
              <w:t>±</w:t>
            </w:r>
            <w:r>
              <w:rPr>
                <w:kern w:val="2"/>
                <w:sz w:val="20"/>
                <w:szCs w:val="20"/>
                <w:lang w:bidi="ar"/>
              </w:rPr>
              <w:t>0.5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pPr>
              <w:pStyle w:val="37"/>
              <w:autoSpaceDE w:val="0"/>
              <w:autoSpaceDN w:val="0"/>
              <w:spacing w:before="0" w:after="0"/>
              <w:rPr>
                <w:kern w:val="2"/>
                <w:sz w:val="20"/>
                <w:szCs w:val="20"/>
              </w:rPr>
            </w:pPr>
            <w:r>
              <w:rPr>
                <w:rFonts w:hint="eastAsia"/>
                <w:kern w:val="2"/>
                <w:sz w:val="20"/>
                <w:szCs w:val="20"/>
                <w:lang w:bidi="ar"/>
              </w:rPr>
              <w:t>输入电压波形失真度</w:t>
            </w:r>
          </w:p>
        </w:tc>
        <w:tc>
          <w:tcPr>
            <w:tcW w:w="3247" w:type="pct"/>
            <w:gridSpan w:val="3"/>
          </w:tcPr>
          <w:p>
            <w:pPr>
              <w:pStyle w:val="37"/>
              <w:autoSpaceDE w:val="0"/>
              <w:autoSpaceDN w:val="0"/>
              <w:spacing w:before="0" w:after="0"/>
              <w:jc w:val="center"/>
              <w:rPr>
                <w:kern w:val="2"/>
                <w:sz w:val="20"/>
                <w:szCs w:val="20"/>
              </w:rPr>
            </w:pPr>
            <w:r>
              <w:rPr>
                <w:rFonts w:hint="eastAsia"/>
                <w:kern w:val="2"/>
                <w:sz w:val="20"/>
                <w:szCs w:val="20"/>
                <w:lang w:bidi="ar"/>
              </w:rPr>
              <w:t>≤5 %</w:t>
            </w:r>
            <w:r>
              <w:rPr>
                <w:rFonts w:hint="eastAsia"/>
                <w:kern w:val="2"/>
                <w:sz w:val="20"/>
                <w:szCs w:val="20"/>
                <w:lang w:bidi="ar"/>
              </w:rPr>
              <w:tab/>
            </w:r>
            <w:r>
              <w:rPr>
                <w:rFonts w:hint="eastAsia"/>
                <w:kern w:val="2"/>
                <w:sz w:val="20"/>
                <w:szCs w:val="20"/>
                <w:lang w:bidi="ar"/>
              </w:rPr>
              <w:t>电子信息设备正常工作时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pPr>
              <w:pStyle w:val="37"/>
              <w:autoSpaceDE w:val="0"/>
              <w:autoSpaceDN w:val="0"/>
              <w:spacing w:before="0" w:after="0"/>
              <w:rPr>
                <w:kern w:val="2"/>
                <w:sz w:val="20"/>
                <w:szCs w:val="20"/>
              </w:rPr>
            </w:pPr>
            <w:r>
              <w:rPr>
                <w:rFonts w:hint="eastAsia"/>
                <w:kern w:val="2"/>
                <w:sz w:val="20"/>
                <w:szCs w:val="20"/>
                <w:lang w:bidi="ar"/>
              </w:rPr>
              <w:t>零地电压</w:t>
            </w:r>
          </w:p>
        </w:tc>
        <w:tc>
          <w:tcPr>
            <w:tcW w:w="3247" w:type="pct"/>
            <w:gridSpan w:val="3"/>
          </w:tcPr>
          <w:p>
            <w:pPr>
              <w:pStyle w:val="37"/>
              <w:autoSpaceDE w:val="0"/>
              <w:autoSpaceDN w:val="0"/>
              <w:spacing w:before="0" w:after="0"/>
              <w:jc w:val="center"/>
              <w:rPr>
                <w:kern w:val="2"/>
                <w:sz w:val="20"/>
                <w:szCs w:val="20"/>
              </w:rPr>
            </w:pPr>
            <w:r>
              <w:rPr>
                <w:rFonts w:hint="eastAsia"/>
                <w:kern w:val="2"/>
                <w:sz w:val="20"/>
                <w:szCs w:val="20"/>
                <w:lang w:bidi="ar"/>
              </w:rPr>
              <w:t>&lt;2 V</w:t>
            </w:r>
            <w:r>
              <w:rPr>
                <w:rFonts w:hint="eastAsia"/>
                <w:kern w:val="2"/>
                <w:sz w:val="20"/>
                <w:szCs w:val="20"/>
                <w:lang w:bidi="ar"/>
              </w:rPr>
              <w:tab/>
            </w:r>
            <w:r>
              <w:rPr>
                <w:rFonts w:hint="eastAsia"/>
                <w:kern w:val="2"/>
                <w:sz w:val="20"/>
                <w:szCs w:val="20"/>
                <w:lang w:bidi="ar"/>
              </w:rPr>
              <w:t>应满足设备使用要求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pPr>
              <w:pStyle w:val="37"/>
              <w:autoSpaceDE w:val="0"/>
              <w:autoSpaceDN w:val="0"/>
              <w:spacing w:before="0" w:after="0"/>
              <w:rPr>
                <w:kern w:val="2"/>
                <w:sz w:val="20"/>
                <w:szCs w:val="20"/>
              </w:rPr>
            </w:pPr>
            <w:r>
              <w:rPr>
                <w:rFonts w:hint="eastAsia"/>
                <w:kern w:val="2"/>
                <w:sz w:val="20"/>
                <w:szCs w:val="20"/>
                <w:lang w:bidi="ar"/>
              </w:rPr>
              <w:t>允许断电持续时间</w:t>
            </w:r>
          </w:p>
        </w:tc>
        <w:tc>
          <w:tcPr>
            <w:tcW w:w="1161" w:type="pct"/>
          </w:tcPr>
          <w:p>
            <w:pPr>
              <w:pStyle w:val="37"/>
              <w:autoSpaceDE w:val="0"/>
              <w:autoSpaceDN w:val="0"/>
              <w:spacing w:before="0" w:after="0"/>
              <w:jc w:val="center"/>
              <w:rPr>
                <w:rFonts w:eastAsia="Times New Roman"/>
                <w:kern w:val="2"/>
                <w:sz w:val="20"/>
                <w:szCs w:val="20"/>
              </w:rPr>
            </w:pPr>
            <w:r>
              <w:rPr>
                <w:rFonts w:eastAsia="Times New Roman"/>
                <w:kern w:val="2"/>
                <w:sz w:val="20"/>
                <w:szCs w:val="20"/>
                <w:lang w:bidi="ar"/>
              </w:rPr>
              <w:t>0</w:t>
            </w:r>
            <w:r>
              <w:rPr>
                <w:rFonts w:hint="eastAsia" w:eastAsia="Times New Roman"/>
                <w:kern w:val="2"/>
                <w:sz w:val="20"/>
                <w:szCs w:val="20"/>
                <w:lang w:bidi="ar"/>
              </w:rPr>
              <w:t>~</w:t>
            </w:r>
            <w:r>
              <w:rPr>
                <w:rFonts w:eastAsia="Times New Roman"/>
                <w:kern w:val="2"/>
                <w:sz w:val="20"/>
                <w:szCs w:val="20"/>
                <w:lang w:bidi="ar"/>
              </w:rPr>
              <w:t>4 ms</w:t>
            </w:r>
          </w:p>
        </w:tc>
        <w:tc>
          <w:tcPr>
            <w:tcW w:w="1050" w:type="pct"/>
          </w:tcPr>
          <w:p>
            <w:pPr>
              <w:pStyle w:val="37"/>
              <w:autoSpaceDE w:val="0"/>
              <w:autoSpaceDN w:val="0"/>
              <w:spacing w:before="0" w:after="0"/>
              <w:jc w:val="center"/>
              <w:rPr>
                <w:rFonts w:eastAsia="Times New Roman"/>
                <w:kern w:val="2"/>
                <w:sz w:val="20"/>
                <w:szCs w:val="20"/>
              </w:rPr>
            </w:pPr>
            <w:r>
              <w:rPr>
                <w:rFonts w:eastAsia="Times New Roman"/>
                <w:kern w:val="2"/>
                <w:sz w:val="20"/>
                <w:szCs w:val="20"/>
                <w:lang w:bidi="ar"/>
              </w:rPr>
              <w:t>0</w:t>
            </w:r>
            <w:r>
              <w:rPr>
                <w:rFonts w:hint="eastAsia" w:eastAsia="Times New Roman"/>
                <w:kern w:val="2"/>
                <w:sz w:val="20"/>
                <w:szCs w:val="20"/>
                <w:lang w:bidi="ar"/>
              </w:rPr>
              <w:t>~</w:t>
            </w:r>
            <w:r>
              <w:rPr>
                <w:rFonts w:eastAsia="Times New Roman"/>
                <w:kern w:val="2"/>
                <w:sz w:val="20"/>
                <w:szCs w:val="20"/>
                <w:lang w:bidi="ar"/>
              </w:rPr>
              <w:t>10 ms</w:t>
            </w:r>
          </w:p>
        </w:tc>
        <w:tc>
          <w:tcPr>
            <w:tcW w:w="1035" w:type="pct"/>
          </w:tcPr>
          <w:p>
            <w:pPr>
              <w:pStyle w:val="37"/>
              <w:autoSpaceDE w:val="0"/>
              <w:autoSpaceDN w:val="0"/>
              <w:spacing w:before="0" w:after="0"/>
              <w:jc w:val="center"/>
              <w:rPr>
                <w:kern w:val="2"/>
                <w:sz w:val="20"/>
                <w:szCs w:val="20"/>
              </w:rPr>
            </w:pPr>
            <w:r>
              <w:rPr>
                <w:w w:val="99"/>
                <w:kern w:val="2"/>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pPr>
              <w:pStyle w:val="37"/>
              <w:autoSpaceDE w:val="0"/>
              <w:autoSpaceDN w:val="0"/>
              <w:spacing w:before="0" w:after="0"/>
              <w:rPr>
                <w:kern w:val="2"/>
                <w:sz w:val="20"/>
                <w:szCs w:val="20"/>
              </w:rPr>
            </w:pPr>
            <w:r>
              <w:rPr>
                <w:rFonts w:eastAsia="Times New Roman"/>
                <w:kern w:val="2"/>
                <w:sz w:val="20"/>
                <w:szCs w:val="20"/>
                <w:lang w:bidi="ar"/>
              </w:rPr>
              <w:t xml:space="preserve">UPS </w:t>
            </w:r>
            <w:r>
              <w:rPr>
                <w:rFonts w:hint="eastAsia"/>
                <w:kern w:val="2"/>
                <w:sz w:val="20"/>
                <w:szCs w:val="20"/>
                <w:lang w:bidi="ar"/>
              </w:rPr>
              <w:t xml:space="preserve">输入端 </w:t>
            </w:r>
            <w:r>
              <w:rPr>
                <w:rFonts w:eastAsia="Times New Roman"/>
                <w:kern w:val="2"/>
                <w:sz w:val="20"/>
                <w:szCs w:val="20"/>
                <w:lang w:bidi="ar"/>
              </w:rPr>
              <w:t xml:space="preserve">THDI </w:t>
            </w:r>
            <w:r>
              <w:rPr>
                <w:rFonts w:hint="eastAsia"/>
                <w:kern w:val="2"/>
                <w:sz w:val="20"/>
                <w:szCs w:val="20"/>
                <w:lang w:bidi="ar"/>
              </w:rPr>
              <w:t>含量</w:t>
            </w:r>
          </w:p>
        </w:tc>
        <w:tc>
          <w:tcPr>
            <w:tcW w:w="3247" w:type="pct"/>
            <w:gridSpan w:val="3"/>
          </w:tcPr>
          <w:p>
            <w:pPr>
              <w:pStyle w:val="37"/>
              <w:autoSpaceDE w:val="0"/>
              <w:autoSpaceDN w:val="0"/>
              <w:spacing w:before="0" w:after="0"/>
              <w:jc w:val="center"/>
              <w:rPr>
                <w:kern w:val="2"/>
                <w:sz w:val="20"/>
                <w:szCs w:val="20"/>
              </w:rPr>
            </w:pPr>
            <w:r>
              <w:rPr>
                <w:rFonts w:eastAsia="Times New Roman"/>
                <w:kern w:val="2"/>
                <w:sz w:val="20"/>
                <w:szCs w:val="20"/>
                <w:lang w:bidi="ar"/>
              </w:rPr>
              <w:t>&lt;15 %</w:t>
            </w:r>
            <w:r>
              <w:rPr>
                <w:rFonts w:hint="eastAsia"/>
                <w:kern w:val="2"/>
                <w:sz w:val="20"/>
                <w:szCs w:val="20"/>
                <w:lang w:bidi="ar"/>
              </w:rPr>
              <w:t>，</w:t>
            </w:r>
            <w:r>
              <w:rPr>
                <w:rFonts w:eastAsia="Times New Roman"/>
                <w:kern w:val="2"/>
                <w:sz w:val="20"/>
                <w:szCs w:val="20"/>
                <w:lang w:bidi="ar"/>
              </w:rPr>
              <w:t>3</w:t>
            </w:r>
            <w:r>
              <w:rPr>
                <w:rFonts w:hint="eastAsia"/>
                <w:kern w:val="2"/>
                <w:sz w:val="20"/>
                <w:szCs w:val="20"/>
                <w:lang w:bidi="ar"/>
              </w:rPr>
              <w:t>～</w:t>
            </w:r>
            <w:r>
              <w:rPr>
                <w:rFonts w:eastAsia="Times New Roman"/>
                <w:kern w:val="2"/>
                <w:sz w:val="20"/>
                <w:szCs w:val="20"/>
                <w:lang w:bidi="ar"/>
              </w:rPr>
              <w:t xml:space="preserve">39 </w:t>
            </w:r>
            <w:r>
              <w:rPr>
                <w:rFonts w:hint="eastAsia"/>
                <w:kern w:val="2"/>
                <w:sz w:val="20"/>
                <w:szCs w:val="20"/>
                <w:lang w:bidi="ar"/>
              </w:rPr>
              <w:t>次谐波</w:t>
            </w:r>
          </w:p>
        </w:tc>
      </w:tr>
    </w:tbl>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依据标准，对配电系统架构要求如下表所示：</w:t>
      </w:r>
    </w:p>
    <w:p>
      <w:pPr>
        <w:autoSpaceDE w:val="0"/>
        <w:autoSpaceDN w:val="0"/>
        <w:spacing w:line="436" w:lineRule="auto"/>
        <w:ind w:left="972" w:right="733" w:firstLine="420"/>
        <w:jc w:val="center"/>
        <w:rPr>
          <w:szCs w:val="22"/>
        </w:rPr>
      </w:pPr>
      <w:r>
        <w:rPr>
          <w:rFonts w:hint="eastAsia" w:ascii="宋体" w:hAnsi="宋体"/>
          <w:szCs w:val="22"/>
          <w:lang w:bidi="ar"/>
        </w:rPr>
        <w:t xml:space="preserve">表 </w:t>
      </w:r>
      <w:r>
        <w:rPr>
          <w:rFonts w:hAnsi="宋体" w:eastAsia="Times New Roman"/>
          <w:szCs w:val="22"/>
          <w:lang w:bidi="ar"/>
        </w:rPr>
        <w:t xml:space="preserve">5-22  </w:t>
      </w:r>
      <w:r>
        <w:rPr>
          <w:rFonts w:hint="eastAsia" w:ascii="宋体" w:hAnsi="宋体"/>
          <w:szCs w:val="22"/>
          <w:lang w:bidi="ar"/>
        </w:rPr>
        <w:t>配电系统架构要求表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25"/>
        <w:gridCol w:w="2843"/>
        <w:gridCol w:w="2885"/>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Align w:val="center"/>
          </w:tcPr>
          <w:p>
            <w:pPr>
              <w:pStyle w:val="37"/>
              <w:autoSpaceDE w:val="0"/>
              <w:autoSpaceDN w:val="0"/>
              <w:spacing w:before="0" w:after="0"/>
              <w:jc w:val="center"/>
              <w:rPr>
                <w:kern w:val="2"/>
                <w:sz w:val="20"/>
                <w:szCs w:val="20"/>
              </w:rPr>
            </w:pPr>
            <w:r>
              <w:rPr>
                <w:rFonts w:hint="eastAsia"/>
                <w:kern w:val="2"/>
                <w:sz w:val="20"/>
                <w:szCs w:val="20"/>
                <w:lang w:bidi="ar"/>
              </w:rPr>
              <w:t>参数</w:t>
            </w:r>
          </w:p>
        </w:tc>
        <w:tc>
          <w:tcPr>
            <w:tcW w:w="1473" w:type="pct"/>
            <w:vAlign w:val="center"/>
          </w:tcPr>
          <w:p>
            <w:pPr>
              <w:pStyle w:val="37"/>
              <w:autoSpaceDE w:val="0"/>
              <w:autoSpaceDN w:val="0"/>
              <w:spacing w:before="0" w:after="0"/>
              <w:jc w:val="center"/>
              <w:rPr>
                <w:kern w:val="2"/>
                <w:sz w:val="20"/>
                <w:szCs w:val="20"/>
              </w:rPr>
            </w:pPr>
            <w:r>
              <w:rPr>
                <w:rFonts w:hint="eastAsia"/>
                <w:kern w:val="2"/>
                <w:sz w:val="20"/>
                <w:szCs w:val="20"/>
                <w:lang w:bidi="ar"/>
              </w:rPr>
              <w:t>A 级</w:t>
            </w:r>
          </w:p>
        </w:tc>
        <w:tc>
          <w:tcPr>
            <w:tcW w:w="1495" w:type="pct"/>
            <w:vAlign w:val="center"/>
          </w:tcPr>
          <w:p>
            <w:pPr>
              <w:pStyle w:val="37"/>
              <w:autoSpaceDE w:val="0"/>
              <w:autoSpaceDN w:val="0"/>
              <w:spacing w:before="0" w:after="0"/>
              <w:jc w:val="center"/>
              <w:rPr>
                <w:kern w:val="2"/>
                <w:sz w:val="20"/>
                <w:szCs w:val="20"/>
              </w:rPr>
            </w:pPr>
            <w:r>
              <w:rPr>
                <w:rFonts w:hint="eastAsia"/>
                <w:kern w:val="2"/>
                <w:sz w:val="20"/>
                <w:szCs w:val="20"/>
                <w:lang w:bidi="ar"/>
              </w:rPr>
              <w:t>B 级</w:t>
            </w:r>
          </w:p>
        </w:tc>
        <w:tc>
          <w:tcPr>
            <w:tcW w:w="1187" w:type="pct"/>
            <w:vAlign w:val="center"/>
          </w:tcPr>
          <w:p>
            <w:pPr>
              <w:pStyle w:val="37"/>
              <w:autoSpaceDE w:val="0"/>
              <w:autoSpaceDN w:val="0"/>
              <w:spacing w:before="0" w:after="0"/>
              <w:jc w:val="center"/>
              <w:rPr>
                <w:kern w:val="2"/>
                <w:sz w:val="20"/>
                <w:szCs w:val="20"/>
              </w:rPr>
            </w:pPr>
            <w:r>
              <w:rPr>
                <w:rFonts w:hint="eastAsia"/>
                <w:kern w:val="2"/>
                <w:sz w:val="20"/>
                <w:szCs w:val="20"/>
                <w:lang w:bidi="ar"/>
              </w:rPr>
              <w:t>C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Align w:val="center"/>
          </w:tcPr>
          <w:p>
            <w:pPr>
              <w:pStyle w:val="37"/>
              <w:autoSpaceDE w:val="0"/>
              <w:autoSpaceDN w:val="0"/>
              <w:spacing w:before="0" w:after="0"/>
              <w:rPr>
                <w:kern w:val="2"/>
                <w:sz w:val="20"/>
                <w:szCs w:val="20"/>
              </w:rPr>
            </w:pPr>
            <w:r>
              <w:rPr>
                <w:rFonts w:hint="eastAsia"/>
                <w:kern w:val="2"/>
                <w:sz w:val="20"/>
                <w:szCs w:val="20"/>
                <w:lang w:bidi="ar"/>
              </w:rPr>
              <w:t>供电电源</w:t>
            </w:r>
          </w:p>
        </w:tc>
        <w:tc>
          <w:tcPr>
            <w:tcW w:w="1473" w:type="pct"/>
            <w:vAlign w:val="center"/>
          </w:tcPr>
          <w:p>
            <w:pPr>
              <w:pStyle w:val="37"/>
              <w:autoSpaceDE w:val="0"/>
              <w:autoSpaceDN w:val="0"/>
              <w:spacing w:before="0" w:after="0"/>
              <w:rPr>
                <w:kern w:val="2"/>
                <w:sz w:val="20"/>
                <w:szCs w:val="20"/>
              </w:rPr>
            </w:pPr>
            <w:r>
              <w:rPr>
                <w:rFonts w:hint="eastAsia"/>
                <w:kern w:val="2"/>
                <w:sz w:val="20"/>
                <w:szCs w:val="20"/>
                <w:lang w:bidi="ar"/>
              </w:rPr>
              <w:t>两个电源供电，两个电源不应同时受到损坏</w:t>
            </w:r>
          </w:p>
        </w:tc>
        <w:tc>
          <w:tcPr>
            <w:tcW w:w="1495" w:type="pct"/>
            <w:vAlign w:val="center"/>
          </w:tcPr>
          <w:p>
            <w:pPr>
              <w:pStyle w:val="37"/>
              <w:autoSpaceDE w:val="0"/>
              <w:autoSpaceDN w:val="0"/>
              <w:spacing w:before="0" w:after="0"/>
              <w:rPr>
                <w:kern w:val="2"/>
                <w:sz w:val="20"/>
                <w:szCs w:val="20"/>
              </w:rPr>
            </w:pPr>
            <w:r>
              <w:rPr>
                <w:rFonts w:hint="eastAsia"/>
                <w:kern w:val="2"/>
                <w:sz w:val="20"/>
                <w:szCs w:val="20"/>
                <w:lang w:bidi="ar"/>
              </w:rPr>
              <w:t>两个电源供电，两个电源不应同时受到损坏</w:t>
            </w:r>
          </w:p>
        </w:tc>
        <w:tc>
          <w:tcPr>
            <w:tcW w:w="1187" w:type="pct"/>
            <w:vAlign w:val="center"/>
          </w:tcPr>
          <w:p>
            <w:pPr>
              <w:pStyle w:val="37"/>
              <w:autoSpaceDE w:val="0"/>
              <w:autoSpaceDN w:val="0"/>
              <w:spacing w:before="0" w:after="0"/>
              <w:rPr>
                <w:kern w:val="2"/>
                <w:sz w:val="20"/>
                <w:szCs w:val="20"/>
              </w:rPr>
            </w:pPr>
            <w:r>
              <w:rPr>
                <w:rFonts w:hint="eastAsia"/>
                <w:kern w:val="2"/>
                <w:sz w:val="20"/>
                <w:szCs w:val="20"/>
                <w:lang w:bidi="ar"/>
              </w:rPr>
              <w:t>两回线路供电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Merge w:val="restart"/>
            <w:vAlign w:val="center"/>
          </w:tcPr>
          <w:p>
            <w:pPr>
              <w:pStyle w:val="37"/>
              <w:autoSpaceDE w:val="0"/>
              <w:autoSpaceDN w:val="0"/>
              <w:spacing w:before="0" w:after="0"/>
              <w:rPr>
                <w:kern w:val="2"/>
                <w:sz w:val="20"/>
                <w:szCs w:val="20"/>
              </w:rPr>
            </w:pPr>
            <w:r>
              <w:rPr>
                <w:rFonts w:hint="eastAsia"/>
                <w:kern w:val="2"/>
                <w:sz w:val="20"/>
                <w:szCs w:val="20"/>
                <w:lang w:bidi="ar"/>
              </w:rPr>
              <w:t>变压器</w:t>
            </w:r>
          </w:p>
        </w:tc>
        <w:tc>
          <w:tcPr>
            <w:tcW w:w="1473" w:type="pct"/>
            <w:vMerge w:val="restart"/>
            <w:vAlign w:val="center"/>
          </w:tcPr>
          <w:p>
            <w:pPr>
              <w:pStyle w:val="37"/>
              <w:autoSpaceDE w:val="0"/>
              <w:autoSpaceDN w:val="0"/>
              <w:spacing w:before="0" w:after="0"/>
              <w:rPr>
                <w:kern w:val="2"/>
                <w:sz w:val="20"/>
                <w:szCs w:val="20"/>
              </w:rPr>
            </w:pPr>
            <w:r>
              <w:rPr>
                <w:rFonts w:hint="eastAsia"/>
                <w:kern w:val="2"/>
                <w:sz w:val="20"/>
                <w:szCs w:val="20"/>
                <w:lang w:bidi="ar"/>
              </w:rPr>
              <w:t>M（1+1 ）冗余</w:t>
            </w:r>
          </w:p>
          <w:p>
            <w:pPr>
              <w:pStyle w:val="37"/>
              <w:autoSpaceDE w:val="0"/>
              <w:autoSpaceDN w:val="0"/>
              <w:spacing w:before="0" w:after="0"/>
              <w:rPr>
                <w:kern w:val="2"/>
                <w:sz w:val="20"/>
                <w:szCs w:val="20"/>
              </w:rPr>
            </w:pPr>
            <w:r>
              <w:rPr>
                <w:rFonts w:hint="eastAsia"/>
                <w:kern w:val="2"/>
                <w:sz w:val="20"/>
                <w:szCs w:val="20"/>
                <w:lang w:bidi="ar"/>
              </w:rPr>
              <w:t>(M=1 、2</w:t>
            </w:r>
            <w:r>
              <w:rPr>
                <w:rFonts w:hint="eastAsia"/>
                <w:spacing w:val="51"/>
                <w:kern w:val="2"/>
                <w:sz w:val="20"/>
                <w:szCs w:val="20"/>
                <w:lang w:bidi="ar"/>
              </w:rPr>
              <w:t xml:space="preserve"> </w:t>
            </w:r>
            <w:r>
              <w:rPr>
                <w:rFonts w:hint="eastAsia"/>
                <w:kern w:val="2"/>
                <w:sz w:val="20"/>
                <w:szCs w:val="20"/>
                <w:lang w:bidi="ar"/>
              </w:rPr>
              <w:t>、3……)</w:t>
            </w:r>
          </w:p>
        </w:tc>
        <w:tc>
          <w:tcPr>
            <w:tcW w:w="1495" w:type="pct"/>
            <w:vAlign w:val="center"/>
          </w:tcPr>
          <w:p>
            <w:pPr>
              <w:pStyle w:val="37"/>
              <w:autoSpaceDE w:val="0"/>
              <w:autoSpaceDN w:val="0"/>
              <w:spacing w:before="0" w:after="0"/>
              <w:rPr>
                <w:kern w:val="2"/>
                <w:sz w:val="20"/>
                <w:szCs w:val="20"/>
              </w:rPr>
            </w:pPr>
            <w:r>
              <w:rPr>
                <w:rFonts w:hint="eastAsia"/>
                <w:kern w:val="2"/>
                <w:sz w:val="20"/>
                <w:szCs w:val="20"/>
                <w:lang w:bidi="ar"/>
              </w:rPr>
              <w:t>M（1+1 ）冗余</w:t>
            </w:r>
          </w:p>
        </w:tc>
        <w:tc>
          <w:tcPr>
            <w:tcW w:w="1187" w:type="pct"/>
            <w:vMerge w:val="restart"/>
            <w:vAlign w:val="center"/>
          </w:tcPr>
          <w:p>
            <w:pPr>
              <w:pStyle w:val="37"/>
              <w:autoSpaceDE w:val="0"/>
              <w:autoSpaceDN w:val="0"/>
              <w:spacing w:before="0" w:after="0"/>
              <w:rPr>
                <w:kern w:val="2"/>
                <w:sz w:val="20"/>
                <w:szCs w:val="20"/>
              </w:rPr>
            </w:pPr>
            <w:r>
              <w:rPr>
                <w:rFonts w:hint="eastAsia"/>
                <w:w w:val="99"/>
                <w:kern w:val="2"/>
                <w:sz w:val="20"/>
                <w:szCs w:val="20"/>
                <w:lang w:bidi="a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Merge w:val="continue"/>
            <w:vAlign w:val="center"/>
          </w:tcPr>
          <w:p>
            <w:pPr>
              <w:rPr>
                <w:rFonts w:ascii="Calibri" w:hAnsi="Calibri"/>
                <w:sz w:val="20"/>
                <w:szCs w:val="20"/>
              </w:rPr>
            </w:pPr>
          </w:p>
        </w:tc>
        <w:tc>
          <w:tcPr>
            <w:tcW w:w="1473" w:type="pct"/>
            <w:vMerge w:val="continue"/>
            <w:vAlign w:val="center"/>
          </w:tcPr>
          <w:p>
            <w:pPr>
              <w:rPr>
                <w:rFonts w:ascii="Calibri" w:hAnsi="Calibri"/>
                <w:sz w:val="20"/>
                <w:szCs w:val="20"/>
              </w:rPr>
            </w:pPr>
          </w:p>
        </w:tc>
        <w:tc>
          <w:tcPr>
            <w:tcW w:w="1495" w:type="pct"/>
            <w:vAlign w:val="center"/>
          </w:tcPr>
          <w:p>
            <w:pPr>
              <w:pStyle w:val="37"/>
              <w:autoSpaceDE w:val="0"/>
              <w:autoSpaceDN w:val="0"/>
              <w:spacing w:before="0" w:after="0"/>
              <w:rPr>
                <w:kern w:val="2"/>
                <w:sz w:val="20"/>
                <w:szCs w:val="20"/>
              </w:rPr>
            </w:pPr>
            <w:r>
              <w:rPr>
                <w:rFonts w:hint="eastAsia"/>
                <w:kern w:val="2"/>
                <w:sz w:val="20"/>
                <w:szCs w:val="20"/>
                <w:lang w:bidi="ar"/>
              </w:rPr>
              <w:t>(M=1</w:t>
            </w:r>
            <w:r>
              <w:rPr>
                <w:rFonts w:hint="eastAsia"/>
                <w:spacing w:val="51"/>
                <w:kern w:val="2"/>
                <w:sz w:val="20"/>
                <w:szCs w:val="20"/>
                <w:lang w:bidi="ar"/>
              </w:rPr>
              <w:t xml:space="preserve"> </w:t>
            </w:r>
            <w:r>
              <w:rPr>
                <w:rFonts w:hint="eastAsia"/>
                <w:kern w:val="2"/>
                <w:sz w:val="20"/>
                <w:szCs w:val="20"/>
                <w:lang w:bidi="ar"/>
              </w:rPr>
              <w:t>、2</w:t>
            </w:r>
            <w:r>
              <w:rPr>
                <w:rFonts w:hint="eastAsia"/>
                <w:spacing w:val="51"/>
                <w:kern w:val="2"/>
                <w:sz w:val="20"/>
                <w:szCs w:val="20"/>
                <w:lang w:bidi="ar"/>
              </w:rPr>
              <w:t xml:space="preserve"> </w:t>
            </w:r>
            <w:r>
              <w:rPr>
                <w:rFonts w:hint="eastAsia"/>
                <w:kern w:val="2"/>
                <w:sz w:val="20"/>
                <w:szCs w:val="20"/>
                <w:lang w:bidi="ar"/>
              </w:rPr>
              <w:t>、3……)</w:t>
            </w:r>
          </w:p>
        </w:tc>
        <w:tc>
          <w:tcPr>
            <w:tcW w:w="1187" w:type="pct"/>
            <w:vMerge w:val="continue"/>
            <w:vAlign w:val="center"/>
          </w:tcPr>
          <w:p>
            <w:pPr>
              <w:rPr>
                <w:rFonts w:ascii="Calibri" w:hAnsi="Calibr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Align w:val="center"/>
          </w:tcPr>
          <w:p>
            <w:pPr>
              <w:pStyle w:val="37"/>
              <w:autoSpaceDE w:val="0"/>
              <w:autoSpaceDN w:val="0"/>
              <w:spacing w:before="0" w:after="0"/>
              <w:rPr>
                <w:kern w:val="2"/>
                <w:sz w:val="20"/>
                <w:szCs w:val="20"/>
              </w:rPr>
            </w:pPr>
            <w:r>
              <w:rPr>
                <w:rFonts w:hint="eastAsia"/>
                <w:kern w:val="2"/>
                <w:sz w:val="20"/>
                <w:szCs w:val="20"/>
                <w:lang w:bidi="ar"/>
              </w:rPr>
              <w:t>后备柴油发电</w:t>
            </w:r>
          </w:p>
        </w:tc>
        <w:tc>
          <w:tcPr>
            <w:tcW w:w="1473" w:type="pct"/>
            <w:vAlign w:val="center"/>
          </w:tcPr>
          <w:p>
            <w:pPr>
              <w:pStyle w:val="37"/>
              <w:autoSpaceDE w:val="0"/>
              <w:autoSpaceDN w:val="0"/>
              <w:spacing w:before="0" w:after="0"/>
              <w:rPr>
                <w:kern w:val="2"/>
                <w:sz w:val="20"/>
                <w:szCs w:val="20"/>
              </w:rPr>
            </w:pPr>
            <w:r>
              <w:rPr>
                <w:rFonts w:hint="eastAsia"/>
                <w:kern w:val="2"/>
                <w:sz w:val="20"/>
                <w:szCs w:val="20"/>
                <w:lang w:bidi="ar"/>
              </w:rPr>
              <w:t>N</w:t>
            </w:r>
            <w:r>
              <w:rPr>
                <w:rFonts w:hint="eastAsia"/>
                <w:spacing w:val="51"/>
                <w:kern w:val="2"/>
                <w:sz w:val="20"/>
                <w:szCs w:val="20"/>
                <w:lang w:bidi="ar"/>
              </w:rPr>
              <w:t xml:space="preserve"> </w:t>
            </w:r>
            <w:r>
              <w:rPr>
                <w:rFonts w:hint="eastAsia"/>
                <w:kern w:val="2"/>
                <w:sz w:val="20"/>
                <w:szCs w:val="20"/>
                <w:lang w:bidi="ar"/>
              </w:rPr>
              <w:t>或（N+X）冗余</w:t>
            </w:r>
          </w:p>
          <w:p>
            <w:pPr>
              <w:pStyle w:val="37"/>
              <w:autoSpaceDE w:val="0"/>
              <w:autoSpaceDN w:val="0"/>
              <w:spacing w:before="0" w:after="0"/>
              <w:rPr>
                <w:kern w:val="2"/>
                <w:sz w:val="20"/>
                <w:szCs w:val="20"/>
              </w:rPr>
            </w:pPr>
            <w:r>
              <w:rPr>
                <w:rFonts w:hint="eastAsia"/>
                <w:kern w:val="2"/>
                <w:sz w:val="20"/>
                <w:szCs w:val="20"/>
                <w:lang w:bidi="ar"/>
              </w:rPr>
              <w:t>(X=1 ~N)</w:t>
            </w:r>
          </w:p>
        </w:tc>
        <w:tc>
          <w:tcPr>
            <w:tcW w:w="1495" w:type="pct"/>
            <w:vAlign w:val="center"/>
          </w:tcPr>
          <w:p>
            <w:pPr>
              <w:pStyle w:val="37"/>
              <w:autoSpaceDE w:val="0"/>
              <w:autoSpaceDN w:val="0"/>
              <w:spacing w:before="0" w:after="0"/>
              <w:rPr>
                <w:kern w:val="2"/>
                <w:sz w:val="20"/>
                <w:szCs w:val="20"/>
              </w:rPr>
            </w:pPr>
            <w:r>
              <w:rPr>
                <w:rFonts w:hint="eastAsia"/>
                <w:kern w:val="2"/>
                <w:sz w:val="20"/>
                <w:szCs w:val="20"/>
                <w:lang w:bidi="ar"/>
              </w:rPr>
              <w:t>N（供电电源不能满足要求时）</w:t>
            </w:r>
          </w:p>
        </w:tc>
        <w:tc>
          <w:tcPr>
            <w:tcW w:w="1187" w:type="pct"/>
            <w:vAlign w:val="center"/>
          </w:tcPr>
          <w:p>
            <w:pPr>
              <w:pStyle w:val="37"/>
              <w:autoSpaceDE w:val="0"/>
              <w:autoSpaceDN w:val="0"/>
              <w:spacing w:before="0" w:after="0"/>
              <w:rPr>
                <w:kern w:val="2"/>
                <w:sz w:val="20"/>
                <w:szCs w:val="20"/>
              </w:rPr>
            </w:pPr>
            <w:r>
              <w:rPr>
                <w:rFonts w:hint="eastAsia"/>
                <w:kern w:val="2"/>
                <w:sz w:val="20"/>
                <w:szCs w:val="20"/>
                <w:lang w:bidi="ar"/>
              </w:rPr>
              <w:t>UPS 备电能满足信</w:t>
            </w:r>
          </w:p>
          <w:p>
            <w:pPr>
              <w:pStyle w:val="37"/>
              <w:autoSpaceDE w:val="0"/>
              <w:autoSpaceDN w:val="0"/>
              <w:spacing w:before="0" w:after="0"/>
              <w:rPr>
                <w:kern w:val="2"/>
                <w:sz w:val="20"/>
                <w:szCs w:val="20"/>
              </w:rPr>
            </w:pPr>
            <w:r>
              <w:rPr>
                <w:rFonts w:hint="eastAsia"/>
                <w:kern w:val="2"/>
                <w:sz w:val="20"/>
                <w:szCs w:val="20"/>
                <w:lang w:bidi="ar"/>
              </w:rPr>
              <w:t>息存储要求时可不配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Align w:val="center"/>
          </w:tcPr>
          <w:p>
            <w:pPr>
              <w:pStyle w:val="37"/>
              <w:autoSpaceDE w:val="0"/>
              <w:autoSpaceDN w:val="0"/>
              <w:spacing w:before="0" w:after="0"/>
              <w:rPr>
                <w:kern w:val="2"/>
                <w:sz w:val="20"/>
                <w:szCs w:val="20"/>
              </w:rPr>
            </w:pPr>
            <w:r>
              <w:rPr>
                <w:rFonts w:hint="eastAsia"/>
                <w:kern w:val="2"/>
                <w:sz w:val="20"/>
                <w:szCs w:val="20"/>
                <w:lang w:bidi="ar"/>
              </w:rPr>
              <w:t>UPS</w:t>
            </w:r>
          </w:p>
        </w:tc>
        <w:tc>
          <w:tcPr>
            <w:tcW w:w="1473" w:type="pct"/>
            <w:vAlign w:val="center"/>
          </w:tcPr>
          <w:p>
            <w:pPr>
              <w:pStyle w:val="37"/>
              <w:autoSpaceDE w:val="0"/>
              <w:autoSpaceDN w:val="0"/>
              <w:spacing w:before="0" w:after="0"/>
              <w:rPr>
                <w:kern w:val="2"/>
                <w:sz w:val="20"/>
                <w:szCs w:val="20"/>
              </w:rPr>
            </w:pPr>
            <w:r>
              <w:rPr>
                <w:rFonts w:hint="eastAsia"/>
                <w:kern w:val="2"/>
                <w:sz w:val="20"/>
                <w:szCs w:val="20"/>
                <w:lang w:bidi="ar"/>
              </w:rPr>
              <w:t xml:space="preserve">2N </w:t>
            </w:r>
            <w:r>
              <w:rPr>
                <w:rFonts w:hint="eastAsia"/>
                <w:spacing w:val="-27"/>
                <w:kern w:val="2"/>
                <w:sz w:val="20"/>
                <w:szCs w:val="20"/>
                <w:lang w:bidi="ar"/>
              </w:rPr>
              <w:t xml:space="preserve">或 </w:t>
            </w:r>
            <w:r>
              <w:rPr>
                <w:rFonts w:hint="eastAsia"/>
                <w:kern w:val="2"/>
                <w:sz w:val="20"/>
                <w:szCs w:val="20"/>
                <w:lang w:bidi="ar"/>
              </w:rPr>
              <w:t>M（N+1）</w:t>
            </w:r>
            <w:r>
              <w:rPr>
                <w:rFonts w:hint="eastAsia"/>
                <w:spacing w:val="-14"/>
                <w:kern w:val="2"/>
                <w:sz w:val="20"/>
                <w:szCs w:val="20"/>
                <w:lang w:bidi="ar"/>
              </w:rPr>
              <w:t>冗</w:t>
            </w:r>
            <w:r>
              <w:rPr>
                <w:rFonts w:hint="eastAsia"/>
                <w:kern w:val="2"/>
                <w:sz w:val="20"/>
                <w:szCs w:val="20"/>
                <w:lang w:bidi="ar"/>
              </w:rPr>
              <w:t>余（M=2 、3</w:t>
            </w:r>
            <w:r>
              <w:rPr>
                <w:rFonts w:hint="eastAsia"/>
                <w:spacing w:val="51"/>
                <w:kern w:val="2"/>
                <w:sz w:val="20"/>
                <w:szCs w:val="20"/>
                <w:lang w:bidi="ar"/>
              </w:rPr>
              <w:t xml:space="preserve"> </w:t>
            </w:r>
            <w:r>
              <w:rPr>
                <w:rFonts w:hint="eastAsia"/>
                <w:kern w:val="2"/>
                <w:sz w:val="20"/>
                <w:szCs w:val="20"/>
                <w:lang w:bidi="ar"/>
              </w:rPr>
              <w:t>、4……）</w:t>
            </w:r>
          </w:p>
        </w:tc>
        <w:tc>
          <w:tcPr>
            <w:tcW w:w="1495" w:type="pct"/>
            <w:vAlign w:val="center"/>
          </w:tcPr>
          <w:p>
            <w:pPr>
              <w:pStyle w:val="37"/>
              <w:autoSpaceDE w:val="0"/>
              <w:autoSpaceDN w:val="0"/>
              <w:spacing w:before="0" w:after="0"/>
              <w:rPr>
                <w:kern w:val="2"/>
                <w:sz w:val="20"/>
                <w:szCs w:val="20"/>
              </w:rPr>
            </w:pPr>
            <w:r>
              <w:rPr>
                <w:rFonts w:hint="eastAsia"/>
                <w:kern w:val="2"/>
                <w:sz w:val="20"/>
                <w:szCs w:val="20"/>
                <w:lang w:bidi="ar"/>
              </w:rPr>
              <w:t>N+X 冗余 （X=1  ～N）</w:t>
            </w:r>
          </w:p>
        </w:tc>
        <w:tc>
          <w:tcPr>
            <w:tcW w:w="1187" w:type="pct"/>
            <w:vAlign w:val="center"/>
          </w:tcPr>
          <w:p>
            <w:pPr>
              <w:pStyle w:val="37"/>
              <w:autoSpaceDE w:val="0"/>
              <w:autoSpaceDN w:val="0"/>
              <w:spacing w:before="0" w:after="0"/>
              <w:rPr>
                <w:kern w:val="2"/>
                <w:sz w:val="20"/>
                <w:szCs w:val="20"/>
              </w:rPr>
            </w:pPr>
            <w:r>
              <w:rPr>
                <w:rFonts w:hint="eastAsia"/>
                <w:w w:val="99"/>
                <w:kern w:val="2"/>
                <w:sz w:val="20"/>
                <w:szCs w:val="20"/>
                <w:lang w:bidi="ar"/>
              </w:rPr>
              <w:t>N</w:t>
            </w:r>
          </w:p>
        </w:tc>
      </w:tr>
    </w:tbl>
    <w:p>
      <w:pPr>
        <w:pStyle w:val="3"/>
        <w:spacing w:before="240"/>
      </w:pPr>
      <w:r>
        <w:rPr>
          <w:rFonts w:hint="eastAsia"/>
        </w:rPr>
        <w:t>供配电容量规划</w:t>
      </w:r>
    </w:p>
    <w:p>
      <w:pPr>
        <w:autoSpaceDE w:val="0"/>
        <w:autoSpaceDN w:val="0"/>
        <w:ind w:left="972" w:right="733" w:firstLine="420"/>
        <w:jc w:val="center"/>
        <w:rPr>
          <w:rFonts w:ascii="宋体" w:hAnsi="宋体"/>
          <w:szCs w:val="22"/>
          <w:lang w:bidi="ar"/>
        </w:rPr>
      </w:pPr>
      <w:r>
        <w:rPr>
          <w:rFonts w:hint="eastAsia" w:ascii="宋体" w:hAnsi="宋体"/>
          <w:szCs w:val="22"/>
          <w:lang w:bidi="ar"/>
        </w:rPr>
        <w:t>供配电容量规划表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809"/>
        <w:gridCol w:w="1056"/>
        <w:gridCol w:w="1056"/>
        <w:gridCol w:w="1543"/>
        <w:gridCol w:w="1575"/>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7"/>
            <w:vAlign w:val="center"/>
          </w:tcPr>
          <w:p>
            <w:pPr>
              <w:widowControl/>
              <w:jc w:val="center"/>
              <w:rPr>
                <w:rFonts w:ascii="宋体" w:hAnsi="宋体"/>
                <w:b/>
                <w:bCs/>
                <w:szCs w:val="21"/>
              </w:rPr>
            </w:pPr>
            <w:r>
              <w:rPr>
                <w:rFonts w:hint="eastAsia" w:ascii="宋体" w:hAnsi="宋体"/>
                <w:b/>
                <w:bCs/>
                <w:szCs w:val="21"/>
              </w:rPr>
              <w:t>供配电容量规划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37" w:type="pct"/>
            <w:vAlign w:val="center"/>
          </w:tcPr>
          <w:p>
            <w:pPr>
              <w:widowControl/>
              <w:jc w:val="center"/>
              <w:rPr>
                <w:rFonts w:ascii="宋体" w:hAnsi="宋体"/>
                <w:b/>
                <w:bCs/>
                <w:szCs w:val="21"/>
              </w:rPr>
            </w:pPr>
            <w:r>
              <w:rPr>
                <w:rFonts w:hint="eastAsia" w:ascii="宋体" w:hAnsi="宋体"/>
                <w:b/>
                <w:bCs/>
                <w:szCs w:val="21"/>
              </w:rPr>
              <w:t>功耗类型</w:t>
            </w:r>
          </w:p>
        </w:tc>
        <w:tc>
          <w:tcPr>
            <w:tcW w:w="918" w:type="pct"/>
            <w:vAlign w:val="center"/>
          </w:tcPr>
          <w:p>
            <w:pPr>
              <w:widowControl/>
              <w:jc w:val="center"/>
              <w:rPr>
                <w:rFonts w:ascii="宋体" w:hAnsi="宋体"/>
                <w:b/>
                <w:bCs/>
                <w:szCs w:val="21"/>
              </w:rPr>
            </w:pPr>
            <w:r>
              <w:rPr>
                <w:rFonts w:hint="eastAsia" w:ascii="宋体" w:hAnsi="宋体"/>
                <w:b/>
                <w:bCs/>
                <w:szCs w:val="21"/>
              </w:rPr>
              <w:t>机房区域</w:t>
            </w:r>
          </w:p>
        </w:tc>
        <w:tc>
          <w:tcPr>
            <w:tcW w:w="536" w:type="pct"/>
            <w:vAlign w:val="center"/>
          </w:tcPr>
          <w:p>
            <w:pPr>
              <w:widowControl/>
              <w:jc w:val="center"/>
              <w:rPr>
                <w:rFonts w:ascii="宋体" w:hAnsi="宋体"/>
                <w:b/>
                <w:bCs/>
                <w:szCs w:val="21"/>
              </w:rPr>
            </w:pPr>
            <w:r>
              <w:rPr>
                <w:rFonts w:hint="eastAsia" w:ascii="宋体" w:hAnsi="宋体"/>
                <w:b/>
                <w:bCs/>
                <w:szCs w:val="21"/>
              </w:rPr>
              <w:t>机房区域</w:t>
            </w:r>
          </w:p>
        </w:tc>
        <w:tc>
          <w:tcPr>
            <w:tcW w:w="536" w:type="pct"/>
            <w:vAlign w:val="center"/>
          </w:tcPr>
          <w:p>
            <w:pPr>
              <w:widowControl/>
              <w:jc w:val="center"/>
              <w:rPr>
                <w:rFonts w:ascii="宋体" w:hAnsi="宋体"/>
                <w:b/>
                <w:bCs/>
                <w:szCs w:val="21"/>
              </w:rPr>
            </w:pPr>
            <w:r>
              <w:rPr>
                <w:rFonts w:hint="eastAsia" w:ascii="宋体" w:hAnsi="宋体"/>
                <w:b/>
                <w:bCs/>
                <w:szCs w:val="21"/>
              </w:rPr>
              <w:t>机柜数量（台）</w:t>
            </w:r>
          </w:p>
        </w:tc>
        <w:tc>
          <w:tcPr>
            <w:tcW w:w="783" w:type="pct"/>
            <w:vAlign w:val="center"/>
          </w:tcPr>
          <w:p>
            <w:pPr>
              <w:widowControl/>
              <w:jc w:val="center"/>
              <w:rPr>
                <w:rFonts w:ascii="宋体" w:hAnsi="宋体"/>
                <w:b/>
                <w:bCs/>
                <w:szCs w:val="21"/>
              </w:rPr>
            </w:pPr>
            <w:r>
              <w:rPr>
                <w:rFonts w:hint="eastAsia" w:ascii="宋体" w:hAnsi="宋体"/>
                <w:b/>
                <w:bCs/>
                <w:szCs w:val="21"/>
              </w:rPr>
              <w:t>单柜功率密度</w:t>
            </w:r>
          </w:p>
        </w:tc>
        <w:tc>
          <w:tcPr>
            <w:tcW w:w="796" w:type="pct"/>
            <w:vAlign w:val="center"/>
          </w:tcPr>
          <w:p>
            <w:pPr>
              <w:widowControl/>
              <w:jc w:val="center"/>
              <w:rPr>
                <w:rFonts w:ascii="宋体" w:hAnsi="宋体"/>
                <w:b/>
                <w:bCs/>
                <w:szCs w:val="21"/>
              </w:rPr>
            </w:pPr>
            <w:r>
              <w:rPr>
                <w:rFonts w:hint="eastAsia" w:ascii="宋体" w:hAnsi="宋体"/>
                <w:b/>
                <w:bCs/>
                <w:szCs w:val="21"/>
              </w:rPr>
              <w:t>负载：</w:t>
            </w:r>
            <w:r>
              <w:rPr>
                <w:b/>
                <w:bCs/>
                <w:szCs w:val="21"/>
              </w:rPr>
              <w:t>kW</w:t>
            </w:r>
          </w:p>
        </w:tc>
        <w:tc>
          <w:tcPr>
            <w:tcW w:w="589" w:type="pct"/>
            <w:vAlign w:val="center"/>
          </w:tcPr>
          <w:p>
            <w:pPr>
              <w:widowControl/>
              <w:jc w:val="center"/>
              <w:rPr>
                <w:rFonts w:ascii="宋体" w:hAnsi="宋体"/>
                <w:b/>
                <w:bCs/>
                <w:szCs w:val="21"/>
              </w:rPr>
            </w:pPr>
            <w:r>
              <w:rPr>
                <w:rFonts w:hint="eastAsia" w:ascii="宋体" w:hAnsi="宋体"/>
                <w:b/>
                <w:bCs/>
                <w:szCs w:val="21"/>
              </w:rPr>
              <w:t>合计：kW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37" w:type="pct"/>
            <w:vAlign w:val="center"/>
          </w:tcPr>
          <w:p>
            <w:pPr>
              <w:widowControl/>
              <w:jc w:val="center"/>
              <w:rPr>
                <w:szCs w:val="21"/>
              </w:rPr>
            </w:pPr>
            <w:r>
              <w:rPr>
                <w:szCs w:val="21"/>
              </w:rPr>
              <w:t>P1</w:t>
            </w:r>
            <w:r>
              <w:rPr>
                <w:rFonts w:hint="eastAsia" w:ascii="宋体" w:hAnsi="宋体"/>
                <w:szCs w:val="21"/>
              </w:rPr>
              <w:t>：</w:t>
            </w:r>
            <w:r>
              <w:rPr>
                <w:szCs w:val="21"/>
              </w:rPr>
              <w:t>IT</w:t>
            </w:r>
            <w:r>
              <w:rPr>
                <w:rFonts w:hint="eastAsia" w:ascii="宋体" w:hAnsi="宋体"/>
                <w:szCs w:val="21"/>
              </w:rPr>
              <w:t>设备用电负荷：kW</w:t>
            </w:r>
          </w:p>
        </w:tc>
        <w:tc>
          <w:tcPr>
            <w:tcW w:w="918" w:type="pct"/>
            <w:vAlign w:val="center"/>
          </w:tcPr>
          <w:p>
            <w:pPr>
              <w:widowControl/>
              <w:jc w:val="center"/>
              <w:rPr>
                <w:rFonts w:ascii="宋体" w:hAnsi="宋体"/>
                <w:szCs w:val="21"/>
              </w:rPr>
            </w:pPr>
            <w:r>
              <w:rPr>
                <w:rFonts w:hint="eastAsia" w:ascii="宋体" w:hAnsi="宋体"/>
                <w:szCs w:val="21"/>
              </w:rPr>
              <w:t>数据中心机房</w:t>
            </w:r>
          </w:p>
        </w:tc>
        <w:tc>
          <w:tcPr>
            <w:tcW w:w="536" w:type="pct"/>
            <w:noWrap/>
            <w:vAlign w:val="center"/>
          </w:tcPr>
          <w:p>
            <w:pPr>
              <w:widowControl/>
              <w:jc w:val="left"/>
              <w:rPr>
                <w:szCs w:val="21"/>
              </w:rPr>
            </w:pPr>
            <w:r>
              <w:rPr>
                <w:szCs w:val="21"/>
              </w:rPr>
              <w:t>IT</w:t>
            </w:r>
            <w:r>
              <w:rPr>
                <w:rFonts w:hint="eastAsia" w:ascii="宋体" w:hAnsi="宋体"/>
                <w:szCs w:val="21"/>
              </w:rPr>
              <w:t>机柜</w:t>
            </w:r>
          </w:p>
        </w:tc>
        <w:tc>
          <w:tcPr>
            <w:tcW w:w="536" w:type="pct"/>
            <w:noWrap/>
            <w:vAlign w:val="center"/>
          </w:tcPr>
          <w:p>
            <w:pPr>
              <w:widowControl/>
              <w:jc w:val="center"/>
              <w:rPr>
                <w:szCs w:val="21"/>
              </w:rPr>
            </w:pPr>
            <w:r>
              <w:rPr>
                <w:rFonts w:hint="eastAsia"/>
                <w:szCs w:val="21"/>
              </w:rPr>
              <w:t>30</w:t>
            </w:r>
          </w:p>
        </w:tc>
        <w:tc>
          <w:tcPr>
            <w:tcW w:w="783" w:type="pct"/>
            <w:noWrap/>
            <w:vAlign w:val="center"/>
          </w:tcPr>
          <w:p>
            <w:pPr>
              <w:widowControl/>
              <w:jc w:val="center"/>
              <w:rPr>
                <w:szCs w:val="21"/>
              </w:rPr>
            </w:pPr>
            <w:r>
              <w:rPr>
                <w:szCs w:val="21"/>
              </w:rPr>
              <w:t>7</w:t>
            </w:r>
          </w:p>
        </w:tc>
        <w:tc>
          <w:tcPr>
            <w:tcW w:w="796" w:type="pct"/>
            <w:noWrap/>
            <w:vAlign w:val="center"/>
          </w:tcPr>
          <w:p>
            <w:pPr>
              <w:widowControl/>
              <w:jc w:val="center"/>
              <w:rPr>
                <w:szCs w:val="21"/>
              </w:rPr>
            </w:pPr>
            <w:r>
              <w:rPr>
                <w:rFonts w:hint="eastAsia"/>
                <w:szCs w:val="21"/>
              </w:rPr>
              <w:t>210</w:t>
            </w:r>
          </w:p>
        </w:tc>
        <w:tc>
          <w:tcPr>
            <w:tcW w:w="589" w:type="pct"/>
            <w:noWrap/>
            <w:vAlign w:val="center"/>
          </w:tcPr>
          <w:p>
            <w:pPr>
              <w:widowControl/>
              <w:jc w:val="center"/>
              <w:rPr>
                <w:szCs w:val="21"/>
              </w:rPr>
            </w:pPr>
            <w:r>
              <w:rPr>
                <w:rFonts w:hint="eastAsia"/>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837" w:type="pct"/>
            <w:vAlign w:val="center"/>
          </w:tcPr>
          <w:p>
            <w:pPr>
              <w:widowControl/>
              <w:jc w:val="left"/>
              <w:rPr>
                <w:szCs w:val="21"/>
              </w:rPr>
            </w:pPr>
            <w:r>
              <w:rPr>
                <w:szCs w:val="21"/>
              </w:rPr>
              <w:t>P2</w:t>
            </w:r>
            <w:r>
              <w:rPr>
                <w:rFonts w:hint="eastAsia" w:ascii="宋体" w:hAnsi="宋体"/>
                <w:szCs w:val="21"/>
              </w:rPr>
              <w:t>：安防和监控系统供电负荷（</w:t>
            </w:r>
            <w:r>
              <w:rPr>
                <w:szCs w:val="21"/>
              </w:rPr>
              <w:t>kW</w:t>
            </w:r>
            <w:r>
              <w:rPr>
                <w:rFonts w:hint="eastAsia"/>
                <w:szCs w:val="21"/>
              </w:rPr>
              <w:t>）</w:t>
            </w:r>
          </w:p>
        </w:tc>
        <w:tc>
          <w:tcPr>
            <w:tcW w:w="3572" w:type="pct"/>
            <w:gridSpan w:val="5"/>
            <w:noWrap/>
            <w:vAlign w:val="center"/>
          </w:tcPr>
          <w:p>
            <w:pPr>
              <w:widowControl/>
              <w:jc w:val="center"/>
              <w:rPr>
                <w:rFonts w:ascii="宋体" w:hAnsi="宋体"/>
                <w:szCs w:val="21"/>
              </w:rPr>
            </w:pPr>
            <w:r>
              <w:rPr>
                <w:rFonts w:hint="eastAsia" w:ascii="宋体" w:hAnsi="宋体"/>
                <w:szCs w:val="21"/>
              </w:rPr>
              <w:t>按</w:t>
            </w:r>
            <w:r>
              <w:rPr>
                <w:szCs w:val="21"/>
              </w:rPr>
              <w:t>IT</w:t>
            </w:r>
            <w:r>
              <w:rPr>
                <w:rFonts w:hint="eastAsia" w:ascii="宋体" w:hAnsi="宋体"/>
                <w:szCs w:val="21"/>
              </w:rPr>
              <w:t>设备用电负荷</w:t>
            </w:r>
            <w:r>
              <w:rPr>
                <w:szCs w:val="21"/>
              </w:rPr>
              <w:t>2%</w:t>
            </w:r>
          </w:p>
        </w:tc>
        <w:tc>
          <w:tcPr>
            <w:tcW w:w="589" w:type="pct"/>
            <w:noWrap/>
            <w:vAlign w:val="center"/>
          </w:tcPr>
          <w:p>
            <w:pPr>
              <w:widowControl/>
              <w:jc w:val="center"/>
              <w:rPr>
                <w:szCs w:val="21"/>
              </w:rPr>
            </w:pPr>
            <w:r>
              <w:rPr>
                <w:rFonts w:hint="eastAsia"/>
                <w:szCs w:val="21"/>
              </w:rPr>
              <w:t>10.92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37" w:type="pct"/>
            <w:vAlign w:val="center"/>
          </w:tcPr>
          <w:p>
            <w:pPr>
              <w:widowControl/>
              <w:jc w:val="left"/>
              <w:rPr>
                <w:szCs w:val="21"/>
              </w:rPr>
            </w:pPr>
            <w:r>
              <w:rPr>
                <w:szCs w:val="21"/>
              </w:rPr>
              <w:t>P3</w:t>
            </w:r>
            <w:r>
              <w:rPr>
                <w:rFonts w:hint="eastAsia" w:ascii="宋体" w:hAnsi="宋体"/>
                <w:szCs w:val="21"/>
              </w:rPr>
              <w:t>：照明系统用电负荷（</w:t>
            </w:r>
            <w:r>
              <w:rPr>
                <w:szCs w:val="21"/>
              </w:rPr>
              <w:t>kW</w:t>
            </w:r>
            <w:r>
              <w:rPr>
                <w:rFonts w:hint="eastAsia"/>
                <w:szCs w:val="21"/>
              </w:rPr>
              <w:t>）</w:t>
            </w:r>
          </w:p>
        </w:tc>
        <w:tc>
          <w:tcPr>
            <w:tcW w:w="918" w:type="pct"/>
            <w:vAlign w:val="center"/>
          </w:tcPr>
          <w:p>
            <w:pPr>
              <w:widowControl/>
              <w:jc w:val="left"/>
              <w:rPr>
                <w:rFonts w:ascii="宋体" w:hAnsi="宋体"/>
                <w:szCs w:val="21"/>
              </w:rPr>
            </w:pPr>
            <w:r>
              <w:rPr>
                <w:rFonts w:hint="eastAsia" w:ascii="宋体" w:hAnsi="宋体"/>
                <w:szCs w:val="21"/>
              </w:rPr>
              <w:t>机房规划总面积：㎡</w:t>
            </w:r>
          </w:p>
        </w:tc>
        <w:tc>
          <w:tcPr>
            <w:tcW w:w="536" w:type="pct"/>
            <w:noWrap/>
            <w:vAlign w:val="center"/>
          </w:tcPr>
          <w:p>
            <w:pPr>
              <w:widowControl/>
              <w:jc w:val="center"/>
              <w:rPr>
                <w:rFonts w:ascii="宋体" w:hAnsi="宋体"/>
                <w:szCs w:val="21"/>
              </w:rPr>
            </w:pPr>
            <w:r>
              <w:rPr>
                <w:rFonts w:hint="eastAsia" w:ascii="宋体" w:hAnsi="宋体"/>
                <w:szCs w:val="21"/>
              </w:rPr>
              <w:t>约</w:t>
            </w:r>
            <w:r>
              <w:rPr>
                <w:szCs w:val="21"/>
              </w:rPr>
              <w:t xml:space="preserve"> </w:t>
            </w:r>
            <w:r>
              <w:rPr>
                <w:rFonts w:hint="eastAsia"/>
                <w:szCs w:val="21"/>
              </w:rPr>
              <w:t>434</w:t>
            </w:r>
          </w:p>
        </w:tc>
        <w:tc>
          <w:tcPr>
            <w:tcW w:w="536" w:type="pct"/>
            <w:vAlign w:val="center"/>
          </w:tcPr>
          <w:p>
            <w:pPr>
              <w:widowControl/>
              <w:jc w:val="left"/>
              <w:rPr>
                <w:rFonts w:ascii="宋体" w:hAnsi="宋体"/>
                <w:szCs w:val="21"/>
              </w:rPr>
            </w:pPr>
            <w:r>
              <w:rPr>
                <w:rFonts w:hint="eastAsia" w:ascii="宋体" w:hAnsi="宋体"/>
                <w:szCs w:val="21"/>
              </w:rPr>
              <w:t>单位面积照明功率：</w:t>
            </w:r>
            <w:r>
              <w:rPr>
                <w:szCs w:val="21"/>
              </w:rPr>
              <w:t>W/m2</w:t>
            </w:r>
          </w:p>
        </w:tc>
        <w:tc>
          <w:tcPr>
            <w:tcW w:w="1580" w:type="pct"/>
            <w:gridSpan w:val="2"/>
            <w:noWrap/>
            <w:vAlign w:val="center"/>
          </w:tcPr>
          <w:p>
            <w:pPr>
              <w:widowControl/>
              <w:jc w:val="center"/>
              <w:rPr>
                <w:szCs w:val="21"/>
              </w:rPr>
            </w:pPr>
            <w:r>
              <w:rPr>
                <w:szCs w:val="21"/>
              </w:rPr>
              <w:t>20</w:t>
            </w:r>
          </w:p>
        </w:tc>
        <w:tc>
          <w:tcPr>
            <w:tcW w:w="589" w:type="pct"/>
            <w:noWrap/>
            <w:vAlign w:val="center"/>
          </w:tcPr>
          <w:p>
            <w:pPr>
              <w:widowControl/>
              <w:jc w:val="center"/>
              <w:rPr>
                <w:szCs w:val="21"/>
              </w:rPr>
            </w:pPr>
            <w:r>
              <w:rPr>
                <w:rFonts w:hint="eastAsia"/>
                <w:szCs w:val="21"/>
              </w:rP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37" w:type="pct"/>
            <w:vAlign w:val="center"/>
          </w:tcPr>
          <w:p>
            <w:pPr>
              <w:widowControl/>
              <w:jc w:val="left"/>
              <w:rPr>
                <w:szCs w:val="21"/>
              </w:rPr>
            </w:pPr>
            <w:r>
              <w:rPr>
                <w:szCs w:val="21"/>
              </w:rPr>
              <w:t>P4</w:t>
            </w:r>
            <w:r>
              <w:rPr>
                <w:rFonts w:hint="eastAsia" w:ascii="宋体" w:hAnsi="宋体"/>
                <w:szCs w:val="21"/>
              </w:rPr>
              <w:t>：应急照明用电负荷（</w:t>
            </w:r>
            <w:r>
              <w:rPr>
                <w:szCs w:val="21"/>
              </w:rPr>
              <w:t>kW</w:t>
            </w:r>
            <w:r>
              <w:rPr>
                <w:rFonts w:hint="eastAsia"/>
                <w:szCs w:val="21"/>
              </w:rPr>
              <w:t>）</w:t>
            </w:r>
          </w:p>
        </w:tc>
        <w:tc>
          <w:tcPr>
            <w:tcW w:w="3572" w:type="pct"/>
            <w:gridSpan w:val="5"/>
            <w:vAlign w:val="center"/>
          </w:tcPr>
          <w:p>
            <w:pPr>
              <w:widowControl/>
              <w:jc w:val="center"/>
              <w:rPr>
                <w:rFonts w:ascii="宋体" w:hAnsi="宋体"/>
                <w:szCs w:val="21"/>
              </w:rPr>
            </w:pPr>
            <w:r>
              <w:rPr>
                <w:rFonts w:hint="eastAsia" w:ascii="宋体" w:hAnsi="宋体"/>
                <w:szCs w:val="21"/>
              </w:rPr>
              <w:t>按照明系统</w:t>
            </w:r>
            <w:r>
              <w:rPr>
                <w:szCs w:val="21"/>
              </w:rPr>
              <w:t>0.2</w:t>
            </w:r>
            <w:r>
              <w:rPr>
                <w:rFonts w:hint="eastAsia" w:ascii="宋体" w:hAnsi="宋体"/>
                <w:szCs w:val="21"/>
              </w:rPr>
              <w:t>系数规划</w:t>
            </w:r>
          </w:p>
        </w:tc>
        <w:tc>
          <w:tcPr>
            <w:tcW w:w="589" w:type="pct"/>
            <w:noWrap/>
            <w:vAlign w:val="center"/>
          </w:tcPr>
          <w:p>
            <w:pPr>
              <w:widowControl/>
              <w:jc w:val="center"/>
              <w:rPr>
                <w:szCs w:val="21"/>
              </w:rPr>
            </w:pPr>
            <w:r>
              <w:rPr>
                <w:szCs w:val="21"/>
              </w:rPr>
              <w:t>1.</w:t>
            </w:r>
            <w:r>
              <w:rPr>
                <w:rFonts w:hint="eastAsia"/>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37" w:type="pct"/>
            <w:vAlign w:val="center"/>
          </w:tcPr>
          <w:p>
            <w:pPr>
              <w:widowControl/>
              <w:jc w:val="left"/>
              <w:rPr>
                <w:szCs w:val="21"/>
              </w:rPr>
            </w:pPr>
            <w:r>
              <w:rPr>
                <w:szCs w:val="21"/>
              </w:rPr>
              <w:t>P5</w:t>
            </w:r>
            <w:r>
              <w:rPr>
                <w:rFonts w:hint="eastAsia" w:ascii="宋体" w:hAnsi="宋体"/>
                <w:szCs w:val="21"/>
              </w:rPr>
              <w:t>：</w:t>
            </w:r>
            <w:r>
              <w:rPr>
                <w:szCs w:val="21"/>
              </w:rPr>
              <w:t>UPS</w:t>
            </w:r>
            <w:r>
              <w:rPr>
                <w:rFonts w:hint="eastAsia" w:ascii="宋体" w:hAnsi="宋体"/>
                <w:szCs w:val="21"/>
              </w:rPr>
              <w:t>带载负荷（</w:t>
            </w:r>
            <w:r>
              <w:rPr>
                <w:szCs w:val="21"/>
              </w:rPr>
              <w:t>kW</w:t>
            </w:r>
            <w:r>
              <w:rPr>
                <w:rFonts w:hint="eastAsia"/>
                <w:szCs w:val="21"/>
              </w:rPr>
              <w:t>）</w:t>
            </w:r>
          </w:p>
        </w:tc>
        <w:tc>
          <w:tcPr>
            <w:tcW w:w="3572" w:type="pct"/>
            <w:gridSpan w:val="5"/>
            <w:vAlign w:val="center"/>
          </w:tcPr>
          <w:p>
            <w:pPr>
              <w:widowControl/>
              <w:jc w:val="center"/>
              <w:rPr>
                <w:szCs w:val="21"/>
              </w:rPr>
            </w:pPr>
            <w:r>
              <w:rPr>
                <w:szCs w:val="21"/>
              </w:rPr>
              <w:t>P5=P1+P2+P4</w:t>
            </w:r>
          </w:p>
        </w:tc>
        <w:tc>
          <w:tcPr>
            <w:tcW w:w="589" w:type="pct"/>
            <w:noWrap/>
            <w:vAlign w:val="center"/>
          </w:tcPr>
          <w:p>
            <w:pPr>
              <w:widowControl/>
              <w:jc w:val="center"/>
              <w:rPr>
                <w:szCs w:val="21"/>
              </w:rPr>
            </w:pPr>
            <w:r>
              <w:rPr>
                <w:rFonts w:hint="eastAsia"/>
                <w:szCs w:val="21"/>
              </w:rPr>
              <w:t>558.66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37" w:type="pct"/>
            <w:vAlign w:val="center"/>
          </w:tcPr>
          <w:p>
            <w:pPr>
              <w:widowControl/>
              <w:jc w:val="left"/>
              <w:rPr>
                <w:szCs w:val="21"/>
              </w:rPr>
            </w:pPr>
            <w:r>
              <w:rPr>
                <w:szCs w:val="21"/>
              </w:rPr>
              <w:t>P6</w:t>
            </w:r>
            <w:r>
              <w:rPr>
                <w:rFonts w:hint="eastAsia" w:ascii="宋体" w:hAnsi="宋体"/>
                <w:szCs w:val="21"/>
              </w:rPr>
              <w:t>：</w:t>
            </w:r>
            <w:r>
              <w:rPr>
                <w:szCs w:val="21"/>
              </w:rPr>
              <w:t>UPS</w:t>
            </w:r>
            <w:r>
              <w:rPr>
                <w:rFonts w:hint="eastAsia" w:ascii="宋体" w:hAnsi="宋体"/>
                <w:szCs w:val="21"/>
              </w:rPr>
              <w:t>总容量（</w:t>
            </w:r>
            <w:r>
              <w:rPr>
                <w:szCs w:val="21"/>
              </w:rPr>
              <w:t>kVA</w:t>
            </w:r>
            <w:r>
              <w:rPr>
                <w:rFonts w:hint="eastAsia"/>
                <w:szCs w:val="21"/>
              </w:rPr>
              <w:t>）</w:t>
            </w:r>
          </w:p>
        </w:tc>
        <w:tc>
          <w:tcPr>
            <w:tcW w:w="3572" w:type="pct"/>
            <w:gridSpan w:val="5"/>
            <w:vAlign w:val="center"/>
          </w:tcPr>
          <w:p>
            <w:pPr>
              <w:widowControl/>
              <w:jc w:val="center"/>
              <w:rPr>
                <w:szCs w:val="21"/>
              </w:rPr>
            </w:pPr>
            <w:r>
              <w:rPr>
                <w:szCs w:val="21"/>
              </w:rPr>
              <w:t>P6=P5/</w:t>
            </w:r>
            <w:r>
              <w:rPr>
                <w:rFonts w:hint="eastAsia" w:ascii="宋体" w:hAnsi="宋体"/>
                <w:szCs w:val="21"/>
              </w:rPr>
              <w:t>负载率（</w:t>
            </w:r>
            <w:r>
              <w:rPr>
                <w:szCs w:val="21"/>
              </w:rPr>
              <w:t xml:space="preserve">0.95) / </w:t>
            </w:r>
            <w:r>
              <w:rPr>
                <w:rFonts w:hint="eastAsia" w:ascii="宋体" w:hAnsi="宋体"/>
                <w:szCs w:val="21"/>
              </w:rPr>
              <w:t>功率因数（</w:t>
            </w:r>
            <w:r>
              <w:rPr>
                <w:szCs w:val="21"/>
              </w:rPr>
              <w:t>1) * 1.2</w:t>
            </w:r>
          </w:p>
        </w:tc>
        <w:tc>
          <w:tcPr>
            <w:tcW w:w="589" w:type="pct"/>
            <w:noWrap/>
            <w:vAlign w:val="center"/>
          </w:tcPr>
          <w:p>
            <w:pPr>
              <w:widowControl/>
              <w:jc w:val="center"/>
              <w:rPr>
                <w:szCs w:val="21"/>
              </w:rPr>
            </w:pPr>
            <w:r>
              <w:rPr>
                <w:rFonts w:hint="eastAsia"/>
                <w:szCs w:val="21"/>
              </w:rPr>
              <w:t>705.68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37" w:type="pct"/>
            <w:vAlign w:val="center"/>
          </w:tcPr>
          <w:p>
            <w:pPr>
              <w:widowControl/>
              <w:jc w:val="left"/>
              <w:rPr>
                <w:szCs w:val="21"/>
              </w:rPr>
            </w:pPr>
            <w:r>
              <w:rPr>
                <w:szCs w:val="21"/>
              </w:rPr>
              <w:t>P7</w:t>
            </w:r>
            <w:r>
              <w:rPr>
                <w:rFonts w:hint="eastAsia" w:ascii="宋体" w:hAnsi="宋体"/>
                <w:szCs w:val="21"/>
              </w:rPr>
              <w:t>：制冷系统用电负荷（</w:t>
            </w:r>
            <w:r>
              <w:rPr>
                <w:szCs w:val="21"/>
              </w:rPr>
              <w:t>kW</w:t>
            </w:r>
            <w:r>
              <w:rPr>
                <w:rFonts w:hint="eastAsia"/>
                <w:szCs w:val="21"/>
              </w:rPr>
              <w:t>）</w:t>
            </w:r>
          </w:p>
        </w:tc>
        <w:tc>
          <w:tcPr>
            <w:tcW w:w="3572" w:type="pct"/>
            <w:gridSpan w:val="5"/>
            <w:vAlign w:val="center"/>
          </w:tcPr>
          <w:p>
            <w:pPr>
              <w:widowControl/>
              <w:jc w:val="center"/>
              <w:rPr>
                <w:rFonts w:ascii="宋体" w:hAnsi="宋体"/>
                <w:szCs w:val="21"/>
              </w:rPr>
            </w:pPr>
            <w:r>
              <w:rPr>
                <w:rFonts w:hint="eastAsia" w:ascii="宋体" w:hAnsi="宋体"/>
                <w:szCs w:val="21"/>
              </w:rPr>
              <w:t>空调电功率</w:t>
            </w:r>
            <w:r>
              <w:rPr>
                <w:szCs w:val="21"/>
              </w:rPr>
              <w:t>+</w:t>
            </w:r>
            <w:r>
              <w:rPr>
                <w:rFonts w:hint="eastAsia" w:ascii="宋体" w:hAnsi="宋体"/>
                <w:szCs w:val="21"/>
              </w:rPr>
              <w:t>动力电功率（按</w:t>
            </w:r>
            <w:r>
              <w:rPr>
                <w:szCs w:val="21"/>
              </w:rPr>
              <w:t>PUE</w:t>
            </w:r>
            <w:r>
              <w:rPr>
                <w:rFonts w:hint="eastAsia" w:ascii="宋体" w:hAnsi="宋体"/>
                <w:szCs w:val="21"/>
              </w:rPr>
              <w:t>值</w:t>
            </w:r>
            <w:r>
              <w:rPr>
                <w:szCs w:val="21"/>
              </w:rPr>
              <w:t>1.4</w:t>
            </w:r>
            <w:r>
              <w:rPr>
                <w:rFonts w:hint="eastAsia" w:ascii="宋体" w:hAnsi="宋体"/>
                <w:szCs w:val="21"/>
              </w:rPr>
              <w:t>计算）</w:t>
            </w:r>
          </w:p>
        </w:tc>
        <w:tc>
          <w:tcPr>
            <w:tcW w:w="589" w:type="pct"/>
            <w:noWrap/>
            <w:vAlign w:val="center"/>
          </w:tcPr>
          <w:p>
            <w:pPr>
              <w:widowControl/>
              <w:jc w:val="center"/>
              <w:rPr>
                <w:szCs w:val="21"/>
              </w:rPr>
            </w:pPr>
            <w:r>
              <w:rPr>
                <w:rFonts w:hint="eastAsia"/>
                <w:szCs w:val="21"/>
              </w:rPr>
              <w:t>339.4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37" w:type="pct"/>
            <w:vAlign w:val="center"/>
          </w:tcPr>
          <w:p>
            <w:pPr>
              <w:widowControl/>
              <w:jc w:val="left"/>
              <w:rPr>
                <w:szCs w:val="21"/>
              </w:rPr>
            </w:pPr>
            <w:r>
              <w:rPr>
                <w:szCs w:val="21"/>
              </w:rPr>
              <w:t>P8</w:t>
            </w:r>
            <w:r>
              <w:rPr>
                <w:rFonts w:hint="eastAsia" w:ascii="宋体" w:hAnsi="宋体"/>
                <w:szCs w:val="21"/>
              </w:rPr>
              <w:t>：供配电总用电负荷（</w:t>
            </w:r>
            <w:r>
              <w:rPr>
                <w:szCs w:val="21"/>
              </w:rPr>
              <w:t>kW</w:t>
            </w:r>
            <w:r>
              <w:rPr>
                <w:rFonts w:hint="eastAsia"/>
                <w:szCs w:val="21"/>
              </w:rPr>
              <w:t>）</w:t>
            </w:r>
          </w:p>
        </w:tc>
        <w:tc>
          <w:tcPr>
            <w:tcW w:w="3572" w:type="pct"/>
            <w:gridSpan w:val="5"/>
            <w:vAlign w:val="center"/>
          </w:tcPr>
          <w:p>
            <w:pPr>
              <w:widowControl/>
              <w:jc w:val="center"/>
              <w:rPr>
                <w:szCs w:val="21"/>
              </w:rPr>
            </w:pPr>
            <w:r>
              <w:rPr>
                <w:szCs w:val="21"/>
              </w:rPr>
              <w:t>P8=P3+P5*1.15</w:t>
            </w:r>
            <w:r>
              <w:rPr>
                <w:rFonts w:hint="eastAsia" w:ascii="宋体" w:hAnsi="宋体"/>
                <w:szCs w:val="21"/>
              </w:rPr>
              <w:t>（</w:t>
            </w:r>
            <w:r>
              <w:rPr>
                <w:szCs w:val="21"/>
              </w:rPr>
              <w:t>15%</w:t>
            </w:r>
            <w:r>
              <w:rPr>
                <w:rFonts w:hint="eastAsia" w:ascii="宋体" w:hAnsi="宋体"/>
                <w:szCs w:val="21"/>
              </w:rPr>
              <w:t>为电池充电负荷）</w:t>
            </w:r>
            <w:r>
              <w:rPr>
                <w:szCs w:val="21"/>
              </w:rPr>
              <w:t>+P7</w:t>
            </w:r>
          </w:p>
        </w:tc>
        <w:tc>
          <w:tcPr>
            <w:tcW w:w="589" w:type="pct"/>
            <w:noWrap/>
            <w:vAlign w:val="center"/>
          </w:tcPr>
          <w:p>
            <w:pPr>
              <w:widowControl/>
              <w:jc w:val="center"/>
              <w:rPr>
                <w:szCs w:val="21"/>
              </w:rPr>
            </w:pPr>
            <w:r>
              <w:rPr>
                <w:rFonts w:hint="eastAsia"/>
                <w:szCs w:val="21"/>
              </w:rPr>
              <w:t>990.55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37" w:type="pct"/>
            <w:vAlign w:val="center"/>
          </w:tcPr>
          <w:p>
            <w:pPr>
              <w:widowControl/>
              <w:jc w:val="left"/>
              <w:rPr>
                <w:szCs w:val="21"/>
              </w:rPr>
            </w:pPr>
            <w:r>
              <w:rPr>
                <w:szCs w:val="21"/>
              </w:rPr>
              <w:t>P9</w:t>
            </w:r>
            <w:r>
              <w:rPr>
                <w:rFonts w:hint="eastAsia" w:ascii="宋体" w:hAnsi="宋体"/>
                <w:szCs w:val="21"/>
              </w:rPr>
              <w:t>：电力引入总容量（</w:t>
            </w:r>
            <w:r>
              <w:rPr>
                <w:szCs w:val="21"/>
              </w:rPr>
              <w:t>kVA</w:t>
            </w:r>
            <w:r>
              <w:rPr>
                <w:rFonts w:hint="eastAsia"/>
                <w:szCs w:val="21"/>
              </w:rPr>
              <w:t>）</w:t>
            </w:r>
          </w:p>
        </w:tc>
        <w:tc>
          <w:tcPr>
            <w:tcW w:w="3572" w:type="pct"/>
            <w:gridSpan w:val="5"/>
            <w:vAlign w:val="center"/>
          </w:tcPr>
          <w:p>
            <w:pPr>
              <w:widowControl/>
              <w:jc w:val="center"/>
              <w:rPr>
                <w:szCs w:val="21"/>
              </w:rPr>
            </w:pPr>
            <w:r>
              <w:rPr>
                <w:szCs w:val="21"/>
              </w:rPr>
              <w:t>P9=P8*1.15</w:t>
            </w:r>
            <w:r>
              <w:rPr>
                <w:rFonts w:hint="eastAsia" w:ascii="宋体" w:hAnsi="宋体"/>
                <w:szCs w:val="21"/>
              </w:rPr>
              <w:t>（变压器冗余系数）</w:t>
            </w:r>
            <w:r>
              <w:rPr>
                <w:szCs w:val="21"/>
              </w:rPr>
              <w:t>/0.95</w:t>
            </w:r>
            <w:r>
              <w:rPr>
                <w:rFonts w:hint="eastAsia" w:ascii="宋体" w:hAnsi="宋体"/>
                <w:szCs w:val="21"/>
              </w:rPr>
              <w:t>（变压器功=率因数）</w:t>
            </w:r>
          </w:p>
        </w:tc>
        <w:tc>
          <w:tcPr>
            <w:tcW w:w="589" w:type="pct"/>
            <w:noWrap/>
            <w:vAlign w:val="center"/>
          </w:tcPr>
          <w:p>
            <w:pPr>
              <w:widowControl/>
              <w:jc w:val="center"/>
              <w:rPr>
                <w:szCs w:val="21"/>
              </w:rPr>
            </w:pPr>
            <w:r>
              <w:rPr>
                <w:rFonts w:hint="eastAsia"/>
                <w:szCs w:val="21"/>
              </w:rPr>
              <w:t>1199.09</w:t>
            </w:r>
          </w:p>
          <w:p>
            <w:pPr>
              <w:widowControl/>
              <w:jc w:val="center"/>
              <w:rPr>
                <w:szCs w:val="21"/>
              </w:rPr>
            </w:pPr>
          </w:p>
        </w:tc>
      </w:tr>
    </w:tbl>
    <w:p>
      <w:pPr>
        <w:autoSpaceDE w:val="0"/>
        <w:autoSpaceDN w:val="0"/>
        <w:ind w:left="972" w:right="733" w:firstLine="420"/>
        <w:jc w:val="center"/>
        <w:rPr>
          <w:rFonts w:ascii="宋体" w:hAnsi="宋体"/>
          <w:szCs w:val="22"/>
          <w:lang w:bidi="ar"/>
        </w:rPr>
      </w:pPr>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由以上规划表可得，UPS 实际常载下的总容量约为558.66KVA，考虑其最大的运行工况，本次采用 2N 配电架构，配置 2 台600KVA 模块化 UPS 主机，共配置24个 50KVA 的功率模块。</w:t>
      </w:r>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电力引入总容量为1200KVA的两路市电。</w:t>
      </w:r>
    </w:p>
    <w:p>
      <w:pPr>
        <w:pStyle w:val="3"/>
        <w:spacing w:before="240"/>
      </w:pPr>
      <w:r>
        <w:rPr>
          <w:rFonts w:hint="eastAsia"/>
        </w:rPr>
        <w:t>机房配电系统设计</w:t>
      </w:r>
    </w:p>
    <w:p>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机房市电供配电系统图如下：</w:t>
      </w:r>
    </w:p>
    <w:p>
      <w:pPr>
        <w:pStyle w:val="37"/>
        <w:autoSpaceDE w:val="0"/>
        <w:autoSpaceDN w:val="0"/>
        <w:spacing w:before="31" w:after="31" w:line="436" w:lineRule="auto"/>
        <w:ind w:left="533" w:leftChars="254" w:right="256" w:rightChars="122" w:firstLine="480"/>
        <w:jc w:val="center"/>
      </w:pPr>
      <w:r>
        <w:drawing>
          <wp:inline distT="0" distB="0" distL="114300" distR="114300">
            <wp:extent cx="5267960" cy="4047490"/>
            <wp:effectExtent l="0" t="0" r="2540" b="381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
                    <a:stretch>
                      <a:fillRect/>
                    </a:stretch>
                  </pic:blipFill>
                  <pic:spPr>
                    <a:xfrm>
                      <a:off x="0" y="0"/>
                      <a:ext cx="5267960" cy="4047490"/>
                    </a:xfrm>
                    <a:prstGeom prst="rect">
                      <a:avLst/>
                    </a:prstGeom>
                    <a:noFill/>
                    <a:ln>
                      <a:noFill/>
                    </a:ln>
                  </pic:spPr>
                </pic:pic>
              </a:graphicData>
            </a:graphic>
          </wp:inline>
        </w:drawing>
      </w:r>
      <w:r>
        <w:rPr>
          <w:rFonts w:hint="eastAsia"/>
          <w:lang w:bidi="ar"/>
        </w:rPr>
        <w:t xml:space="preserve"> </w:t>
      </w:r>
      <w:r>
        <w:drawing>
          <wp:inline distT="0" distB="0" distL="114300" distR="114300">
            <wp:extent cx="5271770" cy="3987800"/>
            <wp:effectExtent l="0" t="0" r="1143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6"/>
                    <a:stretch>
                      <a:fillRect/>
                    </a:stretch>
                  </pic:blipFill>
                  <pic:spPr>
                    <a:xfrm>
                      <a:off x="0" y="0"/>
                      <a:ext cx="5271770" cy="3987800"/>
                    </a:xfrm>
                    <a:prstGeom prst="rect">
                      <a:avLst/>
                    </a:prstGeom>
                    <a:noFill/>
                    <a:ln>
                      <a:noFill/>
                    </a:ln>
                  </pic:spPr>
                </pic:pic>
              </a:graphicData>
            </a:graphic>
          </wp:inline>
        </w:drawing>
      </w:r>
    </w:p>
    <w:p>
      <w:pPr>
        <w:autoSpaceDE w:val="0"/>
        <w:autoSpaceDN w:val="0"/>
        <w:spacing w:before="77" w:line="436" w:lineRule="auto"/>
        <w:ind w:left="969" w:right="733" w:firstLine="420"/>
        <w:jc w:val="center"/>
        <w:rPr>
          <w:szCs w:val="21"/>
        </w:rPr>
      </w:pPr>
      <w:r>
        <w:rPr>
          <w:rFonts w:hint="eastAsia" w:ascii="宋体" w:hAnsi="宋体"/>
          <w:szCs w:val="21"/>
          <w:lang w:bidi="ar"/>
        </w:rPr>
        <w:t>机房市电供配电系统图</w:t>
      </w:r>
    </w:p>
    <w:p>
      <w:pPr>
        <w:numPr>
          <w:ilvl w:val="0"/>
          <w:numId w:val="3"/>
        </w:numPr>
        <w:spacing w:before="156" w:beforeLines="50" w:after="156" w:afterLines="50"/>
        <w:ind w:firstLine="480"/>
        <w:rPr>
          <w:sz w:val="28"/>
          <w:szCs w:val="28"/>
        </w:rPr>
      </w:pPr>
      <w:r>
        <w:rPr>
          <w:rFonts w:hint="eastAsia"/>
          <w:sz w:val="28"/>
          <w:szCs w:val="28"/>
        </w:rPr>
        <w:t>机房市电配电柜1、UPS配电柜1系统图如下：</w:t>
      </w:r>
    </w:p>
    <w:p>
      <w:pPr>
        <w:pStyle w:val="37"/>
        <w:autoSpaceDE w:val="0"/>
        <w:autoSpaceDN w:val="0"/>
        <w:spacing w:before="31" w:after="31" w:line="436" w:lineRule="auto"/>
        <w:ind w:left="533" w:leftChars="254" w:right="256" w:rightChars="122" w:firstLine="480"/>
        <w:rPr>
          <w:spacing w:val="8"/>
        </w:rPr>
      </w:pPr>
      <w:r>
        <w:drawing>
          <wp:inline distT="0" distB="0" distL="114300" distR="114300">
            <wp:extent cx="5273675" cy="5158740"/>
            <wp:effectExtent l="0" t="0" r="9525" b="1016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7"/>
                    <a:stretch>
                      <a:fillRect/>
                    </a:stretch>
                  </pic:blipFill>
                  <pic:spPr>
                    <a:xfrm>
                      <a:off x="0" y="0"/>
                      <a:ext cx="5273675" cy="5158740"/>
                    </a:xfrm>
                    <a:prstGeom prst="rect">
                      <a:avLst/>
                    </a:prstGeom>
                    <a:noFill/>
                    <a:ln>
                      <a:noFill/>
                    </a:ln>
                  </pic:spPr>
                </pic:pic>
              </a:graphicData>
            </a:graphic>
          </wp:inline>
        </w:drawing>
      </w:r>
    </w:p>
    <w:p>
      <w:pPr>
        <w:pStyle w:val="37"/>
        <w:autoSpaceDE w:val="0"/>
        <w:autoSpaceDN w:val="0"/>
        <w:spacing w:before="31" w:after="31" w:line="436" w:lineRule="auto"/>
        <w:ind w:left="533" w:leftChars="254" w:right="256" w:rightChars="122" w:firstLine="512"/>
        <w:rPr>
          <w:spacing w:val="8"/>
        </w:rPr>
      </w:pPr>
    </w:p>
    <w:p>
      <w:pPr>
        <w:autoSpaceDE w:val="0"/>
        <w:autoSpaceDN w:val="0"/>
        <w:spacing w:before="77" w:line="436" w:lineRule="auto"/>
        <w:ind w:left="969" w:right="733" w:firstLine="420"/>
        <w:jc w:val="center"/>
        <w:rPr>
          <w:szCs w:val="21"/>
        </w:rPr>
      </w:pPr>
      <w:r>
        <w:rPr>
          <w:rFonts w:hint="eastAsia" w:ascii="宋体" w:hAnsi="宋体"/>
          <w:szCs w:val="21"/>
          <w:lang w:bidi="ar"/>
        </w:rPr>
        <w:t>机房市电配电柜1、UPS配电柜1系统图</w:t>
      </w:r>
    </w:p>
    <w:p>
      <w:pPr>
        <w:widowControl/>
        <w:autoSpaceDN w:val="0"/>
        <w:ind w:firstLine="472"/>
        <w:jc w:val="left"/>
        <w:rPr>
          <w:sz w:val="28"/>
          <w:szCs w:val="28"/>
        </w:rPr>
      </w:pPr>
      <w:r>
        <w:rPr>
          <w:rFonts w:hint="eastAsia" w:ascii="宋体" w:hAnsi="宋体"/>
          <w:spacing w:val="8"/>
          <w:sz w:val="22"/>
          <w:szCs w:val="22"/>
          <w:lang w:bidi="ar"/>
        </w:rPr>
        <w:br w:type="page"/>
      </w:r>
      <w:r>
        <w:rPr>
          <w:rFonts w:hint="eastAsia"/>
          <w:sz w:val="28"/>
          <w:szCs w:val="28"/>
        </w:rPr>
        <w:t>机房市电配电柜2、UPS配电柜2系统图如下：</w:t>
      </w:r>
    </w:p>
    <w:p>
      <w:pPr>
        <w:pStyle w:val="37"/>
        <w:autoSpaceDE w:val="0"/>
        <w:autoSpaceDN w:val="0"/>
        <w:spacing w:before="31" w:after="31" w:line="436" w:lineRule="auto"/>
        <w:ind w:left="533" w:leftChars="254" w:right="256" w:rightChars="122" w:firstLine="480"/>
        <w:rPr>
          <w:spacing w:val="8"/>
        </w:rPr>
      </w:pPr>
      <w:r>
        <w:drawing>
          <wp:inline distT="0" distB="0" distL="114300" distR="114300">
            <wp:extent cx="5272405" cy="5177155"/>
            <wp:effectExtent l="0" t="0" r="10795" b="444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8"/>
                    <a:stretch>
                      <a:fillRect/>
                    </a:stretch>
                  </pic:blipFill>
                  <pic:spPr>
                    <a:xfrm>
                      <a:off x="0" y="0"/>
                      <a:ext cx="5272405" cy="5177155"/>
                    </a:xfrm>
                    <a:prstGeom prst="rect">
                      <a:avLst/>
                    </a:prstGeom>
                    <a:noFill/>
                    <a:ln>
                      <a:noFill/>
                    </a:ln>
                  </pic:spPr>
                </pic:pic>
              </a:graphicData>
            </a:graphic>
          </wp:inline>
        </w:drawing>
      </w:r>
    </w:p>
    <w:p>
      <w:pPr>
        <w:pStyle w:val="37"/>
        <w:autoSpaceDE w:val="0"/>
        <w:autoSpaceDN w:val="0"/>
        <w:spacing w:before="31" w:after="31" w:line="436" w:lineRule="auto"/>
        <w:ind w:left="533" w:leftChars="254" w:right="256" w:rightChars="122" w:firstLine="512"/>
        <w:rPr>
          <w:spacing w:val="8"/>
        </w:rPr>
      </w:pPr>
    </w:p>
    <w:p>
      <w:pPr>
        <w:autoSpaceDE w:val="0"/>
        <w:autoSpaceDN w:val="0"/>
        <w:spacing w:before="77" w:line="436" w:lineRule="auto"/>
        <w:ind w:left="969" w:right="733" w:firstLine="420"/>
        <w:jc w:val="center"/>
        <w:rPr>
          <w:szCs w:val="21"/>
        </w:rPr>
      </w:pPr>
      <w:r>
        <w:rPr>
          <w:rFonts w:hint="eastAsia" w:ascii="宋体" w:hAnsi="宋体"/>
          <w:szCs w:val="21"/>
          <w:lang w:bidi="ar"/>
        </w:rPr>
        <w:t>机房市电配电柜2、UPS配电柜2系统图</w:t>
      </w:r>
    </w:p>
    <w:p>
      <w:pPr>
        <w:widowControl/>
        <w:autoSpaceDN w:val="0"/>
        <w:ind w:firstLine="472"/>
        <w:jc w:val="left"/>
        <w:rPr>
          <w:spacing w:val="8"/>
        </w:rPr>
      </w:pPr>
      <w:r>
        <w:rPr>
          <w:rFonts w:hint="eastAsia" w:ascii="宋体" w:hAnsi="宋体"/>
          <w:spacing w:val="8"/>
          <w:sz w:val="22"/>
          <w:szCs w:val="22"/>
          <w:lang w:bidi="ar"/>
        </w:rPr>
        <w:br w:type="page"/>
      </w:r>
    </w:p>
    <w:p>
      <w:pPr>
        <w:numPr>
          <w:ilvl w:val="0"/>
          <w:numId w:val="3"/>
        </w:numPr>
        <w:spacing w:before="156" w:beforeLines="50" w:after="156" w:afterLines="50"/>
        <w:ind w:firstLine="480"/>
        <w:rPr>
          <w:sz w:val="28"/>
          <w:szCs w:val="28"/>
        </w:rPr>
      </w:pPr>
      <w:r>
        <w:rPr>
          <w:rFonts w:hint="eastAsia"/>
          <w:sz w:val="28"/>
          <w:szCs w:val="28"/>
        </w:rPr>
        <w:t>配电列头柜系统图如下：</w:t>
      </w:r>
    </w:p>
    <w:p>
      <w:pPr>
        <w:pStyle w:val="37"/>
        <w:autoSpaceDE w:val="0"/>
        <w:autoSpaceDN w:val="0"/>
        <w:spacing w:before="31" w:after="31" w:line="436" w:lineRule="auto"/>
        <w:ind w:left="533" w:leftChars="254" w:right="256" w:rightChars="122" w:firstLine="480"/>
      </w:pPr>
      <w:r>
        <w:drawing>
          <wp:inline distT="0" distB="0" distL="114300" distR="114300">
            <wp:extent cx="4358640" cy="4030980"/>
            <wp:effectExtent l="0" t="0" r="10160" b="762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9"/>
                    <a:stretch>
                      <a:fillRect/>
                    </a:stretch>
                  </pic:blipFill>
                  <pic:spPr>
                    <a:xfrm>
                      <a:off x="0" y="0"/>
                      <a:ext cx="4358640" cy="4030980"/>
                    </a:xfrm>
                    <a:prstGeom prst="rect">
                      <a:avLst/>
                    </a:prstGeom>
                    <a:noFill/>
                    <a:ln>
                      <a:noFill/>
                    </a:ln>
                  </pic:spPr>
                </pic:pic>
              </a:graphicData>
            </a:graphic>
          </wp:inline>
        </w:drawing>
      </w:r>
    </w:p>
    <w:p>
      <w:pPr>
        <w:pStyle w:val="37"/>
        <w:autoSpaceDE w:val="0"/>
        <w:autoSpaceDN w:val="0"/>
        <w:spacing w:before="31" w:after="31" w:line="436" w:lineRule="auto"/>
        <w:ind w:left="533" w:leftChars="254" w:right="256" w:rightChars="122" w:firstLine="480"/>
      </w:pPr>
      <w:r>
        <w:drawing>
          <wp:inline distT="0" distB="0" distL="114300" distR="114300">
            <wp:extent cx="4335780" cy="4020820"/>
            <wp:effectExtent l="0" t="0" r="7620" b="508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0"/>
                    <a:stretch>
                      <a:fillRect/>
                    </a:stretch>
                  </pic:blipFill>
                  <pic:spPr>
                    <a:xfrm>
                      <a:off x="0" y="0"/>
                      <a:ext cx="4335780" cy="4020820"/>
                    </a:xfrm>
                    <a:prstGeom prst="rect">
                      <a:avLst/>
                    </a:prstGeom>
                    <a:noFill/>
                    <a:ln>
                      <a:noFill/>
                    </a:ln>
                  </pic:spPr>
                </pic:pic>
              </a:graphicData>
            </a:graphic>
          </wp:inline>
        </w:drawing>
      </w:r>
    </w:p>
    <w:p>
      <w:pPr>
        <w:autoSpaceDE w:val="0"/>
        <w:autoSpaceDN w:val="0"/>
        <w:spacing w:before="77" w:line="436" w:lineRule="auto"/>
        <w:ind w:left="969" w:right="733" w:firstLine="420"/>
        <w:jc w:val="center"/>
        <w:rPr>
          <w:szCs w:val="21"/>
        </w:rPr>
      </w:pPr>
      <w:r>
        <w:rPr>
          <w:rFonts w:hint="eastAsia" w:ascii="宋体" w:hAnsi="宋体"/>
          <w:szCs w:val="21"/>
          <w:lang w:bidi="ar"/>
        </w:rPr>
        <w:t>配电列头柜系统图</w:t>
      </w:r>
    </w:p>
    <w:p>
      <w:pPr>
        <w:numPr>
          <w:ilvl w:val="0"/>
          <w:numId w:val="3"/>
        </w:numPr>
        <w:spacing w:before="156" w:beforeLines="50" w:after="156" w:afterLines="50"/>
        <w:ind w:firstLine="480"/>
        <w:rPr>
          <w:sz w:val="28"/>
          <w:szCs w:val="28"/>
        </w:rPr>
      </w:pPr>
      <w:r>
        <w:rPr>
          <w:rFonts w:hint="eastAsia"/>
          <w:sz w:val="28"/>
          <w:szCs w:val="28"/>
        </w:rPr>
        <w:t>市电配电柜主空开设计</w:t>
      </w:r>
    </w:p>
    <w:p>
      <w:pPr>
        <w:spacing w:before="156" w:beforeLines="50" w:after="156" w:afterLines="50"/>
        <w:ind w:firstLine="480"/>
        <w:rPr>
          <w:sz w:val="28"/>
          <w:szCs w:val="28"/>
        </w:rPr>
      </w:pPr>
      <w:r>
        <w:rPr>
          <w:rFonts w:hint="eastAsia"/>
          <w:sz w:val="28"/>
          <w:szCs w:val="28"/>
        </w:rPr>
        <w:t>机房二期工程，根据总功率约1200kW，输入功率因数取0.9，同时系数取0.8，则主电路输入电流：1200/0.9*0.8/1.732/0.38=1620.68A，空开的额定电流一般要比负荷电流大1.2-1.4倍，本项目按1.2倍计算，1620.68*1.2=1944.82A，本项目主空开采用不低于2000A设计，双路。</w:t>
      </w:r>
    </w:p>
    <w:p>
      <w:pPr>
        <w:spacing w:before="156" w:beforeLines="50" w:after="156" w:afterLines="50"/>
        <w:ind w:firstLine="480"/>
        <w:rPr>
          <w:sz w:val="28"/>
          <w:szCs w:val="28"/>
        </w:rPr>
      </w:pPr>
      <w:r>
        <w:rPr>
          <w:rFonts w:hint="eastAsia"/>
          <w:sz w:val="28"/>
          <w:szCs w:val="28"/>
        </w:rPr>
        <w:t>市电配电本着一次投入建设的原则，同样主空开采用不低于2000A设计，双路。</w:t>
      </w:r>
    </w:p>
    <w:p>
      <w:pPr>
        <w:numPr>
          <w:ilvl w:val="0"/>
          <w:numId w:val="3"/>
        </w:numPr>
        <w:spacing w:before="156" w:beforeLines="50" w:after="156" w:afterLines="50"/>
        <w:ind w:firstLine="480"/>
        <w:rPr>
          <w:sz w:val="28"/>
          <w:szCs w:val="28"/>
        </w:rPr>
      </w:pPr>
      <w:r>
        <w:rPr>
          <w:rFonts w:hint="eastAsia"/>
          <w:sz w:val="28"/>
          <w:szCs w:val="28"/>
        </w:rPr>
        <w:t>UPS输入输出柜空开设计</w:t>
      </w:r>
    </w:p>
    <w:p>
      <w:pPr>
        <w:spacing w:before="156" w:beforeLines="50" w:after="156" w:afterLines="50"/>
        <w:ind w:firstLine="480"/>
        <w:rPr>
          <w:sz w:val="28"/>
          <w:szCs w:val="28"/>
        </w:rPr>
      </w:pPr>
      <w:r>
        <w:rPr>
          <w:rFonts w:hint="eastAsia"/>
          <w:sz w:val="28"/>
          <w:szCs w:val="28"/>
        </w:rPr>
        <w:t>微模块1的机柜功率112kW，输入功率因数取0.9，同时系数取0.7，机柜总空开：112/0.9*0.7/1.732/0.38=132.36A，空开的额定电流一般要比负荷电流大1.2-1.4倍，本项目按1.4倍计算，132.36*1.4=185.3A，机柜列头柜总空开建议不低于250A设计。</w:t>
      </w:r>
    </w:p>
    <w:p>
      <w:pPr>
        <w:spacing w:before="156" w:beforeLines="50" w:after="156" w:afterLines="50"/>
        <w:ind w:firstLine="480"/>
        <w:rPr>
          <w:sz w:val="28"/>
          <w:szCs w:val="28"/>
        </w:rPr>
      </w:pPr>
      <w:r>
        <w:rPr>
          <w:rFonts w:hint="eastAsia"/>
          <w:sz w:val="28"/>
          <w:szCs w:val="28"/>
        </w:rPr>
        <w:t>微模块2的机柜功率112kW，输入功率因数取0.9，同时系数取0.7，机柜总空开：112/0.9*0.7/1.732/0.38=132.36A，空开的额定电流一般要比负荷电流大1.2-1.4倍，本项目按1.4倍计算，132.36*1.4=185.3A，机柜列头柜总空开建议不低于250A设计。</w:t>
      </w:r>
    </w:p>
    <w:p>
      <w:pPr>
        <w:numPr>
          <w:ilvl w:val="0"/>
          <w:numId w:val="3"/>
        </w:numPr>
        <w:spacing w:before="156" w:beforeLines="50" w:after="156" w:afterLines="50"/>
        <w:ind w:firstLine="480"/>
        <w:rPr>
          <w:sz w:val="28"/>
          <w:szCs w:val="28"/>
        </w:rPr>
      </w:pPr>
      <w:r>
        <w:rPr>
          <w:rFonts w:hint="eastAsia"/>
          <w:sz w:val="28"/>
          <w:szCs w:val="28"/>
        </w:rPr>
        <w:t>配电柜设计</w:t>
      </w:r>
    </w:p>
    <w:p>
      <w:pPr>
        <w:spacing w:before="156" w:beforeLines="50" w:after="156" w:afterLines="50"/>
        <w:ind w:firstLine="480"/>
        <w:rPr>
          <w:sz w:val="28"/>
          <w:szCs w:val="28"/>
        </w:rPr>
      </w:pPr>
      <w:r>
        <w:rPr>
          <w:rFonts w:hint="eastAsia"/>
          <w:sz w:val="28"/>
          <w:szCs w:val="28"/>
        </w:rPr>
        <w:t>根据此次机房建设对供配电系统的需求，机房内本次设计配电柜共6台：市电输入柜2台、UPS输入柜2台，UPS输出柜2台、精密列头柜6台。</w:t>
      </w:r>
    </w:p>
    <w:p>
      <w:pPr>
        <w:numPr>
          <w:ilvl w:val="0"/>
          <w:numId w:val="3"/>
        </w:numPr>
        <w:spacing w:before="156" w:beforeLines="50" w:after="156" w:afterLines="50"/>
        <w:ind w:firstLine="480"/>
        <w:rPr>
          <w:sz w:val="28"/>
          <w:szCs w:val="28"/>
        </w:rPr>
      </w:pPr>
      <w:r>
        <w:rPr>
          <w:rFonts w:hint="eastAsia"/>
          <w:sz w:val="28"/>
          <w:szCs w:val="28"/>
        </w:rPr>
        <w:t>电缆设计</w:t>
      </w:r>
    </w:p>
    <w:p>
      <w:pPr>
        <w:spacing w:before="156" w:beforeLines="50" w:after="156" w:afterLines="50"/>
        <w:ind w:firstLine="480"/>
        <w:rPr>
          <w:sz w:val="28"/>
          <w:szCs w:val="28"/>
        </w:rPr>
      </w:pPr>
      <w:r>
        <w:rPr>
          <w:rFonts w:hint="eastAsia"/>
          <w:sz w:val="28"/>
          <w:szCs w:val="28"/>
        </w:rPr>
        <w:t>根据《阻燃耐火电线电缆通则》GB/T19666-2019中规定，阻燃等级A&gt;B&gt;C&gt;D，A为最高级。ZA，ZB，ZC，ZD中的Z表示阻燃，后面的字母表示阻燃等级。本项目主干电缆选用按照负载选配相应线缆规格。</w:t>
      </w:r>
    </w:p>
    <w:p>
      <w:pPr>
        <w:pStyle w:val="3"/>
        <w:spacing w:before="240"/>
      </w:pPr>
      <w:r>
        <w:t xml:space="preserve">UPS </w:t>
      </w:r>
      <w:r>
        <w:rPr>
          <w:rFonts w:hint="eastAsia"/>
        </w:rPr>
        <w:t>设备选配要求</w:t>
      </w:r>
    </w:p>
    <w:p>
      <w:pPr>
        <w:spacing w:before="156" w:beforeLines="50" w:after="156" w:afterLines="50"/>
        <w:ind w:firstLine="480"/>
        <w:rPr>
          <w:sz w:val="28"/>
          <w:szCs w:val="28"/>
        </w:rPr>
      </w:pPr>
      <w:r>
        <w:rPr>
          <w:rFonts w:hint="eastAsia"/>
          <w:sz w:val="28"/>
          <w:szCs w:val="28"/>
        </w:rPr>
        <w:t>UPS 系统为 IT 设备提供安全、稳定、可靠的系统电源，根据以上规划， 机房二期工程配置 2 台 600KVA 模块化 UPS 主机，组成 2N 供电系统，可以实现双路独立供电。模块化可实现在线热插拔，支持模块化扩容。</w:t>
      </w:r>
    </w:p>
    <w:p>
      <w:pPr>
        <w:spacing w:before="156" w:beforeLines="50" w:after="156" w:afterLines="50"/>
        <w:ind w:firstLine="480"/>
        <w:rPr>
          <w:sz w:val="28"/>
          <w:szCs w:val="28"/>
        </w:rPr>
      </w:pPr>
      <w:r>
        <w:rPr>
          <w:rFonts w:hint="eastAsia"/>
          <w:sz w:val="28"/>
          <w:szCs w:val="28"/>
        </w:rPr>
        <w:t>UPS 采用 2N 系统配置，UPS 内模块冗余。机架内模块相互独立，正常运行时有两路 UPS 同时供电。假如其中一路供电出现故障，另外一路供电可以迅速全面接管所有负载，继续为后端负载供电。</w:t>
      </w:r>
    </w:p>
    <w:p>
      <w:pPr>
        <w:spacing w:before="156" w:beforeLines="50" w:after="156" w:afterLines="50"/>
        <w:ind w:firstLine="480"/>
        <w:rPr>
          <w:sz w:val="28"/>
          <w:szCs w:val="28"/>
        </w:rPr>
      </w:pPr>
      <w:r>
        <w:rPr>
          <w:rFonts w:hint="eastAsia"/>
          <w:sz w:val="28"/>
          <w:szCs w:val="28"/>
        </w:rPr>
        <w:t xml:space="preserve">模块化 </w:t>
      </w:r>
      <w:r>
        <w:rPr>
          <w:sz w:val="28"/>
          <w:szCs w:val="28"/>
        </w:rPr>
        <w:t xml:space="preserve">UPS </w:t>
      </w:r>
      <w:r>
        <w:rPr>
          <w:rFonts w:hint="eastAsia"/>
          <w:sz w:val="28"/>
          <w:szCs w:val="28"/>
        </w:rPr>
        <w:t xml:space="preserve">具有以下特点： </w:t>
      </w:r>
    </w:p>
    <w:p>
      <w:pPr>
        <w:spacing w:before="156" w:beforeLines="50" w:after="156" w:afterLines="50"/>
        <w:ind w:firstLine="480"/>
        <w:rPr>
          <w:sz w:val="28"/>
          <w:szCs w:val="28"/>
        </w:rPr>
      </w:pPr>
      <w:r>
        <w:rPr>
          <w:sz w:val="28"/>
          <w:szCs w:val="28"/>
        </w:rPr>
        <w:t xml:space="preserve">UPS </w:t>
      </w:r>
      <w:r>
        <w:rPr>
          <w:rFonts w:hint="eastAsia"/>
          <w:sz w:val="28"/>
          <w:szCs w:val="28"/>
        </w:rPr>
        <w:t>功率、控制模块全冗余设计。</w:t>
      </w:r>
    </w:p>
    <w:p>
      <w:pPr>
        <w:spacing w:before="156" w:beforeLines="50" w:after="156" w:afterLines="50"/>
        <w:ind w:firstLine="480"/>
        <w:rPr>
          <w:sz w:val="28"/>
          <w:szCs w:val="28"/>
        </w:rPr>
      </w:pPr>
      <w:r>
        <w:rPr>
          <w:sz w:val="28"/>
          <w:szCs w:val="28"/>
        </w:rPr>
        <w:t>138</w:t>
      </w:r>
      <w:r>
        <w:rPr>
          <w:rFonts w:hint="eastAsia"/>
          <w:sz w:val="28"/>
          <w:szCs w:val="28"/>
        </w:rPr>
        <w:t>～</w:t>
      </w:r>
      <w:r>
        <w:rPr>
          <w:sz w:val="28"/>
          <w:szCs w:val="28"/>
        </w:rPr>
        <w:t xml:space="preserve">485V AC </w:t>
      </w:r>
      <w:r>
        <w:rPr>
          <w:rFonts w:hint="eastAsia"/>
          <w:sz w:val="28"/>
          <w:szCs w:val="28"/>
        </w:rPr>
        <w:t>宽输入电压范围，适应各种恶劣电网。</w:t>
      </w:r>
    </w:p>
    <w:p>
      <w:pPr>
        <w:spacing w:before="156" w:beforeLines="50" w:after="156" w:afterLines="50"/>
        <w:ind w:firstLine="480"/>
        <w:rPr>
          <w:sz w:val="28"/>
          <w:szCs w:val="28"/>
        </w:rPr>
      </w:pPr>
      <w:r>
        <w:rPr>
          <w:sz w:val="28"/>
          <w:szCs w:val="28"/>
        </w:rPr>
        <w:t>PF</w:t>
      </w:r>
      <w:r>
        <w:rPr>
          <w:rFonts w:hint="eastAsia"/>
          <w:sz w:val="28"/>
          <w:szCs w:val="28"/>
        </w:rPr>
        <w:t>（线性负载</w:t>
      </w:r>
      <w:r>
        <w:rPr>
          <w:sz w:val="28"/>
          <w:szCs w:val="28"/>
        </w:rPr>
        <w:t>/</w:t>
      </w:r>
      <w:r>
        <w:rPr>
          <w:rFonts w:hint="eastAsia"/>
          <w:sz w:val="28"/>
          <w:szCs w:val="28"/>
        </w:rPr>
        <w:t>非线性负载）</w:t>
      </w:r>
      <w:r>
        <w:rPr>
          <w:sz w:val="28"/>
          <w:szCs w:val="28"/>
        </w:rPr>
        <w:t xml:space="preserve">0.5 </w:t>
      </w:r>
      <w:r>
        <w:rPr>
          <w:rFonts w:hint="eastAsia"/>
          <w:sz w:val="28"/>
          <w:szCs w:val="28"/>
        </w:rPr>
        <w:t>以上不降额，完美匹配各种负载。</w:t>
      </w:r>
    </w:p>
    <w:p>
      <w:pPr>
        <w:spacing w:before="156" w:beforeLines="50" w:after="156" w:afterLines="50"/>
        <w:ind w:firstLine="480"/>
        <w:rPr>
          <w:sz w:val="28"/>
          <w:szCs w:val="28"/>
        </w:rPr>
      </w:pPr>
      <w:r>
        <w:rPr>
          <w:rFonts w:hint="eastAsia"/>
          <w:sz w:val="28"/>
          <w:szCs w:val="28"/>
        </w:rPr>
        <w:t>高温、高湿、盐雾、粉尘等专项环境可靠性验证，消除环境因素对可靠性的影响。</w:t>
      </w:r>
    </w:p>
    <w:p>
      <w:pPr>
        <w:spacing w:before="156" w:beforeLines="50" w:after="156" w:afterLines="50"/>
        <w:ind w:firstLine="480"/>
        <w:rPr>
          <w:sz w:val="28"/>
          <w:szCs w:val="28"/>
        </w:rPr>
      </w:pPr>
      <w:r>
        <w:rPr>
          <w:rFonts w:hint="eastAsia"/>
          <w:sz w:val="28"/>
          <w:szCs w:val="28"/>
        </w:rPr>
        <w:t>电池、电容以及风扇等关键部件失效预警，防止故障扩大。高效：</w:t>
      </w:r>
    </w:p>
    <w:p>
      <w:pPr>
        <w:spacing w:before="156" w:beforeLines="50" w:after="156" w:afterLines="50"/>
        <w:ind w:firstLine="480"/>
        <w:rPr>
          <w:sz w:val="28"/>
          <w:szCs w:val="28"/>
        </w:rPr>
      </w:pPr>
      <w:r>
        <w:rPr>
          <w:rFonts w:hint="eastAsia"/>
          <w:sz w:val="28"/>
          <w:szCs w:val="28"/>
        </w:rPr>
        <w:t xml:space="preserve">机房最常用负载率高效，主路模式下效率最高可达 </w:t>
      </w:r>
      <w:r>
        <w:rPr>
          <w:sz w:val="28"/>
          <w:szCs w:val="28"/>
        </w:rPr>
        <w:t>96%</w:t>
      </w:r>
      <w:r>
        <w:rPr>
          <w:rFonts w:hint="eastAsia"/>
          <w:sz w:val="28"/>
          <w:szCs w:val="28"/>
        </w:rPr>
        <w:t>。</w:t>
      </w:r>
    </w:p>
    <w:p>
      <w:pPr>
        <w:spacing w:before="156" w:beforeLines="50" w:after="156" w:afterLines="50"/>
        <w:ind w:firstLine="480"/>
        <w:rPr>
          <w:sz w:val="28"/>
          <w:szCs w:val="28"/>
        </w:rPr>
      </w:pPr>
      <w:r>
        <w:rPr>
          <w:rFonts w:hint="eastAsia"/>
          <w:sz w:val="28"/>
          <w:szCs w:val="28"/>
        </w:rPr>
        <w:t>低载高效，极低负载率下情况下，智能轮换休眠技术，确保冗余同时提升</w:t>
      </w:r>
    </w:p>
    <w:p>
      <w:pPr>
        <w:spacing w:before="156" w:beforeLines="50" w:after="156" w:afterLines="50"/>
        <w:ind w:firstLine="480"/>
        <w:rPr>
          <w:sz w:val="28"/>
          <w:szCs w:val="28"/>
        </w:rPr>
      </w:pPr>
      <w:r>
        <w:rPr>
          <w:sz w:val="28"/>
          <w:szCs w:val="28"/>
        </w:rPr>
        <w:t xml:space="preserve">UPS </w:t>
      </w:r>
      <w:r>
        <w:rPr>
          <w:rFonts w:hint="eastAsia"/>
          <w:sz w:val="28"/>
          <w:szCs w:val="28"/>
        </w:rPr>
        <w:t xml:space="preserve">效率 </w:t>
      </w:r>
      <w:r>
        <w:rPr>
          <w:sz w:val="28"/>
          <w:szCs w:val="28"/>
        </w:rPr>
        <w:t>3%</w:t>
      </w:r>
      <w:r>
        <w:rPr>
          <w:rFonts w:hint="eastAsia"/>
          <w:sz w:val="28"/>
          <w:szCs w:val="28"/>
        </w:rPr>
        <w:t>～</w:t>
      </w:r>
      <w:r>
        <w:rPr>
          <w:sz w:val="28"/>
          <w:szCs w:val="28"/>
        </w:rPr>
        <w:t>5%</w:t>
      </w:r>
      <w:r>
        <w:rPr>
          <w:rFonts w:hint="eastAsia"/>
          <w:sz w:val="28"/>
          <w:szCs w:val="28"/>
        </w:rPr>
        <w:t>。</w:t>
      </w:r>
    </w:p>
    <w:p>
      <w:pPr>
        <w:spacing w:before="156" w:beforeLines="50" w:after="156" w:afterLines="50"/>
        <w:ind w:firstLine="480"/>
        <w:rPr>
          <w:sz w:val="28"/>
          <w:szCs w:val="28"/>
        </w:rPr>
      </w:pPr>
      <w:r>
        <w:rPr>
          <w:rFonts w:hint="eastAsia"/>
          <w:sz w:val="28"/>
          <w:szCs w:val="28"/>
        </w:rPr>
        <w:t>空间利用高效，单机容量可达6</w:t>
      </w:r>
      <w:r>
        <w:rPr>
          <w:sz w:val="28"/>
          <w:szCs w:val="28"/>
        </w:rPr>
        <w:t>00kVA</w:t>
      </w:r>
      <w:r>
        <w:rPr>
          <w:rFonts w:hint="eastAsia"/>
          <w:sz w:val="28"/>
          <w:szCs w:val="28"/>
        </w:rPr>
        <w:t xml:space="preserve">，节约占地为更多 </w:t>
      </w:r>
      <w:r>
        <w:rPr>
          <w:sz w:val="28"/>
          <w:szCs w:val="28"/>
        </w:rPr>
        <w:t xml:space="preserve">IT </w:t>
      </w:r>
      <w:r>
        <w:rPr>
          <w:rFonts w:hint="eastAsia"/>
          <w:sz w:val="28"/>
          <w:szCs w:val="28"/>
        </w:rPr>
        <w:t>设备提供空间。</w:t>
      </w:r>
    </w:p>
    <w:p>
      <w:pPr>
        <w:numPr>
          <w:ilvl w:val="0"/>
          <w:numId w:val="4"/>
        </w:numPr>
        <w:spacing w:before="156" w:beforeLines="50" w:after="156" w:afterLines="50"/>
        <w:ind w:firstLine="480"/>
        <w:rPr>
          <w:sz w:val="28"/>
          <w:szCs w:val="28"/>
        </w:rPr>
      </w:pPr>
      <w:r>
        <w:rPr>
          <w:rFonts w:hint="eastAsia"/>
          <w:sz w:val="28"/>
          <w:szCs w:val="28"/>
        </w:rPr>
        <w:t>模块化 UPS 结构指标</w:t>
      </w:r>
    </w:p>
    <w:p>
      <w:pPr>
        <w:autoSpaceDE w:val="0"/>
        <w:autoSpaceDN w:val="0"/>
        <w:spacing w:before="210"/>
        <w:ind w:left="969" w:right="733" w:firstLine="364"/>
        <w:jc w:val="center"/>
        <w:rPr>
          <w:szCs w:val="22"/>
        </w:rPr>
      </w:pPr>
      <w:r>
        <w:rPr>
          <w:rFonts w:hint="eastAsia" w:ascii="宋体" w:hAnsi="宋体"/>
          <w:spacing w:val="-14"/>
          <w:szCs w:val="22"/>
          <w:lang w:bidi="ar"/>
        </w:rPr>
        <w:t xml:space="preserve">模块化 </w:t>
      </w:r>
      <w:r>
        <w:rPr>
          <w:rFonts w:hAnsi="宋体" w:eastAsia="Times New Roman"/>
          <w:szCs w:val="22"/>
          <w:lang w:bidi="ar"/>
        </w:rPr>
        <w:t>UPS</w:t>
      </w:r>
      <w:r>
        <w:rPr>
          <w:rFonts w:hAnsi="宋体" w:eastAsia="Times New Roman"/>
          <w:spacing w:val="2"/>
          <w:szCs w:val="22"/>
          <w:lang w:bidi="ar"/>
        </w:rPr>
        <w:t xml:space="preserve"> </w:t>
      </w:r>
      <w:r>
        <w:rPr>
          <w:rFonts w:hint="eastAsia" w:ascii="宋体" w:hAnsi="宋体"/>
          <w:szCs w:val="22"/>
          <w:lang w:bidi="ar"/>
        </w:rPr>
        <w:t>结构指标</w:t>
      </w:r>
    </w:p>
    <w:tbl>
      <w:tblPr>
        <w:tblStyle w:val="41"/>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3072"/>
        <w:gridCol w:w="65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1591"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配置</w:t>
            </w:r>
          </w:p>
        </w:tc>
        <w:tc>
          <w:tcPr>
            <w:tcW w:w="3408"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场景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1591"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输入方式</w:t>
            </w:r>
          </w:p>
        </w:tc>
        <w:tc>
          <w:tcPr>
            <w:tcW w:w="3408"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1250A/3P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1591"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UPS 配电开关</w:t>
            </w:r>
          </w:p>
        </w:tc>
        <w:tc>
          <w:tcPr>
            <w:tcW w:w="3408"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UPS 输出：1250A/3P</w:t>
            </w:r>
          </w:p>
          <w:p>
            <w:pPr>
              <w:pStyle w:val="37"/>
              <w:autoSpaceDE w:val="0"/>
              <w:autoSpaceDN w:val="0"/>
              <w:spacing w:before="0" w:after="0"/>
              <w:rPr>
                <w:kern w:val="2"/>
                <w:sz w:val="20"/>
                <w:szCs w:val="20"/>
              </w:rPr>
            </w:pPr>
            <w:r>
              <w:rPr>
                <w:rFonts w:hint="eastAsia"/>
                <w:kern w:val="2"/>
                <w:sz w:val="20"/>
                <w:szCs w:val="20"/>
                <w:lang w:bidi="ar"/>
              </w:rPr>
              <w:t>维修旁路：1250A/3P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1591"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尺寸（高×宽×深）</w:t>
            </w:r>
          </w:p>
        </w:tc>
        <w:tc>
          <w:tcPr>
            <w:tcW w:w="3408"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2000mm×1200mm×860mm</w:t>
            </w:r>
          </w:p>
        </w:tc>
      </w:tr>
    </w:tbl>
    <w:p>
      <w:pPr>
        <w:spacing w:before="156" w:beforeLines="50" w:after="156" w:afterLines="50"/>
        <w:ind w:firstLine="480"/>
        <w:rPr>
          <w:sz w:val="28"/>
          <w:szCs w:val="28"/>
        </w:rPr>
      </w:pPr>
      <w:r>
        <w:rPr>
          <w:rFonts w:hint="eastAsia"/>
          <w:sz w:val="28"/>
          <w:szCs w:val="28"/>
        </w:rPr>
        <w:t xml:space="preserve">模块化 </w:t>
      </w:r>
      <w:r>
        <w:rPr>
          <w:sz w:val="28"/>
          <w:szCs w:val="28"/>
        </w:rPr>
        <w:t xml:space="preserve">UPS </w:t>
      </w:r>
      <w:r>
        <w:rPr>
          <w:rFonts w:hint="eastAsia"/>
          <w:sz w:val="28"/>
          <w:szCs w:val="28"/>
        </w:rPr>
        <w:t xml:space="preserve">工作在 </w:t>
      </w:r>
      <w:r>
        <w:rPr>
          <w:sz w:val="28"/>
          <w:szCs w:val="28"/>
        </w:rPr>
        <w:t xml:space="preserve">380V/400V/415V </w:t>
      </w:r>
      <w:r>
        <w:rPr>
          <w:rFonts w:hint="eastAsia"/>
          <w:sz w:val="28"/>
          <w:szCs w:val="28"/>
        </w:rPr>
        <w:t>电源制式下，具有冗余备份、稳定可靠、高效节约、绿色环保、柔性智能、简易灵活等特点。</w:t>
      </w:r>
    </w:p>
    <w:p>
      <w:pPr>
        <w:numPr>
          <w:ilvl w:val="0"/>
          <w:numId w:val="4"/>
        </w:numPr>
        <w:spacing w:before="156" w:beforeLines="50" w:after="156" w:afterLines="50"/>
        <w:ind w:firstLine="480"/>
        <w:rPr>
          <w:sz w:val="28"/>
          <w:szCs w:val="28"/>
        </w:rPr>
      </w:pPr>
      <w:r>
        <w:rPr>
          <w:rFonts w:hint="eastAsia"/>
          <w:sz w:val="28"/>
          <w:szCs w:val="28"/>
        </w:rPr>
        <w:t>模块化 UPS 技术指标</w:t>
      </w:r>
    </w:p>
    <w:p>
      <w:pPr>
        <w:autoSpaceDE w:val="0"/>
        <w:autoSpaceDN w:val="0"/>
        <w:spacing w:before="166"/>
        <w:ind w:left="969" w:right="733" w:firstLine="364"/>
        <w:jc w:val="center"/>
        <w:rPr>
          <w:szCs w:val="22"/>
        </w:rPr>
      </w:pPr>
      <w:r>
        <w:rPr>
          <w:rFonts w:hint="eastAsia" w:ascii="宋体" w:hAnsi="宋体"/>
          <w:spacing w:val="-14"/>
          <w:szCs w:val="22"/>
          <w:lang w:bidi="ar"/>
        </w:rPr>
        <w:t xml:space="preserve">模块化 </w:t>
      </w:r>
      <w:r>
        <w:rPr>
          <w:rFonts w:hAnsi="宋体" w:eastAsia="Times New Roman"/>
          <w:szCs w:val="22"/>
          <w:lang w:bidi="ar"/>
        </w:rPr>
        <w:t>UPS</w:t>
      </w:r>
      <w:r>
        <w:rPr>
          <w:rFonts w:hAnsi="宋体" w:eastAsia="Times New Roman"/>
          <w:spacing w:val="2"/>
          <w:szCs w:val="22"/>
          <w:lang w:bidi="ar"/>
        </w:rPr>
        <w:t xml:space="preserve"> </w:t>
      </w:r>
      <w:r>
        <w:rPr>
          <w:rFonts w:hint="eastAsia" w:ascii="宋体" w:hAnsi="宋体"/>
          <w:szCs w:val="22"/>
          <w:lang w:bidi="ar"/>
        </w:rPr>
        <w:t>技术指标</w:t>
      </w:r>
    </w:p>
    <w:tbl>
      <w:tblPr>
        <w:tblStyle w:val="41"/>
        <w:tblW w:w="5007"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15"/>
        <w:gridCol w:w="2601"/>
        <w:gridCol w:w="51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tcBorders>
              <w:top w:val="single" w:color="000000" w:sz="6" w:space="0"/>
              <w:left w:val="single" w:color="000000" w:sz="6" w:space="0"/>
              <w:bottom w:val="single" w:color="000000" w:sz="6" w:space="0"/>
              <w:right w:val="single" w:color="000000" w:sz="6" w:space="0"/>
            </w:tcBorders>
          </w:tcPr>
          <w:p>
            <w:pPr>
              <w:pStyle w:val="37"/>
              <w:autoSpaceDE w:val="0"/>
              <w:autoSpaceDN w:val="0"/>
              <w:spacing w:before="0" w:after="0"/>
              <w:rPr>
                <w:b/>
                <w:kern w:val="2"/>
                <w:sz w:val="20"/>
                <w:szCs w:val="20"/>
              </w:rPr>
            </w:pPr>
            <w:r>
              <w:rPr>
                <w:rFonts w:hint="eastAsia"/>
                <w:b/>
                <w:kern w:val="2"/>
                <w:sz w:val="20"/>
                <w:szCs w:val="20"/>
                <w:lang w:bidi="ar"/>
              </w:rPr>
              <w:t>参数类型</w:t>
            </w: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b/>
                <w:kern w:val="2"/>
                <w:sz w:val="20"/>
                <w:szCs w:val="20"/>
              </w:rPr>
            </w:pPr>
            <w:r>
              <w:rPr>
                <w:rFonts w:hint="eastAsia"/>
                <w:b/>
                <w:kern w:val="2"/>
                <w:sz w:val="20"/>
                <w:szCs w:val="20"/>
                <w:lang w:bidi="ar"/>
              </w:rPr>
              <w:t>参数名称</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b/>
                <w:kern w:val="2"/>
                <w:sz w:val="20"/>
                <w:szCs w:val="20"/>
              </w:rPr>
            </w:pPr>
            <w:r>
              <w:rPr>
                <w:rFonts w:hint="eastAsia"/>
                <w:b/>
                <w:kern w:val="2"/>
                <w:sz w:val="20"/>
                <w:szCs w:val="20"/>
                <w:lang w:bidi="ar"/>
              </w:rPr>
              <w:t>参数值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restar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输入参数</w:t>
            </w: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电源制式</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三相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额定输入电压</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380V AC/400V AC/415V AC，三相四线＋PE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输入电压范围</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138V AC~485V AC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输入频率范围</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40Hz~70Hz</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输入功率因数</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满载 ＞ 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额定输入电流</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1250A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restar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输出参数</w:t>
            </w: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额定电压</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380V AC/400V AC/415V AC，三相四线＋PE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电压畸变（线性负载）</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THD ≤ 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电压畸变（ 非线性负</w:t>
            </w:r>
          </w:p>
          <w:p>
            <w:pPr>
              <w:pStyle w:val="37"/>
              <w:autoSpaceDE w:val="0"/>
              <w:autoSpaceDN w:val="0"/>
              <w:spacing w:before="0" w:after="0"/>
              <w:rPr>
                <w:kern w:val="2"/>
                <w:sz w:val="20"/>
                <w:szCs w:val="20"/>
              </w:rPr>
            </w:pPr>
            <w:r>
              <w:rPr>
                <w:rFonts w:hint="eastAsia"/>
                <w:kern w:val="2"/>
                <w:sz w:val="20"/>
                <w:szCs w:val="20"/>
                <w:lang w:bidi="ar"/>
              </w:rPr>
              <w:t>载）</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p>
          <w:p>
            <w:pPr>
              <w:pStyle w:val="37"/>
              <w:autoSpaceDE w:val="0"/>
              <w:autoSpaceDN w:val="0"/>
              <w:spacing w:before="0" w:after="0"/>
              <w:rPr>
                <w:kern w:val="2"/>
                <w:sz w:val="20"/>
                <w:szCs w:val="20"/>
              </w:rPr>
            </w:pPr>
            <w:r>
              <w:rPr>
                <w:rFonts w:hint="eastAsia"/>
                <w:kern w:val="2"/>
                <w:sz w:val="20"/>
                <w:szCs w:val="20"/>
                <w:lang w:bidi="ar"/>
              </w:rPr>
              <w:t>THD ≤ 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功率因数</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w w:val="99"/>
                <w:kern w:val="2"/>
                <w:sz w:val="20"/>
                <w:szCs w:val="20"/>
                <w:lang w:bidi="ar"/>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p>
          <w:p>
            <w:pPr>
              <w:pStyle w:val="37"/>
              <w:autoSpaceDE w:val="0"/>
              <w:autoSpaceDN w:val="0"/>
              <w:spacing w:before="0" w:after="0"/>
              <w:rPr>
                <w:kern w:val="2"/>
                <w:sz w:val="20"/>
                <w:szCs w:val="20"/>
              </w:rPr>
            </w:pPr>
            <w:r>
              <w:rPr>
                <w:rFonts w:hint="eastAsia"/>
                <w:kern w:val="2"/>
                <w:sz w:val="20"/>
                <w:szCs w:val="20"/>
                <w:lang w:bidi="ar"/>
              </w:rPr>
              <w:t>过载能力</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105%~110%,60min</w:t>
            </w:r>
          </w:p>
          <w:p>
            <w:pPr>
              <w:pStyle w:val="37"/>
              <w:autoSpaceDE w:val="0"/>
              <w:autoSpaceDN w:val="0"/>
              <w:spacing w:before="0" w:after="0"/>
              <w:rPr>
                <w:kern w:val="2"/>
                <w:sz w:val="20"/>
                <w:szCs w:val="20"/>
              </w:rPr>
            </w:pPr>
            <w:r>
              <w:rPr>
                <w:rFonts w:hint="eastAsia"/>
                <w:kern w:val="2"/>
                <w:sz w:val="20"/>
                <w:szCs w:val="20"/>
                <w:lang w:bidi="ar"/>
              </w:rPr>
              <w:t>111%~125%,10min</w:t>
            </w:r>
          </w:p>
          <w:p>
            <w:pPr>
              <w:pStyle w:val="37"/>
              <w:autoSpaceDE w:val="0"/>
              <w:autoSpaceDN w:val="0"/>
              <w:spacing w:before="0" w:after="0"/>
              <w:rPr>
                <w:kern w:val="2"/>
                <w:sz w:val="20"/>
                <w:szCs w:val="20"/>
              </w:rPr>
            </w:pPr>
            <w:r>
              <w:rPr>
                <w:rFonts w:hint="eastAsia"/>
                <w:kern w:val="2"/>
                <w:sz w:val="20"/>
                <w:szCs w:val="20"/>
                <w:lang w:bidi="ar"/>
              </w:rPr>
              <w:t>125%~150%,1min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restart"/>
            <w:tcBorders>
              <w:top w:val="single" w:color="000000" w:sz="6" w:space="0"/>
              <w:left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系统参数</w:t>
            </w: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显示</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LCD+LED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整机效率</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 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模块均流指标</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并机均流 ＜ 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整机并联数量</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微模块场景不需要并机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接线方式</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支持上进线 或 下进线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p>
          <w:p>
            <w:pPr>
              <w:pStyle w:val="37"/>
              <w:autoSpaceDE w:val="0"/>
              <w:autoSpaceDN w:val="0"/>
              <w:spacing w:before="0" w:after="0"/>
              <w:rPr>
                <w:kern w:val="2"/>
                <w:sz w:val="20"/>
                <w:szCs w:val="20"/>
              </w:rPr>
            </w:pPr>
            <w:r>
              <w:rPr>
                <w:rFonts w:hint="eastAsia"/>
                <w:kern w:val="2"/>
                <w:sz w:val="20"/>
                <w:szCs w:val="20"/>
                <w:lang w:bidi="ar"/>
              </w:rPr>
              <w:t>噪声指标</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25℃环境常压下：</w:t>
            </w:r>
          </w:p>
          <w:p>
            <w:pPr>
              <w:pStyle w:val="37"/>
              <w:numPr>
                <w:ilvl w:val="0"/>
                <w:numId w:val="5"/>
              </w:numPr>
              <w:tabs>
                <w:tab w:val="left" w:pos="277"/>
              </w:tabs>
              <w:autoSpaceDE w:val="0"/>
              <w:autoSpaceDN w:val="0"/>
              <w:spacing w:before="0" w:after="0"/>
              <w:ind w:left="0" w:firstLine="0"/>
              <w:rPr>
                <w:kern w:val="2"/>
                <w:sz w:val="20"/>
                <w:szCs w:val="20"/>
              </w:rPr>
            </w:pPr>
            <w:r>
              <w:rPr>
                <w:rFonts w:hint="eastAsia"/>
                <w:kern w:val="2"/>
                <w:sz w:val="20"/>
                <w:szCs w:val="20"/>
                <w:lang w:bidi="ar"/>
              </w:rPr>
              <w:t>25%</w:t>
            </w:r>
            <w:r>
              <w:rPr>
                <w:rFonts w:hint="eastAsia"/>
                <w:spacing w:val="-5"/>
                <w:kern w:val="2"/>
                <w:sz w:val="20"/>
                <w:szCs w:val="20"/>
                <w:lang w:bidi="ar"/>
              </w:rPr>
              <w:t xml:space="preserve"> </w:t>
            </w:r>
            <w:r>
              <w:rPr>
                <w:rFonts w:hint="eastAsia"/>
                <w:kern w:val="2"/>
                <w:sz w:val="20"/>
                <w:szCs w:val="20"/>
                <w:lang w:bidi="ar"/>
              </w:rPr>
              <w:t>Load:54dB</w:t>
            </w:r>
          </w:p>
          <w:p>
            <w:pPr>
              <w:pStyle w:val="37"/>
              <w:numPr>
                <w:ilvl w:val="0"/>
                <w:numId w:val="5"/>
              </w:numPr>
              <w:tabs>
                <w:tab w:val="left" w:pos="277"/>
              </w:tabs>
              <w:autoSpaceDE w:val="0"/>
              <w:autoSpaceDN w:val="0"/>
              <w:spacing w:before="0" w:after="0"/>
              <w:ind w:left="0" w:firstLine="0"/>
              <w:rPr>
                <w:kern w:val="2"/>
                <w:sz w:val="20"/>
                <w:szCs w:val="20"/>
              </w:rPr>
            </w:pPr>
            <w:r>
              <w:rPr>
                <w:rFonts w:hint="eastAsia"/>
                <w:kern w:val="2"/>
                <w:sz w:val="20"/>
                <w:szCs w:val="20"/>
                <w:lang w:bidi="ar"/>
              </w:rPr>
              <w:t>50%</w:t>
            </w:r>
            <w:r>
              <w:rPr>
                <w:rFonts w:hint="eastAsia"/>
                <w:spacing w:val="-5"/>
                <w:kern w:val="2"/>
                <w:sz w:val="20"/>
                <w:szCs w:val="20"/>
                <w:lang w:bidi="ar"/>
              </w:rPr>
              <w:t xml:space="preserve"> </w:t>
            </w:r>
            <w:r>
              <w:rPr>
                <w:rFonts w:hint="eastAsia"/>
                <w:kern w:val="2"/>
                <w:sz w:val="20"/>
                <w:szCs w:val="20"/>
                <w:lang w:bidi="ar"/>
              </w:rPr>
              <w:t>Load:58dB</w:t>
            </w:r>
          </w:p>
          <w:p>
            <w:pPr>
              <w:pStyle w:val="37"/>
              <w:numPr>
                <w:ilvl w:val="0"/>
                <w:numId w:val="5"/>
              </w:numPr>
              <w:tabs>
                <w:tab w:val="left" w:pos="277"/>
              </w:tabs>
              <w:autoSpaceDE w:val="0"/>
              <w:autoSpaceDN w:val="0"/>
              <w:spacing w:before="0" w:after="0"/>
              <w:ind w:left="0" w:firstLine="0"/>
              <w:rPr>
                <w:kern w:val="2"/>
                <w:sz w:val="20"/>
                <w:szCs w:val="20"/>
              </w:rPr>
            </w:pPr>
            <w:r>
              <w:rPr>
                <w:rFonts w:hint="eastAsia"/>
                <w:kern w:val="2"/>
                <w:sz w:val="20"/>
                <w:szCs w:val="20"/>
                <w:lang w:bidi="ar"/>
              </w:rPr>
              <w:t>75%</w:t>
            </w:r>
            <w:r>
              <w:rPr>
                <w:rFonts w:hint="eastAsia"/>
                <w:spacing w:val="-2"/>
                <w:kern w:val="2"/>
                <w:sz w:val="20"/>
                <w:szCs w:val="20"/>
                <w:lang w:bidi="ar"/>
              </w:rPr>
              <w:t xml:space="preserve"> </w:t>
            </w:r>
            <w:r>
              <w:rPr>
                <w:rFonts w:hint="eastAsia"/>
                <w:kern w:val="2"/>
                <w:sz w:val="20"/>
                <w:szCs w:val="20"/>
                <w:lang w:bidi="ar"/>
              </w:rPr>
              <w:t>Load:61dB</w:t>
            </w:r>
          </w:p>
          <w:p>
            <w:pPr>
              <w:pStyle w:val="37"/>
              <w:numPr>
                <w:ilvl w:val="0"/>
                <w:numId w:val="5"/>
              </w:numPr>
              <w:tabs>
                <w:tab w:val="left" w:pos="277"/>
              </w:tabs>
              <w:autoSpaceDE w:val="0"/>
              <w:autoSpaceDN w:val="0"/>
              <w:spacing w:before="0" w:after="0"/>
              <w:ind w:left="0" w:firstLine="0"/>
              <w:rPr>
                <w:kern w:val="2"/>
                <w:sz w:val="20"/>
                <w:szCs w:val="20"/>
              </w:rPr>
            </w:pPr>
            <w:r>
              <w:rPr>
                <w:rFonts w:hint="eastAsia"/>
                <w:kern w:val="2"/>
                <w:sz w:val="20"/>
                <w:szCs w:val="20"/>
                <w:lang w:bidi="ar"/>
              </w:rPr>
              <w:t>100%</w:t>
            </w:r>
            <w:r>
              <w:rPr>
                <w:rFonts w:hint="eastAsia"/>
                <w:spacing w:val="1"/>
                <w:kern w:val="2"/>
                <w:sz w:val="20"/>
                <w:szCs w:val="20"/>
                <w:lang w:bidi="ar"/>
              </w:rPr>
              <w:t xml:space="preserve"> </w:t>
            </w:r>
            <w:r>
              <w:rPr>
                <w:rFonts w:hint="eastAsia"/>
                <w:kern w:val="2"/>
                <w:sz w:val="20"/>
                <w:szCs w:val="20"/>
                <w:lang w:bidi="ar"/>
              </w:rPr>
              <w:t>Load:65dB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tcPr>
          <w:p>
            <w:pPr>
              <w:autoSpaceDE w:val="0"/>
              <w:autoSpaceDN w:val="0"/>
              <w:jc w:val="left"/>
              <w:rPr>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维护方式</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前后维护均可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bottom w:val="single" w:color="000000" w:sz="6" w:space="0"/>
              <w:right w:val="single" w:color="000000" w:sz="6" w:space="0"/>
            </w:tcBorders>
          </w:tcPr>
          <w:p>
            <w:pPr>
              <w:autoSpaceDE w:val="0"/>
              <w:autoSpaceDN w:val="0"/>
              <w:jc w:val="left"/>
              <w:rPr>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防雷</w:t>
            </w:r>
          </w:p>
        </w:tc>
        <w:tc>
          <w:tcPr>
            <w:tcW w:w="2664" w:type="pct"/>
            <w:tcBorders>
              <w:top w:val="single" w:color="000000" w:sz="6" w:space="0"/>
              <w:left w:val="single" w:color="000000" w:sz="6" w:space="0"/>
              <w:bottom w:val="single" w:color="000000" w:sz="6" w:space="0"/>
              <w:right w:val="single" w:color="000000" w:sz="6" w:space="0"/>
            </w:tcBorders>
            <w:vAlign w:val="center"/>
          </w:tcPr>
          <w:p>
            <w:pPr>
              <w:pStyle w:val="37"/>
              <w:autoSpaceDE w:val="0"/>
              <w:autoSpaceDN w:val="0"/>
              <w:spacing w:before="0" w:after="0"/>
              <w:rPr>
                <w:kern w:val="2"/>
                <w:sz w:val="20"/>
                <w:szCs w:val="20"/>
              </w:rPr>
            </w:pPr>
            <w:r>
              <w:rPr>
                <w:rFonts w:hint="eastAsia"/>
                <w:kern w:val="2"/>
                <w:sz w:val="20"/>
                <w:szCs w:val="20"/>
                <w:lang w:bidi="ar"/>
              </w:rPr>
              <w:t>配置 C 级防雷器</w:t>
            </w:r>
          </w:p>
        </w:tc>
      </w:tr>
    </w:tbl>
    <w:p>
      <w:pPr>
        <w:numPr>
          <w:ilvl w:val="0"/>
          <w:numId w:val="4"/>
        </w:numPr>
        <w:spacing w:before="156" w:beforeLines="50" w:after="156" w:afterLines="50"/>
        <w:ind w:firstLine="480"/>
        <w:rPr>
          <w:sz w:val="28"/>
          <w:szCs w:val="28"/>
        </w:rPr>
      </w:pPr>
      <w:r>
        <w:rPr>
          <w:rFonts w:hint="eastAsia"/>
          <w:sz w:val="28"/>
          <w:szCs w:val="28"/>
        </w:rPr>
        <w:t>保护功能要求</w:t>
      </w:r>
    </w:p>
    <w:p>
      <w:pPr>
        <w:numPr>
          <w:ilvl w:val="0"/>
          <w:numId w:val="6"/>
        </w:numPr>
        <w:spacing w:before="156" w:beforeLines="50" w:after="156" w:afterLines="50"/>
        <w:ind w:left="0" w:firstLine="480"/>
        <w:rPr>
          <w:sz w:val="28"/>
          <w:szCs w:val="28"/>
        </w:rPr>
      </w:pPr>
      <w:r>
        <w:rPr>
          <w:rFonts w:hint="eastAsia"/>
          <w:sz w:val="28"/>
          <w:szCs w:val="28"/>
        </w:rPr>
        <w:t>交流输入过、欠电压保护。</w:t>
      </w:r>
    </w:p>
    <w:p>
      <w:pPr>
        <w:numPr>
          <w:ilvl w:val="0"/>
          <w:numId w:val="6"/>
        </w:numPr>
        <w:spacing w:before="156" w:beforeLines="50" w:after="156" w:afterLines="50"/>
        <w:ind w:left="0" w:firstLine="480"/>
        <w:rPr>
          <w:sz w:val="28"/>
          <w:szCs w:val="28"/>
        </w:rPr>
      </w:pPr>
      <w:r>
        <w:rPr>
          <w:rFonts w:hint="eastAsia"/>
          <w:sz w:val="28"/>
          <w:szCs w:val="28"/>
        </w:rPr>
        <w:t>输出短路保护：输出负载短路时，</w:t>
      </w:r>
      <w:r>
        <w:rPr>
          <w:sz w:val="28"/>
          <w:szCs w:val="28"/>
        </w:rPr>
        <w:t xml:space="preserve">UPS </w:t>
      </w:r>
      <w:r>
        <w:rPr>
          <w:rFonts w:hint="eastAsia"/>
          <w:sz w:val="28"/>
          <w:szCs w:val="28"/>
        </w:rPr>
        <w:t>系统应自动关闭输出，同时发出声光告警。</w:t>
      </w:r>
    </w:p>
    <w:p>
      <w:pPr>
        <w:numPr>
          <w:ilvl w:val="0"/>
          <w:numId w:val="6"/>
        </w:numPr>
        <w:spacing w:before="156" w:beforeLines="50" w:after="156" w:afterLines="50"/>
        <w:ind w:left="0" w:firstLine="480"/>
        <w:rPr>
          <w:sz w:val="28"/>
          <w:szCs w:val="28"/>
        </w:rPr>
      </w:pPr>
      <w:r>
        <w:rPr>
          <w:rFonts w:hint="eastAsia"/>
          <w:sz w:val="28"/>
          <w:szCs w:val="28"/>
        </w:rPr>
        <w:t>过温度保护：功率模块内部温度达到保护设定值时，功率模块应能自动告警并保护而退出系统，当故障排除后应能自动恢复工作。</w:t>
      </w:r>
    </w:p>
    <w:p>
      <w:pPr>
        <w:numPr>
          <w:ilvl w:val="0"/>
          <w:numId w:val="6"/>
        </w:numPr>
        <w:spacing w:before="156" w:beforeLines="50" w:after="156" w:afterLines="50"/>
        <w:ind w:left="0" w:firstLine="480"/>
        <w:rPr>
          <w:sz w:val="28"/>
          <w:szCs w:val="28"/>
        </w:rPr>
      </w:pPr>
      <w:r>
        <w:rPr>
          <w:rFonts w:hint="eastAsia"/>
          <w:sz w:val="28"/>
          <w:szCs w:val="28"/>
        </w:rPr>
        <w:t xml:space="preserve">电池电压低保护：当 </w:t>
      </w:r>
      <w:r>
        <w:rPr>
          <w:sz w:val="28"/>
          <w:szCs w:val="28"/>
        </w:rPr>
        <w:t xml:space="preserve">UPS </w:t>
      </w:r>
      <w:r>
        <w:rPr>
          <w:rFonts w:hint="eastAsia"/>
          <w:sz w:val="28"/>
          <w:szCs w:val="28"/>
        </w:rPr>
        <w:t>系统在电池逆变工作方式时，电池电压降至保护点时，应发出声光告警，电池停止供电。当电池放电终止关机后市电恢复， 系统具备自动和手动重新启动功能。</w:t>
      </w:r>
    </w:p>
    <w:p>
      <w:pPr>
        <w:numPr>
          <w:ilvl w:val="0"/>
          <w:numId w:val="6"/>
        </w:numPr>
        <w:spacing w:before="156" w:beforeLines="50" w:after="156" w:afterLines="50"/>
        <w:ind w:left="0" w:firstLine="480"/>
        <w:rPr>
          <w:sz w:val="28"/>
          <w:szCs w:val="28"/>
        </w:rPr>
      </w:pPr>
      <w:r>
        <w:rPr>
          <w:rFonts w:hint="eastAsia"/>
          <w:sz w:val="28"/>
          <w:szCs w:val="28"/>
        </w:rPr>
        <w:t>输出过欠压保护：</w:t>
      </w:r>
      <w:r>
        <w:rPr>
          <w:sz w:val="28"/>
          <w:szCs w:val="28"/>
        </w:rPr>
        <w:t xml:space="preserve">UPS </w:t>
      </w:r>
      <w:r>
        <w:rPr>
          <w:rFonts w:hint="eastAsia"/>
          <w:sz w:val="28"/>
          <w:szCs w:val="28"/>
        </w:rPr>
        <w:t>系统逆变输出电压超过设定过、欠电压值时， 应发出声光告警并转为旁路供电。</w:t>
      </w:r>
    </w:p>
    <w:p>
      <w:pPr>
        <w:numPr>
          <w:ilvl w:val="0"/>
          <w:numId w:val="6"/>
        </w:numPr>
        <w:spacing w:before="156" w:beforeLines="50" w:after="156" w:afterLines="50"/>
        <w:ind w:left="0" w:firstLine="480"/>
        <w:rPr>
          <w:sz w:val="28"/>
          <w:szCs w:val="28"/>
        </w:rPr>
      </w:pPr>
      <w:r>
        <w:rPr>
          <w:rFonts w:hint="eastAsia"/>
          <w:sz w:val="28"/>
          <w:szCs w:val="28"/>
        </w:rPr>
        <w:t>模块熔断器（或断路器）保护：功率模块为限制某些故障进一步扩大， 模块内应设置输入输出熔断器（或断路器）等保护功能。</w:t>
      </w:r>
    </w:p>
    <w:p>
      <w:pPr>
        <w:numPr>
          <w:ilvl w:val="0"/>
          <w:numId w:val="6"/>
        </w:numPr>
        <w:spacing w:before="156" w:beforeLines="50" w:after="156" w:afterLines="50"/>
        <w:ind w:left="0" w:firstLine="480"/>
        <w:rPr>
          <w:sz w:val="28"/>
          <w:szCs w:val="28"/>
        </w:rPr>
      </w:pPr>
      <w:r>
        <w:rPr>
          <w:rFonts w:hint="eastAsia"/>
          <w:sz w:val="28"/>
          <w:szCs w:val="28"/>
        </w:rPr>
        <w:t>UPS功率模块支持故障模块自动退出功能，从而不影响UPS整机运行。</w:t>
      </w:r>
    </w:p>
    <w:p>
      <w:pPr>
        <w:pStyle w:val="3"/>
        <w:spacing w:before="240"/>
        <w:rPr>
          <w:sz w:val="28"/>
          <w:szCs w:val="28"/>
        </w:rPr>
      </w:pPr>
      <w:r>
        <w:rPr>
          <w:rFonts w:hint="eastAsia"/>
          <w:sz w:val="28"/>
          <w:szCs w:val="28"/>
        </w:rPr>
        <w:t>电池的选择</w:t>
      </w:r>
    </w:p>
    <w:p>
      <w:pPr>
        <w:spacing w:line="560" w:lineRule="exact"/>
        <w:ind w:firstLine="480"/>
        <w:rPr>
          <w:sz w:val="28"/>
          <w:szCs w:val="28"/>
        </w:rPr>
      </w:pPr>
      <w:r>
        <w:rPr>
          <w:sz w:val="28"/>
          <w:szCs w:val="28"/>
        </w:rPr>
        <w:t xml:space="preserve">根据恒功率法对电池选型进行计算： </w:t>
      </w:r>
    </w:p>
    <w:p>
      <w:pPr>
        <w:spacing w:line="560" w:lineRule="exact"/>
        <w:ind w:firstLine="480"/>
        <w:rPr>
          <w:sz w:val="28"/>
          <w:szCs w:val="28"/>
        </w:rPr>
      </w:pPr>
      <w:r>
        <w:rPr>
          <w:sz w:val="28"/>
          <w:szCs w:val="28"/>
        </w:rPr>
        <w:t>W=</w:t>
      </w:r>
      <w:r>
        <w:rPr>
          <w:rFonts w:hint="eastAsia"/>
          <w:sz w:val="28"/>
          <w:szCs w:val="28"/>
        </w:rPr>
        <w:t>(</w:t>
      </w:r>
      <w:r>
        <w:rPr>
          <w:sz w:val="28"/>
          <w:szCs w:val="28"/>
        </w:rPr>
        <w:t>PL</w:t>
      </w:r>
      <w:r>
        <w:rPr>
          <w:rFonts w:hint="eastAsia"/>
          <w:sz w:val="28"/>
          <w:szCs w:val="28"/>
        </w:rPr>
        <w:t>*0.9)</w:t>
      </w:r>
      <w:r>
        <w:rPr>
          <w:sz w:val="28"/>
          <w:szCs w:val="28"/>
        </w:rPr>
        <w:t>/</w:t>
      </w:r>
      <w:r>
        <w:rPr>
          <w:rFonts w:hint="eastAsia"/>
          <w:sz w:val="28"/>
          <w:szCs w:val="28"/>
        </w:rPr>
        <w:t>(</w:t>
      </w:r>
      <w:r>
        <w:rPr>
          <w:sz w:val="28"/>
          <w:szCs w:val="28"/>
        </w:rPr>
        <w:t>Vf*η</w:t>
      </w:r>
      <w:r>
        <w:rPr>
          <w:rFonts w:hint="eastAsia"/>
          <w:sz w:val="28"/>
          <w:szCs w:val="28"/>
        </w:rPr>
        <w:t>)</w:t>
      </w:r>
      <w:r>
        <w:rPr>
          <w:sz w:val="28"/>
          <w:szCs w:val="28"/>
        </w:rPr>
        <w:t xml:space="preserve"> </w:t>
      </w:r>
      <w:r>
        <w:rPr>
          <w:rFonts w:hint="eastAsia"/>
          <w:sz w:val="28"/>
          <w:szCs w:val="28"/>
        </w:rPr>
        <w:t>(</w:t>
      </w:r>
      <w:r>
        <w:rPr>
          <w:sz w:val="28"/>
          <w:szCs w:val="28"/>
        </w:rPr>
        <w:t>W/cell</w:t>
      </w:r>
      <w:r>
        <w:rPr>
          <w:rFonts w:hint="eastAsia"/>
          <w:sz w:val="28"/>
          <w:szCs w:val="28"/>
        </w:rPr>
        <w:t>)</w:t>
      </w:r>
      <w:r>
        <w:rPr>
          <w:sz w:val="28"/>
          <w:szCs w:val="28"/>
        </w:rPr>
        <w:t xml:space="preserve"> </w:t>
      </w:r>
    </w:p>
    <w:p>
      <w:pPr>
        <w:spacing w:line="560" w:lineRule="exact"/>
        <w:ind w:firstLine="480"/>
        <w:rPr>
          <w:sz w:val="28"/>
          <w:szCs w:val="28"/>
        </w:rPr>
      </w:pPr>
      <w:r>
        <w:rPr>
          <w:sz w:val="28"/>
          <w:szCs w:val="28"/>
        </w:rPr>
        <w:t>W为所需电池的每单格功率，单位W/cell；</w:t>
      </w:r>
    </w:p>
    <w:p>
      <w:pPr>
        <w:spacing w:line="560" w:lineRule="exact"/>
        <w:ind w:firstLine="480"/>
        <w:rPr>
          <w:sz w:val="28"/>
          <w:szCs w:val="28"/>
        </w:rPr>
      </w:pPr>
      <w:r>
        <w:rPr>
          <w:sz w:val="28"/>
          <w:szCs w:val="28"/>
        </w:rPr>
        <w:t>PL为目前实际负载功率，即</w:t>
      </w:r>
      <w:r>
        <w:rPr>
          <w:rFonts w:hint="eastAsia"/>
          <w:sz w:val="28"/>
          <w:szCs w:val="28"/>
        </w:rPr>
        <w:t>558.66</w:t>
      </w:r>
      <w:r>
        <w:rPr>
          <w:sz w:val="28"/>
          <w:szCs w:val="28"/>
        </w:rPr>
        <w:t>*</w:t>
      </w:r>
      <w:r>
        <w:rPr>
          <w:rFonts w:hint="eastAsia"/>
          <w:sz w:val="28"/>
          <w:szCs w:val="28"/>
        </w:rPr>
        <w:t>0.9*</w:t>
      </w:r>
      <w:r>
        <w:rPr>
          <w:sz w:val="28"/>
          <w:szCs w:val="28"/>
        </w:rPr>
        <w:t>1000=</w:t>
      </w:r>
      <w:r>
        <w:rPr>
          <w:rFonts w:hint="eastAsia"/>
          <w:sz w:val="28"/>
          <w:szCs w:val="28"/>
        </w:rPr>
        <w:t>502794</w:t>
      </w:r>
      <w:r>
        <w:rPr>
          <w:sz w:val="28"/>
          <w:szCs w:val="28"/>
        </w:rPr>
        <w:t xml:space="preserve">，单位W； </w:t>
      </w:r>
    </w:p>
    <w:p>
      <w:pPr>
        <w:spacing w:line="560" w:lineRule="exact"/>
        <w:ind w:firstLine="480"/>
        <w:rPr>
          <w:sz w:val="28"/>
          <w:szCs w:val="28"/>
        </w:rPr>
      </w:pPr>
      <w:r>
        <w:rPr>
          <w:sz w:val="28"/>
          <w:szCs w:val="28"/>
        </w:rPr>
        <w:t xml:space="preserve">Vf为电池组额定电压，单位V；40节12V电池为480； </w:t>
      </w:r>
    </w:p>
    <w:p>
      <w:pPr>
        <w:spacing w:line="560" w:lineRule="exact"/>
        <w:ind w:firstLine="480"/>
        <w:rPr>
          <w:sz w:val="28"/>
          <w:szCs w:val="28"/>
        </w:rPr>
      </w:pPr>
      <w:r>
        <w:rPr>
          <w:sz w:val="28"/>
          <w:szCs w:val="28"/>
        </w:rPr>
        <w:t xml:space="preserve">η为逆变效率，取0.95； </w:t>
      </w:r>
    </w:p>
    <w:p>
      <w:pPr>
        <w:spacing w:line="560" w:lineRule="exact"/>
        <w:ind w:firstLine="480"/>
        <w:rPr>
          <w:sz w:val="28"/>
          <w:szCs w:val="28"/>
        </w:rPr>
      </w:pPr>
      <w:r>
        <w:rPr>
          <w:sz w:val="28"/>
          <w:szCs w:val="28"/>
        </w:rPr>
        <w:t>计算得：W=</w:t>
      </w:r>
      <w:r>
        <w:rPr>
          <w:rFonts w:hint="eastAsia"/>
          <w:sz w:val="28"/>
          <w:szCs w:val="28"/>
        </w:rPr>
        <w:t>1102.62</w:t>
      </w:r>
      <w:r>
        <w:rPr>
          <w:sz w:val="28"/>
          <w:szCs w:val="28"/>
        </w:rPr>
        <w:t>W；</w:t>
      </w:r>
    </w:p>
    <w:p>
      <w:pPr>
        <w:spacing w:line="560" w:lineRule="exact"/>
        <w:ind w:firstLine="480"/>
        <w:rPr>
          <w:rFonts w:ascii="宋体" w:hAnsi="宋体"/>
          <w:sz w:val="28"/>
          <w:szCs w:val="28"/>
        </w:rPr>
      </w:pPr>
      <w:r>
        <w:rPr>
          <w:rFonts w:hint="eastAsia" w:ascii="宋体" w:hAnsi="宋体"/>
          <w:sz w:val="28"/>
          <w:szCs w:val="28"/>
        </w:rPr>
        <w:t xml:space="preserve">查电池规格表得： </w:t>
      </w:r>
    </w:p>
    <w:p>
      <w:r>
        <w:drawing>
          <wp:inline distT="0" distB="0" distL="114300" distR="114300">
            <wp:extent cx="5272405" cy="1250950"/>
            <wp:effectExtent l="0" t="0" r="10795" b="6350"/>
            <wp:docPr id="28" name="图片 1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表格&#10;&#10;描述已自动生成"/>
                    <pic:cNvPicPr>
                      <a:picLocks noChangeAspect="1"/>
                    </pic:cNvPicPr>
                  </pic:nvPicPr>
                  <pic:blipFill>
                    <a:blip r:embed="rId11"/>
                    <a:stretch>
                      <a:fillRect/>
                    </a:stretch>
                  </pic:blipFill>
                  <pic:spPr>
                    <a:xfrm>
                      <a:off x="0" y="0"/>
                      <a:ext cx="5272405" cy="1250950"/>
                    </a:xfrm>
                    <a:prstGeom prst="rect">
                      <a:avLst/>
                    </a:prstGeom>
                    <a:noFill/>
                    <a:ln>
                      <a:noFill/>
                    </a:ln>
                  </pic:spPr>
                </pic:pic>
              </a:graphicData>
            </a:graphic>
          </wp:inline>
        </w:drawing>
      </w:r>
    </w:p>
    <w:p>
      <w:pPr>
        <w:pStyle w:val="13"/>
        <w:spacing w:before="156" w:after="156"/>
      </w:pPr>
      <w:r>
        <w:t xml:space="preserve">图 </w:t>
      </w:r>
      <w:r>
        <w:fldChar w:fldCharType="begin"/>
      </w:r>
      <w:r>
        <w:instrText xml:space="preserve"> STYLEREF 1 \s </w:instrText>
      </w:r>
      <w:r>
        <w:fldChar w:fldCharType="separate"/>
      </w:r>
      <w:r>
        <w:t>5</w:t>
      </w:r>
      <w:r>
        <w:fldChar w:fldCharType="end"/>
      </w:r>
      <w:r>
        <w:rPr>
          <w:rFonts w:hint="eastAsia"/>
        </w:rPr>
        <w:t>-34 电池规格图</w:t>
      </w:r>
    </w:p>
    <w:p>
      <w:pPr>
        <w:spacing w:line="560" w:lineRule="exact"/>
        <w:ind w:firstLine="480"/>
        <w:rPr>
          <w:sz w:val="28"/>
          <w:szCs w:val="28"/>
        </w:rPr>
      </w:pPr>
      <w:r>
        <w:rPr>
          <w:rFonts w:hint="eastAsia"/>
          <w:sz w:val="28"/>
          <w:szCs w:val="28"/>
        </w:rPr>
        <w:t>电池</w:t>
      </w:r>
      <w:r>
        <w:rPr>
          <w:sz w:val="28"/>
          <w:szCs w:val="28"/>
        </w:rPr>
        <w:t>系统显示时间30min，</w:t>
      </w:r>
      <w:r>
        <w:rPr>
          <w:rFonts w:hint="eastAsia"/>
          <w:sz w:val="28"/>
          <w:szCs w:val="28"/>
        </w:rPr>
        <w:t>20</w:t>
      </w:r>
      <w:r>
        <w:rPr>
          <w:sz w:val="28"/>
          <w:szCs w:val="28"/>
        </w:rPr>
        <w:t>0AH电池单格功率为</w:t>
      </w:r>
      <w:r>
        <w:rPr>
          <w:rFonts w:hint="eastAsia"/>
          <w:sz w:val="28"/>
          <w:szCs w:val="28"/>
        </w:rPr>
        <w:t>313</w:t>
      </w:r>
      <w:r>
        <w:rPr>
          <w:sz w:val="28"/>
          <w:szCs w:val="28"/>
        </w:rPr>
        <w:t>W，因此，每台UPS配置2组蓄电池，两台UPS共配置4组</w:t>
      </w:r>
      <w:r>
        <w:rPr>
          <w:rFonts w:hint="eastAsia"/>
          <w:sz w:val="28"/>
          <w:szCs w:val="28"/>
        </w:rPr>
        <w:t>12V20</w:t>
      </w:r>
      <w:r>
        <w:rPr>
          <w:sz w:val="28"/>
          <w:szCs w:val="28"/>
        </w:rPr>
        <w:t>0AH电池，可以满足系统备电</w:t>
      </w:r>
      <w:r>
        <w:rPr>
          <w:rFonts w:hint="eastAsia"/>
          <w:sz w:val="28"/>
          <w:szCs w:val="28"/>
        </w:rPr>
        <w:t>至少30</w:t>
      </w:r>
      <w:r>
        <w:rPr>
          <w:sz w:val="28"/>
          <w:szCs w:val="28"/>
        </w:rPr>
        <w:t>min的需求。</w:t>
      </w:r>
    </w:p>
    <w:p>
      <w:pPr>
        <w:pStyle w:val="4"/>
        <w:spacing w:before="240" w:after="120"/>
      </w:pPr>
      <w:bookmarkStart w:id="2" w:name="_Toc12677"/>
      <w:bookmarkStart w:id="3" w:name="_Toc11622592"/>
      <w:bookmarkStart w:id="4" w:name="_Toc10766"/>
      <w:bookmarkStart w:id="5" w:name="_Toc32465"/>
      <w:r>
        <w:rPr>
          <w:rFonts w:hint="eastAsia"/>
        </w:rPr>
        <w:t>机房消防系统设计</w:t>
      </w:r>
      <w:bookmarkEnd w:id="2"/>
      <w:bookmarkEnd w:id="3"/>
      <w:bookmarkEnd w:id="4"/>
      <w:bookmarkEnd w:id="5"/>
    </w:p>
    <w:p>
      <w:pPr>
        <w:numPr>
          <w:ilvl w:val="0"/>
          <w:numId w:val="7"/>
        </w:numPr>
        <w:spacing w:before="156" w:beforeLines="50" w:after="156" w:afterLines="50"/>
        <w:ind w:firstLine="480"/>
        <w:rPr>
          <w:sz w:val="28"/>
          <w:szCs w:val="28"/>
        </w:rPr>
      </w:pPr>
      <w:bookmarkStart w:id="6" w:name="_Toc11622593"/>
      <w:r>
        <w:rPr>
          <w:rFonts w:hint="eastAsia"/>
          <w:sz w:val="28"/>
          <w:szCs w:val="28"/>
        </w:rPr>
        <w:t>消防概述</w:t>
      </w:r>
      <w:bookmarkEnd w:id="6"/>
      <w:r>
        <w:rPr>
          <w:rFonts w:hint="eastAsia"/>
          <w:sz w:val="28"/>
          <w:szCs w:val="28"/>
        </w:rPr>
        <w:t xml:space="preserve"> </w:t>
      </w:r>
    </w:p>
    <w:p>
      <w:pPr>
        <w:spacing w:before="156" w:beforeLines="50" w:after="156" w:afterLines="50"/>
        <w:ind w:firstLine="480"/>
        <w:rPr>
          <w:sz w:val="28"/>
          <w:szCs w:val="28"/>
        </w:rPr>
      </w:pPr>
      <w:r>
        <w:rPr>
          <w:rFonts w:hint="eastAsia"/>
          <w:sz w:val="28"/>
          <w:szCs w:val="28"/>
        </w:rPr>
        <w:t>机房采用七氟丙烷气体灭火系统，拥有管网柜式自动气体消防系统，喷点均匀，灭火效果好，虽然初期投资较高，但未来扩展费用较低，适用于多个功能区的消防灭火。</w:t>
      </w:r>
    </w:p>
    <w:p>
      <w:pPr>
        <w:numPr>
          <w:ilvl w:val="0"/>
          <w:numId w:val="7"/>
        </w:numPr>
        <w:spacing w:before="156" w:beforeLines="50" w:after="156" w:afterLines="50"/>
        <w:ind w:firstLine="480"/>
        <w:rPr>
          <w:sz w:val="28"/>
          <w:szCs w:val="28"/>
        </w:rPr>
      </w:pPr>
      <w:bookmarkStart w:id="7" w:name="_Toc11622594"/>
      <w:r>
        <w:rPr>
          <w:rFonts w:hint="eastAsia"/>
          <w:sz w:val="28"/>
          <w:szCs w:val="28"/>
        </w:rPr>
        <w:t>设计灭火方式</w:t>
      </w:r>
      <w:bookmarkEnd w:id="7"/>
    </w:p>
    <w:p>
      <w:pPr>
        <w:spacing w:before="156" w:beforeLines="50" w:after="156" w:afterLines="50"/>
        <w:ind w:firstLine="480"/>
        <w:rPr>
          <w:sz w:val="28"/>
          <w:szCs w:val="28"/>
        </w:rPr>
      </w:pPr>
      <w:r>
        <w:rPr>
          <w:rFonts w:hint="eastAsia"/>
          <w:sz w:val="28"/>
          <w:szCs w:val="28"/>
        </w:rPr>
        <w:t>机房采用全淹没灭火方式。消防设计喷放设时间、设计浓度、气体浸渍时间见后表。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6"/>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pPr>
              <w:pStyle w:val="142"/>
              <w:kinsoku w:val="0"/>
              <w:overflowPunct w:val="0"/>
              <w:spacing w:before="32" w:after="32" w:line="240" w:lineRule="exact"/>
              <w:ind w:firstLine="402"/>
              <w:jc w:val="center"/>
              <w:rPr>
                <w:rFonts w:hint="default" w:cs="楷体"/>
                <w:b/>
                <w:bCs/>
                <w:sz w:val="20"/>
              </w:rPr>
            </w:pPr>
            <w:bookmarkStart w:id="8" w:name="bookmark2"/>
            <w:bookmarkEnd w:id="8"/>
            <w:bookmarkStart w:id="9" w:name="bookmark1"/>
            <w:bookmarkEnd w:id="9"/>
            <w:bookmarkStart w:id="10" w:name="bookmark0"/>
            <w:bookmarkEnd w:id="10"/>
            <w:r>
              <w:rPr>
                <w:rFonts w:cs="楷体"/>
                <w:b/>
                <w:bCs/>
                <w:sz w:val="20"/>
              </w:rPr>
              <w:t>名称</w:t>
            </w:r>
          </w:p>
        </w:tc>
        <w:tc>
          <w:tcPr>
            <w:tcW w:w="2526" w:type="pct"/>
            <w:vAlign w:val="center"/>
          </w:tcPr>
          <w:p>
            <w:pPr>
              <w:pStyle w:val="142"/>
              <w:kinsoku w:val="0"/>
              <w:overflowPunct w:val="0"/>
              <w:spacing w:before="32" w:after="32" w:line="240" w:lineRule="exact"/>
              <w:ind w:firstLine="402"/>
              <w:jc w:val="center"/>
              <w:rPr>
                <w:rFonts w:hint="default" w:cs="楷体"/>
                <w:b/>
                <w:bCs/>
                <w:sz w:val="20"/>
              </w:rPr>
            </w:pPr>
            <w:r>
              <w:rPr>
                <w:rFonts w:cs="楷体"/>
                <w:b/>
                <w:bCs/>
                <w:sz w:val="20"/>
              </w:rPr>
              <w:t>数据机房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pPr>
              <w:pStyle w:val="142"/>
              <w:kinsoku w:val="0"/>
              <w:overflowPunct w:val="0"/>
              <w:spacing w:before="32" w:after="32" w:line="240" w:lineRule="exact"/>
              <w:ind w:firstLine="359"/>
              <w:jc w:val="center"/>
              <w:rPr>
                <w:rFonts w:hint="default" w:cs="楷体"/>
                <w:sz w:val="20"/>
              </w:rPr>
            </w:pPr>
            <w:r>
              <w:rPr>
                <w:rFonts w:cs="楷体"/>
                <w:w w:val="90"/>
                <w:sz w:val="20"/>
              </w:rPr>
              <w:t>喷放时间S</w:t>
            </w:r>
          </w:p>
        </w:tc>
        <w:tc>
          <w:tcPr>
            <w:tcW w:w="2526" w:type="pct"/>
            <w:vAlign w:val="center"/>
          </w:tcPr>
          <w:p>
            <w:pPr>
              <w:pStyle w:val="142"/>
              <w:kinsoku w:val="0"/>
              <w:overflowPunct w:val="0"/>
              <w:spacing w:before="32" w:after="32" w:line="240" w:lineRule="exact"/>
              <w:ind w:firstLine="338"/>
              <w:jc w:val="center"/>
              <w:rPr>
                <w:rFonts w:hint="default" w:cs="楷体"/>
                <w:sz w:val="20"/>
              </w:rPr>
            </w:pPr>
            <w:r>
              <w:rPr>
                <w:rFonts w:cs="楷体"/>
                <w:w w:val="85"/>
                <w:sz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pPr>
              <w:pStyle w:val="142"/>
              <w:kinsoku w:val="0"/>
              <w:overflowPunct w:val="0"/>
              <w:spacing w:before="32" w:after="32" w:line="240" w:lineRule="exact"/>
              <w:ind w:firstLine="400"/>
              <w:jc w:val="center"/>
              <w:rPr>
                <w:rFonts w:hint="default" w:cs="楷体"/>
                <w:sz w:val="20"/>
              </w:rPr>
            </w:pPr>
            <w:r>
              <w:rPr>
                <w:rFonts w:cs="楷体"/>
                <w:sz w:val="20"/>
              </w:rPr>
              <w:t>气体浸渍时间〉min</w:t>
            </w:r>
          </w:p>
        </w:tc>
        <w:tc>
          <w:tcPr>
            <w:tcW w:w="2526" w:type="pct"/>
            <w:vAlign w:val="center"/>
          </w:tcPr>
          <w:p>
            <w:pPr>
              <w:pStyle w:val="142"/>
              <w:kinsoku w:val="0"/>
              <w:overflowPunct w:val="0"/>
              <w:spacing w:before="32" w:after="32" w:line="240" w:lineRule="exact"/>
              <w:ind w:firstLine="338"/>
              <w:jc w:val="center"/>
              <w:rPr>
                <w:rFonts w:hint="default" w:cs="楷体"/>
                <w:sz w:val="20"/>
              </w:rPr>
            </w:pPr>
            <w:r>
              <w:rPr>
                <w:rFonts w:cs="楷体"/>
                <w:w w:val="85"/>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pPr>
              <w:pStyle w:val="142"/>
              <w:kinsoku w:val="0"/>
              <w:overflowPunct w:val="0"/>
              <w:spacing w:before="32" w:after="32" w:line="240" w:lineRule="exact"/>
              <w:ind w:firstLine="400"/>
              <w:jc w:val="center"/>
              <w:rPr>
                <w:rFonts w:hint="default" w:cs="楷体"/>
                <w:sz w:val="20"/>
              </w:rPr>
            </w:pPr>
            <w:r>
              <w:rPr>
                <w:rFonts w:cs="楷体"/>
                <w:sz w:val="20"/>
              </w:rPr>
              <w:t>设计浓度%</w:t>
            </w:r>
          </w:p>
        </w:tc>
        <w:tc>
          <w:tcPr>
            <w:tcW w:w="2526" w:type="pct"/>
            <w:vAlign w:val="center"/>
          </w:tcPr>
          <w:p>
            <w:pPr>
              <w:pStyle w:val="142"/>
              <w:kinsoku w:val="0"/>
              <w:overflowPunct w:val="0"/>
              <w:spacing w:before="32" w:after="32" w:line="240" w:lineRule="exact"/>
              <w:ind w:firstLine="338"/>
              <w:jc w:val="center"/>
              <w:rPr>
                <w:rFonts w:hint="default" w:cs="楷体"/>
                <w:sz w:val="20"/>
              </w:rPr>
            </w:pPr>
            <w:r>
              <w:rPr>
                <w:rFonts w:cs="楷体"/>
                <w:w w:val="85"/>
                <w:sz w:val="20"/>
              </w:rPr>
              <w:t>8</w:t>
            </w:r>
          </w:p>
        </w:tc>
      </w:tr>
    </w:tbl>
    <w:p>
      <w:pPr>
        <w:numPr>
          <w:ilvl w:val="0"/>
          <w:numId w:val="7"/>
        </w:numPr>
        <w:spacing w:before="156" w:beforeLines="50" w:after="156" w:afterLines="50"/>
        <w:ind w:firstLine="480"/>
        <w:rPr>
          <w:sz w:val="28"/>
          <w:szCs w:val="28"/>
        </w:rPr>
      </w:pPr>
      <w:bookmarkStart w:id="11" w:name="bookmark3"/>
      <w:bookmarkEnd w:id="11"/>
      <w:bookmarkStart w:id="12" w:name="_Toc11622596"/>
      <w:r>
        <w:rPr>
          <w:rFonts w:hint="eastAsia"/>
          <w:sz w:val="28"/>
          <w:szCs w:val="28"/>
        </w:rPr>
        <w:t>系统设计</w:t>
      </w:r>
      <w:bookmarkEnd w:id="12"/>
    </w:p>
    <w:p>
      <w:pPr>
        <w:spacing w:before="156" w:beforeLines="50" w:after="156" w:afterLines="50"/>
        <w:ind w:firstLine="480"/>
        <w:rPr>
          <w:sz w:val="28"/>
          <w:szCs w:val="28"/>
        </w:rPr>
      </w:pPr>
      <w:r>
        <w:rPr>
          <w:rFonts w:hint="eastAsia"/>
          <w:sz w:val="28"/>
          <w:szCs w:val="28"/>
        </w:rPr>
        <w:t>系统由火灾报警系统、灭火控制系统及气体灭火装置三部分组成。</w:t>
      </w:r>
    </w:p>
    <w:p>
      <w:pPr>
        <w:numPr>
          <w:ilvl w:val="0"/>
          <w:numId w:val="8"/>
        </w:numPr>
        <w:spacing w:before="156" w:beforeLines="50" w:after="156" w:afterLines="50"/>
        <w:ind w:left="0" w:firstLine="480"/>
        <w:rPr>
          <w:sz w:val="28"/>
          <w:szCs w:val="28"/>
        </w:rPr>
      </w:pPr>
      <w:r>
        <w:rPr>
          <w:rFonts w:hint="eastAsia"/>
          <w:sz w:val="28"/>
          <w:szCs w:val="28"/>
        </w:rPr>
        <w:t>火灾自动报警系统包括火灾探测器、气体灭火控制器、消防警铃、声光报警器、紧急启停按钮、放气指示灯及系统布线；</w:t>
      </w:r>
    </w:p>
    <w:p>
      <w:pPr>
        <w:numPr>
          <w:ilvl w:val="0"/>
          <w:numId w:val="8"/>
        </w:numPr>
        <w:spacing w:before="156" w:beforeLines="50" w:after="156" w:afterLines="50"/>
        <w:ind w:left="0" w:firstLine="480"/>
        <w:rPr>
          <w:sz w:val="28"/>
          <w:szCs w:val="28"/>
        </w:rPr>
      </w:pPr>
      <w:r>
        <w:rPr>
          <w:rFonts w:hint="eastAsia"/>
          <w:sz w:val="28"/>
          <w:szCs w:val="28"/>
        </w:rPr>
        <w:t>系统具有自动控制、手动控制和机械应急操作三种启动方式。</w:t>
      </w:r>
    </w:p>
    <w:p>
      <w:pPr>
        <w:spacing w:before="156" w:beforeLines="50" w:after="156" w:afterLines="50"/>
        <w:ind w:firstLine="480"/>
        <w:rPr>
          <w:sz w:val="28"/>
          <w:szCs w:val="28"/>
        </w:rPr>
      </w:pPr>
      <w:r>
        <w:rPr>
          <w:rFonts w:hint="eastAsia"/>
          <w:sz w:val="28"/>
          <w:szCs w:val="28"/>
        </w:rPr>
        <w:t>自动启动：灭火控制器设置在自动状态时，若某防护区发生有烟雾（或温度异常上升），该防护区的感烟（或感温）探测器动作并向灭火控制器送入一个火警信号，灭火控制器即进入单一火警状态，同时驱动消防警铃发出单一火灾警报信号，此时不会发出启动灭火系统的控制信号。随着该防护区火灾的蔓延，温度持续上升（或产生烟雾），另一回路的感温（或感烟）探测器动作，向灭火控制器送入另一个火警信号，灭火控制器立即确认发生火灾并发出复合火灾警报信号及联动信号（关闭送排风装置和防火阀、防火卷帘等）。经过设定时间的延时，灭火控制器输出信号启动灭火系统，灭火剂经输送管道释放到该防护区实施灭火。灭火控制器接收到压力信号器的反馈信号后显亮防护区门外的放气指示灯，避免人员误入。</w:t>
      </w:r>
    </w:p>
    <w:p>
      <w:pPr>
        <w:numPr>
          <w:ilvl w:val="0"/>
          <w:numId w:val="8"/>
        </w:numPr>
        <w:spacing w:before="156" w:beforeLines="50" w:after="156" w:afterLines="50"/>
        <w:ind w:left="0" w:firstLine="480"/>
        <w:rPr>
          <w:sz w:val="28"/>
          <w:szCs w:val="28"/>
        </w:rPr>
      </w:pPr>
      <w:r>
        <w:rPr>
          <w:rFonts w:hint="eastAsia"/>
          <w:sz w:val="28"/>
          <w:szCs w:val="28"/>
        </w:rPr>
        <w:t>气体灭火设计</w:t>
      </w:r>
    </w:p>
    <w:p>
      <w:pPr>
        <w:pStyle w:val="143"/>
        <w:spacing w:before="31" w:after="31"/>
        <w:ind w:firstLine="480"/>
        <w:rPr>
          <w:rFonts w:hint="default"/>
          <w:sz w:val="28"/>
          <w:szCs w:val="28"/>
        </w:rPr>
      </w:pPr>
      <w:r>
        <w:rPr>
          <w:sz w:val="28"/>
          <w:szCs w:val="28"/>
        </w:rPr>
        <w:t>本工程在IT机房、接入间、配电室、电池室等场所采用气体灭火控制系统，对相应气体保护区进行火灾报警和控制,各气体保护区按独立分区进行设计。</w:t>
      </w:r>
    </w:p>
    <w:p>
      <w:pPr>
        <w:pStyle w:val="143"/>
        <w:spacing w:before="31" w:after="31"/>
        <w:ind w:firstLine="480"/>
        <w:rPr>
          <w:rFonts w:hint="default"/>
          <w:sz w:val="28"/>
          <w:szCs w:val="28"/>
        </w:rPr>
      </w:pPr>
      <w:r>
        <w:rPr>
          <w:sz w:val="28"/>
          <w:szCs w:val="28"/>
        </w:rPr>
        <w:t xml:space="preserve">本次气体灭火系统包括 2 个区域：机房和配电室，均采用管网式灭火装置。 </w:t>
      </w:r>
    </w:p>
    <w:p>
      <w:pPr>
        <w:pStyle w:val="143"/>
        <w:spacing w:before="31" w:after="31"/>
        <w:ind w:firstLine="480"/>
        <w:rPr>
          <w:rFonts w:hint="default"/>
          <w:sz w:val="28"/>
          <w:szCs w:val="28"/>
        </w:rPr>
      </w:pPr>
      <w:r>
        <w:rPr>
          <w:sz w:val="28"/>
          <w:szCs w:val="28"/>
        </w:rPr>
        <w:t xml:space="preserve">设置6套 150L 的钢瓶。灭火剂喷射之后为气体，对电子设备和配电设备基本无影响。以机房为例，设计计算过程：  </w:t>
      </w:r>
    </w:p>
    <w:p>
      <w:pPr>
        <w:pStyle w:val="143"/>
        <w:spacing w:before="31" w:after="31"/>
        <w:ind w:left="480"/>
        <w:rPr>
          <w:rFonts w:hint="default"/>
          <w:sz w:val="28"/>
          <w:szCs w:val="28"/>
        </w:rPr>
      </w:pPr>
      <w:r>
        <w:rPr>
          <w:sz w:val="28"/>
          <w:szCs w:val="28"/>
        </w:rPr>
        <w:t xml:space="preserve">1）灭火剂浓度确定 </w:t>
      </w:r>
    </w:p>
    <w:p>
      <w:pPr>
        <w:pStyle w:val="143"/>
        <w:spacing w:before="31" w:after="31"/>
        <w:ind w:left="480"/>
        <w:rPr>
          <w:rFonts w:hint="default"/>
          <w:sz w:val="28"/>
          <w:szCs w:val="28"/>
        </w:rPr>
      </w:pPr>
      <w:r>
        <w:rPr>
          <w:sz w:val="28"/>
          <w:szCs w:val="28"/>
        </w:rPr>
        <w:t xml:space="preserve">确定防护区灭火设计浓度，依据《规范》，浓度取C=8%； </w:t>
      </w:r>
    </w:p>
    <w:p>
      <w:pPr>
        <w:pStyle w:val="143"/>
        <w:spacing w:before="31" w:after="31"/>
        <w:ind w:left="480"/>
        <w:rPr>
          <w:rFonts w:hint="default"/>
          <w:sz w:val="28"/>
          <w:szCs w:val="28"/>
        </w:rPr>
      </w:pPr>
      <w:r>
        <w:rPr>
          <w:sz w:val="28"/>
          <w:szCs w:val="28"/>
        </w:rPr>
        <w:t>2）计算防护区的净空容积（m</w:t>
      </w:r>
      <w:r>
        <w:rPr>
          <w:sz w:val="28"/>
          <w:szCs w:val="28"/>
          <w:vertAlign w:val="superscript"/>
        </w:rPr>
        <w:t>3）</w:t>
      </w:r>
      <w:r>
        <w:rPr>
          <w:sz w:val="28"/>
          <w:szCs w:val="28"/>
        </w:rPr>
        <w:t xml:space="preserve"> </w:t>
      </w:r>
    </w:p>
    <w:p>
      <w:pPr>
        <w:pStyle w:val="143"/>
        <w:spacing w:before="31" w:after="31"/>
        <w:ind w:left="480"/>
        <w:rPr>
          <w:rFonts w:hint="default"/>
          <w:sz w:val="28"/>
          <w:szCs w:val="28"/>
        </w:rPr>
      </w:pPr>
      <w:r>
        <w:rPr>
          <w:sz w:val="28"/>
          <w:szCs w:val="28"/>
        </w:rPr>
        <w:t xml:space="preserve"> V =Vv-Vg  </w:t>
      </w:r>
    </w:p>
    <w:p>
      <w:pPr>
        <w:pStyle w:val="143"/>
        <w:spacing w:before="31" w:after="31"/>
        <w:ind w:left="480"/>
        <w:rPr>
          <w:rFonts w:hint="default"/>
          <w:sz w:val="28"/>
          <w:szCs w:val="28"/>
        </w:rPr>
      </w:pPr>
      <w:r>
        <w:rPr>
          <w:sz w:val="28"/>
          <w:szCs w:val="28"/>
        </w:rPr>
        <w:t>式中：V—防护区的净容积（m</w:t>
      </w:r>
      <w:r>
        <w:rPr>
          <w:sz w:val="28"/>
          <w:szCs w:val="28"/>
          <w:vertAlign w:val="superscript"/>
        </w:rPr>
        <w:t>3）</w:t>
      </w:r>
      <w:r>
        <w:rPr>
          <w:sz w:val="28"/>
          <w:szCs w:val="28"/>
        </w:rPr>
        <w:t xml:space="preserve">；  </w:t>
      </w:r>
    </w:p>
    <w:p>
      <w:pPr>
        <w:pStyle w:val="143"/>
        <w:spacing w:before="31" w:after="31"/>
        <w:ind w:left="480"/>
        <w:rPr>
          <w:rFonts w:hint="default"/>
          <w:sz w:val="28"/>
          <w:szCs w:val="28"/>
        </w:rPr>
      </w:pPr>
      <w:r>
        <w:rPr>
          <w:sz w:val="28"/>
          <w:szCs w:val="28"/>
        </w:rPr>
        <w:t>Vv—防护区容积（m</w:t>
      </w:r>
      <w:r>
        <w:rPr>
          <w:sz w:val="28"/>
          <w:szCs w:val="28"/>
          <w:vertAlign w:val="superscript"/>
        </w:rPr>
        <w:t>3</w:t>
      </w:r>
      <w:r>
        <w:rPr>
          <w:sz w:val="28"/>
          <w:szCs w:val="28"/>
        </w:rPr>
        <w:t>)；容积=1525.5m</w:t>
      </w:r>
      <w:r>
        <w:rPr>
          <w:sz w:val="28"/>
          <w:szCs w:val="28"/>
          <w:vertAlign w:val="superscript"/>
        </w:rPr>
        <w:t>3</w:t>
      </w:r>
      <w:r>
        <w:rPr>
          <w:sz w:val="28"/>
          <w:szCs w:val="28"/>
        </w:rPr>
        <w:t xml:space="preserve"> </w:t>
      </w:r>
    </w:p>
    <w:p>
      <w:pPr>
        <w:pStyle w:val="143"/>
        <w:spacing w:before="31" w:after="31"/>
        <w:ind w:left="480"/>
        <w:rPr>
          <w:rFonts w:hint="default"/>
          <w:sz w:val="28"/>
          <w:szCs w:val="28"/>
        </w:rPr>
      </w:pPr>
      <w:r>
        <w:rPr>
          <w:sz w:val="28"/>
          <w:szCs w:val="28"/>
        </w:rPr>
        <w:t>Vg—防护区内非燃烧和难燃烧的总容积（m</w:t>
      </w:r>
      <w:r>
        <w:rPr>
          <w:sz w:val="28"/>
          <w:szCs w:val="28"/>
          <w:vertAlign w:val="superscript"/>
        </w:rPr>
        <w:t>3</w:t>
      </w:r>
      <w:r>
        <w:rPr>
          <w:sz w:val="28"/>
          <w:szCs w:val="28"/>
        </w:rPr>
        <w:t xml:space="preserve">)；（取Vg =0）  </w:t>
      </w:r>
    </w:p>
    <w:p>
      <w:pPr>
        <w:pStyle w:val="143"/>
        <w:spacing w:before="31" w:after="31"/>
        <w:ind w:left="480"/>
        <w:rPr>
          <w:rFonts w:hint="default"/>
          <w:sz w:val="28"/>
          <w:szCs w:val="28"/>
        </w:rPr>
      </w:pPr>
      <w:r>
        <w:rPr>
          <w:sz w:val="28"/>
          <w:szCs w:val="28"/>
        </w:rPr>
        <w:t>净空容积：V =Vv－Vg=1525.5-0=1525.5m</w:t>
      </w:r>
      <w:r>
        <w:rPr>
          <w:sz w:val="28"/>
          <w:szCs w:val="28"/>
          <w:vertAlign w:val="superscript"/>
        </w:rPr>
        <w:t>3</w:t>
      </w:r>
      <w:r>
        <w:rPr>
          <w:sz w:val="28"/>
          <w:szCs w:val="28"/>
        </w:rPr>
        <w:t xml:space="preserve"> </w:t>
      </w:r>
    </w:p>
    <w:p>
      <w:pPr>
        <w:pStyle w:val="143"/>
        <w:spacing w:before="31" w:after="31"/>
        <w:ind w:left="480"/>
        <w:rPr>
          <w:rFonts w:hint="default"/>
          <w:sz w:val="28"/>
          <w:szCs w:val="28"/>
        </w:rPr>
      </w:pPr>
      <w:r>
        <w:rPr>
          <w:sz w:val="28"/>
          <w:szCs w:val="28"/>
        </w:rPr>
        <w:t xml:space="preserve">3）灭火剂用量计算 </w:t>
      </w:r>
    </w:p>
    <w:p>
      <w:pPr>
        <w:pStyle w:val="143"/>
        <w:spacing w:before="31" w:after="31"/>
        <w:ind w:left="480"/>
        <w:rPr>
          <w:rFonts w:hint="default"/>
          <w:sz w:val="28"/>
          <w:szCs w:val="28"/>
        </w:rPr>
      </w:pPr>
      <w:r>
        <w:rPr>
          <w:sz w:val="28"/>
          <w:szCs w:val="28"/>
        </w:rPr>
        <w:t xml:space="preserve">根据GB50370-2005《规范》中七氟丙烷设计用量的计算公式： </w:t>
      </w:r>
    </w:p>
    <w:p>
      <w:pPr>
        <w:pStyle w:val="143"/>
        <w:spacing w:before="31" w:after="31"/>
        <w:ind w:left="480"/>
        <w:rPr>
          <w:rFonts w:hint="default"/>
          <w:sz w:val="28"/>
          <w:szCs w:val="28"/>
        </w:rPr>
      </w:pPr>
      <w:r>
        <w:rPr>
          <w:sz w:val="28"/>
          <w:szCs w:val="28"/>
        </w:rPr>
        <w:t xml:space="preserve">          W=K×(V/Ｓ）×[C/(100-C)]  </w:t>
      </w:r>
    </w:p>
    <w:p>
      <w:pPr>
        <w:pStyle w:val="143"/>
        <w:spacing w:before="31" w:after="31"/>
        <w:ind w:left="480"/>
        <w:rPr>
          <w:rFonts w:hint="default"/>
          <w:sz w:val="28"/>
          <w:szCs w:val="28"/>
        </w:rPr>
      </w:pPr>
      <w:r>
        <w:rPr>
          <w:sz w:val="28"/>
          <w:szCs w:val="28"/>
        </w:rPr>
        <w:t xml:space="preserve">式中 ：W-七氟丙烷的灭火设计用量（kg）； </w:t>
      </w:r>
    </w:p>
    <w:p>
      <w:pPr>
        <w:pStyle w:val="143"/>
        <w:spacing w:before="31" w:after="31"/>
        <w:ind w:left="480" w:firstLine="840" w:firstLineChars="300"/>
        <w:rPr>
          <w:rFonts w:hint="default"/>
          <w:sz w:val="28"/>
          <w:szCs w:val="28"/>
        </w:rPr>
      </w:pPr>
      <w:r>
        <w:rPr>
          <w:sz w:val="28"/>
          <w:szCs w:val="28"/>
        </w:rPr>
        <w:t xml:space="preserve">K-海拔高度修正系数；（取 K=1）  </w:t>
      </w:r>
    </w:p>
    <w:p>
      <w:pPr>
        <w:pStyle w:val="143"/>
        <w:spacing w:before="31" w:after="31"/>
        <w:ind w:left="480" w:firstLine="840" w:firstLineChars="300"/>
        <w:rPr>
          <w:rFonts w:hint="default"/>
          <w:sz w:val="28"/>
          <w:szCs w:val="28"/>
        </w:rPr>
      </w:pPr>
      <w:r>
        <w:rPr>
          <w:sz w:val="28"/>
          <w:szCs w:val="28"/>
        </w:rPr>
        <w:t xml:space="preserve">C-七氟丙烷灭火设计浓度（%）；  </w:t>
      </w:r>
    </w:p>
    <w:p>
      <w:pPr>
        <w:pStyle w:val="143"/>
        <w:spacing w:before="31" w:after="31"/>
        <w:ind w:left="480" w:firstLine="840" w:firstLineChars="300"/>
        <w:rPr>
          <w:rFonts w:hint="default"/>
          <w:sz w:val="28"/>
          <w:szCs w:val="28"/>
        </w:rPr>
      </w:pPr>
      <w:r>
        <w:rPr>
          <w:sz w:val="28"/>
          <w:szCs w:val="28"/>
        </w:rPr>
        <w:t>S-七氟丙烷过热蒸汽在 101Kpa和防护区最低环境温度下的比容（m</w:t>
      </w:r>
      <w:r>
        <w:rPr>
          <w:sz w:val="28"/>
          <w:szCs w:val="28"/>
          <w:vertAlign w:val="superscript"/>
        </w:rPr>
        <w:t>3</w:t>
      </w:r>
      <w:r>
        <w:rPr>
          <w:sz w:val="28"/>
          <w:szCs w:val="28"/>
        </w:rPr>
        <w:t xml:space="preserve">/kg），  </w:t>
      </w:r>
    </w:p>
    <w:p>
      <w:pPr>
        <w:pStyle w:val="143"/>
        <w:spacing w:before="31" w:after="31"/>
        <w:ind w:left="480" w:firstLine="840" w:firstLineChars="300"/>
        <w:rPr>
          <w:rFonts w:hint="default"/>
          <w:sz w:val="28"/>
          <w:szCs w:val="28"/>
        </w:rPr>
      </w:pPr>
      <w:r>
        <w:rPr>
          <w:sz w:val="28"/>
          <w:szCs w:val="28"/>
        </w:rPr>
        <w:t xml:space="preserve">V-防护区的净容积（m3）； </w:t>
      </w:r>
    </w:p>
    <w:p>
      <w:pPr>
        <w:pStyle w:val="143"/>
        <w:spacing w:before="31" w:after="31"/>
        <w:ind w:left="480"/>
        <w:rPr>
          <w:rFonts w:hint="default"/>
          <w:sz w:val="28"/>
          <w:szCs w:val="28"/>
        </w:rPr>
      </w:pPr>
      <w:r>
        <w:rPr>
          <w:sz w:val="28"/>
          <w:szCs w:val="28"/>
        </w:rPr>
        <w:t xml:space="preserve">其中 S = K1+ K2T  </w:t>
      </w:r>
    </w:p>
    <w:p>
      <w:pPr>
        <w:pStyle w:val="143"/>
        <w:spacing w:before="31" w:after="31"/>
        <w:ind w:left="480"/>
        <w:rPr>
          <w:rFonts w:hint="default"/>
          <w:sz w:val="28"/>
          <w:szCs w:val="28"/>
        </w:rPr>
      </w:pPr>
      <w:r>
        <w:rPr>
          <w:sz w:val="28"/>
          <w:szCs w:val="28"/>
        </w:rPr>
        <w:t xml:space="preserve">式中 ：T-温度（℃）  </w:t>
      </w:r>
    </w:p>
    <w:p>
      <w:pPr>
        <w:pStyle w:val="143"/>
        <w:spacing w:before="31" w:after="31"/>
        <w:ind w:left="480" w:firstLine="840" w:firstLineChars="300"/>
        <w:rPr>
          <w:rFonts w:hint="default"/>
          <w:sz w:val="28"/>
          <w:szCs w:val="28"/>
        </w:rPr>
      </w:pPr>
      <w:r>
        <w:rPr>
          <w:sz w:val="28"/>
          <w:szCs w:val="28"/>
        </w:rPr>
        <w:t xml:space="preserve">K1-0.1269  </w:t>
      </w:r>
    </w:p>
    <w:p>
      <w:pPr>
        <w:pStyle w:val="143"/>
        <w:spacing w:before="31" w:after="31"/>
        <w:ind w:left="480" w:firstLine="840" w:firstLineChars="300"/>
        <w:rPr>
          <w:rFonts w:hint="default"/>
          <w:sz w:val="28"/>
          <w:szCs w:val="28"/>
        </w:rPr>
      </w:pPr>
      <w:r>
        <w:rPr>
          <w:sz w:val="28"/>
          <w:szCs w:val="28"/>
        </w:rPr>
        <w:t xml:space="preserve">K2-0.0005130 20℃时，S=0.13716； </w:t>
      </w:r>
    </w:p>
    <w:p>
      <w:pPr>
        <w:pStyle w:val="143"/>
        <w:spacing w:before="31" w:after="31"/>
        <w:ind w:left="480"/>
        <w:rPr>
          <w:rFonts w:hint="default"/>
          <w:sz w:val="28"/>
          <w:szCs w:val="28"/>
        </w:rPr>
      </w:pPr>
      <w:r>
        <w:rPr>
          <w:sz w:val="28"/>
          <w:szCs w:val="28"/>
        </w:rPr>
        <w:t xml:space="preserve">（3）灭火剂设计用量：  </w:t>
      </w:r>
    </w:p>
    <w:p>
      <w:pPr>
        <w:pStyle w:val="143"/>
        <w:spacing w:before="31" w:after="31"/>
        <w:ind w:left="480"/>
        <w:rPr>
          <w:rFonts w:hint="default"/>
          <w:sz w:val="28"/>
          <w:szCs w:val="28"/>
        </w:rPr>
      </w:pPr>
      <w:r>
        <w:rPr>
          <w:sz w:val="28"/>
          <w:szCs w:val="28"/>
        </w:rPr>
        <w:t>机房：</w:t>
      </w:r>
    </w:p>
    <w:p>
      <w:pPr>
        <w:pStyle w:val="143"/>
        <w:spacing w:before="31" w:after="31"/>
        <w:ind w:left="480"/>
        <w:rPr>
          <w:rFonts w:hint="default"/>
          <w:sz w:val="28"/>
          <w:szCs w:val="28"/>
        </w:rPr>
      </w:pPr>
      <w:r>
        <w:rPr>
          <w:sz w:val="28"/>
          <w:szCs w:val="28"/>
        </w:rPr>
        <w:t xml:space="preserve">W（机房） = K×（V／Ｓ）×[C／（100－C）]  </w:t>
      </w:r>
    </w:p>
    <w:p>
      <w:pPr>
        <w:pStyle w:val="143"/>
        <w:spacing w:before="31" w:after="31"/>
        <w:ind w:left="480"/>
        <w:rPr>
          <w:rFonts w:hint="default"/>
          <w:sz w:val="28"/>
          <w:szCs w:val="28"/>
        </w:rPr>
      </w:pPr>
      <w:r>
        <w:rPr>
          <w:sz w:val="28"/>
          <w:szCs w:val="28"/>
        </w:rPr>
        <w:t>=1×(1165.5/0.13716)×[8/(100-8)] =738.90KG</w:t>
      </w:r>
    </w:p>
    <w:p>
      <w:pPr>
        <w:pStyle w:val="143"/>
        <w:spacing w:before="31" w:after="31"/>
        <w:ind w:left="480"/>
        <w:rPr>
          <w:rFonts w:hint="default"/>
          <w:sz w:val="28"/>
          <w:szCs w:val="28"/>
        </w:rPr>
      </w:pPr>
      <w:r>
        <w:rPr>
          <w:sz w:val="28"/>
          <w:szCs w:val="28"/>
        </w:rPr>
        <w:t>配电室：</w:t>
      </w:r>
    </w:p>
    <w:p>
      <w:pPr>
        <w:pStyle w:val="143"/>
        <w:spacing w:before="31" w:after="31"/>
        <w:ind w:left="480"/>
        <w:rPr>
          <w:rFonts w:hint="default"/>
          <w:sz w:val="28"/>
          <w:szCs w:val="28"/>
        </w:rPr>
      </w:pPr>
      <w:r>
        <w:rPr>
          <w:sz w:val="28"/>
          <w:szCs w:val="28"/>
        </w:rPr>
        <w:t>W（配电室）=1×（407／0.13716）×[8／(100-8)]=258.03KG</w:t>
      </w:r>
    </w:p>
    <w:p>
      <w:pPr>
        <w:pStyle w:val="143"/>
        <w:spacing w:before="31" w:after="31"/>
        <w:ind w:left="480"/>
        <w:rPr>
          <w:rFonts w:hint="default"/>
          <w:sz w:val="28"/>
          <w:szCs w:val="28"/>
        </w:rPr>
      </w:pPr>
      <w:r>
        <w:rPr>
          <w:sz w:val="28"/>
          <w:szCs w:val="28"/>
        </w:rPr>
        <w:t>W（机房）+ W（配电室）=996.93KG</w:t>
      </w:r>
    </w:p>
    <w:p>
      <w:pPr>
        <w:pStyle w:val="143"/>
        <w:spacing w:before="31" w:after="31"/>
        <w:ind w:left="480"/>
        <w:rPr>
          <w:rFonts w:hint="default"/>
          <w:sz w:val="28"/>
          <w:szCs w:val="28"/>
        </w:rPr>
      </w:pPr>
      <w:r>
        <w:rPr>
          <w:sz w:val="28"/>
          <w:szCs w:val="28"/>
        </w:rPr>
        <w:t>本项目拟配置1000KG。</w:t>
      </w:r>
    </w:p>
    <w:p>
      <w:pPr>
        <w:spacing w:before="156" w:beforeLines="50" w:after="156" w:afterLines="50"/>
        <w:ind w:firstLine="480"/>
        <w:rPr>
          <w:rFonts w:ascii="宋体" w:hAnsi="宋体" w:cs="宋体"/>
          <w:sz w:val="28"/>
          <w:szCs w:val="28"/>
        </w:rPr>
      </w:pPr>
    </w:p>
    <w:p>
      <w:pPr>
        <w:spacing w:before="156" w:beforeLines="50" w:after="156" w:afterLines="50"/>
        <w:ind w:firstLine="480"/>
      </w:pPr>
      <w:r>
        <w:rPr>
          <w:rFonts w:hint="eastAsia" w:ascii="宋体" w:hAnsi="宋体" w:cs="宋体"/>
          <w:sz w:val="28"/>
          <w:szCs w:val="28"/>
        </w:rPr>
        <w:t>本项目机房未来作为全院的核心机房，规划承载所有的科研数据与医疗数据；规划建设 6 套科研大数据/防治/项目平台，数据量存储达到 2PB 以上；医院一期大楼 600 床位，机房共 21 个机柜目前已用满，二期大楼承担国家国家重点实验室南方实验室、国家心血管疾病临床研究中心•深圳的重点科研任务， 未来三期建成后全院共 1600 床位，根据一期机房承载量与此业务规划测算得出本次项目需建设 54个机柜</w:t>
      </w:r>
      <w:r>
        <w:rPr>
          <w:rFonts w:hint="eastAsia"/>
        </w:rPr>
        <w:t>。</w:t>
      </w:r>
    </w:p>
    <w:p>
      <w:pPr>
        <w:pStyle w:val="3"/>
        <w:spacing w:before="240"/>
      </w:pPr>
      <w:r>
        <w:rPr>
          <w:rFonts w:hint="eastAsia"/>
        </w:rPr>
        <w:t>选型要求</w:t>
      </w:r>
    </w:p>
    <w:p>
      <w:pPr>
        <w:spacing w:before="156" w:beforeLines="50" w:after="156" w:afterLines="50"/>
        <w:ind w:firstLine="480"/>
        <w:rPr>
          <w:rFonts w:ascii="宋体" w:hAnsi="宋体" w:cs="宋体"/>
          <w:sz w:val="28"/>
          <w:szCs w:val="28"/>
        </w:rPr>
      </w:pPr>
      <w:r>
        <w:rPr>
          <w:rFonts w:hint="eastAsia" w:ascii="宋体" w:hAnsi="宋体" w:cs="宋体"/>
          <w:sz w:val="28"/>
          <w:szCs w:val="28"/>
        </w:rPr>
        <w:t>机柜系统是整个 IT 系统的基础，用户的 IT 设备都是安装在机柜里面的。</w:t>
      </w:r>
    </w:p>
    <w:p>
      <w:pPr>
        <w:spacing w:before="156" w:beforeLines="50" w:after="156" w:afterLines="50"/>
        <w:ind w:firstLine="480"/>
        <w:rPr>
          <w:rFonts w:ascii="宋体" w:hAnsi="宋体" w:cs="宋体"/>
          <w:sz w:val="28"/>
          <w:szCs w:val="28"/>
        </w:rPr>
      </w:pPr>
      <w:r>
        <w:rPr>
          <w:rFonts w:hint="eastAsia" w:ascii="宋体" w:hAnsi="宋体" w:cs="宋体"/>
          <w:sz w:val="28"/>
          <w:szCs w:val="28"/>
        </w:rPr>
        <w:t>IT 系统能否正常安装、连接、运行、扩容与管理，都与机柜系统有直接的关系。机柜系统必须符合 EIA － 310 － D 国际机柜标准， 服务器机柜为 19 英寸（600mm 宽），而不能是其他非标准宽度。</w:t>
      </w:r>
    </w:p>
    <w:p>
      <w:pPr>
        <w:spacing w:before="156" w:beforeLines="50" w:after="156" w:afterLines="50"/>
        <w:ind w:firstLine="480"/>
        <w:rPr>
          <w:rFonts w:ascii="宋体" w:hAnsi="宋体" w:cs="宋体"/>
          <w:sz w:val="28"/>
          <w:szCs w:val="28"/>
        </w:rPr>
      </w:pPr>
      <w:r>
        <w:rPr>
          <w:rFonts w:hint="eastAsia" w:ascii="宋体" w:hAnsi="宋体" w:cs="宋体"/>
          <w:sz w:val="28"/>
          <w:szCs w:val="28"/>
        </w:rPr>
        <w:t>随着多核 CPU 的普及，刀片服务器的大量应用、云计算和虚拟化技术的应用以及高密度核心交换机和以太网供电技术的不断发展，新一代机房基础设施的建设越来越重视关键设备产品和新技术应用。机房的发展也从关注“机房空间”升级到“关注机柜空间”，倡导“机柜就是数据中心”的最新理念。</w:t>
      </w:r>
    </w:p>
    <w:p>
      <w:pPr>
        <w:spacing w:before="156" w:beforeLines="50" w:after="156" w:afterLines="50"/>
        <w:ind w:firstLine="480"/>
        <w:rPr>
          <w:rFonts w:ascii="宋体" w:hAnsi="宋体" w:cs="宋体"/>
          <w:sz w:val="28"/>
          <w:szCs w:val="28"/>
        </w:rPr>
      </w:pPr>
      <w:r>
        <w:rPr>
          <w:rFonts w:hint="eastAsia" w:ascii="宋体" w:hAnsi="宋体" w:cs="宋体"/>
          <w:sz w:val="28"/>
          <w:szCs w:val="28"/>
        </w:rPr>
        <w:t xml:space="preserve">现代机房对机柜的要求提出了新的要求： </w:t>
      </w:r>
    </w:p>
    <w:p>
      <w:pPr>
        <w:spacing w:before="156" w:beforeLines="50" w:after="156" w:afterLines="50"/>
        <w:ind w:firstLine="480"/>
        <w:rPr>
          <w:rFonts w:ascii="宋体" w:hAnsi="宋体" w:cs="宋体"/>
          <w:sz w:val="28"/>
          <w:szCs w:val="28"/>
        </w:rPr>
      </w:pPr>
      <w:r>
        <w:rPr>
          <w:rFonts w:hint="eastAsia" w:ascii="宋体" w:hAnsi="宋体" w:cs="宋体"/>
          <w:sz w:val="28"/>
          <w:szCs w:val="28"/>
        </w:rPr>
        <w:t>兼容性要求</w:t>
      </w:r>
    </w:p>
    <w:p>
      <w:pPr>
        <w:spacing w:before="156" w:beforeLines="50" w:after="156" w:afterLines="50"/>
        <w:ind w:firstLine="480"/>
        <w:rPr>
          <w:rFonts w:ascii="宋体" w:hAnsi="宋体" w:cs="宋体"/>
          <w:sz w:val="28"/>
          <w:szCs w:val="28"/>
        </w:rPr>
      </w:pPr>
      <w:r>
        <w:rPr>
          <w:rFonts w:hint="eastAsia" w:ascii="宋体" w:hAnsi="宋体" w:cs="宋体"/>
          <w:sz w:val="28"/>
          <w:szCs w:val="28"/>
        </w:rPr>
        <w:t>现代机房所安装的机柜必须能够安装主流的服务器设备。机柜不仅要满足EIA-310-D 国际标准，而且随着 IT 技术的不断发展，机柜的深度也越来越长， 还得匹配未来增加冷通道组件。</w:t>
      </w:r>
    </w:p>
    <w:p>
      <w:pPr>
        <w:spacing w:before="156" w:beforeLines="50" w:after="156" w:afterLines="50"/>
        <w:ind w:firstLine="480"/>
        <w:rPr>
          <w:rFonts w:ascii="宋体" w:hAnsi="宋体" w:cs="宋体"/>
          <w:sz w:val="28"/>
          <w:szCs w:val="28"/>
        </w:rPr>
      </w:pPr>
      <w:r>
        <w:rPr>
          <w:rFonts w:hint="eastAsia" w:ascii="宋体" w:hAnsi="宋体" w:cs="宋体"/>
          <w:sz w:val="28"/>
          <w:szCs w:val="28"/>
        </w:rPr>
        <w:t>承重及使用方便性要求</w:t>
      </w:r>
    </w:p>
    <w:p>
      <w:pPr>
        <w:spacing w:before="156" w:beforeLines="50" w:after="156" w:afterLines="50"/>
        <w:ind w:firstLine="480"/>
        <w:rPr>
          <w:rFonts w:ascii="宋体" w:hAnsi="宋体" w:cs="宋体"/>
          <w:sz w:val="28"/>
          <w:szCs w:val="28"/>
        </w:rPr>
      </w:pPr>
      <w:r>
        <w:rPr>
          <w:rFonts w:hint="eastAsia" w:ascii="宋体" w:hAnsi="宋体" w:cs="宋体"/>
          <w:sz w:val="28"/>
          <w:szCs w:val="28"/>
        </w:rPr>
        <w:t>服务器机架化、刀片化的趋势使得机柜内可以存放更多的 IT 设备，机房的生命周期内，从初期低密度（只有少量服务器设备）到后期中高密度（服务器设备越来越多），这就对机柜的承重提出了更高的要求。同时，还需要安装方便，维护简单。</w:t>
      </w:r>
    </w:p>
    <w:p>
      <w:pPr>
        <w:spacing w:before="156" w:beforeLines="50" w:after="156" w:afterLines="50"/>
        <w:ind w:firstLine="480"/>
        <w:rPr>
          <w:rFonts w:ascii="宋体" w:hAnsi="宋体" w:cs="宋体"/>
          <w:sz w:val="28"/>
          <w:szCs w:val="28"/>
        </w:rPr>
      </w:pPr>
      <w:r>
        <w:rPr>
          <w:rFonts w:hint="eastAsia" w:ascii="宋体" w:hAnsi="宋体" w:cs="宋体"/>
          <w:sz w:val="28"/>
          <w:szCs w:val="28"/>
        </w:rPr>
        <w:t>高密度散热要求</w:t>
      </w:r>
    </w:p>
    <w:p>
      <w:pPr>
        <w:spacing w:before="156" w:beforeLines="50" w:after="156" w:afterLines="50"/>
        <w:ind w:firstLine="480"/>
        <w:rPr>
          <w:rFonts w:ascii="宋体" w:hAnsi="宋体" w:cs="宋体"/>
          <w:sz w:val="28"/>
          <w:szCs w:val="28"/>
        </w:rPr>
      </w:pPr>
      <w:r>
        <w:rPr>
          <w:rFonts w:hint="eastAsia" w:ascii="宋体" w:hAnsi="宋体" w:cs="宋体"/>
          <w:sz w:val="28"/>
          <w:szCs w:val="28"/>
        </w:rPr>
        <w:t>机房采用刀片式服务器、虚拟化技术和云计算技术的应用是 IT 技术发展的新趋势。服务器越来越薄，越来越长，单个机柜存放的服务器数量越来越多。</w:t>
      </w:r>
    </w:p>
    <w:p>
      <w:pPr>
        <w:spacing w:before="156" w:beforeLines="50" w:after="156" w:afterLines="50"/>
        <w:ind w:firstLine="480"/>
        <w:rPr>
          <w:rFonts w:ascii="宋体" w:hAnsi="宋体" w:cs="宋体"/>
          <w:sz w:val="28"/>
          <w:szCs w:val="28"/>
        </w:rPr>
      </w:pPr>
      <w:r>
        <w:rPr>
          <w:rFonts w:hint="eastAsia" w:ascii="宋体" w:hAnsi="宋体" w:cs="宋体"/>
          <w:sz w:val="28"/>
          <w:szCs w:val="28"/>
        </w:rPr>
        <w:t>原先 42U 的机柜可以存放的服务器高达可达 30U，这样就使得服务器机柜的功率密度越来越大，单个机柜的功率密度最高可达 7kW，机柜内部就容易形成“局部热点”。而且虚拟化技术还会使得不同的服务器在不同的时间段时运行效率提高，产生的热点也会随着时间而漂移。如何解决机柜内部的热点和热点漂移问题，保证机柜内的关键设备在正常的环境下运行问题也就成为了现代机房对机柜的新要求。</w:t>
      </w:r>
    </w:p>
    <w:p>
      <w:pPr>
        <w:spacing w:before="156" w:beforeLines="50" w:after="156" w:afterLines="50"/>
        <w:ind w:firstLine="480"/>
        <w:rPr>
          <w:rFonts w:ascii="宋体" w:hAnsi="宋体" w:cs="宋体"/>
          <w:sz w:val="28"/>
          <w:szCs w:val="28"/>
        </w:rPr>
      </w:pPr>
      <w:r>
        <w:rPr>
          <w:rFonts w:hint="eastAsia" w:ascii="宋体" w:hAnsi="宋体" w:cs="宋体"/>
          <w:sz w:val="28"/>
          <w:szCs w:val="28"/>
        </w:rPr>
        <w:t>机柜内的关键设备的配电要求</w:t>
      </w:r>
    </w:p>
    <w:p>
      <w:pPr>
        <w:spacing w:before="156" w:beforeLines="50" w:after="156" w:afterLines="50"/>
        <w:ind w:firstLine="480"/>
        <w:rPr>
          <w:rFonts w:ascii="宋体" w:hAnsi="宋体" w:cs="宋体"/>
          <w:sz w:val="28"/>
          <w:szCs w:val="28"/>
        </w:rPr>
      </w:pPr>
      <w:r>
        <w:rPr>
          <w:rFonts w:hint="eastAsia" w:ascii="宋体" w:hAnsi="宋体" w:cs="宋体"/>
          <w:sz w:val="28"/>
          <w:szCs w:val="28"/>
        </w:rPr>
        <w:t>现在，服务器设备己经越来越多地使用双电源，甚至是三电源，机柜内的服务器设备也越来越多，单个机柜的电源线可达 30-50 条，单个机柜的功率可达 5-7kW。如何保证机柜的配电，也是新一代机房对机柜提出的要求。</w:t>
      </w:r>
    </w:p>
    <w:p>
      <w:pPr>
        <w:pStyle w:val="3"/>
        <w:spacing w:before="240"/>
      </w:pPr>
      <w:r>
        <w:rPr>
          <w:rFonts w:hint="eastAsia"/>
        </w:rPr>
        <w:t xml:space="preserve">机柜及 </w:t>
      </w:r>
      <w:r>
        <w:t xml:space="preserve">PDU </w:t>
      </w:r>
      <w:r>
        <w:rPr>
          <w:rFonts w:hint="eastAsia"/>
        </w:rPr>
        <w:t>配置</w:t>
      </w:r>
    </w:p>
    <w:p>
      <w:pPr>
        <w:spacing w:before="156" w:beforeLines="50" w:after="156" w:afterLines="50"/>
        <w:ind w:firstLine="480"/>
        <w:rPr>
          <w:sz w:val="28"/>
          <w:szCs w:val="28"/>
        </w:rPr>
      </w:pPr>
      <w:r>
        <w:rPr>
          <w:rFonts w:hint="eastAsia"/>
          <w:sz w:val="28"/>
          <w:szCs w:val="28"/>
        </w:rPr>
        <w:t>数据机房：根据二期项目机房规划，本项目计划安装</w:t>
      </w:r>
      <w:bookmarkStart w:id="23" w:name="_GoBack"/>
      <w:r>
        <w:rPr>
          <w:rFonts w:hint="eastAsia"/>
          <w:sz w:val="28"/>
          <w:szCs w:val="28"/>
          <w:lang w:val="en-US" w:eastAsia="zh-CN"/>
        </w:rPr>
        <w:t>54</w:t>
      </w:r>
      <w:bookmarkEnd w:id="23"/>
      <w:r>
        <w:rPr>
          <w:rFonts w:hint="eastAsia"/>
          <w:sz w:val="28"/>
          <w:szCs w:val="28"/>
        </w:rPr>
        <w:t>个机柜，且保证机柜在未来机房使用能够与冷通道系统相匹配，机柜规格要求：</w:t>
      </w:r>
      <w:r>
        <w:rPr>
          <w:sz w:val="28"/>
          <w:szCs w:val="28"/>
        </w:rPr>
        <w:t>600mm</w:t>
      </w:r>
      <w:r>
        <w:rPr>
          <w:rFonts w:hint="eastAsia"/>
          <w:sz w:val="28"/>
          <w:szCs w:val="28"/>
        </w:rPr>
        <w:t>×</w:t>
      </w:r>
      <w:r>
        <w:rPr>
          <w:sz w:val="28"/>
          <w:szCs w:val="28"/>
        </w:rPr>
        <w:t>1200mm</w:t>
      </w:r>
      <w:r>
        <w:rPr>
          <w:rFonts w:hint="eastAsia"/>
          <w:sz w:val="28"/>
          <w:szCs w:val="28"/>
        </w:rPr>
        <w:t>×</w:t>
      </w:r>
      <w:r>
        <w:rPr>
          <w:sz w:val="28"/>
          <w:szCs w:val="28"/>
        </w:rPr>
        <w:t>2000mm</w:t>
      </w:r>
      <w:r>
        <w:rPr>
          <w:rFonts w:hint="eastAsia"/>
          <w:sz w:val="28"/>
          <w:szCs w:val="28"/>
        </w:rPr>
        <w:t>；</w:t>
      </w:r>
    </w:p>
    <w:p>
      <w:pPr>
        <w:spacing w:before="156" w:beforeLines="50" w:after="156" w:afterLines="50"/>
        <w:ind w:firstLine="480"/>
        <w:rPr>
          <w:sz w:val="28"/>
          <w:szCs w:val="28"/>
        </w:rPr>
      </w:pPr>
      <w:r>
        <w:rPr>
          <w:rFonts w:hint="eastAsia"/>
          <w:sz w:val="28"/>
          <w:szCs w:val="28"/>
        </w:rPr>
        <w:t>PDU 配置：数据机房每个机柜配置 2 条 PDU。技术要求：32A 输入，GB 接口电源插座，10A 的 20 个口，16A 的 4 个口；</w:t>
      </w:r>
    </w:p>
    <w:p>
      <w:pPr>
        <w:spacing w:before="156" w:beforeLines="50" w:after="156" w:afterLines="50"/>
        <w:ind w:firstLine="480"/>
        <w:rPr>
          <w:sz w:val="28"/>
          <w:szCs w:val="28"/>
        </w:rPr>
      </w:pPr>
      <w:r>
        <w:rPr>
          <w:rFonts w:hint="eastAsia"/>
          <w:sz w:val="28"/>
          <w:szCs w:val="28"/>
        </w:rPr>
        <w:t>机柜基本结构：</w:t>
      </w:r>
    </w:p>
    <w:p>
      <w:pPr>
        <w:numPr>
          <w:ilvl w:val="0"/>
          <w:numId w:val="9"/>
        </w:numPr>
        <w:spacing w:before="156" w:beforeLines="50" w:after="156" w:afterLines="50"/>
        <w:ind w:firstLine="480"/>
        <w:rPr>
          <w:sz w:val="28"/>
          <w:szCs w:val="28"/>
        </w:rPr>
      </w:pPr>
      <w:r>
        <w:rPr>
          <w:rFonts w:hint="eastAsia"/>
          <w:sz w:val="28"/>
          <w:szCs w:val="28"/>
        </w:rPr>
        <w:t>符合国内标准。</w:t>
      </w:r>
    </w:p>
    <w:p>
      <w:pPr>
        <w:numPr>
          <w:ilvl w:val="0"/>
          <w:numId w:val="9"/>
        </w:numPr>
        <w:spacing w:before="156" w:beforeLines="50" w:after="156" w:afterLines="50"/>
        <w:ind w:firstLine="480"/>
        <w:rPr>
          <w:sz w:val="28"/>
          <w:szCs w:val="28"/>
        </w:rPr>
      </w:pPr>
      <w:r>
        <w:rPr>
          <w:rFonts w:hint="eastAsia"/>
          <w:sz w:val="28"/>
          <w:szCs w:val="28"/>
        </w:rPr>
        <w:t>机柜颜色为黑色。</w:t>
      </w:r>
    </w:p>
    <w:p>
      <w:pPr>
        <w:numPr>
          <w:ilvl w:val="0"/>
          <w:numId w:val="9"/>
        </w:numPr>
        <w:spacing w:before="156" w:beforeLines="50" w:after="156" w:afterLines="50"/>
        <w:ind w:firstLine="480"/>
        <w:rPr>
          <w:sz w:val="28"/>
          <w:szCs w:val="28"/>
        </w:rPr>
      </w:pPr>
      <w:r>
        <w:rPr>
          <w:rFonts w:hint="eastAsia"/>
          <w:sz w:val="28"/>
          <w:szCs w:val="28"/>
        </w:rPr>
        <w:t xml:space="preserve">采用高强度 </w:t>
      </w:r>
      <w:r>
        <w:rPr>
          <w:sz w:val="28"/>
          <w:szCs w:val="28"/>
        </w:rPr>
        <w:t xml:space="preserve">A </w:t>
      </w:r>
      <w:r>
        <w:rPr>
          <w:rFonts w:hint="eastAsia"/>
          <w:sz w:val="28"/>
          <w:szCs w:val="28"/>
        </w:rPr>
        <w:t xml:space="preserve">级优质碳素冷轧钢板和镀锌板。机柜表面喷涂喷粉厚度应不小于 </w:t>
      </w:r>
      <w:r>
        <w:rPr>
          <w:sz w:val="28"/>
          <w:szCs w:val="28"/>
        </w:rPr>
        <w:t>60</w:t>
      </w:r>
      <w:r>
        <w:rPr>
          <w:rFonts w:hint="eastAsia"/>
          <w:sz w:val="28"/>
          <w:szCs w:val="28"/>
        </w:rPr>
        <w:t>μ</w:t>
      </w:r>
      <w:r>
        <w:rPr>
          <w:sz w:val="28"/>
          <w:szCs w:val="28"/>
        </w:rPr>
        <w:t>m</w:t>
      </w:r>
      <w:r>
        <w:rPr>
          <w:rFonts w:hint="eastAsia"/>
          <w:sz w:val="28"/>
          <w:szCs w:val="28"/>
        </w:rPr>
        <w:t>，采用黑色砂纹工艺，满足防腐、防锈、光洁、色泽均匀、无流挂、不露底、无起泡、无裂纹、金属件无毛刺锈蚀要求。</w:t>
      </w:r>
    </w:p>
    <w:p>
      <w:pPr>
        <w:numPr>
          <w:ilvl w:val="0"/>
          <w:numId w:val="9"/>
        </w:numPr>
        <w:spacing w:before="156" w:beforeLines="50" w:after="156" w:afterLines="50"/>
        <w:ind w:firstLine="480"/>
        <w:rPr>
          <w:sz w:val="28"/>
          <w:szCs w:val="28"/>
        </w:rPr>
      </w:pPr>
      <w:r>
        <w:rPr>
          <w:rFonts w:hint="eastAsia"/>
          <w:sz w:val="28"/>
          <w:szCs w:val="28"/>
        </w:rPr>
        <w:t>机柜龙门框，可支持膨胀螺拴（地面）或螺栓（底座）固定安装。</w:t>
      </w:r>
    </w:p>
    <w:p>
      <w:pPr>
        <w:numPr>
          <w:ilvl w:val="0"/>
          <w:numId w:val="9"/>
        </w:numPr>
        <w:spacing w:before="156" w:beforeLines="50" w:after="156" w:afterLines="50"/>
        <w:ind w:firstLine="480"/>
        <w:rPr>
          <w:sz w:val="28"/>
          <w:szCs w:val="28"/>
        </w:rPr>
      </w:pPr>
      <w:r>
        <w:rPr>
          <w:rFonts w:hint="eastAsia"/>
          <w:sz w:val="28"/>
          <w:szCs w:val="28"/>
        </w:rPr>
        <w:t xml:space="preserve">机柜内部不少于 </w:t>
      </w:r>
      <w:r>
        <w:rPr>
          <w:sz w:val="28"/>
          <w:szCs w:val="28"/>
        </w:rPr>
        <w:t xml:space="preserve">4 </w:t>
      </w:r>
      <w:r>
        <w:rPr>
          <w:rFonts w:hint="eastAsia"/>
          <w:sz w:val="28"/>
          <w:szCs w:val="28"/>
        </w:rPr>
        <w:t xml:space="preserve">根方孔条，用于安装设备和固定层板。前后方孔条之间距离可支持按照 </w:t>
      </w:r>
      <w:r>
        <w:rPr>
          <w:sz w:val="28"/>
          <w:szCs w:val="28"/>
        </w:rPr>
        <w:t xml:space="preserve">25mm </w:t>
      </w:r>
      <w:r>
        <w:rPr>
          <w:rFonts w:hint="eastAsia"/>
          <w:sz w:val="28"/>
          <w:szCs w:val="28"/>
        </w:rPr>
        <w:t xml:space="preserve">步距灵活调节，有具体 </w:t>
      </w:r>
      <w:r>
        <w:rPr>
          <w:sz w:val="28"/>
          <w:szCs w:val="28"/>
        </w:rPr>
        <w:t xml:space="preserve">U </w:t>
      </w:r>
      <w:r>
        <w:rPr>
          <w:rFonts w:hint="eastAsia"/>
          <w:sz w:val="28"/>
          <w:szCs w:val="28"/>
        </w:rPr>
        <w:t>数标示。</w:t>
      </w:r>
    </w:p>
    <w:p>
      <w:pPr>
        <w:numPr>
          <w:ilvl w:val="0"/>
          <w:numId w:val="9"/>
        </w:numPr>
        <w:spacing w:before="156" w:beforeLines="50" w:after="156" w:afterLines="50"/>
        <w:ind w:firstLine="480"/>
        <w:rPr>
          <w:sz w:val="28"/>
          <w:szCs w:val="28"/>
        </w:rPr>
      </w:pPr>
      <w:r>
        <w:rPr>
          <w:rFonts w:hint="eastAsia"/>
          <w:sz w:val="28"/>
          <w:szCs w:val="28"/>
        </w:rPr>
        <w:t xml:space="preserve">机柜非承重部件板厚度不小于 </w:t>
      </w:r>
      <w:r>
        <w:rPr>
          <w:sz w:val="28"/>
          <w:szCs w:val="28"/>
        </w:rPr>
        <w:t>1.0mm</w:t>
      </w:r>
      <w:r>
        <w:rPr>
          <w:rFonts w:hint="eastAsia"/>
          <w:sz w:val="28"/>
          <w:szCs w:val="28"/>
        </w:rPr>
        <w:t xml:space="preserve">，承重部件板厚度不小于 </w:t>
      </w:r>
      <w:r>
        <w:rPr>
          <w:sz w:val="28"/>
          <w:szCs w:val="28"/>
        </w:rPr>
        <w:t>1.5mm</w:t>
      </w:r>
      <w:r>
        <w:rPr>
          <w:rFonts w:hint="eastAsia"/>
          <w:sz w:val="28"/>
          <w:szCs w:val="28"/>
        </w:rPr>
        <w:t>。</w:t>
      </w:r>
    </w:p>
    <w:p>
      <w:pPr>
        <w:numPr>
          <w:ilvl w:val="0"/>
          <w:numId w:val="9"/>
        </w:numPr>
        <w:spacing w:before="156" w:beforeLines="50" w:after="156" w:afterLines="50"/>
        <w:ind w:firstLine="480"/>
        <w:rPr>
          <w:sz w:val="28"/>
          <w:szCs w:val="28"/>
        </w:rPr>
      </w:pPr>
      <w:r>
        <w:rPr>
          <w:rFonts w:hint="eastAsia"/>
          <w:sz w:val="28"/>
          <w:szCs w:val="28"/>
        </w:rPr>
        <w:t xml:space="preserve">要求静态承载能力不小于 </w:t>
      </w:r>
      <w:r>
        <w:rPr>
          <w:sz w:val="28"/>
          <w:szCs w:val="28"/>
        </w:rPr>
        <w:t>1800kg</w:t>
      </w:r>
      <w:r>
        <w:rPr>
          <w:rFonts w:hint="eastAsia"/>
          <w:sz w:val="28"/>
          <w:szCs w:val="28"/>
        </w:rPr>
        <w:t>。</w:t>
      </w:r>
    </w:p>
    <w:p>
      <w:pPr>
        <w:numPr>
          <w:ilvl w:val="0"/>
          <w:numId w:val="9"/>
        </w:numPr>
        <w:spacing w:before="156" w:beforeLines="50" w:after="156" w:afterLines="50"/>
        <w:ind w:firstLine="480"/>
        <w:rPr>
          <w:sz w:val="28"/>
          <w:szCs w:val="28"/>
        </w:rPr>
      </w:pPr>
      <w:r>
        <w:rPr>
          <w:rFonts w:hint="eastAsia"/>
          <w:sz w:val="28"/>
          <w:szCs w:val="28"/>
        </w:rPr>
        <w:t xml:space="preserve">机柜前后门均为通风网孔门，通风率 </w:t>
      </w:r>
      <w:r>
        <w:rPr>
          <w:sz w:val="28"/>
          <w:szCs w:val="28"/>
        </w:rPr>
        <w:t>70%</w:t>
      </w:r>
      <w:r>
        <w:rPr>
          <w:rFonts w:hint="eastAsia"/>
          <w:sz w:val="28"/>
          <w:szCs w:val="28"/>
        </w:rPr>
        <w:t>。</w:t>
      </w:r>
    </w:p>
    <w:p>
      <w:pPr>
        <w:numPr>
          <w:ilvl w:val="0"/>
          <w:numId w:val="9"/>
        </w:numPr>
        <w:spacing w:before="156" w:beforeLines="50" w:after="156" w:afterLines="50"/>
        <w:ind w:firstLine="480"/>
        <w:rPr>
          <w:sz w:val="28"/>
          <w:szCs w:val="28"/>
        </w:rPr>
      </w:pPr>
      <w:r>
        <w:rPr>
          <w:rFonts w:hint="eastAsia"/>
          <w:sz w:val="28"/>
          <w:szCs w:val="28"/>
        </w:rPr>
        <w:t xml:space="preserve">按照标准 </w:t>
      </w:r>
      <w:r>
        <w:rPr>
          <w:sz w:val="28"/>
          <w:szCs w:val="28"/>
        </w:rPr>
        <w:t>YD5083-2005</w:t>
      </w:r>
      <w:r>
        <w:rPr>
          <w:rFonts w:hint="eastAsia"/>
          <w:sz w:val="28"/>
          <w:szCs w:val="28"/>
        </w:rPr>
        <w:t>《电信设备抗地震性能检测规范》要求，带载</w:t>
      </w:r>
    </w:p>
    <w:p>
      <w:pPr>
        <w:numPr>
          <w:ilvl w:val="0"/>
          <w:numId w:val="9"/>
        </w:numPr>
        <w:spacing w:before="156" w:beforeLines="50" w:after="156" w:afterLines="50"/>
        <w:ind w:firstLine="480"/>
        <w:rPr>
          <w:sz w:val="28"/>
          <w:szCs w:val="28"/>
        </w:rPr>
      </w:pPr>
      <w:r>
        <w:rPr>
          <w:sz w:val="28"/>
          <w:szCs w:val="28"/>
        </w:rPr>
        <w:t xml:space="preserve">500kg </w:t>
      </w:r>
      <w:r>
        <w:rPr>
          <w:rFonts w:hint="eastAsia"/>
          <w:sz w:val="28"/>
          <w:szCs w:val="28"/>
        </w:rPr>
        <w:t xml:space="preserve">测试连续通过 </w:t>
      </w:r>
      <w:r>
        <w:rPr>
          <w:sz w:val="28"/>
          <w:szCs w:val="28"/>
        </w:rPr>
        <w:t>8</w:t>
      </w:r>
      <w:r>
        <w:rPr>
          <w:rFonts w:hint="eastAsia"/>
          <w:sz w:val="28"/>
          <w:szCs w:val="28"/>
        </w:rPr>
        <w:t>、</w:t>
      </w:r>
      <w:r>
        <w:rPr>
          <w:sz w:val="28"/>
          <w:szCs w:val="28"/>
        </w:rPr>
        <w:t xml:space="preserve">9 </w:t>
      </w:r>
      <w:r>
        <w:rPr>
          <w:rFonts w:hint="eastAsia"/>
          <w:sz w:val="28"/>
          <w:szCs w:val="28"/>
        </w:rPr>
        <w:t>级烈度结构抗地震考核。</w:t>
      </w:r>
    </w:p>
    <w:p>
      <w:pPr>
        <w:numPr>
          <w:ilvl w:val="0"/>
          <w:numId w:val="9"/>
        </w:numPr>
        <w:spacing w:before="156" w:beforeLines="50" w:after="156" w:afterLines="50"/>
        <w:ind w:firstLine="480"/>
        <w:rPr>
          <w:sz w:val="28"/>
          <w:szCs w:val="28"/>
        </w:rPr>
      </w:pPr>
      <w:r>
        <w:rPr>
          <w:rFonts w:hint="eastAsia"/>
          <w:sz w:val="28"/>
          <w:szCs w:val="28"/>
        </w:rPr>
        <w:t xml:space="preserve">整体防护等级应不小于 </w:t>
      </w:r>
      <w:r>
        <w:rPr>
          <w:sz w:val="28"/>
          <w:szCs w:val="28"/>
        </w:rPr>
        <w:t>IP20</w:t>
      </w:r>
      <w:r>
        <w:rPr>
          <w:rFonts w:hint="eastAsia"/>
          <w:sz w:val="28"/>
          <w:szCs w:val="28"/>
        </w:rPr>
        <w:t>。</w:t>
      </w:r>
    </w:p>
    <w:p>
      <w:pPr>
        <w:numPr>
          <w:ilvl w:val="0"/>
          <w:numId w:val="9"/>
        </w:numPr>
        <w:spacing w:before="156" w:beforeLines="50" w:after="156" w:afterLines="50"/>
        <w:ind w:firstLine="480"/>
        <w:rPr>
          <w:sz w:val="28"/>
          <w:szCs w:val="28"/>
        </w:rPr>
      </w:pPr>
      <w:r>
        <w:rPr>
          <w:rFonts w:hint="eastAsia"/>
          <w:sz w:val="28"/>
          <w:szCs w:val="28"/>
        </w:rPr>
        <w:t>所有面板及附件（除工程安装支架）应支持单独拆卸和拼装功能。</w:t>
      </w:r>
    </w:p>
    <w:p>
      <w:pPr>
        <w:numPr>
          <w:ilvl w:val="0"/>
          <w:numId w:val="9"/>
        </w:numPr>
        <w:spacing w:before="156" w:beforeLines="50" w:after="156" w:afterLines="50"/>
        <w:ind w:firstLine="480"/>
        <w:rPr>
          <w:sz w:val="28"/>
          <w:szCs w:val="28"/>
        </w:rPr>
      </w:pPr>
      <w:r>
        <w:rPr>
          <w:rFonts w:hint="eastAsia"/>
          <w:sz w:val="28"/>
          <w:szCs w:val="28"/>
        </w:rPr>
        <w:t>采用专用的机柜并柜连接件，并柜点设置在机柜门框上，可支持无需拆卸机柜门的情况下实现机柜快速并柜功能。</w:t>
      </w:r>
    </w:p>
    <w:p>
      <w:pPr>
        <w:numPr>
          <w:ilvl w:val="0"/>
          <w:numId w:val="9"/>
        </w:numPr>
        <w:spacing w:before="156" w:beforeLines="50" w:after="156" w:afterLines="50"/>
        <w:ind w:firstLine="480"/>
        <w:rPr>
          <w:sz w:val="28"/>
          <w:szCs w:val="28"/>
        </w:rPr>
      </w:pPr>
      <w:r>
        <w:rPr>
          <w:rFonts w:hint="eastAsia"/>
          <w:sz w:val="28"/>
          <w:szCs w:val="28"/>
        </w:rPr>
        <w:t>机柜可支持带底座安装、水泥地板安装，防静电地板安装。</w:t>
      </w:r>
    </w:p>
    <w:p>
      <w:pPr>
        <w:numPr>
          <w:ilvl w:val="0"/>
          <w:numId w:val="9"/>
        </w:numPr>
        <w:spacing w:before="156" w:beforeLines="50" w:after="156" w:afterLines="50"/>
        <w:ind w:firstLine="480"/>
        <w:rPr>
          <w:sz w:val="28"/>
          <w:szCs w:val="28"/>
        </w:rPr>
      </w:pPr>
      <w:r>
        <w:rPr>
          <w:rFonts w:hint="eastAsia"/>
          <w:sz w:val="28"/>
          <w:szCs w:val="28"/>
        </w:rPr>
        <w:t>机柜接地位于立柱下部或上部，提供全方位接地保护。</w:t>
      </w:r>
    </w:p>
    <w:p>
      <w:pPr>
        <w:numPr>
          <w:ilvl w:val="0"/>
          <w:numId w:val="9"/>
        </w:numPr>
        <w:spacing w:before="156" w:beforeLines="50" w:after="156" w:afterLines="50"/>
        <w:ind w:firstLine="480"/>
        <w:rPr>
          <w:sz w:val="28"/>
          <w:szCs w:val="28"/>
        </w:rPr>
      </w:pPr>
      <w:r>
        <w:rPr>
          <w:rFonts w:hint="eastAsia"/>
          <w:sz w:val="28"/>
          <w:szCs w:val="28"/>
        </w:rPr>
        <w:t xml:space="preserve">机柜单独为 </w:t>
      </w:r>
      <w:r>
        <w:rPr>
          <w:sz w:val="28"/>
          <w:szCs w:val="28"/>
        </w:rPr>
        <w:t xml:space="preserve">PDU </w:t>
      </w:r>
      <w:r>
        <w:rPr>
          <w:rFonts w:hint="eastAsia"/>
          <w:sz w:val="28"/>
          <w:szCs w:val="28"/>
        </w:rPr>
        <w:t>或者配电单元设置接地点。</w:t>
      </w:r>
    </w:p>
    <w:p>
      <w:pPr>
        <w:numPr>
          <w:ilvl w:val="0"/>
          <w:numId w:val="9"/>
        </w:numPr>
        <w:spacing w:before="156" w:beforeLines="50" w:after="156" w:afterLines="50"/>
        <w:ind w:firstLine="480"/>
        <w:rPr>
          <w:sz w:val="28"/>
          <w:szCs w:val="28"/>
        </w:rPr>
      </w:pPr>
      <w:r>
        <w:rPr>
          <w:rFonts w:hint="eastAsia"/>
          <w:sz w:val="28"/>
          <w:szCs w:val="28"/>
        </w:rPr>
        <w:t>机柜可以并列安装，随机应配有并柜连接件。</w:t>
      </w:r>
    </w:p>
    <w:p>
      <w:pPr>
        <w:numPr>
          <w:ilvl w:val="0"/>
          <w:numId w:val="9"/>
        </w:numPr>
        <w:spacing w:before="156" w:beforeLines="50" w:after="156" w:afterLines="50"/>
        <w:ind w:firstLine="480"/>
        <w:rPr>
          <w:sz w:val="28"/>
          <w:szCs w:val="28"/>
        </w:rPr>
      </w:pPr>
      <w:r>
        <w:rPr>
          <w:rFonts w:hint="eastAsia"/>
          <w:sz w:val="28"/>
          <w:szCs w:val="28"/>
        </w:rPr>
        <w:t>机柜底部留有固定孔，实现与地面或者底座连接</w:t>
      </w:r>
    </w:p>
    <w:p>
      <w:pPr>
        <w:pStyle w:val="37"/>
        <w:tabs>
          <w:tab w:val="left" w:pos="1815"/>
        </w:tabs>
        <w:autoSpaceDE w:val="0"/>
        <w:autoSpaceDN w:val="0"/>
        <w:spacing w:before="31" w:after="31" w:line="436" w:lineRule="auto"/>
        <w:ind w:left="35" w:leftChars="-51" w:hanging="142" w:hangingChars="51"/>
        <w:jc w:val="center"/>
        <w:rPr>
          <w:spacing w:val="-11"/>
          <w:sz w:val="28"/>
          <w:szCs w:val="28"/>
        </w:rPr>
      </w:pPr>
      <w:r>
        <w:rPr>
          <w:rFonts w:hint="eastAsia"/>
          <w:sz w:val="28"/>
          <w:szCs w:val="28"/>
        </w:rPr>
        <w:drawing>
          <wp:inline distT="0" distB="0" distL="114300" distR="114300">
            <wp:extent cx="1752600" cy="2781300"/>
            <wp:effectExtent l="0" t="0" r="0" b="0"/>
            <wp:docPr id="30" name="图片 22" descr="https://p1.ssl.qhimg.com/t01f659be7ed909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https://p1.ssl.qhimg.com/t01f659be7ed9098004.jpg"/>
                    <pic:cNvPicPr>
                      <a:picLocks noChangeAspect="1"/>
                    </pic:cNvPicPr>
                  </pic:nvPicPr>
                  <pic:blipFill>
                    <a:blip r:embed="rId12"/>
                    <a:stretch>
                      <a:fillRect/>
                    </a:stretch>
                  </pic:blipFill>
                  <pic:spPr>
                    <a:xfrm>
                      <a:off x="0" y="0"/>
                      <a:ext cx="1752600" cy="2781300"/>
                    </a:xfrm>
                    <a:prstGeom prst="rect">
                      <a:avLst/>
                    </a:prstGeom>
                    <a:noFill/>
                    <a:ln>
                      <a:noFill/>
                    </a:ln>
                  </pic:spPr>
                </pic:pic>
              </a:graphicData>
            </a:graphic>
          </wp:inline>
        </w:drawing>
      </w:r>
    </w:p>
    <w:p>
      <w:pPr>
        <w:autoSpaceDE w:val="0"/>
        <w:autoSpaceDN w:val="0"/>
        <w:spacing w:before="77" w:line="436" w:lineRule="auto"/>
        <w:ind w:left="969" w:right="733" w:firstLine="420"/>
        <w:jc w:val="center"/>
        <w:rPr>
          <w:sz w:val="28"/>
          <w:szCs w:val="28"/>
        </w:rPr>
      </w:pPr>
      <w:r>
        <w:rPr>
          <w:rFonts w:hint="eastAsia" w:ascii="宋体" w:hAnsi="宋体"/>
          <w:sz w:val="28"/>
          <w:szCs w:val="28"/>
          <w:lang w:bidi="ar"/>
        </w:rPr>
        <w:t>微模块机柜图</w:t>
      </w:r>
    </w:p>
    <w:p>
      <w:pPr>
        <w:pStyle w:val="37"/>
        <w:tabs>
          <w:tab w:val="left" w:pos="1815"/>
        </w:tabs>
        <w:autoSpaceDE w:val="0"/>
        <w:autoSpaceDN w:val="0"/>
        <w:spacing w:before="31" w:after="31" w:line="436" w:lineRule="auto"/>
        <w:ind w:left="1814" w:firstLine="436"/>
        <w:jc w:val="center"/>
        <w:rPr>
          <w:spacing w:val="-11"/>
          <w:szCs w:val="22"/>
        </w:rPr>
      </w:pPr>
    </w:p>
    <w:p>
      <w:pPr>
        <w:pStyle w:val="3"/>
        <w:spacing w:before="240"/>
      </w:pPr>
      <w:r>
        <w:rPr>
          <w:rFonts w:hint="eastAsia"/>
        </w:rPr>
        <w:t>冷通道密闭系统</w:t>
      </w:r>
    </w:p>
    <w:p>
      <w:pPr>
        <w:spacing w:before="156" w:beforeLines="50" w:after="156" w:afterLines="50"/>
        <w:ind w:firstLine="480"/>
        <w:rPr>
          <w:sz w:val="28"/>
          <w:szCs w:val="28"/>
        </w:rPr>
      </w:pPr>
      <w:r>
        <w:rPr>
          <w:rFonts w:hint="eastAsia"/>
          <w:sz w:val="28"/>
          <w:szCs w:val="28"/>
        </w:rPr>
        <w:t>密封通道包括</w:t>
      </w:r>
      <w:r>
        <w:rPr>
          <w:sz w:val="28"/>
          <w:szCs w:val="28"/>
        </w:rPr>
        <w:t xml:space="preserve">IT </w:t>
      </w:r>
      <w:r>
        <w:rPr>
          <w:rFonts w:hint="eastAsia"/>
          <w:sz w:val="28"/>
          <w:szCs w:val="28"/>
        </w:rPr>
        <w:t>柜、配电柜、列间空调、天窗、自动平移端门、走线槽等部件组成。</w:t>
      </w:r>
    </w:p>
    <w:p>
      <w:pPr>
        <w:spacing w:before="156" w:beforeLines="50" w:after="156" w:afterLines="50"/>
        <w:ind w:firstLine="480"/>
        <w:rPr>
          <w:sz w:val="28"/>
          <w:szCs w:val="28"/>
        </w:rPr>
      </w:pPr>
      <w:r>
        <w:rPr>
          <w:rFonts w:hint="eastAsia"/>
          <w:sz w:val="28"/>
          <w:szCs w:val="28"/>
        </w:rPr>
        <w:t>含电动天窗、模块两端的端门及附属钣金件组成的冷通道密闭组件，具备机柜顶部的走线槽组件，强弱电分离，配置两个跨接两排机柜的走线架。</w:t>
      </w:r>
    </w:p>
    <w:p>
      <w:pPr>
        <w:spacing w:before="156" w:beforeLines="50" w:after="156" w:afterLines="50"/>
        <w:ind w:firstLine="480"/>
        <w:rPr>
          <w:sz w:val="28"/>
          <w:szCs w:val="28"/>
        </w:rPr>
      </w:pPr>
      <w:r>
        <w:rPr>
          <w:rFonts w:hint="eastAsia"/>
          <w:sz w:val="28"/>
          <w:szCs w:val="28"/>
        </w:rPr>
        <w:t>天窗采用平顶方案，天窗可旋转活动，且以单个机柜为扩展模块单元。旋转天窗采用电磁锁控制，工作状态下天窗处于水平状态，消防状态下电磁锁打开，天窗在重力作用下可自动打开，以保证机房消防系统的灭火气体进入模块内；</w:t>
      </w:r>
    </w:p>
    <w:p>
      <w:pPr>
        <w:numPr>
          <w:ilvl w:val="0"/>
          <w:numId w:val="10"/>
        </w:numPr>
        <w:spacing w:before="156" w:beforeLines="50" w:after="156" w:afterLines="50"/>
        <w:ind w:firstLine="480"/>
        <w:rPr>
          <w:sz w:val="28"/>
          <w:szCs w:val="28"/>
        </w:rPr>
      </w:pPr>
      <w:r>
        <w:rPr>
          <w:rFonts w:hint="eastAsia"/>
          <w:sz w:val="28"/>
          <w:szCs w:val="28"/>
        </w:rPr>
        <w:t>天窗</w:t>
      </w:r>
    </w:p>
    <w:p>
      <w:pPr>
        <w:spacing w:before="156" w:beforeLines="50" w:after="156" w:afterLines="50"/>
        <w:ind w:firstLine="480"/>
        <w:rPr>
          <w:sz w:val="28"/>
          <w:szCs w:val="28"/>
        </w:rPr>
      </w:pPr>
      <w:r>
        <w:rPr>
          <w:rFonts w:hint="eastAsia"/>
          <w:sz w:val="28"/>
          <w:szCs w:val="28"/>
        </w:rPr>
        <w:t>天窗主要用于模块通道的密封。天窗分控制天窗、翻转天窗、平顶天窗三种，天窗的各类技术参数与机柜的匹配关系如图所示：</w:t>
      </w:r>
    </w:p>
    <w:tbl>
      <w:tblPr>
        <w:tblStyle w:val="41"/>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643"/>
        <w:gridCol w:w="3869"/>
        <w:gridCol w:w="23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0" w:hRule="atLeast"/>
          <w:tblHeader/>
        </w:trPr>
        <w:tc>
          <w:tcPr>
            <w:tcW w:w="1848" w:type="pct"/>
            <w:tcBorders>
              <w:top w:val="single" w:color="000000" w:sz="6" w:space="0"/>
              <w:left w:val="single" w:color="000000" w:sz="6" w:space="0"/>
              <w:bottom w:val="single" w:color="000000" w:sz="6" w:space="0"/>
              <w:right w:val="single" w:color="000000" w:sz="6" w:space="0"/>
            </w:tcBorders>
          </w:tcPr>
          <w:p>
            <w:pPr>
              <w:autoSpaceDE w:val="0"/>
              <w:autoSpaceDN w:val="0"/>
              <w:jc w:val="center"/>
              <w:rPr>
                <w:b/>
                <w:sz w:val="20"/>
                <w:szCs w:val="20"/>
              </w:rPr>
            </w:pPr>
            <w:r>
              <w:rPr>
                <w:rFonts w:hint="eastAsia" w:ascii="宋体" w:hAnsi="宋体"/>
                <w:b/>
                <w:sz w:val="20"/>
                <w:szCs w:val="20"/>
                <w:lang w:bidi="ar"/>
              </w:rPr>
              <w:t>名称</w:t>
            </w:r>
          </w:p>
        </w:tc>
        <w:tc>
          <w:tcPr>
            <w:tcW w:w="1963" w:type="pct"/>
            <w:tcBorders>
              <w:top w:val="single" w:color="000000" w:sz="6" w:space="0"/>
              <w:left w:val="single" w:color="000000" w:sz="6" w:space="0"/>
              <w:bottom w:val="single" w:color="000000" w:sz="6" w:space="0"/>
              <w:right w:val="single" w:color="000000" w:sz="6" w:space="0"/>
            </w:tcBorders>
          </w:tcPr>
          <w:p>
            <w:pPr>
              <w:autoSpaceDE w:val="0"/>
              <w:autoSpaceDN w:val="0"/>
              <w:jc w:val="center"/>
              <w:rPr>
                <w:b/>
                <w:sz w:val="20"/>
                <w:szCs w:val="20"/>
              </w:rPr>
            </w:pPr>
            <w:r>
              <w:rPr>
                <w:rFonts w:hint="eastAsia" w:ascii="宋体" w:hAnsi="宋体"/>
                <w:b/>
                <w:sz w:val="20"/>
                <w:szCs w:val="20"/>
                <w:lang w:bidi="ar"/>
              </w:rPr>
              <w:t>尺寸（高×宽×深）</w:t>
            </w:r>
          </w:p>
        </w:tc>
        <w:tc>
          <w:tcPr>
            <w:tcW w:w="1187" w:type="pct"/>
            <w:tcBorders>
              <w:top w:val="single" w:color="000000" w:sz="6" w:space="0"/>
              <w:left w:val="single" w:color="000000" w:sz="6" w:space="0"/>
              <w:bottom w:val="single" w:color="000000" w:sz="6" w:space="0"/>
              <w:right w:val="single" w:color="000000" w:sz="6" w:space="0"/>
            </w:tcBorders>
          </w:tcPr>
          <w:p>
            <w:pPr>
              <w:autoSpaceDE w:val="0"/>
              <w:autoSpaceDN w:val="0"/>
              <w:jc w:val="center"/>
              <w:rPr>
                <w:b/>
                <w:sz w:val="20"/>
                <w:szCs w:val="20"/>
              </w:rPr>
            </w:pPr>
            <w:r>
              <w:rPr>
                <w:rFonts w:hint="eastAsia" w:ascii="宋体" w:hAnsi="宋体"/>
                <w:b/>
                <w:sz w:val="20"/>
                <w:szCs w:val="20"/>
                <w:lang w:bidi="ar"/>
              </w:rPr>
              <w:t>适用机柜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848" w:type="pct"/>
            <w:tcBorders>
              <w:top w:val="single" w:color="000000" w:sz="6" w:space="0"/>
              <w:left w:val="single" w:color="000000" w:sz="6" w:space="0"/>
              <w:bottom w:val="single" w:color="000000" w:sz="6" w:space="0"/>
              <w:right w:val="single" w:color="000000" w:sz="6" w:space="0"/>
            </w:tcBorders>
          </w:tcPr>
          <w:p>
            <w:pPr>
              <w:topLinePunct/>
              <w:autoSpaceDE w:val="0"/>
              <w:autoSpaceDN w:val="0"/>
              <w:jc w:val="left"/>
              <w:rPr>
                <w:snapToGrid w:val="0"/>
                <w:sz w:val="20"/>
                <w:szCs w:val="20"/>
              </w:rPr>
            </w:pPr>
            <w:r>
              <w:rPr>
                <w:rFonts w:hint="eastAsia" w:ascii="宋体" w:hAnsi="宋体"/>
                <w:snapToGrid w:val="0"/>
                <w:sz w:val="20"/>
                <w:szCs w:val="20"/>
                <w:lang w:bidi="ar"/>
              </w:rPr>
              <w:t>600mm宽控制天窗</w:t>
            </w:r>
          </w:p>
        </w:tc>
        <w:tc>
          <w:tcPr>
            <w:tcW w:w="1963" w:type="pct"/>
            <w:tcBorders>
              <w:top w:val="single" w:color="000000" w:sz="6" w:space="0"/>
              <w:left w:val="single" w:color="000000" w:sz="6" w:space="0"/>
              <w:bottom w:val="single" w:color="000000" w:sz="6" w:space="0"/>
              <w:right w:val="single" w:color="000000" w:sz="6" w:space="0"/>
            </w:tcBorders>
          </w:tcPr>
          <w:p>
            <w:pPr>
              <w:topLinePunct/>
              <w:autoSpaceDE w:val="0"/>
              <w:autoSpaceDN w:val="0"/>
              <w:jc w:val="left"/>
              <w:rPr>
                <w:snapToGrid w:val="0"/>
                <w:sz w:val="20"/>
                <w:szCs w:val="20"/>
              </w:rPr>
            </w:pPr>
            <w:r>
              <w:rPr>
                <w:rFonts w:hint="eastAsia" w:ascii="宋体" w:hAnsi="宋体"/>
                <w:snapToGrid w:val="0"/>
                <w:sz w:val="20"/>
                <w:szCs w:val="20"/>
                <w:lang w:bidi="ar"/>
              </w:rPr>
              <w:t>341mm×605mm×1334mm</w:t>
            </w:r>
          </w:p>
        </w:tc>
        <w:tc>
          <w:tcPr>
            <w:tcW w:w="1187" w:type="pct"/>
            <w:tcBorders>
              <w:top w:val="single" w:color="000000" w:sz="6" w:space="0"/>
              <w:left w:val="single" w:color="000000" w:sz="6" w:space="0"/>
              <w:bottom w:val="single" w:color="000000" w:sz="6" w:space="0"/>
              <w:right w:val="single" w:color="000000" w:sz="6" w:space="0"/>
            </w:tcBorders>
          </w:tcPr>
          <w:p>
            <w:pPr>
              <w:topLinePunct/>
              <w:autoSpaceDE w:val="0"/>
              <w:autoSpaceDN w:val="0"/>
              <w:jc w:val="left"/>
              <w:rPr>
                <w:snapToGrid w:val="0"/>
                <w:sz w:val="20"/>
                <w:szCs w:val="20"/>
              </w:rPr>
            </w:pPr>
            <w:r>
              <w:rPr>
                <w:rFonts w:hint="eastAsia" w:ascii="宋体" w:hAnsi="宋体"/>
                <w:snapToGrid w:val="0"/>
                <w:sz w:val="20"/>
                <w:szCs w:val="20"/>
                <w:lang w:bidi="ar"/>
              </w:rPr>
              <w:t>600mm宽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848" w:type="pct"/>
            <w:tcBorders>
              <w:top w:val="single" w:color="000000" w:sz="6" w:space="0"/>
              <w:left w:val="single" w:color="000000" w:sz="6" w:space="0"/>
              <w:bottom w:val="single" w:color="000000" w:sz="6" w:space="0"/>
              <w:right w:val="single" w:color="000000" w:sz="6" w:space="0"/>
            </w:tcBorders>
          </w:tcPr>
          <w:p>
            <w:pPr>
              <w:topLinePunct/>
              <w:autoSpaceDE w:val="0"/>
              <w:autoSpaceDN w:val="0"/>
              <w:jc w:val="left"/>
              <w:rPr>
                <w:snapToGrid w:val="0"/>
                <w:sz w:val="20"/>
                <w:szCs w:val="20"/>
              </w:rPr>
            </w:pPr>
            <w:r>
              <w:rPr>
                <w:rFonts w:hint="eastAsia" w:ascii="宋体" w:hAnsi="宋体"/>
                <w:snapToGrid w:val="0"/>
                <w:sz w:val="20"/>
                <w:szCs w:val="20"/>
                <w:lang w:bidi="ar"/>
              </w:rPr>
              <w:t>600mm宽平顶/翻转天窗</w:t>
            </w:r>
          </w:p>
        </w:tc>
        <w:tc>
          <w:tcPr>
            <w:tcW w:w="1963" w:type="pct"/>
            <w:tcBorders>
              <w:top w:val="single" w:color="000000" w:sz="6" w:space="0"/>
              <w:left w:val="single" w:color="000000" w:sz="6" w:space="0"/>
              <w:bottom w:val="single" w:color="000000" w:sz="6" w:space="0"/>
              <w:right w:val="single" w:color="000000" w:sz="6" w:space="0"/>
            </w:tcBorders>
          </w:tcPr>
          <w:p>
            <w:pPr>
              <w:topLinePunct/>
              <w:autoSpaceDE w:val="0"/>
              <w:autoSpaceDN w:val="0"/>
              <w:jc w:val="left"/>
              <w:rPr>
                <w:snapToGrid w:val="0"/>
                <w:sz w:val="20"/>
                <w:szCs w:val="20"/>
              </w:rPr>
            </w:pPr>
            <w:r>
              <w:rPr>
                <w:rFonts w:hint="eastAsia" w:ascii="宋体" w:hAnsi="宋体"/>
                <w:snapToGrid w:val="0"/>
                <w:sz w:val="20"/>
                <w:szCs w:val="20"/>
                <w:lang w:bidi="ar"/>
              </w:rPr>
              <w:t>341mm×605mm×1334mm</w:t>
            </w:r>
          </w:p>
        </w:tc>
        <w:tc>
          <w:tcPr>
            <w:tcW w:w="1187" w:type="pct"/>
            <w:tcBorders>
              <w:top w:val="single" w:color="000000" w:sz="6" w:space="0"/>
              <w:left w:val="single" w:color="000000" w:sz="6" w:space="0"/>
              <w:bottom w:val="single" w:color="000000" w:sz="6" w:space="0"/>
              <w:right w:val="single" w:color="000000" w:sz="6" w:space="0"/>
            </w:tcBorders>
          </w:tcPr>
          <w:p>
            <w:pPr>
              <w:topLinePunct/>
              <w:autoSpaceDE w:val="0"/>
              <w:autoSpaceDN w:val="0"/>
              <w:jc w:val="left"/>
              <w:rPr>
                <w:snapToGrid w:val="0"/>
                <w:sz w:val="20"/>
                <w:szCs w:val="20"/>
              </w:rPr>
            </w:pPr>
            <w:r>
              <w:rPr>
                <w:rFonts w:hint="eastAsia" w:ascii="宋体" w:hAnsi="宋体"/>
                <w:snapToGrid w:val="0"/>
                <w:sz w:val="20"/>
                <w:szCs w:val="20"/>
                <w:lang w:bidi="ar"/>
              </w:rPr>
              <w:t>600mm宽</w:t>
            </w:r>
          </w:p>
        </w:tc>
      </w:tr>
    </w:tbl>
    <w:p>
      <w:pPr>
        <w:pStyle w:val="37"/>
        <w:autoSpaceDE w:val="0"/>
        <w:autoSpaceDN w:val="0"/>
        <w:spacing w:before="31" w:after="31" w:line="436" w:lineRule="auto"/>
        <w:ind w:left="533" w:leftChars="254" w:right="256" w:rightChars="122" w:firstLine="480"/>
      </w:pPr>
      <w:r>
        <w:rPr>
          <w:rFonts w:hint="eastAsia"/>
        </w:rPr>
        <w:t>天窗外观如</w:t>
      </w:r>
      <w:bookmarkStart w:id="13" w:name="_fig64996913111648"/>
      <w:bookmarkEnd w:id="13"/>
      <w:r>
        <w:rPr>
          <w:rFonts w:hint="eastAsia"/>
        </w:rPr>
        <w:t>图所示</w:t>
      </w:r>
      <w:r>
        <w:rPr>
          <w:rFonts w:hint="eastAsia"/>
          <w:lang w:bidi="ar"/>
        </w:rPr>
        <w:t>：</w:t>
      </w:r>
    </w:p>
    <w:p>
      <w:pPr>
        <w:autoSpaceDE w:val="0"/>
        <w:autoSpaceDN w:val="0"/>
        <w:spacing w:before="120" w:after="120"/>
        <w:ind w:left="482" w:firstLine="420"/>
        <w:jc w:val="center"/>
        <w:rPr>
          <w:spacing w:val="-4"/>
          <w:szCs w:val="21"/>
        </w:rPr>
      </w:pPr>
      <w:r>
        <w:rPr>
          <w:rFonts w:hint="eastAsia" w:ascii="宋体" w:hAnsi="宋体"/>
          <w:spacing w:val="-4"/>
          <w:szCs w:val="21"/>
        </w:rPr>
        <w:drawing>
          <wp:inline distT="0" distB="0" distL="114300" distR="114300">
            <wp:extent cx="3308350" cy="2203450"/>
            <wp:effectExtent l="0" t="0" r="0"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13"/>
                    <a:stretch>
                      <a:fillRect/>
                    </a:stretch>
                  </pic:blipFill>
                  <pic:spPr>
                    <a:xfrm>
                      <a:off x="0" y="0"/>
                      <a:ext cx="3308350" cy="2203450"/>
                    </a:xfrm>
                    <a:prstGeom prst="rect">
                      <a:avLst/>
                    </a:prstGeom>
                    <a:noFill/>
                    <a:ln>
                      <a:noFill/>
                    </a:ln>
                  </pic:spPr>
                </pic:pic>
              </a:graphicData>
            </a:graphic>
          </wp:inline>
        </w:drawing>
      </w:r>
    </w:p>
    <w:p>
      <w:pPr>
        <w:autoSpaceDE w:val="0"/>
        <w:autoSpaceDN w:val="0"/>
        <w:spacing w:before="77" w:line="436" w:lineRule="auto"/>
        <w:ind w:left="969" w:right="733" w:firstLine="420"/>
        <w:jc w:val="center"/>
        <w:rPr>
          <w:szCs w:val="21"/>
        </w:rPr>
      </w:pPr>
      <w:r>
        <w:rPr>
          <w:rFonts w:hint="eastAsia" w:ascii="宋体" w:hAnsi="宋体"/>
          <w:szCs w:val="21"/>
          <w:lang w:bidi="ar"/>
        </w:rPr>
        <w:t>天窗外观图</w:t>
      </w:r>
    </w:p>
    <w:p>
      <w:pPr>
        <w:numPr>
          <w:ilvl w:val="0"/>
          <w:numId w:val="10"/>
        </w:numPr>
        <w:spacing w:before="156" w:beforeLines="50" w:after="156" w:afterLines="50"/>
        <w:ind w:firstLine="480"/>
        <w:rPr>
          <w:sz w:val="28"/>
          <w:szCs w:val="28"/>
        </w:rPr>
      </w:pPr>
      <w:bookmarkStart w:id="14" w:name="_Toc475720896"/>
      <w:bookmarkStart w:id="15" w:name="_ZH-CN_TOPIC_0018205001-chtext"/>
      <w:r>
        <w:rPr>
          <w:rFonts w:hint="eastAsia"/>
          <w:sz w:val="28"/>
          <w:szCs w:val="28"/>
        </w:rPr>
        <w:t>通道端门</w:t>
      </w:r>
      <w:bookmarkEnd w:id="14"/>
      <w:bookmarkEnd w:id="15"/>
    </w:p>
    <w:p>
      <w:pPr>
        <w:spacing w:before="156" w:beforeLines="50" w:after="156" w:afterLines="50"/>
        <w:ind w:firstLine="480"/>
        <w:rPr>
          <w:sz w:val="28"/>
          <w:szCs w:val="28"/>
        </w:rPr>
      </w:pPr>
      <w:r>
        <w:rPr>
          <w:rFonts w:hint="eastAsia"/>
          <w:sz w:val="28"/>
          <w:szCs w:val="28"/>
        </w:rPr>
        <w:t>在密封通道的两端安装端门，使得整个模块形成一个独立的整体，实现冷热气流隔离，提升设备工作效率的同时，保证工作人员或设备进出。推拉门外观示意图：</w:t>
      </w:r>
    </w:p>
    <w:p>
      <w:pPr>
        <w:autoSpaceDE w:val="0"/>
        <w:autoSpaceDN w:val="0"/>
        <w:spacing w:before="120" w:after="120"/>
        <w:ind w:firstLine="440"/>
        <w:jc w:val="center"/>
        <w:rPr>
          <w:spacing w:val="-4"/>
          <w:szCs w:val="21"/>
        </w:rPr>
      </w:pPr>
      <w:bookmarkStart w:id="16" w:name="_ZH-CN_TOPIC_0019595361-chtext"/>
      <w:bookmarkStart w:id="17" w:name="_Toc475720897"/>
      <w:r>
        <w:rPr>
          <w:rFonts w:hint="eastAsia" w:ascii="宋体" w:hAnsi="宋体"/>
          <w:spacing w:val="-4"/>
          <w:sz w:val="22"/>
          <w:szCs w:val="21"/>
        </w:rPr>
        <w:drawing>
          <wp:inline distT="0" distB="0" distL="114300" distR="114300">
            <wp:extent cx="4692650" cy="3486150"/>
            <wp:effectExtent l="0" t="0" r="6350" b="635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14"/>
                    <a:stretch>
                      <a:fillRect/>
                    </a:stretch>
                  </pic:blipFill>
                  <pic:spPr>
                    <a:xfrm>
                      <a:off x="0" y="0"/>
                      <a:ext cx="4692650" cy="3486150"/>
                    </a:xfrm>
                    <a:prstGeom prst="rect">
                      <a:avLst/>
                    </a:prstGeom>
                    <a:noFill/>
                    <a:ln>
                      <a:noFill/>
                    </a:ln>
                  </pic:spPr>
                </pic:pic>
              </a:graphicData>
            </a:graphic>
          </wp:inline>
        </w:drawing>
      </w:r>
    </w:p>
    <w:p>
      <w:pPr>
        <w:autoSpaceDE w:val="0"/>
        <w:autoSpaceDN w:val="0"/>
        <w:spacing w:before="77" w:line="436" w:lineRule="auto"/>
        <w:ind w:left="969" w:right="733" w:firstLine="420"/>
        <w:jc w:val="center"/>
        <w:rPr>
          <w:szCs w:val="21"/>
        </w:rPr>
      </w:pPr>
      <w:r>
        <w:rPr>
          <w:rFonts w:hint="eastAsia" w:ascii="宋体" w:hAnsi="宋体"/>
          <w:szCs w:val="21"/>
          <w:lang w:bidi="ar"/>
        </w:rPr>
        <w:t>通道端门外观图</w:t>
      </w:r>
    </w:p>
    <w:p>
      <w:pPr>
        <w:numPr>
          <w:ilvl w:val="0"/>
          <w:numId w:val="10"/>
        </w:numPr>
        <w:spacing w:before="156" w:beforeLines="50" w:after="156" w:afterLines="50"/>
        <w:ind w:firstLine="480"/>
        <w:rPr>
          <w:sz w:val="28"/>
          <w:szCs w:val="28"/>
        </w:rPr>
      </w:pPr>
      <w:r>
        <w:rPr>
          <w:rFonts w:hint="eastAsia"/>
          <w:sz w:val="28"/>
          <w:szCs w:val="28"/>
        </w:rPr>
        <w:t>走线槽</w:t>
      </w:r>
    </w:p>
    <w:p>
      <w:pPr>
        <w:spacing w:before="156" w:beforeLines="50" w:after="156" w:afterLines="50"/>
        <w:ind w:firstLine="480"/>
        <w:rPr>
          <w:sz w:val="28"/>
          <w:szCs w:val="28"/>
        </w:rPr>
      </w:pPr>
      <w:r>
        <w:rPr>
          <w:rFonts w:hint="eastAsia"/>
          <w:sz w:val="28"/>
          <w:szCs w:val="28"/>
        </w:rPr>
        <w:t>机柜线槽分为信号线线槽和电源线线槽，分别用于信号线和电源线的走线，实现强弱电线缆的分离布置。线槽采用分体结构进行卡接安装。走线槽主要由两个立板、托板、隔板（可选配，实现弱电的光纤、网线分离，强电A、B路分离）完全卡接组装而成。如图所示：</w:t>
      </w:r>
    </w:p>
    <w:bookmarkEnd w:id="16"/>
    <w:bookmarkEnd w:id="17"/>
    <w:p>
      <w:pPr>
        <w:autoSpaceDE w:val="0"/>
        <w:autoSpaceDN w:val="0"/>
        <w:spacing w:before="120" w:after="120"/>
        <w:ind w:left="482" w:firstLine="420"/>
        <w:jc w:val="center"/>
        <w:rPr>
          <w:szCs w:val="21"/>
        </w:rPr>
      </w:pPr>
      <w:bookmarkStart w:id="18" w:name="_d0e1469"/>
      <w:bookmarkEnd w:id="18"/>
      <w:r>
        <w:rPr>
          <w:rFonts w:hint="eastAsia" w:ascii="宋体" w:hAnsi="宋体"/>
          <w:szCs w:val="21"/>
        </w:rPr>
        <w:drawing>
          <wp:inline distT="0" distB="0" distL="114300" distR="114300">
            <wp:extent cx="3682365" cy="1974850"/>
            <wp:effectExtent l="0" t="0" r="635" b="635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15"/>
                    <a:stretch>
                      <a:fillRect/>
                    </a:stretch>
                  </pic:blipFill>
                  <pic:spPr>
                    <a:xfrm>
                      <a:off x="0" y="0"/>
                      <a:ext cx="3682365" cy="1974850"/>
                    </a:xfrm>
                    <a:prstGeom prst="rect">
                      <a:avLst/>
                    </a:prstGeom>
                    <a:noFill/>
                    <a:ln>
                      <a:noFill/>
                    </a:ln>
                  </pic:spPr>
                </pic:pic>
              </a:graphicData>
            </a:graphic>
          </wp:inline>
        </w:drawing>
      </w:r>
    </w:p>
    <w:p>
      <w:pPr>
        <w:autoSpaceDE w:val="0"/>
        <w:autoSpaceDN w:val="0"/>
        <w:spacing w:before="77" w:line="436" w:lineRule="auto"/>
        <w:ind w:left="969" w:right="733" w:firstLine="420"/>
        <w:jc w:val="center"/>
        <w:rPr>
          <w:szCs w:val="21"/>
        </w:rPr>
      </w:pPr>
      <w:r>
        <w:rPr>
          <w:rFonts w:hint="eastAsia" w:ascii="宋体" w:hAnsi="宋体"/>
          <w:szCs w:val="21"/>
          <w:lang w:bidi="ar"/>
        </w:rPr>
        <w:t>走线槽外观图</w:t>
      </w:r>
    </w:p>
    <w:p>
      <w:pPr>
        <w:autoSpaceDE w:val="0"/>
        <w:autoSpaceDN w:val="0"/>
        <w:spacing w:before="120" w:after="120"/>
        <w:ind w:firstLine="420"/>
        <w:jc w:val="center"/>
        <w:rPr>
          <w:szCs w:val="21"/>
        </w:rPr>
      </w:pPr>
      <w:r>
        <w:rPr>
          <w:rFonts w:hint="eastAsia" w:ascii="宋体" w:hAnsi="宋体"/>
          <w:szCs w:val="21"/>
        </w:rPr>
        <w:drawing>
          <wp:inline distT="0" distB="0" distL="114300" distR="114300">
            <wp:extent cx="3045460" cy="2956560"/>
            <wp:effectExtent l="0" t="0" r="2540" b="254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1"/>
                    </pic:cNvPicPr>
                  </pic:nvPicPr>
                  <pic:blipFill>
                    <a:blip r:embed="rId16"/>
                    <a:srcRect b="3195"/>
                    <a:stretch>
                      <a:fillRect/>
                    </a:stretch>
                  </pic:blipFill>
                  <pic:spPr>
                    <a:xfrm>
                      <a:off x="0" y="0"/>
                      <a:ext cx="3045460" cy="2956560"/>
                    </a:xfrm>
                    <a:prstGeom prst="rect">
                      <a:avLst/>
                    </a:prstGeom>
                    <a:noFill/>
                    <a:ln>
                      <a:noFill/>
                    </a:ln>
                  </pic:spPr>
                </pic:pic>
              </a:graphicData>
            </a:graphic>
          </wp:inline>
        </w:drawing>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5"/>
        <w:gridCol w:w="3342"/>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pct"/>
            <w:tcBorders>
              <w:top w:val="single" w:color="auto" w:sz="4" w:space="0"/>
              <w:left w:val="single" w:color="auto" w:sz="4" w:space="0"/>
              <w:bottom w:val="single" w:color="auto" w:sz="4" w:space="0"/>
              <w:right w:val="single" w:color="auto" w:sz="4" w:space="0"/>
            </w:tcBorders>
          </w:tcPr>
          <w:p>
            <w:pPr>
              <w:autoSpaceDE w:val="0"/>
              <w:autoSpaceDN w:val="0"/>
              <w:spacing w:before="120" w:after="120"/>
              <w:jc w:val="left"/>
              <w:rPr>
                <w:sz w:val="20"/>
                <w:szCs w:val="20"/>
              </w:rPr>
            </w:pPr>
            <w:r>
              <w:rPr>
                <w:rFonts w:hint="eastAsia" w:ascii="宋体" w:hAnsi="宋体"/>
                <w:sz w:val="20"/>
                <w:szCs w:val="20"/>
                <w:lang w:bidi="ar"/>
              </w:rPr>
              <w:t>（1）网络柜</w:t>
            </w:r>
          </w:p>
        </w:tc>
        <w:tc>
          <w:tcPr>
            <w:tcW w:w="1696" w:type="pct"/>
            <w:tcBorders>
              <w:top w:val="single" w:color="auto" w:sz="4" w:space="0"/>
              <w:left w:val="single" w:color="auto" w:sz="4" w:space="0"/>
              <w:bottom w:val="single" w:color="auto" w:sz="4" w:space="0"/>
              <w:right w:val="single" w:color="auto" w:sz="4" w:space="0"/>
            </w:tcBorders>
          </w:tcPr>
          <w:p>
            <w:pPr>
              <w:autoSpaceDE w:val="0"/>
              <w:autoSpaceDN w:val="0"/>
              <w:spacing w:before="120" w:after="120"/>
              <w:jc w:val="left"/>
              <w:rPr>
                <w:sz w:val="20"/>
                <w:szCs w:val="20"/>
              </w:rPr>
            </w:pPr>
            <w:r>
              <w:rPr>
                <w:rFonts w:hint="eastAsia" w:ascii="宋体" w:hAnsi="宋体"/>
                <w:sz w:val="20"/>
                <w:szCs w:val="20"/>
                <w:lang w:bidi="ar"/>
              </w:rPr>
              <w:t>（2）光纤</w:t>
            </w:r>
          </w:p>
        </w:tc>
        <w:tc>
          <w:tcPr>
            <w:tcW w:w="1367" w:type="pct"/>
            <w:tcBorders>
              <w:top w:val="single" w:color="auto" w:sz="4" w:space="0"/>
              <w:left w:val="single" w:color="auto" w:sz="4" w:space="0"/>
              <w:bottom w:val="single" w:color="auto" w:sz="4" w:space="0"/>
              <w:right w:val="single" w:color="auto" w:sz="4" w:space="0"/>
            </w:tcBorders>
          </w:tcPr>
          <w:p>
            <w:pPr>
              <w:autoSpaceDE w:val="0"/>
              <w:autoSpaceDN w:val="0"/>
              <w:spacing w:before="120" w:after="120"/>
              <w:jc w:val="left"/>
              <w:rPr>
                <w:sz w:val="20"/>
                <w:szCs w:val="20"/>
              </w:rPr>
            </w:pPr>
            <w:r>
              <w:rPr>
                <w:rFonts w:hint="eastAsia" w:ascii="宋体" w:hAnsi="宋体"/>
                <w:sz w:val="20"/>
                <w:szCs w:val="20"/>
                <w:lang w:bidi="ar"/>
              </w:rPr>
              <w:t>（3）信号线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pct"/>
            <w:tcBorders>
              <w:top w:val="single" w:color="auto" w:sz="4" w:space="0"/>
              <w:left w:val="single" w:color="auto" w:sz="4" w:space="0"/>
              <w:bottom w:val="single" w:color="auto" w:sz="4" w:space="0"/>
              <w:right w:val="single" w:color="auto" w:sz="4" w:space="0"/>
            </w:tcBorders>
          </w:tcPr>
          <w:p>
            <w:pPr>
              <w:autoSpaceDE w:val="0"/>
              <w:autoSpaceDN w:val="0"/>
              <w:spacing w:before="120" w:after="120"/>
              <w:jc w:val="left"/>
              <w:rPr>
                <w:sz w:val="20"/>
                <w:szCs w:val="20"/>
              </w:rPr>
            </w:pPr>
            <w:r>
              <w:rPr>
                <w:rFonts w:hint="eastAsia" w:ascii="宋体" w:hAnsi="宋体"/>
                <w:sz w:val="20"/>
                <w:szCs w:val="20"/>
                <w:lang w:bidi="ar"/>
              </w:rPr>
              <w:t>（4）智能ETH插座</w:t>
            </w:r>
          </w:p>
        </w:tc>
        <w:tc>
          <w:tcPr>
            <w:tcW w:w="1696" w:type="pct"/>
            <w:tcBorders>
              <w:top w:val="single" w:color="auto" w:sz="4" w:space="0"/>
              <w:left w:val="single" w:color="auto" w:sz="4" w:space="0"/>
              <w:bottom w:val="single" w:color="auto" w:sz="4" w:space="0"/>
              <w:right w:val="single" w:color="auto" w:sz="4" w:space="0"/>
            </w:tcBorders>
          </w:tcPr>
          <w:p>
            <w:pPr>
              <w:autoSpaceDE w:val="0"/>
              <w:autoSpaceDN w:val="0"/>
              <w:spacing w:before="120" w:after="120"/>
              <w:jc w:val="left"/>
              <w:rPr>
                <w:sz w:val="20"/>
                <w:szCs w:val="20"/>
              </w:rPr>
            </w:pPr>
            <w:r>
              <w:rPr>
                <w:rFonts w:hint="eastAsia" w:ascii="宋体" w:hAnsi="宋体"/>
                <w:sz w:val="20"/>
                <w:szCs w:val="20"/>
                <w:lang w:bidi="ar"/>
              </w:rPr>
              <w:t>（5）配电柜</w:t>
            </w:r>
          </w:p>
        </w:tc>
        <w:tc>
          <w:tcPr>
            <w:tcW w:w="1367" w:type="pct"/>
            <w:tcBorders>
              <w:top w:val="single" w:color="auto" w:sz="4" w:space="0"/>
              <w:left w:val="single" w:color="auto" w:sz="4" w:space="0"/>
              <w:bottom w:val="single" w:color="auto" w:sz="4" w:space="0"/>
              <w:right w:val="single" w:color="auto" w:sz="4" w:space="0"/>
            </w:tcBorders>
          </w:tcPr>
          <w:p>
            <w:pPr>
              <w:autoSpaceDE w:val="0"/>
              <w:autoSpaceDN w:val="0"/>
              <w:spacing w:before="120" w:after="120"/>
              <w:jc w:val="left"/>
              <w:rPr>
                <w:sz w:val="20"/>
                <w:szCs w:val="20"/>
              </w:rPr>
            </w:pPr>
            <w:r>
              <w:rPr>
                <w:rFonts w:hint="eastAsia" w:ascii="宋体" w:hAnsi="宋体"/>
                <w:sz w:val="20"/>
                <w:szCs w:val="20"/>
                <w:lang w:bidi="ar"/>
              </w:rPr>
              <w:t>（6）电源线</w:t>
            </w:r>
          </w:p>
        </w:tc>
      </w:tr>
    </w:tbl>
    <w:p>
      <w:pPr>
        <w:pStyle w:val="37"/>
        <w:autoSpaceDE w:val="0"/>
        <w:autoSpaceDN w:val="0"/>
        <w:spacing w:before="31" w:after="31" w:line="436" w:lineRule="auto"/>
        <w:ind w:left="533" w:leftChars="254" w:right="256" w:rightChars="122" w:firstLine="420"/>
        <w:jc w:val="center"/>
        <w:rPr>
          <w:sz w:val="21"/>
          <w:szCs w:val="21"/>
        </w:rPr>
      </w:pPr>
      <w:r>
        <w:rPr>
          <w:rFonts w:hint="eastAsia"/>
          <w:sz w:val="21"/>
          <w:szCs w:val="21"/>
          <w:lang w:bidi="ar"/>
        </w:rPr>
        <w:t>微模块走线槽走线示意图</w:t>
      </w:r>
    </w:p>
    <w:p>
      <w:pPr>
        <w:numPr>
          <w:ilvl w:val="0"/>
          <w:numId w:val="10"/>
        </w:numPr>
        <w:spacing w:before="156" w:beforeLines="50" w:after="156" w:afterLines="50"/>
        <w:ind w:firstLine="480"/>
        <w:rPr>
          <w:sz w:val="28"/>
          <w:szCs w:val="28"/>
        </w:rPr>
      </w:pPr>
      <w:r>
        <w:rPr>
          <w:rFonts w:hint="eastAsia"/>
          <w:sz w:val="28"/>
          <w:szCs w:val="28"/>
        </w:rPr>
        <w:t>冷通道整体效果</w:t>
      </w:r>
    </w:p>
    <w:p>
      <w:pPr>
        <w:pStyle w:val="37"/>
        <w:autoSpaceDE w:val="0"/>
        <w:autoSpaceDN w:val="0"/>
        <w:spacing w:before="31" w:after="31" w:line="436" w:lineRule="auto"/>
        <w:ind w:left="533" w:leftChars="254" w:right="256" w:rightChars="122" w:firstLine="420"/>
        <w:jc w:val="center"/>
        <w:rPr>
          <w:sz w:val="21"/>
          <w:szCs w:val="21"/>
        </w:rPr>
      </w:pPr>
      <w:r>
        <w:rPr>
          <w:rFonts w:hint="eastAsia"/>
          <w:sz w:val="21"/>
          <w:szCs w:val="21"/>
        </w:rPr>
        <w:drawing>
          <wp:inline distT="0" distB="0" distL="114300" distR="114300">
            <wp:extent cx="5403850" cy="3956050"/>
            <wp:effectExtent l="0" t="0" r="6350" b="635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pic:cNvPicPr>
                  </pic:nvPicPr>
                  <pic:blipFill>
                    <a:blip r:embed="rId17"/>
                    <a:stretch>
                      <a:fillRect/>
                    </a:stretch>
                  </pic:blipFill>
                  <pic:spPr>
                    <a:xfrm>
                      <a:off x="0" y="0"/>
                      <a:ext cx="5403850" cy="3956050"/>
                    </a:xfrm>
                    <a:prstGeom prst="rect">
                      <a:avLst/>
                    </a:prstGeom>
                    <a:noFill/>
                    <a:ln>
                      <a:noFill/>
                    </a:ln>
                  </pic:spPr>
                </pic:pic>
              </a:graphicData>
            </a:graphic>
          </wp:inline>
        </w:drawing>
      </w:r>
    </w:p>
    <w:p>
      <w:pPr>
        <w:pStyle w:val="37"/>
        <w:autoSpaceDE w:val="0"/>
        <w:autoSpaceDN w:val="0"/>
        <w:spacing w:before="31" w:after="31" w:line="436" w:lineRule="auto"/>
        <w:ind w:left="533" w:leftChars="254" w:right="256" w:rightChars="122" w:firstLine="420"/>
        <w:jc w:val="center"/>
        <w:rPr>
          <w:sz w:val="21"/>
          <w:szCs w:val="21"/>
        </w:rPr>
      </w:pPr>
      <w:r>
        <w:rPr>
          <w:rFonts w:hint="eastAsia"/>
          <w:sz w:val="21"/>
          <w:szCs w:val="21"/>
          <w:lang w:bidi="ar"/>
        </w:rPr>
        <w:t>微模块整体效果示意图</w:t>
      </w:r>
    </w:p>
    <w:p>
      <w:pPr>
        <w:pStyle w:val="37"/>
        <w:autoSpaceDE w:val="0"/>
        <w:autoSpaceDN w:val="0"/>
        <w:spacing w:before="31" w:after="31" w:line="436" w:lineRule="auto"/>
        <w:ind w:left="533" w:leftChars="254" w:right="256" w:rightChars="122" w:firstLine="480"/>
        <w:jc w:val="center"/>
      </w:pPr>
    </w:p>
    <w:p>
      <w:pPr>
        <w:pStyle w:val="4"/>
        <w:spacing w:before="240" w:after="120"/>
      </w:pPr>
      <w:bookmarkStart w:id="19" w:name="_Toc14063"/>
      <w:bookmarkStart w:id="20" w:name="_Toc29079"/>
      <w:r>
        <w:rPr>
          <w:rFonts w:hint="eastAsia"/>
        </w:rPr>
        <w:t>综合布线系统</w:t>
      </w:r>
      <w:bookmarkEnd w:id="19"/>
      <w:bookmarkEnd w:id="20"/>
    </w:p>
    <w:p>
      <w:pPr>
        <w:pStyle w:val="3"/>
        <w:spacing w:before="240"/>
      </w:pPr>
      <w:r>
        <w:rPr>
          <w:rFonts w:hint="eastAsia"/>
        </w:rPr>
        <w:t>布线规划要点</w:t>
      </w:r>
    </w:p>
    <w:p>
      <w:pPr>
        <w:spacing w:before="156" w:beforeLines="50" w:after="156" w:afterLines="50"/>
        <w:ind w:firstLine="480"/>
        <w:rPr>
          <w:sz w:val="28"/>
          <w:szCs w:val="28"/>
        </w:rPr>
      </w:pPr>
      <w:r>
        <w:rPr>
          <w:rFonts w:hint="eastAsia"/>
          <w:sz w:val="28"/>
          <w:szCs w:val="28"/>
        </w:rPr>
        <w:t>机房微模块的布线设计目的是实现系统的简单性、灵活性、可伸缩性、模块化和实用性。所有这些准则使机房运营能够随着时间变化，仍然使设施适合于业务发展的需求。经验表明，具有足够的扩充空间对后期附加设备和服务设施的安装至关重要。当前技术应提供可通过简单的“即插即用”连接来添加或替代的模块化配线设备，使其对运营商更实用，并减少宕机时间和人工成本。因此我们在选择布线系统时应力求采用先进、高性能的布线系统，从而保证网络传输的经济性、可靠性。综合布线系统是连接各个网络设备及服务器之间的信息通道，应保证足够带宽及稳定性，本次双绞线布线部分选用六类双绞线，机房光纤部分，建议选用预连接光缆。</w:t>
      </w:r>
    </w:p>
    <w:p>
      <w:pPr>
        <w:pStyle w:val="37"/>
        <w:autoSpaceDE w:val="0"/>
        <w:autoSpaceDN w:val="0"/>
        <w:spacing w:before="31" w:after="31" w:line="436" w:lineRule="auto"/>
        <w:ind w:left="533" w:leftChars="254" w:right="256" w:rightChars="122" w:firstLine="400"/>
        <w:jc w:val="center"/>
        <w:rPr>
          <w:sz w:val="20"/>
        </w:rPr>
      </w:pPr>
      <w:r>
        <w:rPr>
          <w:rFonts w:hint="eastAsia"/>
          <w:sz w:val="20"/>
        </w:rPr>
        <w:drawing>
          <wp:inline distT="0" distB="0" distL="114300" distR="114300">
            <wp:extent cx="4324350" cy="4006850"/>
            <wp:effectExtent l="0" t="0" r="6350" b="635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18"/>
                    <a:stretch>
                      <a:fillRect/>
                    </a:stretch>
                  </pic:blipFill>
                  <pic:spPr>
                    <a:xfrm>
                      <a:off x="0" y="0"/>
                      <a:ext cx="4324350" cy="4006850"/>
                    </a:xfrm>
                    <a:prstGeom prst="rect">
                      <a:avLst/>
                    </a:prstGeom>
                    <a:noFill/>
                    <a:ln>
                      <a:noFill/>
                    </a:ln>
                  </pic:spPr>
                </pic:pic>
              </a:graphicData>
            </a:graphic>
          </wp:inline>
        </w:drawing>
      </w:r>
    </w:p>
    <w:p>
      <w:pPr>
        <w:autoSpaceDE w:val="0"/>
        <w:autoSpaceDN w:val="0"/>
        <w:spacing w:before="35" w:line="436" w:lineRule="auto"/>
        <w:ind w:left="3187" w:firstLine="420"/>
        <w:jc w:val="left"/>
        <w:rPr>
          <w:szCs w:val="22"/>
        </w:rPr>
      </w:pPr>
      <w:r>
        <w:rPr>
          <w:rFonts w:hint="eastAsia" w:ascii="宋体" w:hAnsi="宋体"/>
          <w:szCs w:val="22"/>
          <w:lang w:bidi="ar"/>
        </w:rPr>
        <w:t>模块化机房内部线示意图</w:t>
      </w:r>
    </w:p>
    <w:p>
      <w:pPr>
        <w:pStyle w:val="4"/>
        <w:spacing w:before="240" w:after="120"/>
      </w:pPr>
      <w:bookmarkStart w:id="21" w:name="_Toc13285"/>
      <w:bookmarkStart w:id="22" w:name="_Toc9086"/>
      <w:r>
        <w:rPr>
          <w:rFonts w:hint="eastAsia"/>
        </w:rPr>
        <w:t>综合监控系统</w:t>
      </w:r>
      <w:bookmarkEnd w:id="21"/>
      <w:bookmarkEnd w:id="22"/>
    </w:p>
    <w:p>
      <w:pPr>
        <w:spacing w:before="156" w:beforeLines="50" w:after="156" w:afterLines="50"/>
        <w:ind w:firstLine="480"/>
        <w:rPr>
          <w:sz w:val="28"/>
          <w:szCs w:val="28"/>
        </w:rPr>
      </w:pPr>
      <w:r>
        <w:rPr>
          <w:rFonts w:hint="eastAsia"/>
          <w:sz w:val="28"/>
          <w:szCs w:val="28"/>
        </w:rPr>
        <w:t>机房综合监控系统：是机房智能化管理的一个重要手段。机房控制应具有高度自动化， 它要求以最少的维护人员，最优化的运营维护手段，来实时监控每一个机房中设备所处的物理环境。同时，集成安防系统的各个子系统，使管理高度集中化，智能化，优化资源配置。</w:t>
      </w:r>
    </w:p>
    <w:p>
      <w:pPr>
        <w:pStyle w:val="3"/>
        <w:spacing w:before="240"/>
      </w:pPr>
      <w:r>
        <w:rPr>
          <w:rFonts w:hint="eastAsia"/>
        </w:rPr>
        <w:t>动环监控</w:t>
      </w:r>
    </w:p>
    <w:p>
      <w:pPr>
        <w:spacing w:before="156" w:beforeLines="50" w:after="156" w:afterLines="50"/>
        <w:ind w:firstLine="480"/>
      </w:pPr>
      <w:r>
        <w:rPr>
          <w:rFonts w:hint="eastAsia"/>
          <w:sz w:val="28"/>
          <w:szCs w:val="28"/>
        </w:rPr>
        <w:t>微模块均具备一个独立的、整体的环境和动力监控接口。实现对模块内供配电、智能温控产品、温湿度、漏水检测、烟雾、视频等设备的不间断监控。发现部件故障或参数异常，即时采取指示灯光、E-mail、短信告警等多种报警方式，记录历史数据和报警事件，所有监控信息提供给管理平台集成接入。动环监控系统图如下：</w:t>
      </w:r>
    </w:p>
    <w:p>
      <w:pPr>
        <w:autoSpaceDE w:val="0"/>
        <w:autoSpaceDN w:val="0"/>
        <w:ind w:firstLine="440"/>
        <w:jc w:val="center"/>
      </w:pPr>
      <w:r>
        <w:rPr>
          <w:rFonts w:hint="eastAsia" w:ascii="宋体" w:hAnsi="宋体"/>
          <w:sz w:val="22"/>
          <w:szCs w:val="22"/>
        </w:rPr>
        <w:drawing>
          <wp:inline distT="0" distB="0" distL="114300" distR="114300">
            <wp:extent cx="5245100" cy="2667000"/>
            <wp:effectExtent l="0" t="0" r="0" b="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19"/>
                    <a:srcRect b="4190"/>
                    <a:stretch>
                      <a:fillRect/>
                    </a:stretch>
                  </pic:blipFill>
                  <pic:spPr>
                    <a:xfrm>
                      <a:off x="0" y="0"/>
                      <a:ext cx="5245100" cy="2667000"/>
                    </a:xfrm>
                    <a:prstGeom prst="rect">
                      <a:avLst/>
                    </a:prstGeom>
                    <a:noFill/>
                    <a:ln>
                      <a:noFill/>
                    </a:ln>
                  </pic:spPr>
                </pic:pic>
              </a:graphicData>
            </a:graphic>
          </wp:inline>
        </w:drawing>
      </w:r>
    </w:p>
    <w:p>
      <w:pPr>
        <w:autoSpaceDE w:val="0"/>
        <w:autoSpaceDN w:val="0"/>
        <w:spacing w:before="35" w:line="436" w:lineRule="auto"/>
        <w:ind w:left="3187" w:firstLine="420"/>
        <w:jc w:val="left"/>
        <w:rPr>
          <w:szCs w:val="22"/>
        </w:rPr>
      </w:pPr>
      <w:r>
        <w:rPr>
          <w:rFonts w:hint="eastAsia" w:ascii="宋体" w:hAnsi="宋体"/>
          <w:szCs w:val="22"/>
          <w:lang w:bidi="ar"/>
        </w:rPr>
        <w:t>动环监控系统图</w:t>
      </w:r>
    </w:p>
    <w:p>
      <w:pPr>
        <w:autoSpaceDE w:val="0"/>
        <w:autoSpaceDN w:val="0"/>
        <w:ind w:firstLine="480"/>
        <w:jc w:val="left"/>
      </w:pPr>
    </w:p>
    <w:p>
      <w:pPr>
        <w:numPr>
          <w:ilvl w:val="0"/>
          <w:numId w:val="11"/>
        </w:numPr>
        <w:spacing w:before="156" w:beforeLines="50" w:after="156" w:afterLines="50"/>
        <w:ind w:firstLine="480"/>
        <w:rPr>
          <w:sz w:val="28"/>
          <w:szCs w:val="28"/>
        </w:rPr>
      </w:pPr>
      <w:r>
        <w:rPr>
          <w:rFonts w:hint="eastAsia"/>
          <w:sz w:val="28"/>
          <w:szCs w:val="28"/>
        </w:rPr>
        <w:t>设备监控子系统（配电柜、</w:t>
      </w:r>
      <w:r>
        <w:rPr>
          <w:sz w:val="28"/>
          <w:szCs w:val="28"/>
        </w:rPr>
        <w:t xml:space="preserve">UPS </w:t>
      </w:r>
      <w:r>
        <w:rPr>
          <w:rFonts w:hint="eastAsia"/>
          <w:sz w:val="28"/>
          <w:szCs w:val="28"/>
        </w:rPr>
        <w:t>主机、空调）</w:t>
      </w:r>
    </w:p>
    <w:p>
      <w:pPr>
        <w:numPr>
          <w:ilvl w:val="0"/>
          <w:numId w:val="11"/>
        </w:numPr>
        <w:spacing w:before="156" w:beforeLines="50" w:after="156" w:afterLines="50"/>
        <w:ind w:firstLine="480"/>
        <w:rPr>
          <w:sz w:val="28"/>
          <w:szCs w:val="28"/>
        </w:rPr>
      </w:pPr>
      <w:r>
        <w:rPr>
          <w:rFonts w:hint="eastAsia"/>
          <w:sz w:val="28"/>
          <w:szCs w:val="28"/>
        </w:rPr>
        <w:t>环境监控子系统（温湿度、漏水、烟感）</w:t>
      </w:r>
    </w:p>
    <w:p>
      <w:pPr>
        <w:numPr>
          <w:ilvl w:val="0"/>
          <w:numId w:val="11"/>
        </w:numPr>
        <w:spacing w:before="156" w:beforeLines="50" w:after="156" w:afterLines="50"/>
        <w:ind w:firstLine="480"/>
        <w:rPr>
          <w:sz w:val="28"/>
          <w:szCs w:val="28"/>
        </w:rPr>
      </w:pPr>
      <w:r>
        <w:rPr>
          <w:rFonts w:hint="eastAsia"/>
          <w:sz w:val="28"/>
          <w:szCs w:val="28"/>
        </w:rPr>
        <w:t>消防联动与控制子系统</w:t>
      </w:r>
    </w:p>
    <w:p>
      <w:pPr>
        <w:numPr>
          <w:ilvl w:val="0"/>
          <w:numId w:val="11"/>
        </w:numPr>
        <w:spacing w:before="156" w:beforeLines="50" w:after="156" w:afterLines="50"/>
        <w:ind w:firstLine="480"/>
        <w:rPr>
          <w:sz w:val="28"/>
          <w:szCs w:val="28"/>
        </w:rPr>
      </w:pPr>
      <w:r>
        <w:rPr>
          <w:rFonts w:hint="eastAsia"/>
          <w:sz w:val="28"/>
          <w:szCs w:val="28"/>
        </w:rPr>
        <w:t>故障报警系统（声光、短信、邮件、</w:t>
      </w:r>
      <w:r>
        <w:rPr>
          <w:sz w:val="28"/>
          <w:szCs w:val="28"/>
        </w:rPr>
        <w:t>IE</w:t>
      </w:r>
      <w:r>
        <w:rPr>
          <w:rFonts w:hint="eastAsia"/>
          <w:sz w:val="28"/>
          <w:szCs w:val="28"/>
        </w:rPr>
        <w:t>）</w:t>
      </w:r>
    </w:p>
    <w:p>
      <w:pPr>
        <w:pStyle w:val="3"/>
        <w:spacing w:before="240"/>
      </w:pPr>
      <w:r>
        <w:rPr>
          <w:rFonts w:hint="eastAsia"/>
        </w:rPr>
        <w:t>视频监控（国密要求）</w:t>
      </w:r>
    </w:p>
    <w:p>
      <w:pPr>
        <w:spacing w:before="156" w:beforeLines="50" w:after="156" w:afterLines="50"/>
        <w:ind w:firstLine="480"/>
        <w:rPr>
          <w:sz w:val="28"/>
          <w:szCs w:val="28"/>
        </w:rPr>
      </w:pPr>
      <w:r>
        <w:rPr>
          <w:rFonts w:hint="eastAsia"/>
          <w:sz w:val="28"/>
          <w:szCs w:val="28"/>
        </w:rPr>
        <w:t xml:space="preserve">根据现场环境需求配置不同类型的摄像机前端，包含多台摄像机。视频信号到视频服务器经过 </w:t>
      </w:r>
      <w:r>
        <w:rPr>
          <w:sz w:val="28"/>
          <w:szCs w:val="28"/>
        </w:rPr>
        <w:t xml:space="preserve">TCP/IP </w:t>
      </w:r>
      <w:r>
        <w:rPr>
          <w:rFonts w:hint="eastAsia"/>
          <w:sz w:val="28"/>
          <w:szCs w:val="28"/>
        </w:rPr>
        <w:t>网络，集中汇聚至机房内的硬盘录像进行存储， 通过管理服务器进行管理。</w:t>
      </w:r>
    </w:p>
    <w:p>
      <w:pPr>
        <w:spacing w:before="156" w:beforeLines="50" w:after="156" w:afterLines="50"/>
        <w:ind w:firstLine="480"/>
        <w:rPr>
          <w:sz w:val="28"/>
          <w:szCs w:val="28"/>
        </w:rPr>
      </w:pPr>
      <w:r>
        <w:rPr>
          <w:rFonts w:hint="eastAsia"/>
          <w:sz w:val="28"/>
          <w:szCs w:val="28"/>
        </w:rPr>
        <w:t>根据机房监控要求，采用38台400万像素半球型网络摄像机作为机房环境监控，摄像机按照4M码流计算。数据需要存储90天，存储容量计算如下：</w:t>
      </w:r>
    </w:p>
    <w:p>
      <w:pPr>
        <w:numPr>
          <w:ilvl w:val="0"/>
          <w:numId w:val="12"/>
        </w:numPr>
        <w:spacing w:before="156" w:beforeLines="50" w:after="156" w:afterLines="50"/>
        <w:ind w:firstLine="480"/>
        <w:rPr>
          <w:sz w:val="28"/>
          <w:szCs w:val="28"/>
        </w:rPr>
      </w:pPr>
      <w:r>
        <w:rPr>
          <w:rFonts w:hint="eastAsia"/>
          <w:sz w:val="28"/>
          <w:szCs w:val="28"/>
        </w:rPr>
        <w:t>1路视频存储90天所需存储裸空间=4Mbps×3600秒×24时×90天÷1024÷1024÷8=3.7TB；</w:t>
      </w:r>
    </w:p>
    <w:p>
      <w:pPr>
        <w:numPr>
          <w:ilvl w:val="0"/>
          <w:numId w:val="12"/>
        </w:numPr>
        <w:spacing w:before="156" w:beforeLines="50" w:after="156" w:afterLines="50"/>
        <w:ind w:firstLine="480"/>
        <w:rPr>
          <w:sz w:val="28"/>
          <w:szCs w:val="28"/>
        </w:rPr>
      </w:pPr>
      <w:r>
        <w:rPr>
          <w:rFonts w:hint="eastAsia"/>
          <w:sz w:val="28"/>
          <w:szCs w:val="28"/>
        </w:rPr>
        <w:t>38路视频存储90天所需存储裸空间=3.7TB*38=140.6TB。</w:t>
      </w:r>
    </w:p>
    <w:p>
      <w:pPr>
        <w:spacing w:before="156" w:beforeLines="50" w:after="156" w:afterLines="50"/>
        <w:ind w:firstLine="480"/>
        <w:rPr>
          <w:sz w:val="28"/>
          <w:szCs w:val="28"/>
        </w:rPr>
      </w:pPr>
      <w:r>
        <w:rPr>
          <w:rFonts w:hint="eastAsia"/>
          <w:sz w:val="28"/>
          <w:szCs w:val="28"/>
        </w:rPr>
        <w:t>采用1台24路NVR，考虑一定的冗余，采用20块8T监控级硬盘。</w:t>
      </w:r>
    </w:p>
    <w:p>
      <w:pPr>
        <w:spacing w:before="156" w:beforeLines="50" w:after="156" w:afterLines="50"/>
        <w:ind w:firstLine="480"/>
        <w:rPr>
          <w:sz w:val="28"/>
          <w:szCs w:val="28"/>
        </w:rPr>
      </w:pPr>
      <w:r>
        <w:rPr>
          <w:rFonts w:hint="eastAsia"/>
          <w:sz w:val="28"/>
          <w:szCs w:val="28"/>
        </w:rPr>
        <w:t>摄像机采用POE供电，摄像机采用超五类或以上非屏蔽网线，增加2台24口POE千兆交换机。</w:t>
      </w:r>
    </w:p>
    <w:p>
      <w:pPr>
        <w:pStyle w:val="3"/>
        <w:spacing w:before="240"/>
      </w:pPr>
      <w:r>
        <w:rPr>
          <w:rFonts w:hint="eastAsia"/>
        </w:rPr>
        <w:t>监控室大屏</w:t>
      </w:r>
    </w:p>
    <w:p>
      <w:pPr>
        <w:spacing w:before="156" w:beforeLines="50" w:after="156" w:afterLines="50"/>
        <w:ind w:firstLine="480"/>
        <w:rPr>
          <w:rFonts w:hint="eastAsia"/>
          <w:sz w:val="28"/>
          <w:szCs w:val="28"/>
        </w:rPr>
      </w:pPr>
      <w:r>
        <w:rPr>
          <w:rFonts w:hint="eastAsia"/>
          <w:sz w:val="28"/>
          <w:szCs w:val="28"/>
        </w:rPr>
        <w:t>在信息机房辅房定制包含监控室办公桌椅，3×55英寸显示大屏系统等。</w:t>
      </w:r>
    </w:p>
    <w:p>
      <w:pPr>
        <w:spacing w:before="156" w:beforeLines="50" w:after="156" w:afterLines="50"/>
        <w:ind w:left="0" w:leftChars="0" w:firstLine="0" w:firstLineChars="0"/>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其他要求：</w:t>
      </w:r>
    </w:p>
    <w:p>
      <w:pPr>
        <w:numPr>
          <w:ilvl w:val="0"/>
          <w:numId w:val="13"/>
        </w:numPr>
        <w:spacing w:before="156" w:beforeLines="50" w:after="156" w:afterLines="50"/>
        <w:ind w:firstLine="480"/>
        <w:rPr>
          <w:rFonts w:hint="eastAsia"/>
          <w:sz w:val="28"/>
          <w:szCs w:val="28"/>
          <w:lang w:val="en-US" w:eastAsia="zh-CN"/>
        </w:rPr>
      </w:pPr>
      <w:r>
        <w:rPr>
          <w:rFonts w:hint="eastAsia"/>
          <w:sz w:val="28"/>
          <w:szCs w:val="28"/>
          <w:lang w:val="en-US" w:eastAsia="zh-CN"/>
        </w:rPr>
        <w:t>结算机房基础设施工程建设同时需兼顾到电子病历评级、互联网医院建设、智慧服务评级、三级等保测评的需求。</w:t>
      </w:r>
    </w:p>
    <w:p>
      <w:pPr>
        <w:numPr>
          <w:ilvl w:val="0"/>
          <w:numId w:val="13"/>
        </w:numPr>
        <w:spacing w:before="156" w:beforeLines="50" w:after="156" w:afterLines="50"/>
        <w:ind w:firstLine="480"/>
        <w:rPr>
          <w:rFonts w:hint="default"/>
          <w:sz w:val="28"/>
          <w:szCs w:val="28"/>
          <w:lang w:val="en-US" w:eastAsia="zh-CN"/>
        </w:rPr>
      </w:pPr>
      <w:r>
        <w:rPr>
          <w:rFonts w:hint="eastAsia"/>
          <w:sz w:val="28"/>
          <w:szCs w:val="28"/>
          <w:lang w:val="en-US" w:eastAsia="zh-CN"/>
        </w:rPr>
        <w:t>结算机房基础设施工程建设需统筹规划，一体化管理。</w:t>
      </w:r>
    </w:p>
    <w:p/>
    <w:sectPr>
      <w:footerReference r:id="rId3" w:type="default"/>
      <w:pgSz w:w="11906" w:h="16838"/>
      <w:pgMar w:top="1134" w:right="1134" w:bottom="1134" w:left="1134"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2000019F" w:csb1="4F010000"/>
  </w:font>
  <w:font w:name="文鼎粗黑">
    <w:altName w:val="黑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RcEAPLAQAAmQMAAA4AAAAAAAAAAQAgAAAAHgEAAGRycy9lMm9E&#10;b2MueG1sUEsFBgAAAAAGAAYAWQEAAFsFA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CBAD4"/>
    <w:multiLevelType w:val="singleLevel"/>
    <w:tmpl w:val="A90CBAD4"/>
    <w:lvl w:ilvl="0" w:tentative="0">
      <w:start w:val="1"/>
      <w:numFmt w:val="decimal"/>
      <w:suff w:val="nothing"/>
      <w:lvlText w:val="%1．"/>
      <w:lvlJc w:val="left"/>
      <w:pPr>
        <w:ind w:left="0" w:firstLine="400"/>
      </w:pPr>
      <w:rPr>
        <w:rFonts w:hint="default"/>
      </w:rPr>
    </w:lvl>
  </w:abstractNum>
  <w:abstractNum w:abstractNumId="1">
    <w:nsid w:val="BAA3CF36"/>
    <w:multiLevelType w:val="singleLevel"/>
    <w:tmpl w:val="BAA3CF36"/>
    <w:lvl w:ilvl="0" w:tentative="0">
      <w:start w:val="1"/>
      <w:numFmt w:val="decimal"/>
      <w:suff w:val="nothing"/>
      <w:lvlText w:val="%1．"/>
      <w:lvlJc w:val="left"/>
      <w:pPr>
        <w:ind w:left="0" w:firstLine="400"/>
      </w:pPr>
      <w:rPr>
        <w:rFonts w:hint="default"/>
      </w:rPr>
    </w:lvl>
  </w:abstractNum>
  <w:abstractNum w:abstractNumId="2">
    <w:nsid w:val="D7A8378C"/>
    <w:multiLevelType w:val="singleLevel"/>
    <w:tmpl w:val="D7A8378C"/>
    <w:lvl w:ilvl="0" w:tentative="0">
      <w:start w:val="1"/>
      <w:numFmt w:val="decimal"/>
      <w:lvlText w:val="(%1)"/>
      <w:lvlJc w:val="left"/>
      <w:pPr>
        <w:ind w:left="425" w:hanging="425"/>
      </w:pPr>
      <w:rPr>
        <w:rFonts w:hint="default"/>
      </w:rPr>
    </w:lvl>
  </w:abstractNum>
  <w:abstractNum w:abstractNumId="3">
    <w:nsid w:val="FFD851F6"/>
    <w:multiLevelType w:val="singleLevel"/>
    <w:tmpl w:val="FFD851F6"/>
    <w:lvl w:ilvl="0" w:tentative="0">
      <w:start w:val="1"/>
      <w:numFmt w:val="decimal"/>
      <w:suff w:val="nothing"/>
      <w:lvlText w:val="%1．"/>
      <w:lvlJc w:val="left"/>
      <w:pPr>
        <w:ind w:left="0" w:firstLine="400"/>
      </w:pPr>
      <w:rPr>
        <w:rFonts w:hint="default"/>
      </w:rPr>
    </w:lvl>
  </w:abstractNum>
  <w:abstractNum w:abstractNumId="4">
    <w:nsid w:val="0B6F8154"/>
    <w:multiLevelType w:val="singleLevel"/>
    <w:tmpl w:val="0B6F8154"/>
    <w:lvl w:ilvl="0" w:tentative="0">
      <w:start w:val="1"/>
      <w:numFmt w:val="decimal"/>
      <w:suff w:val="nothing"/>
      <w:lvlText w:val="%1．"/>
      <w:lvlJc w:val="left"/>
      <w:pPr>
        <w:ind w:left="0" w:firstLine="400"/>
      </w:pPr>
      <w:rPr>
        <w:rFonts w:hint="default"/>
      </w:rPr>
    </w:lvl>
  </w:abstractNum>
  <w:abstractNum w:abstractNumId="5">
    <w:nsid w:val="10DD1146"/>
    <w:multiLevelType w:val="multilevel"/>
    <w:tmpl w:val="10DD1146"/>
    <w:lvl w:ilvl="0" w:tentative="0">
      <w:start w:val="0"/>
      <w:numFmt w:val="bullet"/>
      <w:lvlText w:val=""/>
      <w:lvlJc w:val="left"/>
      <w:pPr>
        <w:ind w:left="276" w:hanging="168"/>
      </w:pPr>
      <w:rPr>
        <w:rFonts w:hint="default" w:ascii="Wingdings" w:hAnsi="Wingdings" w:eastAsia="Wingdings" w:cs="Wingdings"/>
        <w:w w:val="100"/>
        <w:position w:val="3"/>
        <w:sz w:val="13"/>
        <w:szCs w:val="13"/>
      </w:rPr>
    </w:lvl>
    <w:lvl w:ilvl="1" w:tentative="0">
      <w:start w:val="0"/>
      <w:numFmt w:val="bullet"/>
      <w:lvlText w:val="•"/>
      <w:lvlJc w:val="left"/>
      <w:pPr>
        <w:ind w:left="702" w:hanging="168"/>
      </w:pPr>
    </w:lvl>
    <w:lvl w:ilvl="2" w:tentative="0">
      <w:start w:val="0"/>
      <w:numFmt w:val="bullet"/>
      <w:lvlText w:val="•"/>
      <w:lvlJc w:val="left"/>
      <w:pPr>
        <w:ind w:left="1125" w:hanging="168"/>
      </w:pPr>
    </w:lvl>
    <w:lvl w:ilvl="3" w:tentative="0">
      <w:start w:val="0"/>
      <w:numFmt w:val="bullet"/>
      <w:lvlText w:val="•"/>
      <w:lvlJc w:val="left"/>
      <w:pPr>
        <w:ind w:left="1548" w:hanging="168"/>
      </w:pPr>
    </w:lvl>
    <w:lvl w:ilvl="4" w:tentative="0">
      <w:start w:val="0"/>
      <w:numFmt w:val="bullet"/>
      <w:lvlText w:val="•"/>
      <w:lvlJc w:val="left"/>
      <w:pPr>
        <w:ind w:left="1971" w:hanging="168"/>
      </w:pPr>
    </w:lvl>
    <w:lvl w:ilvl="5" w:tentative="0">
      <w:start w:val="0"/>
      <w:numFmt w:val="bullet"/>
      <w:lvlText w:val="•"/>
      <w:lvlJc w:val="left"/>
      <w:pPr>
        <w:ind w:left="2394" w:hanging="168"/>
      </w:pPr>
    </w:lvl>
    <w:lvl w:ilvl="6" w:tentative="0">
      <w:start w:val="0"/>
      <w:numFmt w:val="bullet"/>
      <w:lvlText w:val="•"/>
      <w:lvlJc w:val="left"/>
      <w:pPr>
        <w:ind w:left="2817" w:hanging="168"/>
      </w:pPr>
    </w:lvl>
    <w:lvl w:ilvl="7" w:tentative="0">
      <w:start w:val="0"/>
      <w:numFmt w:val="bullet"/>
      <w:lvlText w:val="•"/>
      <w:lvlJc w:val="left"/>
      <w:pPr>
        <w:ind w:left="3240" w:hanging="168"/>
      </w:pPr>
    </w:lvl>
    <w:lvl w:ilvl="8" w:tentative="0">
      <w:start w:val="0"/>
      <w:numFmt w:val="bullet"/>
      <w:lvlText w:val="•"/>
      <w:lvlJc w:val="left"/>
      <w:pPr>
        <w:ind w:left="3663" w:hanging="168"/>
      </w:pPr>
    </w:lvl>
  </w:abstractNum>
  <w:abstractNum w:abstractNumId="6">
    <w:nsid w:val="1CB16ABA"/>
    <w:multiLevelType w:val="singleLevel"/>
    <w:tmpl w:val="1CB16ABA"/>
    <w:lvl w:ilvl="0" w:tentative="0">
      <w:start w:val="1"/>
      <w:numFmt w:val="decimal"/>
      <w:suff w:val="nothing"/>
      <w:lvlText w:val="%1．"/>
      <w:lvlJc w:val="left"/>
      <w:pPr>
        <w:ind w:left="0" w:firstLine="400"/>
      </w:pPr>
      <w:rPr>
        <w:rFonts w:hint="default"/>
      </w:rPr>
    </w:lvl>
  </w:abstractNum>
  <w:abstractNum w:abstractNumId="7">
    <w:nsid w:val="1D5755D3"/>
    <w:multiLevelType w:val="multilevel"/>
    <w:tmpl w:val="1D5755D3"/>
    <w:lvl w:ilvl="0" w:tentative="0">
      <w:start w:val="1"/>
      <w:numFmt w:val="bullet"/>
      <w:pStyle w:val="57"/>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23C15085"/>
    <w:multiLevelType w:val="singleLevel"/>
    <w:tmpl w:val="23C15085"/>
    <w:lvl w:ilvl="0" w:tentative="0">
      <w:start w:val="1"/>
      <w:numFmt w:val="decimal"/>
      <w:suff w:val="nothing"/>
      <w:lvlText w:val="%1．"/>
      <w:lvlJc w:val="left"/>
      <w:pPr>
        <w:ind w:left="0" w:firstLine="400"/>
      </w:pPr>
      <w:rPr>
        <w:rFonts w:hint="default"/>
      </w:rPr>
    </w:lvl>
  </w:abstractNum>
  <w:abstractNum w:abstractNumId="9">
    <w:nsid w:val="37F6E500"/>
    <w:multiLevelType w:val="singleLevel"/>
    <w:tmpl w:val="37F6E500"/>
    <w:lvl w:ilvl="0" w:tentative="0">
      <w:start w:val="1"/>
      <w:numFmt w:val="decimal"/>
      <w:suff w:val="nothing"/>
      <w:lvlText w:val="%1、"/>
      <w:lvlJc w:val="left"/>
    </w:lvl>
  </w:abstractNum>
  <w:abstractNum w:abstractNumId="10">
    <w:nsid w:val="47436C3F"/>
    <w:multiLevelType w:val="singleLevel"/>
    <w:tmpl w:val="47436C3F"/>
    <w:lvl w:ilvl="0" w:tentative="0">
      <w:start w:val="1"/>
      <w:numFmt w:val="decimal"/>
      <w:suff w:val="nothing"/>
      <w:lvlText w:val="%1．"/>
      <w:lvlJc w:val="left"/>
      <w:pPr>
        <w:ind w:left="0" w:firstLine="400"/>
      </w:pPr>
      <w:rPr>
        <w:rFonts w:hint="default"/>
      </w:rPr>
    </w:lvl>
  </w:abstractNum>
  <w:abstractNum w:abstractNumId="11">
    <w:nsid w:val="49599A70"/>
    <w:multiLevelType w:val="singleLevel"/>
    <w:tmpl w:val="49599A70"/>
    <w:lvl w:ilvl="0" w:tentative="0">
      <w:start w:val="1"/>
      <w:numFmt w:val="decimal"/>
      <w:lvlText w:val="(%1)"/>
      <w:lvlJc w:val="left"/>
      <w:pPr>
        <w:ind w:left="425" w:hanging="425"/>
      </w:pPr>
      <w:rPr>
        <w:rFonts w:hint="default"/>
      </w:rPr>
    </w:lvl>
  </w:abstractNum>
  <w:abstractNum w:abstractNumId="12">
    <w:nsid w:val="55A203EC"/>
    <w:multiLevelType w:val="singleLevel"/>
    <w:tmpl w:val="55A203EC"/>
    <w:lvl w:ilvl="0" w:tentative="0">
      <w:start w:val="1"/>
      <w:numFmt w:val="decimal"/>
      <w:suff w:val="nothing"/>
      <w:lvlText w:val="%1、"/>
      <w:lvlJc w:val="left"/>
    </w:lvl>
  </w:abstractNum>
  <w:num w:numId="1">
    <w:abstractNumId w:val="7"/>
  </w:num>
  <w:num w:numId="2">
    <w:abstractNumId w:val="9"/>
  </w:num>
  <w:num w:numId="3">
    <w:abstractNumId w:val="8"/>
  </w:num>
  <w:num w:numId="4">
    <w:abstractNumId w:val="0"/>
  </w:num>
  <w:num w:numId="5">
    <w:abstractNumId w:val="5"/>
  </w:num>
  <w:num w:numId="6">
    <w:abstractNumId w:val="2"/>
  </w:num>
  <w:num w:numId="7">
    <w:abstractNumId w:val="1"/>
  </w:num>
  <w:num w:numId="8">
    <w:abstractNumId w:val="11"/>
  </w:num>
  <w:num w:numId="9">
    <w:abstractNumId w:val="6"/>
  </w:num>
  <w:num w:numId="10">
    <w:abstractNumId w:val="4"/>
  </w:num>
  <w:num w:numId="11">
    <w:abstractNumId w:val="3"/>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FjOTc1N2I2MGNjZjhmYTM4YmEwNmNkYWU0YzdjYjUifQ=="/>
    <w:docVar w:name="KSO_WPS_MARK_KEY" w:val="cff3d603-1dde-410c-9daa-d940138b5d86"/>
  </w:docVars>
  <w:rsids>
    <w:rsidRoot w:val="00465DED"/>
    <w:rsid w:val="0000131F"/>
    <w:rsid w:val="0000259D"/>
    <w:rsid w:val="000036D6"/>
    <w:rsid w:val="00004906"/>
    <w:rsid w:val="00005429"/>
    <w:rsid w:val="00005C27"/>
    <w:rsid w:val="0000670A"/>
    <w:rsid w:val="00006E2A"/>
    <w:rsid w:val="00010B8D"/>
    <w:rsid w:val="00010DC3"/>
    <w:rsid w:val="00011A45"/>
    <w:rsid w:val="00011AAF"/>
    <w:rsid w:val="00012BC4"/>
    <w:rsid w:val="00012F81"/>
    <w:rsid w:val="00013364"/>
    <w:rsid w:val="000137C2"/>
    <w:rsid w:val="00014625"/>
    <w:rsid w:val="00014823"/>
    <w:rsid w:val="00016458"/>
    <w:rsid w:val="000165EF"/>
    <w:rsid w:val="0001731B"/>
    <w:rsid w:val="000208F8"/>
    <w:rsid w:val="00021304"/>
    <w:rsid w:val="0002162A"/>
    <w:rsid w:val="00022C27"/>
    <w:rsid w:val="00022F4F"/>
    <w:rsid w:val="00022FA9"/>
    <w:rsid w:val="00023C3C"/>
    <w:rsid w:val="00025B21"/>
    <w:rsid w:val="00026CF4"/>
    <w:rsid w:val="00027415"/>
    <w:rsid w:val="000274F7"/>
    <w:rsid w:val="00027523"/>
    <w:rsid w:val="000307C5"/>
    <w:rsid w:val="00030D77"/>
    <w:rsid w:val="000312E0"/>
    <w:rsid w:val="00031692"/>
    <w:rsid w:val="00031887"/>
    <w:rsid w:val="000319D1"/>
    <w:rsid w:val="00034043"/>
    <w:rsid w:val="0003479B"/>
    <w:rsid w:val="00034D9B"/>
    <w:rsid w:val="00034E88"/>
    <w:rsid w:val="0003524E"/>
    <w:rsid w:val="000367ED"/>
    <w:rsid w:val="000372E9"/>
    <w:rsid w:val="0003762A"/>
    <w:rsid w:val="0003795A"/>
    <w:rsid w:val="00040861"/>
    <w:rsid w:val="000428FC"/>
    <w:rsid w:val="00043D2B"/>
    <w:rsid w:val="000447F6"/>
    <w:rsid w:val="00045923"/>
    <w:rsid w:val="00045EB5"/>
    <w:rsid w:val="00046595"/>
    <w:rsid w:val="00047612"/>
    <w:rsid w:val="00047852"/>
    <w:rsid w:val="00050F73"/>
    <w:rsid w:val="00051378"/>
    <w:rsid w:val="00052132"/>
    <w:rsid w:val="0005223D"/>
    <w:rsid w:val="000545F7"/>
    <w:rsid w:val="0005526E"/>
    <w:rsid w:val="000553E6"/>
    <w:rsid w:val="00056374"/>
    <w:rsid w:val="00056617"/>
    <w:rsid w:val="00057655"/>
    <w:rsid w:val="00060526"/>
    <w:rsid w:val="0006264D"/>
    <w:rsid w:val="00062FC5"/>
    <w:rsid w:val="0006301D"/>
    <w:rsid w:val="00063F2E"/>
    <w:rsid w:val="00066813"/>
    <w:rsid w:val="0006745C"/>
    <w:rsid w:val="00070384"/>
    <w:rsid w:val="0007211D"/>
    <w:rsid w:val="0007246F"/>
    <w:rsid w:val="000730F3"/>
    <w:rsid w:val="00073B23"/>
    <w:rsid w:val="0007421E"/>
    <w:rsid w:val="00074554"/>
    <w:rsid w:val="00074BEF"/>
    <w:rsid w:val="00075AD5"/>
    <w:rsid w:val="00076C09"/>
    <w:rsid w:val="00077388"/>
    <w:rsid w:val="00080168"/>
    <w:rsid w:val="00080A90"/>
    <w:rsid w:val="00081B06"/>
    <w:rsid w:val="00081D3E"/>
    <w:rsid w:val="000820E6"/>
    <w:rsid w:val="000825F6"/>
    <w:rsid w:val="00082956"/>
    <w:rsid w:val="00082ABE"/>
    <w:rsid w:val="00083D3F"/>
    <w:rsid w:val="00083E84"/>
    <w:rsid w:val="00085134"/>
    <w:rsid w:val="00085317"/>
    <w:rsid w:val="00085419"/>
    <w:rsid w:val="000855C1"/>
    <w:rsid w:val="0008596C"/>
    <w:rsid w:val="00085FFE"/>
    <w:rsid w:val="000866A3"/>
    <w:rsid w:val="00086F62"/>
    <w:rsid w:val="00087AE2"/>
    <w:rsid w:val="00091201"/>
    <w:rsid w:val="0009127F"/>
    <w:rsid w:val="0009133A"/>
    <w:rsid w:val="0009145A"/>
    <w:rsid w:val="00091526"/>
    <w:rsid w:val="00092BD5"/>
    <w:rsid w:val="00094818"/>
    <w:rsid w:val="00095198"/>
    <w:rsid w:val="00095806"/>
    <w:rsid w:val="00095F61"/>
    <w:rsid w:val="000962FB"/>
    <w:rsid w:val="00097B04"/>
    <w:rsid w:val="000A0776"/>
    <w:rsid w:val="000A0ABE"/>
    <w:rsid w:val="000A2326"/>
    <w:rsid w:val="000A2D79"/>
    <w:rsid w:val="000A584E"/>
    <w:rsid w:val="000A5A8E"/>
    <w:rsid w:val="000A5CD4"/>
    <w:rsid w:val="000A7478"/>
    <w:rsid w:val="000A7A6C"/>
    <w:rsid w:val="000B0205"/>
    <w:rsid w:val="000B0817"/>
    <w:rsid w:val="000B10D9"/>
    <w:rsid w:val="000B1772"/>
    <w:rsid w:val="000B20FC"/>
    <w:rsid w:val="000B2D4D"/>
    <w:rsid w:val="000B2EE3"/>
    <w:rsid w:val="000B4F60"/>
    <w:rsid w:val="000B5CC8"/>
    <w:rsid w:val="000B5DFC"/>
    <w:rsid w:val="000B669E"/>
    <w:rsid w:val="000C1B95"/>
    <w:rsid w:val="000C22E2"/>
    <w:rsid w:val="000C299D"/>
    <w:rsid w:val="000C2F40"/>
    <w:rsid w:val="000C3B21"/>
    <w:rsid w:val="000C428C"/>
    <w:rsid w:val="000C48DA"/>
    <w:rsid w:val="000C7685"/>
    <w:rsid w:val="000D11C5"/>
    <w:rsid w:val="000D2CA8"/>
    <w:rsid w:val="000D48D5"/>
    <w:rsid w:val="000D6088"/>
    <w:rsid w:val="000D6F21"/>
    <w:rsid w:val="000D73B9"/>
    <w:rsid w:val="000D7803"/>
    <w:rsid w:val="000D7DC6"/>
    <w:rsid w:val="000E133D"/>
    <w:rsid w:val="000E18B0"/>
    <w:rsid w:val="000E1BD5"/>
    <w:rsid w:val="000E2823"/>
    <w:rsid w:val="000E3219"/>
    <w:rsid w:val="000E37C6"/>
    <w:rsid w:val="000E3B71"/>
    <w:rsid w:val="000E3D76"/>
    <w:rsid w:val="000E52FA"/>
    <w:rsid w:val="000E5644"/>
    <w:rsid w:val="000E6437"/>
    <w:rsid w:val="000E7691"/>
    <w:rsid w:val="000F0D6F"/>
    <w:rsid w:val="000F1EDD"/>
    <w:rsid w:val="000F3580"/>
    <w:rsid w:val="000F3CAF"/>
    <w:rsid w:val="000F3F04"/>
    <w:rsid w:val="000F420E"/>
    <w:rsid w:val="000F454C"/>
    <w:rsid w:val="000F4924"/>
    <w:rsid w:val="000F4EE2"/>
    <w:rsid w:val="000F527A"/>
    <w:rsid w:val="000F5A22"/>
    <w:rsid w:val="000F5C16"/>
    <w:rsid w:val="000F7241"/>
    <w:rsid w:val="000F7836"/>
    <w:rsid w:val="000F7F62"/>
    <w:rsid w:val="001001FD"/>
    <w:rsid w:val="00100DA7"/>
    <w:rsid w:val="00101CD4"/>
    <w:rsid w:val="00101DFC"/>
    <w:rsid w:val="00101FE8"/>
    <w:rsid w:val="00102A12"/>
    <w:rsid w:val="00102CC6"/>
    <w:rsid w:val="00102F0D"/>
    <w:rsid w:val="001048BE"/>
    <w:rsid w:val="0010658C"/>
    <w:rsid w:val="001072EB"/>
    <w:rsid w:val="00107924"/>
    <w:rsid w:val="0011014B"/>
    <w:rsid w:val="00111274"/>
    <w:rsid w:val="001117B9"/>
    <w:rsid w:val="001134EF"/>
    <w:rsid w:val="0011504B"/>
    <w:rsid w:val="001151A9"/>
    <w:rsid w:val="00116B2A"/>
    <w:rsid w:val="00116FD1"/>
    <w:rsid w:val="0012030F"/>
    <w:rsid w:val="00120AB4"/>
    <w:rsid w:val="00120BE1"/>
    <w:rsid w:val="00121200"/>
    <w:rsid w:val="00121AE1"/>
    <w:rsid w:val="00121C20"/>
    <w:rsid w:val="00123EA6"/>
    <w:rsid w:val="0012400B"/>
    <w:rsid w:val="0012537B"/>
    <w:rsid w:val="00126703"/>
    <w:rsid w:val="0012714F"/>
    <w:rsid w:val="00127401"/>
    <w:rsid w:val="00127915"/>
    <w:rsid w:val="00130801"/>
    <w:rsid w:val="00130A8C"/>
    <w:rsid w:val="001310AA"/>
    <w:rsid w:val="00132670"/>
    <w:rsid w:val="0013280E"/>
    <w:rsid w:val="001328E9"/>
    <w:rsid w:val="0013318E"/>
    <w:rsid w:val="00136615"/>
    <w:rsid w:val="00136BA5"/>
    <w:rsid w:val="001372AB"/>
    <w:rsid w:val="00137B1E"/>
    <w:rsid w:val="001403D0"/>
    <w:rsid w:val="00143392"/>
    <w:rsid w:val="001438E5"/>
    <w:rsid w:val="00143AB1"/>
    <w:rsid w:val="00143D73"/>
    <w:rsid w:val="00146964"/>
    <w:rsid w:val="00146E88"/>
    <w:rsid w:val="00147B19"/>
    <w:rsid w:val="00150618"/>
    <w:rsid w:val="00150E64"/>
    <w:rsid w:val="00151766"/>
    <w:rsid w:val="00151C13"/>
    <w:rsid w:val="00152F39"/>
    <w:rsid w:val="00153918"/>
    <w:rsid w:val="001547E1"/>
    <w:rsid w:val="00154F74"/>
    <w:rsid w:val="0015538D"/>
    <w:rsid w:val="00155AB0"/>
    <w:rsid w:val="001571E8"/>
    <w:rsid w:val="001573E3"/>
    <w:rsid w:val="00160375"/>
    <w:rsid w:val="00161337"/>
    <w:rsid w:val="00161522"/>
    <w:rsid w:val="001617AE"/>
    <w:rsid w:val="00161E4F"/>
    <w:rsid w:val="0016263C"/>
    <w:rsid w:val="00162AE8"/>
    <w:rsid w:val="00162C56"/>
    <w:rsid w:val="00162DB2"/>
    <w:rsid w:val="001636FF"/>
    <w:rsid w:val="00164924"/>
    <w:rsid w:val="001657B1"/>
    <w:rsid w:val="00167927"/>
    <w:rsid w:val="00170C17"/>
    <w:rsid w:val="001715A5"/>
    <w:rsid w:val="0017173E"/>
    <w:rsid w:val="00171CA3"/>
    <w:rsid w:val="00173149"/>
    <w:rsid w:val="00173759"/>
    <w:rsid w:val="00174207"/>
    <w:rsid w:val="00174CE3"/>
    <w:rsid w:val="00177549"/>
    <w:rsid w:val="001778BE"/>
    <w:rsid w:val="00181FEA"/>
    <w:rsid w:val="0018284B"/>
    <w:rsid w:val="00182B41"/>
    <w:rsid w:val="00182F35"/>
    <w:rsid w:val="001845E9"/>
    <w:rsid w:val="001864FF"/>
    <w:rsid w:val="0019153B"/>
    <w:rsid w:val="00191856"/>
    <w:rsid w:val="001918A2"/>
    <w:rsid w:val="001919EB"/>
    <w:rsid w:val="00191B94"/>
    <w:rsid w:val="0019227B"/>
    <w:rsid w:val="00192D08"/>
    <w:rsid w:val="00193835"/>
    <w:rsid w:val="001941C8"/>
    <w:rsid w:val="00194565"/>
    <w:rsid w:val="00195B8B"/>
    <w:rsid w:val="00195DCB"/>
    <w:rsid w:val="00195F14"/>
    <w:rsid w:val="001961A2"/>
    <w:rsid w:val="00196787"/>
    <w:rsid w:val="00196B4C"/>
    <w:rsid w:val="001970AD"/>
    <w:rsid w:val="00197204"/>
    <w:rsid w:val="00197395"/>
    <w:rsid w:val="001A0E88"/>
    <w:rsid w:val="001A173C"/>
    <w:rsid w:val="001A1844"/>
    <w:rsid w:val="001A193D"/>
    <w:rsid w:val="001A1998"/>
    <w:rsid w:val="001A1BE9"/>
    <w:rsid w:val="001A20CA"/>
    <w:rsid w:val="001A3900"/>
    <w:rsid w:val="001A3B13"/>
    <w:rsid w:val="001A3CF6"/>
    <w:rsid w:val="001A3EE7"/>
    <w:rsid w:val="001A5511"/>
    <w:rsid w:val="001A563D"/>
    <w:rsid w:val="001A63BA"/>
    <w:rsid w:val="001A6C49"/>
    <w:rsid w:val="001B0220"/>
    <w:rsid w:val="001B0850"/>
    <w:rsid w:val="001B2A31"/>
    <w:rsid w:val="001B2D49"/>
    <w:rsid w:val="001B5B42"/>
    <w:rsid w:val="001B6DDB"/>
    <w:rsid w:val="001B7078"/>
    <w:rsid w:val="001B7491"/>
    <w:rsid w:val="001B7BE5"/>
    <w:rsid w:val="001B7EBE"/>
    <w:rsid w:val="001C06C0"/>
    <w:rsid w:val="001C10E5"/>
    <w:rsid w:val="001C1A12"/>
    <w:rsid w:val="001C1F6C"/>
    <w:rsid w:val="001C226C"/>
    <w:rsid w:val="001C30D1"/>
    <w:rsid w:val="001C35B7"/>
    <w:rsid w:val="001C3AE0"/>
    <w:rsid w:val="001D0702"/>
    <w:rsid w:val="001D0A25"/>
    <w:rsid w:val="001D20A5"/>
    <w:rsid w:val="001D296C"/>
    <w:rsid w:val="001D2F3D"/>
    <w:rsid w:val="001D33C3"/>
    <w:rsid w:val="001D3DED"/>
    <w:rsid w:val="001D3DF8"/>
    <w:rsid w:val="001D3E38"/>
    <w:rsid w:val="001D4E6F"/>
    <w:rsid w:val="001D54C6"/>
    <w:rsid w:val="001D5573"/>
    <w:rsid w:val="001D6356"/>
    <w:rsid w:val="001D6EC3"/>
    <w:rsid w:val="001D710C"/>
    <w:rsid w:val="001E084A"/>
    <w:rsid w:val="001E11B1"/>
    <w:rsid w:val="001E208F"/>
    <w:rsid w:val="001E233C"/>
    <w:rsid w:val="001E630A"/>
    <w:rsid w:val="001E7838"/>
    <w:rsid w:val="001E7A3D"/>
    <w:rsid w:val="001F178E"/>
    <w:rsid w:val="001F1F7F"/>
    <w:rsid w:val="001F2E14"/>
    <w:rsid w:val="001F37E0"/>
    <w:rsid w:val="001F401A"/>
    <w:rsid w:val="001F41F7"/>
    <w:rsid w:val="001F4A76"/>
    <w:rsid w:val="001F4F4A"/>
    <w:rsid w:val="001F5989"/>
    <w:rsid w:val="001F6190"/>
    <w:rsid w:val="001F7281"/>
    <w:rsid w:val="002035A2"/>
    <w:rsid w:val="00203887"/>
    <w:rsid w:val="00203964"/>
    <w:rsid w:val="00204688"/>
    <w:rsid w:val="002046D6"/>
    <w:rsid w:val="00205C71"/>
    <w:rsid w:val="00206BD9"/>
    <w:rsid w:val="0020717B"/>
    <w:rsid w:val="00210436"/>
    <w:rsid w:val="0021043B"/>
    <w:rsid w:val="00210E7E"/>
    <w:rsid w:val="00211084"/>
    <w:rsid w:val="00211254"/>
    <w:rsid w:val="002122AD"/>
    <w:rsid w:val="002139CD"/>
    <w:rsid w:val="00213E88"/>
    <w:rsid w:val="00214C22"/>
    <w:rsid w:val="0021781A"/>
    <w:rsid w:val="00217CD4"/>
    <w:rsid w:val="002201AC"/>
    <w:rsid w:val="0022067E"/>
    <w:rsid w:val="00220BEC"/>
    <w:rsid w:val="00221029"/>
    <w:rsid w:val="002216BD"/>
    <w:rsid w:val="00221FE8"/>
    <w:rsid w:val="00222F08"/>
    <w:rsid w:val="002237FD"/>
    <w:rsid w:val="0022442C"/>
    <w:rsid w:val="00224A1D"/>
    <w:rsid w:val="00225340"/>
    <w:rsid w:val="00225A7C"/>
    <w:rsid w:val="00225F51"/>
    <w:rsid w:val="002269FF"/>
    <w:rsid w:val="002274F2"/>
    <w:rsid w:val="00227BE4"/>
    <w:rsid w:val="00227C1E"/>
    <w:rsid w:val="00230D0C"/>
    <w:rsid w:val="00230EA4"/>
    <w:rsid w:val="00231DF4"/>
    <w:rsid w:val="00231E9A"/>
    <w:rsid w:val="002332DD"/>
    <w:rsid w:val="00233EA8"/>
    <w:rsid w:val="00233EE9"/>
    <w:rsid w:val="00235CCD"/>
    <w:rsid w:val="0023602F"/>
    <w:rsid w:val="002362A8"/>
    <w:rsid w:val="002362ED"/>
    <w:rsid w:val="00236B8E"/>
    <w:rsid w:val="00237036"/>
    <w:rsid w:val="002372AC"/>
    <w:rsid w:val="00237A33"/>
    <w:rsid w:val="00240134"/>
    <w:rsid w:val="00240B0F"/>
    <w:rsid w:val="00240E54"/>
    <w:rsid w:val="00241BD9"/>
    <w:rsid w:val="00242B67"/>
    <w:rsid w:val="00243A5F"/>
    <w:rsid w:val="002442A5"/>
    <w:rsid w:val="00244AF3"/>
    <w:rsid w:val="00244EFB"/>
    <w:rsid w:val="002451ED"/>
    <w:rsid w:val="002458E4"/>
    <w:rsid w:val="00245DD8"/>
    <w:rsid w:val="00246184"/>
    <w:rsid w:val="002506EE"/>
    <w:rsid w:val="00251528"/>
    <w:rsid w:val="00252D49"/>
    <w:rsid w:val="00253C51"/>
    <w:rsid w:val="002548D3"/>
    <w:rsid w:val="0025568B"/>
    <w:rsid w:val="002561B7"/>
    <w:rsid w:val="00257131"/>
    <w:rsid w:val="0025733E"/>
    <w:rsid w:val="00257551"/>
    <w:rsid w:val="00257F6B"/>
    <w:rsid w:val="00261066"/>
    <w:rsid w:val="0026109E"/>
    <w:rsid w:val="00261C50"/>
    <w:rsid w:val="00261E06"/>
    <w:rsid w:val="00263090"/>
    <w:rsid w:val="00264D98"/>
    <w:rsid w:val="00264E11"/>
    <w:rsid w:val="00265054"/>
    <w:rsid w:val="0026523F"/>
    <w:rsid w:val="00266BE6"/>
    <w:rsid w:val="00267935"/>
    <w:rsid w:val="00270B8F"/>
    <w:rsid w:val="00271B39"/>
    <w:rsid w:val="00272D67"/>
    <w:rsid w:val="0027313B"/>
    <w:rsid w:val="00273AFD"/>
    <w:rsid w:val="00273CF6"/>
    <w:rsid w:val="00274203"/>
    <w:rsid w:val="0027423D"/>
    <w:rsid w:val="00274F13"/>
    <w:rsid w:val="00275567"/>
    <w:rsid w:val="00275D52"/>
    <w:rsid w:val="00276BC6"/>
    <w:rsid w:val="0027714E"/>
    <w:rsid w:val="0027723E"/>
    <w:rsid w:val="002772D9"/>
    <w:rsid w:val="0028028C"/>
    <w:rsid w:val="0028072C"/>
    <w:rsid w:val="00280915"/>
    <w:rsid w:val="00281083"/>
    <w:rsid w:val="00281DA0"/>
    <w:rsid w:val="002821AF"/>
    <w:rsid w:val="00282D45"/>
    <w:rsid w:val="00283253"/>
    <w:rsid w:val="00283A96"/>
    <w:rsid w:val="00283C84"/>
    <w:rsid w:val="002846FD"/>
    <w:rsid w:val="00285350"/>
    <w:rsid w:val="0028535D"/>
    <w:rsid w:val="00285D2A"/>
    <w:rsid w:val="00285F50"/>
    <w:rsid w:val="00287102"/>
    <w:rsid w:val="00290655"/>
    <w:rsid w:val="00293DA4"/>
    <w:rsid w:val="002943C7"/>
    <w:rsid w:val="00294966"/>
    <w:rsid w:val="00296304"/>
    <w:rsid w:val="002965D8"/>
    <w:rsid w:val="002A0381"/>
    <w:rsid w:val="002A0425"/>
    <w:rsid w:val="002A0651"/>
    <w:rsid w:val="002A06BD"/>
    <w:rsid w:val="002A11FB"/>
    <w:rsid w:val="002A120C"/>
    <w:rsid w:val="002A1996"/>
    <w:rsid w:val="002A1F00"/>
    <w:rsid w:val="002A2185"/>
    <w:rsid w:val="002A21D9"/>
    <w:rsid w:val="002A334F"/>
    <w:rsid w:val="002A52CC"/>
    <w:rsid w:val="002A55AD"/>
    <w:rsid w:val="002A58FF"/>
    <w:rsid w:val="002A5FBD"/>
    <w:rsid w:val="002A6C04"/>
    <w:rsid w:val="002A6E4D"/>
    <w:rsid w:val="002A7153"/>
    <w:rsid w:val="002A728A"/>
    <w:rsid w:val="002A72AE"/>
    <w:rsid w:val="002A73C5"/>
    <w:rsid w:val="002A7D4F"/>
    <w:rsid w:val="002B011D"/>
    <w:rsid w:val="002B021E"/>
    <w:rsid w:val="002B2E09"/>
    <w:rsid w:val="002B32C8"/>
    <w:rsid w:val="002B3640"/>
    <w:rsid w:val="002B3C7C"/>
    <w:rsid w:val="002B6528"/>
    <w:rsid w:val="002B6DB3"/>
    <w:rsid w:val="002C0747"/>
    <w:rsid w:val="002C08AB"/>
    <w:rsid w:val="002C10D4"/>
    <w:rsid w:val="002C1287"/>
    <w:rsid w:val="002C183E"/>
    <w:rsid w:val="002C1AA0"/>
    <w:rsid w:val="002C24DC"/>
    <w:rsid w:val="002C3057"/>
    <w:rsid w:val="002C44A2"/>
    <w:rsid w:val="002C44D3"/>
    <w:rsid w:val="002C467A"/>
    <w:rsid w:val="002C47E7"/>
    <w:rsid w:val="002C526F"/>
    <w:rsid w:val="002C6637"/>
    <w:rsid w:val="002D13DF"/>
    <w:rsid w:val="002D3B6B"/>
    <w:rsid w:val="002D41A4"/>
    <w:rsid w:val="002D5609"/>
    <w:rsid w:val="002D5A80"/>
    <w:rsid w:val="002D603D"/>
    <w:rsid w:val="002D6306"/>
    <w:rsid w:val="002D769E"/>
    <w:rsid w:val="002D7718"/>
    <w:rsid w:val="002D7F73"/>
    <w:rsid w:val="002E00AD"/>
    <w:rsid w:val="002E075F"/>
    <w:rsid w:val="002E08C1"/>
    <w:rsid w:val="002E0B56"/>
    <w:rsid w:val="002E0B5D"/>
    <w:rsid w:val="002E1650"/>
    <w:rsid w:val="002E214F"/>
    <w:rsid w:val="002E29A5"/>
    <w:rsid w:val="002E3859"/>
    <w:rsid w:val="002E3C98"/>
    <w:rsid w:val="002E57C9"/>
    <w:rsid w:val="002E5C86"/>
    <w:rsid w:val="002E6A58"/>
    <w:rsid w:val="002E7881"/>
    <w:rsid w:val="002F01F2"/>
    <w:rsid w:val="002F11D5"/>
    <w:rsid w:val="002F3765"/>
    <w:rsid w:val="002F3BD4"/>
    <w:rsid w:val="002F45CA"/>
    <w:rsid w:val="002F4F44"/>
    <w:rsid w:val="002F50DA"/>
    <w:rsid w:val="002F574C"/>
    <w:rsid w:val="002F584B"/>
    <w:rsid w:val="002F5FC3"/>
    <w:rsid w:val="002F6EF2"/>
    <w:rsid w:val="002F7D39"/>
    <w:rsid w:val="002F7E8D"/>
    <w:rsid w:val="00301633"/>
    <w:rsid w:val="00302124"/>
    <w:rsid w:val="003022E5"/>
    <w:rsid w:val="003033D9"/>
    <w:rsid w:val="00303F98"/>
    <w:rsid w:val="00304298"/>
    <w:rsid w:val="00304338"/>
    <w:rsid w:val="003044F5"/>
    <w:rsid w:val="003051C9"/>
    <w:rsid w:val="00305D1D"/>
    <w:rsid w:val="0030700E"/>
    <w:rsid w:val="00307766"/>
    <w:rsid w:val="00307A2D"/>
    <w:rsid w:val="00307F5A"/>
    <w:rsid w:val="00307FC5"/>
    <w:rsid w:val="00310D4B"/>
    <w:rsid w:val="00311A7F"/>
    <w:rsid w:val="00312C17"/>
    <w:rsid w:val="003132C3"/>
    <w:rsid w:val="00313A3B"/>
    <w:rsid w:val="00314C92"/>
    <w:rsid w:val="00315243"/>
    <w:rsid w:val="00317240"/>
    <w:rsid w:val="0031737C"/>
    <w:rsid w:val="003201A8"/>
    <w:rsid w:val="003203BF"/>
    <w:rsid w:val="0032108A"/>
    <w:rsid w:val="00321358"/>
    <w:rsid w:val="003214D6"/>
    <w:rsid w:val="0032244E"/>
    <w:rsid w:val="0032274E"/>
    <w:rsid w:val="003242E5"/>
    <w:rsid w:val="00324402"/>
    <w:rsid w:val="0032456E"/>
    <w:rsid w:val="00324DD8"/>
    <w:rsid w:val="00325650"/>
    <w:rsid w:val="003256E0"/>
    <w:rsid w:val="00327114"/>
    <w:rsid w:val="00327B3E"/>
    <w:rsid w:val="00327EA3"/>
    <w:rsid w:val="00330883"/>
    <w:rsid w:val="003310E8"/>
    <w:rsid w:val="0033321A"/>
    <w:rsid w:val="00333676"/>
    <w:rsid w:val="003337D6"/>
    <w:rsid w:val="00333A02"/>
    <w:rsid w:val="00333E4C"/>
    <w:rsid w:val="00334224"/>
    <w:rsid w:val="0033425B"/>
    <w:rsid w:val="00334680"/>
    <w:rsid w:val="003350A3"/>
    <w:rsid w:val="0033586C"/>
    <w:rsid w:val="00335E90"/>
    <w:rsid w:val="00340397"/>
    <w:rsid w:val="00340445"/>
    <w:rsid w:val="00342BAE"/>
    <w:rsid w:val="00343125"/>
    <w:rsid w:val="003431F0"/>
    <w:rsid w:val="00344388"/>
    <w:rsid w:val="003456A4"/>
    <w:rsid w:val="00345AD6"/>
    <w:rsid w:val="00345E2A"/>
    <w:rsid w:val="00345E64"/>
    <w:rsid w:val="00346772"/>
    <w:rsid w:val="00346A25"/>
    <w:rsid w:val="00346E05"/>
    <w:rsid w:val="00350F6A"/>
    <w:rsid w:val="00351288"/>
    <w:rsid w:val="00352BC1"/>
    <w:rsid w:val="00354FA4"/>
    <w:rsid w:val="00355855"/>
    <w:rsid w:val="003571E8"/>
    <w:rsid w:val="003602AF"/>
    <w:rsid w:val="0036114E"/>
    <w:rsid w:val="0036184D"/>
    <w:rsid w:val="003619E8"/>
    <w:rsid w:val="003646C5"/>
    <w:rsid w:val="00365ABE"/>
    <w:rsid w:val="00366FA8"/>
    <w:rsid w:val="003703D0"/>
    <w:rsid w:val="003709F9"/>
    <w:rsid w:val="00372522"/>
    <w:rsid w:val="003727D2"/>
    <w:rsid w:val="003728C9"/>
    <w:rsid w:val="00373923"/>
    <w:rsid w:val="00374211"/>
    <w:rsid w:val="003744B5"/>
    <w:rsid w:val="003756AA"/>
    <w:rsid w:val="0037572F"/>
    <w:rsid w:val="00376009"/>
    <w:rsid w:val="00376309"/>
    <w:rsid w:val="00376B62"/>
    <w:rsid w:val="003773D2"/>
    <w:rsid w:val="00377962"/>
    <w:rsid w:val="00377B2A"/>
    <w:rsid w:val="00381308"/>
    <w:rsid w:val="003814E4"/>
    <w:rsid w:val="00381578"/>
    <w:rsid w:val="0038217A"/>
    <w:rsid w:val="003824ED"/>
    <w:rsid w:val="00382561"/>
    <w:rsid w:val="00382B9E"/>
    <w:rsid w:val="00382C17"/>
    <w:rsid w:val="00382C49"/>
    <w:rsid w:val="0038318E"/>
    <w:rsid w:val="0038336E"/>
    <w:rsid w:val="00383746"/>
    <w:rsid w:val="00383D32"/>
    <w:rsid w:val="003843EC"/>
    <w:rsid w:val="003846AA"/>
    <w:rsid w:val="003847A5"/>
    <w:rsid w:val="00387F66"/>
    <w:rsid w:val="00390368"/>
    <w:rsid w:val="003909DB"/>
    <w:rsid w:val="00393028"/>
    <w:rsid w:val="0039306C"/>
    <w:rsid w:val="0039313E"/>
    <w:rsid w:val="00393BEF"/>
    <w:rsid w:val="00394848"/>
    <w:rsid w:val="00394D1B"/>
    <w:rsid w:val="00394EA1"/>
    <w:rsid w:val="00395AE1"/>
    <w:rsid w:val="003960EC"/>
    <w:rsid w:val="0039729C"/>
    <w:rsid w:val="00397BFA"/>
    <w:rsid w:val="003A0BE4"/>
    <w:rsid w:val="003A1771"/>
    <w:rsid w:val="003A1D06"/>
    <w:rsid w:val="003A268D"/>
    <w:rsid w:val="003A2908"/>
    <w:rsid w:val="003A3218"/>
    <w:rsid w:val="003A407A"/>
    <w:rsid w:val="003A449B"/>
    <w:rsid w:val="003A44F3"/>
    <w:rsid w:val="003A4E62"/>
    <w:rsid w:val="003A52FE"/>
    <w:rsid w:val="003A574F"/>
    <w:rsid w:val="003A58D0"/>
    <w:rsid w:val="003A6F5E"/>
    <w:rsid w:val="003A6FDB"/>
    <w:rsid w:val="003A75DD"/>
    <w:rsid w:val="003B01FA"/>
    <w:rsid w:val="003B0A1B"/>
    <w:rsid w:val="003B0E2C"/>
    <w:rsid w:val="003B1B85"/>
    <w:rsid w:val="003B2926"/>
    <w:rsid w:val="003B2E4E"/>
    <w:rsid w:val="003B3713"/>
    <w:rsid w:val="003B3AA5"/>
    <w:rsid w:val="003B4982"/>
    <w:rsid w:val="003B4B46"/>
    <w:rsid w:val="003B643C"/>
    <w:rsid w:val="003B65AB"/>
    <w:rsid w:val="003B67DA"/>
    <w:rsid w:val="003B6CFD"/>
    <w:rsid w:val="003B7740"/>
    <w:rsid w:val="003C01A4"/>
    <w:rsid w:val="003C10D6"/>
    <w:rsid w:val="003C1A50"/>
    <w:rsid w:val="003C1F0B"/>
    <w:rsid w:val="003C2E11"/>
    <w:rsid w:val="003C3323"/>
    <w:rsid w:val="003C3359"/>
    <w:rsid w:val="003C44A5"/>
    <w:rsid w:val="003C488F"/>
    <w:rsid w:val="003C4D8D"/>
    <w:rsid w:val="003C4DA4"/>
    <w:rsid w:val="003C5286"/>
    <w:rsid w:val="003C63D8"/>
    <w:rsid w:val="003C6F9B"/>
    <w:rsid w:val="003D0AC3"/>
    <w:rsid w:val="003D16D0"/>
    <w:rsid w:val="003D3FDB"/>
    <w:rsid w:val="003D53DC"/>
    <w:rsid w:val="003D589A"/>
    <w:rsid w:val="003D6E2F"/>
    <w:rsid w:val="003D7BA8"/>
    <w:rsid w:val="003E0E08"/>
    <w:rsid w:val="003E0F1D"/>
    <w:rsid w:val="003E1C2F"/>
    <w:rsid w:val="003E2286"/>
    <w:rsid w:val="003E27AC"/>
    <w:rsid w:val="003E2B37"/>
    <w:rsid w:val="003E3074"/>
    <w:rsid w:val="003E3167"/>
    <w:rsid w:val="003E3726"/>
    <w:rsid w:val="003E3CAE"/>
    <w:rsid w:val="003E43CB"/>
    <w:rsid w:val="003E4428"/>
    <w:rsid w:val="003E4571"/>
    <w:rsid w:val="003E45C2"/>
    <w:rsid w:val="003E56AA"/>
    <w:rsid w:val="003E5894"/>
    <w:rsid w:val="003E5AD8"/>
    <w:rsid w:val="003E69D8"/>
    <w:rsid w:val="003E6B1E"/>
    <w:rsid w:val="003E6EAB"/>
    <w:rsid w:val="003E6EB1"/>
    <w:rsid w:val="003E7E77"/>
    <w:rsid w:val="003F1F28"/>
    <w:rsid w:val="003F2183"/>
    <w:rsid w:val="003F2B64"/>
    <w:rsid w:val="003F3ED0"/>
    <w:rsid w:val="003F447B"/>
    <w:rsid w:val="003F50A1"/>
    <w:rsid w:val="003F5132"/>
    <w:rsid w:val="003F65B3"/>
    <w:rsid w:val="003F6B1B"/>
    <w:rsid w:val="003F6BA8"/>
    <w:rsid w:val="00400133"/>
    <w:rsid w:val="004009A7"/>
    <w:rsid w:val="00400A0B"/>
    <w:rsid w:val="00400D1B"/>
    <w:rsid w:val="00401E65"/>
    <w:rsid w:val="004025F3"/>
    <w:rsid w:val="00402AB6"/>
    <w:rsid w:val="004035B9"/>
    <w:rsid w:val="00404F25"/>
    <w:rsid w:val="00405A2A"/>
    <w:rsid w:val="00405AF2"/>
    <w:rsid w:val="00405C91"/>
    <w:rsid w:val="00405E73"/>
    <w:rsid w:val="004061A4"/>
    <w:rsid w:val="0040632D"/>
    <w:rsid w:val="004065CC"/>
    <w:rsid w:val="0040683D"/>
    <w:rsid w:val="00407BC7"/>
    <w:rsid w:val="00407F8F"/>
    <w:rsid w:val="00410BE7"/>
    <w:rsid w:val="00410E50"/>
    <w:rsid w:val="00411860"/>
    <w:rsid w:val="004128BC"/>
    <w:rsid w:val="00413D28"/>
    <w:rsid w:val="00415B9C"/>
    <w:rsid w:val="004161FB"/>
    <w:rsid w:val="004168DB"/>
    <w:rsid w:val="00416A9F"/>
    <w:rsid w:val="004170BB"/>
    <w:rsid w:val="00417A93"/>
    <w:rsid w:val="00417D63"/>
    <w:rsid w:val="00417DD4"/>
    <w:rsid w:val="00420693"/>
    <w:rsid w:val="00421FC0"/>
    <w:rsid w:val="00422B01"/>
    <w:rsid w:val="00422CD7"/>
    <w:rsid w:val="00422FAF"/>
    <w:rsid w:val="00423668"/>
    <w:rsid w:val="00424697"/>
    <w:rsid w:val="004256D1"/>
    <w:rsid w:val="00427BF1"/>
    <w:rsid w:val="004304D3"/>
    <w:rsid w:val="00430E30"/>
    <w:rsid w:val="00431D64"/>
    <w:rsid w:val="004342A5"/>
    <w:rsid w:val="004355F6"/>
    <w:rsid w:val="0043621F"/>
    <w:rsid w:val="00436AF4"/>
    <w:rsid w:val="00436D58"/>
    <w:rsid w:val="004406D0"/>
    <w:rsid w:val="00441873"/>
    <w:rsid w:val="00442241"/>
    <w:rsid w:val="00442CD4"/>
    <w:rsid w:val="00442D09"/>
    <w:rsid w:val="004434AB"/>
    <w:rsid w:val="0044493B"/>
    <w:rsid w:val="00444C0A"/>
    <w:rsid w:val="00444CD2"/>
    <w:rsid w:val="00444E58"/>
    <w:rsid w:val="00446573"/>
    <w:rsid w:val="0044696A"/>
    <w:rsid w:val="004503FD"/>
    <w:rsid w:val="00450BA1"/>
    <w:rsid w:val="00450E38"/>
    <w:rsid w:val="00451AE9"/>
    <w:rsid w:val="00451D0A"/>
    <w:rsid w:val="00451DFC"/>
    <w:rsid w:val="00453895"/>
    <w:rsid w:val="00454B0F"/>
    <w:rsid w:val="004553EB"/>
    <w:rsid w:val="00455615"/>
    <w:rsid w:val="00455D28"/>
    <w:rsid w:val="004562F1"/>
    <w:rsid w:val="004569A6"/>
    <w:rsid w:val="0045708B"/>
    <w:rsid w:val="00460A31"/>
    <w:rsid w:val="004619CC"/>
    <w:rsid w:val="00461E36"/>
    <w:rsid w:val="0046392A"/>
    <w:rsid w:val="004640EF"/>
    <w:rsid w:val="004649D6"/>
    <w:rsid w:val="00464A3F"/>
    <w:rsid w:val="004652F8"/>
    <w:rsid w:val="00465DED"/>
    <w:rsid w:val="00467388"/>
    <w:rsid w:val="00470367"/>
    <w:rsid w:val="004705C5"/>
    <w:rsid w:val="00470633"/>
    <w:rsid w:val="00470934"/>
    <w:rsid w:val="0047124D"/>
    <w:rsid w:val="00471CC8"/>
    <w:rsid w:val="004730CF"/>
    <w:rsid w:val="0047365F"/>
    <w:rsid w:val="004743D1"/>
    <w:rsid w:val="00474CD6"/>
    <w:rsid w:val="00475AC0"/>
    <w:rsid w:val="00475D1D"/>
    <w:rsid w:val="00476E28"/>
    <w:rsid w:val="004776B9"/>
    <w:rsid w:val="00481250"/>
    <w:rsid w:val="004813C6"/>
    <w:rsid w:val="0048203F"/>
    <w:rsid w:val="00482CF4"/>
    <w:rsid w:val="00482DF6"/>
    <w:rsid w:val="00484FD4"/>
    <w:rsid w:val="00485872"/>
    <w:rsid w:val="00486C08"/>
    <w:rsid w:val="00487C54"/>
    <w:rsid w:val="00487E11"/>
    <w:rsid w:val="0049059F"/>
    <w:rsid w:val="004925B6"/>
    <w:rsid w:val="004932D3"/>
    <w:rsid w:val="00493EFE"/>
    <w:rsid w:val="004940C3"/>
    <w:rsid w:val="004945B1"/>
    <w:rsid w:val="00494C12"/>
    <w:rsid w:val="0049523D"/>
    <w:rsid w:val="00495625"/>
    <w:rsid w:val="00496420"/>
    <w:rsid w:val="00496C58"/>
    <w:rsid w:val="0049702A"/>
    <w:rsid w:val="004977A8"/>
    <w:rsid w:val="00497E2B"/>
    <w:rsid w:val="004A0160"/>
    <w:rsid w:val="004A0F14"/>
    <w:rsid w:val="004A1D55"/>
    <w:rsid w:val="004A2B58"/>
    <w:rsid w:val="004A2E82"/>
    <w:rsid w:val="004A3080"/>
    <w:rsid w:val="004A4E10"/>
    <w:rsid w:val="004A5070"/>
    <w:rsid w:val="004A59A4"/>
    <w:rsid w:val="004A73C9"/>
    <w:rsid w:val="004A7475"/>
    <w:rsid w:val="004A7B78"/>
    <w:rsid w:val="004A7F95"/>
    <w:rsid w:val="004B35DD"/>
    <w:rsid w:val="004B5122"/>
    <w:rsid w:val="004B7353"/>
    <w:rsid w:val="004B7DD8"/>
    <w:rsid w:val="004C1447"/>
    <w:rsid w:val="004C1864"/>
    <w:rsid w:val="004C262D"/>
    <w:rsid w:val="004C29CC"/>
    <w:rsid w:val="004C57D7"/>
    <w:rsid w:val="004C6F5B"/>
    <w:rsid w:val="004C7132"/>
    <w:rsid w:val="004C725E"/>
    <w:rsid w:val="004C77BC"/>
    <w:rsid w:val="004D0729"/>
    <w:rsid w:val="004D10AE"/>
    <w:rsid w:val="004D1418"/>
    <w:rsid w:val="004D1FD9"/>
    <w:rsid w:val="004D241E"/>
    <w:rsid w:val="004D4414"/>
    <w:rsid w:val="004D4B81"/>
    <w:rsid w:val="004D591C"/>
    <w:rsid w:val="004D5B92"/>
    <w:rsid w:val="004D5BC7"/>
    <w:rsid w:val="004D5ED0"/>
    <w:rsid w:val="004D67A9"/>
    <w:rsid w:val="004D6A22"/>
    <w:rsid w:val="004D7070"/>
    <w:rsid w:val="004D7151"/>
    <w:rsid w:val="004E019A"/>
    <w:rsid w:val="004E05BE"/>
    <w:rsid w:val="004E0BF6"/>
    <w:rsid w:val="004E0D9C"/>
    <w:rsid w:val="004E0E8D"/>
    <w:rsid w:val="004E10C4"/>
    <w:rsid w:val="004E1BC0"/>
    <w:rsid w:val="004E345A"/>
    <w:rsid w:val="004E3979"/>
    <w:rsid w:val="004E4394"/>
    <w:rsid w:val="004E59C7"/>
    <w:rsid w:val="004E67CC"/>
    <w:rsid w:val="004E6BED"/>
    <w:rsid w:val="004E7D1D"/>
    <w:rsid w:val="004F0094"/>
    <w:rsid w:val="004F091C"/>
    <w:rsid w:val="004F1232"/>
    <w:rsid w:val="004F1BC2"/>
    <w:rsid w:val="004F1DD7"/>
    <w:rsid w:val="004F266B"/>
    <w:rsid w:val="004F2C3E"/>
    <w:rsid w:val="004F2CF9"/>
    <w:rsid w:val="004F3163"/>
    <w:rsid w:val="004F3E76"/>
    <w:rsid w:val="004F644E"/>
    <w:rsid w:val="004F70C2"/>
    <w:rsid w:val="004F7529"/>
    <w:rsid w:val="004F797F"/>
    <w:rsid w:val="00500875"/>
    <w:rsid w:val="0050193A"/>
    <w:rsid w:val="00501E03"/>
    <w:rsid w:val="00501E5A"/>
    <w:rsid w:val="0050276C"/>
    <w:rsid w:val="005027F7"/>
    <w:rsid w:val="0050367F"/>
    <w:rsid w:val="00503A10"/>
    <w:rsid w:val="00504068"/>
    <w:rsid w:val="00504889"/>
    <w:rsid w:val="00504F17"/>
    <w:rsid w:val="00505297"/>
    <w:rsid w:val="00505975"/>
    <w:rsid w:val="00506972"/>
    <w:rsid w:val="00506D22"/>
    <w:rsid w:val="00507045"/>
    <w:rsid w:val="00507643"/>
    <w:rsid w:val="00507FA4"/>
    <w:rsid w:val="00510424"/>
    <w:rsid w:val="00510D49"/>
    <w:rsid w:val="00512B7A"/>
    <w:rsid w:val="00512CCA"/>
    <w:rsid w:val="0051319A"/>
    <w:rsid w:val="005134DC"/>
    <w:rsid w:val="0051352C"/>
    <w:rsid w:val="00513896"/>
    <w:rsid w:val="00514E08"/>
    <w:rsid w:val="005157EF"/>
    <w:rsid w:val="00515AF4"/>
    <w:rsid w:val="00515B9B"/>
    <w:rsid w:val="00516294"/>
    <w:rsid w:val="00516640"/>
    <w:rsid w:val="00517097"/>
    <w:rsid w:val="00517439"/>
    <w:rsid w:val="005174DF"/>
    <w:rsid w:val="005174ED"/>
    <w:rsid w:val="005202AA"/>
    <w:rsid w:val="00520A35"/>
    <w:rsid w:val="00521B62"/>
    <w:rsid w:val="005225DD"/>
    <w:rsid w:val="00523BBD"/>
    <w:rsid w:val="00525027"/>
    <w:rsid w:val="00525445"/>
    <w:rsid w:val="005266E1"/>
    <w:rsid w:val="00526AFF"/>
    <w:rsid w:val="00527307"/>
    <w:rsid w:val="00527637"/>
    <w:rsid w:val="00527E4A"/>
    <w:rsid w:val="00530202"/>
    <w:rsid w:val="00530617"/>
    <w:rsid w:val="00531C5E"/>
    <w:rsid w:val="00532A52"/>
    <w:rsid w:val="00535772"/>
    <w:rsid w:val="00535BAE"/>
    <w:rsid w:val="005360B6"/>
    <w:rsid w:val="00536AB7"/>
    <w:rsid w:val="0053786C"/>
    <w:rsid w:val="0054070B"/>
    <w:rsid w:val="00540796"/>
    <w:rsid w:val="005408EA"/>
    <w:rsid w:val="00540C56"/>
    <w:rsid w:val="0054105A"/>
    <w:rsid w:val="005411DF"/>
    <w:rsid w:val="00541735"/>
    <w:rsid w:val="005418F9"/>
    <w:rsid w:val="00541F2C"/>
    <w:rsid w:val="005426BA"/>
    <w:rsid w:val="0054330F"/>
    <w:rsid w:val="00543616"/>
    <w:rsid w:val="005439CF"/>
    <w:rsid w:val="00543AB5"/>
    <w:rsid w:val="005448D4"/>
    <w:rsid w:val="0054498F"/>
    <w:rsid w:val="005459D3"/>
    <w:rsid w:val="00545D4C"/>
    <w:rsid w:val="00545FC1"/>
    <w:rsid w:val="00546C0C"/>
    <w:rsid w:val="00547260"/>
    <w:rsid w:val="00547A02"/>
    <w:rsid w:val="00547A8E"/>
    <w:rsid w:val="00550163"/>
    <w:rsid w:val="0055048E"/>
    <w:rsid w:val="00550FF4"/>
    <w:rsid w:val="005511B5"/>
    <w:rsid w:val="00551A35"/>
    <w:rsid w:val="0055614F"/>
    <w:rsid w:val="00556B38"/>
    <w:rsid w:val="00557BE8"/>
    <w:rsid w:val="00560452"/>
    <w:rsid w:val="0056097F"/>
    <w:rsid w:val="00560E39"/>
    <w:rsid w:val="00561832"/>
    <w:rsid w:val="00561EC4"/>
    <w:rsid w:val="005622D6"/>
    <w:rsid w:val="00563583"/>
    <w:rsid w:val="005635DB"/>
    <w:rsid w:val="005636AB"/>
    <w:rsid w:val="00563722"/>
    <w:rsid w:val="00563ED8"/>
    <w:rsid w:val="00565126"/>
    <w:rsid w:val="00565A19"/>
    <w:rsid w:val="0056605B"/>
    <w:rsid w:val="005709EF"/>
    <w:rsid w:val="00570DC6"/>
    <w:rsid w:val="0057109F"/>
    <w:rsid w:val="0057114D"/>
    <w:rsid w:val="005721D9"/>
    <w:rsid w:val="00572A16"/>
    <w:rsid w:val="00573836"/>
    <w:rsid w:val="00573D4C"/>
    <w:rsid w:val="00574200"/>
    <w:rsid w:val="00574776"/>
    <w:rsid w:val="00575FD0"/>
    <w:rsid w:val="005766D7"/>
    <w:rsid w:val="00576ED0"/>
    <w:rsid w:val="00581F5A"/>
    <w:rsid w:val="0058217C"/>
    <w:rsid w:val="00582EF6"/>
    <w:rsid w:val="00583464"/>
    <w:rsid w:val="00583A5A"/>
    <w:rsid w:val="00583A9B"/>
    <w:rsid w:val="00584ACA"/>
    <w:rsid w:val="0058553F"/>
    <w:rsid w:val="00585D80"/>
    <w:rsid w:val="00586AB6"/>
    <w:rsid w:val="00586DD6"/>
    <w:rsid w:val="005872A3"/>
    <w:rsid w:val="00587847"/>
    <w:rsid w:val="00587868"/>
    <w:rsid w:val="00587E0C"/>
    <w:rsid w:val="005900FB"/>
    <w:rsid w:val="00590B16"/>
    <w:rsid w:val="00591025"/>
    <w:rsid w:val="00591555"/>
    <w:rsid w:val="00592E85"/>
    <w:rsid w:val="00593557"/>
    <w:rsid w:val="005935DB"/>
    <w:rsid w:val="0059385F"/>
    <w:rsid w:val="00593994"/>
    <w:rsid w:val="00595B0C"/>
    <w:rsid w:val="00595F70"/>
    <w:rsid w:val="00597E2F"/>
    <w:rsid w:val="005A0018"/>
    <w:rsid w:val="005A02B7"/>
    <w:rsid w:val="005A07C9"/>
    <w:rsid w:val="005A10EF"/>
    <w:rsid w:val="005A12C1"/>
    <w:rsid w:val="005A1307"/>
    <w:rsid w:val="005A1548"/>
    <w:rsid w:val="005A4642"/>
    <w:rsid w:val="005A4B6B"/>
    <w:rsid w:val="005A66D1"/>
    <w:rsid w:val="005A708D"/>
    <w:rsid w:val="005A7559"/>
    <w:rsid w:val="005A7587"/>
    <w:rsid w:val="005B0152"/>
    <w:rsid w:val="005B1ADB"/>
    <w:rsid w:val="005B342A"/>
    <w:rsid w:val="005B37AA"/>
    <w:rsid w:val="005B4B65"/>
    <w:rsid w:val="005B5CA3"/>
    <w:rsid w:val="005B645D"/>
    <w:rsid w:val="005B663F"/>
    <w:rsid w:val="005B6B95"/>
    <w:rsid w:val="005B707A"/>
    <w:rsid w:val="005B7160"/>
    <w:rsid w:val="005B73A6"/>
    <w:rsid w:val="005B73CC"/>
    <w:rsid w:val="005C0EE2"/>
    <w:rsid w:val="005C33DE"/>
    <w:rsid w:val="005C3571"/>
    <w:rsid w:val="005C3DAD"/>
    <w:rsid w:val="005C57B9"/>
    <w:rsid w:val="005C5F23"/>
    <w:rsid w:val="005C5F97"/>
    <w:rsid w:val="005C7BFD"/>
    <w:rsid w:val="005D1900"/>
    <w:rsid w:val="005D1A6A"/>
    <w:rsid w:val="005D1F87"/>
    <w:rsid w:val="005D247E"/>
    <w:rsid w:val="005D2646"/>
    <w:rsid w:val="005D2797"/>
    <w:rsid w:val="005D2AD9"/>
    <w:rsid w:val="005D33FF"/>
    <w:rsid w:val="005D489C"/>
    <w:rsid w:val="005D4C7A"/>
    <w:rsid w:val="005D75A8"/>
    <w:rsid w:val="005D7F63"/>
    <w:rsid w:val="005D7FD7"/>
    <w:rsid w:val="005E01D6"/>
    <w:rsid w:val="005E0FBF"/>
    <w:rsid w:val="005E1A94"/>
    <w:rsid w:val="005E1E5E"/>
    <w:rsid w:val="005E2578"/>
    <w:rsid w:val="005E2ED3"/>
    <w:rsid w:val="005E3644"/>
    <w:rsid w:val="005E36B7"/>
    <w:rsid w:val="005E3C27"/>
    <w:rsid w:val="005E43D7"/>
    <w:rsid w:val="005E43D9"/>
    <w:rsid w:val="005E4583"/>
    <w:rsid w:val="005E5326"/>
    <w:rsid w:val="005E5E26"/>
    <w:rsid w:val="005E5F05"/>
    <w:rsid w:val="005E6202"/>
    <w:rsid w:val="005E63EB"/>
    <w:rsid w:val="005E6788"/>
    <w:rsid w:val="005E6FA2"/>
    <w:rsid w:val="005E74B1"/>
    <w:rsid w:val="005E78D5"/>
    <w:rsid w:val="005F0DF2"/>
    <w:rsid w:val="005F1684"/>
    <w:rsid w:val="005F26D0"/>
    <w:rsid w:val="005F7277"/>
    <w:rsid w:val="00601A4F"/>
    <w:rsid w:val="0060324A"/>
    <w:rsid w:val="006032AF"/>
    <w:rsid w:val="00603B00"/>
    <w:rsid w:val="00604586"/>
    <w:rsid w:val="0060486D"/>
    <w:rsid w:val="00604A3E"/>
    <w:rsid w:val="00604E98"/>
    <w:rsid w:val="00607D49"/>
    <w:rsid w:val="00607E9C"/>
    <w:rsid w:val="00610A0E"/>
    <w:rsid w:val="0061269B"/>
    <w:rsid w:val="00614D13"/>
    <w:rsid w:val="00615568"/>
    <w:rsid w:val="00616417"/>
    <w:rsid w:val="0061657A"/>
    <w:rsid w:val="0061667B"/>
    <w:rsid w:val="00616FFF"/>
    <w:rsid w:val="00617620"/>
    <w:rsid w:val="006177C3"/>
    <w:rsid w:val="006203C2"/>
    <w:rsid w:val="006203F8"/>
    <w:rsid w:val="006206BC"/>
    <w:rsid w:val="0062090B"/>
    <w:rsid w:val="00620DC2"/>
    <w:rsid w:val="0062138F"/>
    <w:rsid w:val="0062159C"/>
    <w:rsid w:val="00621C84"/>
    <w:rsid w:val="00622077"/>
    <w:rsid w:val="0062252D"/>
    <w:rsid w:val="00622A7B"/>
    <w:rsid w:val="00622F92"/>
    <w:rsid w:val="006232D3"/>
    <w:rsid w:val="00623D4B"/>
    <w:rsid w:val="006247C7"/>
    <w:rsid w:val="00624C5D"/>
    <w:rsid w:val="00625599"/>
    <w:rsid w:val="00626662"/>
    <w:rsid w:val="00627B99"/>
    <w:rsid w:val="00627E79"/>
    <w:rsid w:val="0063132B"/>
    <w:rsid w:val="00631AD0"/>
    <w:rsid w:val="00631EC7"/>
    <w:rsid w:val="006335B0"/>
    <w:rsid w:val="00633D19"/>
    <w:rsid w:val="00634056"/>
    <w:rsid w:val="006363FA"/>
    <w:rsid w:val="00636979"/>
    <w:rsid w:val="006372D5"/>
    <w:rsid w:val="00637EA1"/>
    <w:rsid w:val="00640237"/>
    <w:rsid w:val="00640606"/>
    <w:rsid w:val="00640C9C"/>
    <w:rsid w:val="00641AB6"/>
    <w:rsid w:val="00641B9A"/>
    <w:rsid w:val="00642173"/>
    <w:rsid w:val="00642997"/>
    <w:rsid w:val="00643F7D"/>
    <w:rsid w:val="00645DD3"/>
    <w:rsid w:val="00645FE5"/>
    <w:rsid w:val="0064650B"/>
    <w:rsid w:val="00646FF5"/>
    <w:rsid w:val="0064711B"/>
    <w:rsid w:val="0065022E"/>
    <w:rsid w:val="0065047A"/>
    <w:rsid w:val="006510E7"/>
    <w:rsid w:val="00651D1E"/>
    <w:rsid w:val="00652484"/>
    <w:rsid w:val="00654FB7"/>
    <w:rsid w:val="006556B0"/>
    <w:rsid w:val="0065588A"/>
    <w:rsid w:val="00655983"/>
    <w:rsid w:val="006571CF"/>
    <w:rsid w:val="0065748E"/>
    <w:rsid w:val="00657A63"/>
    <w:rsid w:val="006604AF"/>
    <w:rsid w:val="0066090A"/>
    <w:rsid w:val="00660B17"/>
    <w:rsid w:val="006612B7"/>
    <w:rsid w:val="00661497"/>
    <w:rsid w:val="00661503"/>
    <w:rsid w:val="00661674"/>
    <w:rsid w:val="00661EB0"/>
    <w:rsid w:val="0066235E"/>
    <w:rsid w:val="00662523"/>
    <w:rsid w:val="00663333"/>
    <w:rsid w:val="00663E53"/>
    <w:rsid w:val="00666308"/>
    <w:rsid w:val="00666C4C"/>
    <w:rsid w:val="00667518"/>
    <w:rsid w:val="0067056E"/>
    <w:rsid w:val="00670D33"/>
    <w:rsid w:val="00671378"/>
    <w:rsid w:val="00672543"/>
    <w:rsid w:val="006725F0"/>
    <w:rsid w:val="00672A00"/>
    <w:rsid w:val="00674DCE"/>
    <w:rsid w:val="00676955"/>
    <w:rsid w:val="00676FCF"/>
    <w:rsid w:val="00677048"/>
    <w:rsid w:val="0068046C"/>
    <w:rsid w:val="006828B7"/>
    <w:rsid w:val="00683085"/>
    <w:rsid w:val="00683ACE"/>
    <w:rsid w:val="00683E1A"/>
    <w:rsid w:val="006844A3"/>
    <w:rsid w:val="0068574F"/>
    <w:rsid w:val="00686222"/>
    <w:rsid w:val="00686C68"/>
    <w:rsid w:val="00686DDB"/>
    <w:rsid w:val="00686F62"/>
    <w:rsid w:val="00687043"/>
    <w:rsid w:val="0068785D"/>
    <w:rsid w:val="00690B64"/>
    <w:rsid w:val="006910B6"/>
    <w:rsid w:val="0069241A"/>
    <w:rsid w:val="006935B9"/>
    <w:rsid w:val="00693D78"/>
    <w:rsid w:val="00695224"/>
    <w:rsid w:val="00695AF5"/>
    <w:rsid w:val="00695E92"/>
    <w:rsid w:val="00696667"/>
    <w:rsid w:val="00696879"/>
    <w:rsid w:val="00696EA4"/>
    <w:rsid w:val="006974B5"/>
    <w:rsid w:val="00697C1D"/>
    <w:rsid w:val="006A037D"/>
    <w:rsid w:val="006A0902"/>
    <w:rsid w:val="006A0DC0"/>
    <w:rsid w:val="006A104A"/>
    <w:rsid w:val="006A1BD9"/>
    <w:rsid w:val="006A1D13"/>
    <w:rsid w:val="006A20E5"/>
    <w:rsid w:val="006A231D"/>
    <w:rsid w:val="006A256B"/>
    <w:rsid w:val="006A2E37"/>
    <w:rsid w:val="006A2F27"/>
    <w:rsid w:val="006A333F"/>
    <w:rsid w:val="006A4A68"/>
    <w:rsid w:val="006A5013"/>
    <w:rsid w:val="006A5427"/>
    <w:rsid w:val="006A5734"/>
    <w:rsid w:val="006A6598"/>
    <w:rsid w:val="006A7D84"/>
    <w:rsid w:val="006B09B1"/>
    <w:rsid w:val="006B1298"/>
    <w:rsid w:val="006B1CFA"/>
    <w:rsid w:val="006B260C"/>
    <w:rsid w:val="006B2E18"/>
    <w:rsid w:val="006B3D4C"/>
    <w:rsid w:val="006B445B"/>
    <w:rsid w:val="006B541F"/>
    <w:rsid w:val="006B66F8"/>
    <w:rsid w:val="006B6C8C"/>
    <w:rsid w:val="006B6CDF"/>
    <w:rsid w:val="006B77FE"/>
    <w:rsid w:val="006B7A32"/>
    <w:rsid w:val="006C0088"/>
    <w:rsid w:val="006C2237"/>
    <w:rsid w:val="006C33E8"/>
    <w:rsid w:val="006C3A05"/>
    <w:rsid w:val="006C3C53"/>
    <w:rsid w:val="006C3CBA"/>
    <w:rsid w:val="006C3E96"/>
    <w:rsid w:val="006C4815"/>
    <w:rsid w:val="006C4AC7"/>
    <w:rsid w:val="006C5F50"/>
    <w:rsid w:val="006C7261"/>
    <w:rsid w:val="006D0435"/>
    <w:rsid w:val="006D05EF"/>
    <w:rsid w:val="006D0BDD"/>
    <w:rsid w:val="006D0CDA"/>
    <w:rsid w:val="006D2762"/>
    <w:rsid w:val="006D32D2"/>
    <w:rsid w:val="006D3D99"/>
    <w:rsid w:val="006D41C9"/>
    <w:rsid w:val="006D5920"/>
    <w:rsid w:val="006D59CA"/>
    <w:rsid w:val="006D633E"/>
    <w:rsid w:val="006D6349"/>
    <w:rsid w:val="006D7DAF"/>
    <w:rsid w:val="006E004A"/>
    <w:rsid w:val="006E0848"/>
    <w:rsid w:val="006E1E05"/>
    <w:rsid w:val="006E28B4"/>
    <w:rsid w:val="006E2F7A"/>
    <w:rsid w:val="006E42A9"/>
    <w:rsid w:val="006E4C76"/>
    <w:rsid w:val="006E4E4D"/>
    <w:rsid w:val="006E5C0D"/>
    <w:rsid w:val="006E6FF8"/>
    <w:rsid w:val="006E73CE"/>
    <w:rsid w:val="006E7584"/>
    <w:rsid w:val="006F0B48"/>
    <w:rsid w:val="006F2601"/>
    <w:rsid w:val="006F2C93"/>
    <w:rsid w:val="006F32D7"/>
    <w:rsid w:val="006F4A03"/>
    <w:rsid w:val="006F4A3B"/>
    <w:rsid w:val="006F6278"/>
    <w:rsid w:val="006F7775"/>
    <w:rsid w:val="00700031"/>
    <w:rsid w:val="00700A17"/>
    <w:rsid w:val="00701022"/>
    <w:rsid w:val="0070184D"/>
    <w:rsid w:val="007019FB"/>
    <w:rsid w:val="00701DDF"/>
    <w:rsid w:val="00701E8C"/>
    <w:rsid w:val="00702247"/>
    <w:rsid w:val="00704CBD"/>
    <w:rsid w:val="00705052"/>
    <w:rsid w:val="007059E9"/>
    <w:rsid w:val="00705DC2"/>
    <w:rsid w:val="0070655B"/>
    <w:rsid w:val="007077C5"/>
    <w:rsid w:val="00707DE3"/>
    <w:rsid w:val="00710292"/>
    <w:rsid w:val="00710995"/>
    <w:rsid w:val="00714054"/>
    <w:rsid w:val="00714083"/>
    <w:rsid w:val="00716559"/>
    <w:rsid w:val="00717D8B"/>
    <w:rsid w:val="007205F0"/>
    <w:rsid w:val="0072086C"/>
    <w:rsid w:val="00721957"/>
    <w:rsid w:val="0072271B"/>
    <w:rsid w:val="00723C90"/>
    <w:rsid w:val="00724702"/>
    <w:rsid w:val="00724B09"/>
    <w:rsid w:val="007258FF"/>
    <w:rsid w:val="007262B2"/>
    <w:rsid w:val="007264FB"/>
    <w:rsid w:val="00727237"/>
    <w:rsid w:val="007279D9"/>
    <w:rsid w:val="00730533"/>
    <w:rsid w:val="00732411"/>
    <w:rsid w:val="00733153"/>
    <w:rsid w:val="00733A74"/>
    <w:rsid w:val="00733B22"/>
    <w:rsid w:val="007367CA"/>
    <w:rsid w:val="00736C6D"/>
    <w:rsid w:val="00737C0A"/>
    <w:rsid w:val="00740187"/>
    <w:rsid w:val="00741C58"/>
    <w:rsid w:val="00741C5E"/>
    <w:rsid w:val="0074248E"/>
    <w:rsid w:val="00742BDA"/>
    <w:rsid w:val="00743262"/>
    <w:rsid w:val="0074381A"/>
    <w:rsid w:val="007444BF"/>
    <w:rsid w:val="007444FA"/>
    <w:rsid w:val="0074519F"/>
    <w:rsid w:val="00746164"/>
    <w:rsid w:val="007463BC"/>
    <w:rsid w:val="00746F94"/>
    <w:rsid w:val="00747C97"/>
    <w:rsid w:val="00747CEF"/>
    <w:rsid w:val="0075028B"/>
    <w:rsid w:val="00750D85"/>
    <w:rsid w:val="00750D90"/>
    <w:rsid w:val="00750F52"/>
    <w:rsid w:val="00751041"/>
    <w:rsid w:val="0075104F"/>
    <w:rsid w:val="00751196"/>
    <w:rsid w:val="00751F62"/>
    <w:rsid w:val="007529C6"/>
    <w:rsid w:val="00752F75"/>
    <w:rsid w:val="00752FEA"/>
    <w:rsid w:val="00753B52"/>
    <w:rsid w:val="0075523F"/>
    <w:rsid w:val="00755E79"/>
    <w:rsid w:val="00756F86"/>
    <w:rsid w:val="0076013E"/>
    <w:rsid w:val="007645ED"/>
    <w:rsid w:val="00764A27"/>
    <w:rsid w:val="007652DA"/>
    <w:rsid w:val="007673E1"/>
    <w:rsid w:val="00770D4A"/>
    <w:rsid w:val="00772036"/>
    <w:rsid w:val="0077203D"/>
    <w:rsid w:val="00772114"/>
    <w:rsid w:val="00772150"/>
    <w:rsid w:val="007721E3"/>
    <w:rsid w:val="007729EB"/>
    <w:rsid w:val="00772E4A"/>
    <w:rsid w:val="007747EA"/>
    <w:rsid w:val="00775764"/>
    <w:rsid w:val="00775829"/>
    <w:rsid w:val="00775850"/>
    <w:rsid w:val="00775D75"/>
    <w:rsid w:val="00776534"/>
    <w:rsid w:val="007768AE"/>
    <w:rsid w:val="00777322"/>
    <w:rsid w:val="007774A8"/>
    <w:rsid w:val="00777C1D"/>
    <w:rsid w:val="00780D57"/>
    <w:rsid w:val="00780F67"/>
    <w:rsid w:val="007818C5"/>
    <w:rsid w:val="00781CAC"/>
    <w:rsid w:val="00781CC5"/>
    <w:rsid w:val="00782015"/>
    <w:rsid w:val="00782F5F"/>
    <w:rsid w:val="007833B4"/>
    <w:rsid w:val="00784306"/>
    <w:rsid w:val="00784450"/>
    <w:rsid w:val="007857B5"/>
    <w:rsid w:val="00785F9C"/>
    <w:rsid w:val="00786D03"/>
    <w:rsid w:val="007874E8"/>
    <w:rsid w:val="007914C4"/>
    <w:rsid w:val="00792EBA"/>
    <w:rsid w:val="00794DFD"/>
    <w:rsid w:val="0079543C"/>
    <w:rsid w:val="00795707"/>
    <w:rsid w:val="00795875"/>
    <w:rsid w:val="007958A2"/>
    <w:rsid w:val="00795A32"/>
    <w:rsid w:val="00795C4E"/>
    <w:rsid w:val="00796256"/>
    <w:rsid w:val="0079689B"/>
    <w:rsid w:val="00797438"/>
    <w:rsid w:val="00797A25"/>
    <w:rsid w:val="007A03B1"/>
    <w:rsid w:val="007A03F5"/>
    <w:rsid w:val="007A0520"/>
    <w:rsid w:val="007A10E6"/>
    <w:rsid w:val="007A1136"/>
    <w:rsid w:val="007A241F"/>
    <w:rsid w:val="007A26FB"/>
    <w:rsid w:val="007A303E"/>
    <w:rsid w:val="007A328F"/>
    <w:rsid w:val="007A4634"/>
    <w:rsid w:val="007A46C9"/>
    <w:rsid w:val="007A4E64"/>
    <w:rsid w:val="007A5219"/>
    <w:rsid w:val="007A530D"/>
    <w:rsid w:val="007A5CE6"/>
    <w:rsid w:val="007B0BA9"/>
    <w:rsid w:val="007B1796"/>
    <w:rsid w:val="007B1B07"/>
    <w:rsid w:val="007B3EEC"/>
    <w:rsid w:val="007B3F83"/>
    <w:rsid w:val="007B43E9"/>
    <w:rsid w:val="007B62F5"/>
    <w:rsid w:val="007B6C8B"/>
    <w:rsid w:val="007B78F3"/>
    <w:rsid w:val="007B7ACF"/>
    <w:rsid w:val="007B7BB5"/>
    <w:rsid w:val="007C07D2"/>
    <w:rsid w:val="007C0C41"/>
    <w:rsid w:val="007C0E51"/>
    <w:rsid w:val="007C0F7B"/>
    <w:rsid w:val="007C1677"/>
    <w:rsid w:val="007C1A56"/>
    <w:rsid w:val="007C1C98"/>
    <w:rsid w:val="007C22A2"/>
    <w:rsid w:val="007C2322"/>
    <w:rsid w:val="007C2370"/>
    <w:rsid w:val="007C4634"/>
    <w:rsid w:val="007C4B16"/>
    <w:rsid w:val="007C573D"/>
    <w:rsid w:val="007C5825"/>
    <w:rsid w:val="007C5EB7"/>
    <w:rsid w:val="007C6886"/>
    <w:rsid w:val="007C6FCC"/>
    <w:rsid w:val="007D0447"/>
    <w:rsid w:val="007D04E6"/>
    <w:rsid w:val="007D06EE"/>
    <w:rsid w:val="007D0D57"/>
    <w:rsid w:val="007D2656"/>
    <w:rsid w:val="007D3796"/>
    <w:rsid w:val="007D3ABD"/>
    <w:rsid w:val="007D4BBF"/>
    <w:rsid w:val="007D7965"/>
    <w:rsid w:val="007E03E4"/>
    <w:rsid w:val="007E0EDD"/>
    <w:rsid w:val="007E0F1F"/>
    <w:rsid w:val="007E1165"/>
    <w:rsid w:val="007E24F9"/>
    <w:rsid w:val="007E27E1"/>
    <w:rsid w:val="007E2D10"/>
    <w:rsid w:val="007E4431"/>
    <w:rsid w:val="007E479E"/>
    <w:rsid w:val="007E5691"/>
    <w:rsid w:val="007E56DD"/>
    <w:rsid w:val="007E614B"/>
    <w:rsid w:val="007E76E3"/>
    <w:rsid w:val="007E776B"/>
    <w:rsid w:val="007E7BB8"/>
    <w:rsid w:val="007E7BEA"/>
    <w:rsid w:val="007F0400"/>
    <w:rsid w:val="007F040C"/>
    <w:rsid w:val="007F0A9F"/>
    <w:rsid w:val="007F0CCA"/>
    <w:rsid w:val="007F268D"/>
    <w:rsid w:val="007F2AD8"/>
    <w:rsid w:val="007F2BEA"/>
    <w:rsid w:val="007F36BA"/>
    <w:rsid w:val="007F3930"/>
    <w:rsid w:val="007F497F"/>
    <w:rsid w:val="007F5124"/>
    <w:rsid w:val="007F53C0"/>
    <w:rsid w:val="007F6AC2"/>
    <w:rsid w:val="007F7B1F"/>
    <w:rsid w:val="00801463"/>
    <w:rsid w:val="00801AB1"/>
    <w:rsid w:val="008033B8"/>
    <w:rsid w:val="00803689"/>
    <w:rsid w:val="00803EBA"/>
    <w:rsid w:val="00803FA9"/>
    <w:rsid w:val="0080498C"/>
    <w:rsid w:val="008049DB"/>
    <w:rsid w:val="00805A8F"/>
    <w:rsid w:val="00805B7B"/>
    <w:rsid w:val="00805C62"/>
    <w:rsid w:val="00805D34"/>
    <w:rsid w:val="00806393"/>
    <w:rsid w:val="0081333D"/>
    <w:rsid w:val="00813405"/>
    <w:rsid w:val="0081357E"/>
    <w:rsid w:val="0081380E"/>
    <w:rsid w:val="00813C9D"/>
    <w:rsid w:val="008146B4"/>
    <w:rsid w:val="00816BEF"/>
    <w:rsid w:val="008179EA"/>
    <w:rsid w:val="0082025A"/>
    <w:rsid w:val="00820DEF"/>
    <w:rsid w:val="00821B46"/>
    <w:rsid w:val="008222AD"/>
    <w:rsid w:val="00822561"/>
    <w:rsid w:val="008225F9"/>
    <w:rsid w:val="00822E74"/>
    <w:rsid w:val="00822FFE"/>
    <w:rsid w:val="00823691"/>
    <w:rsid w:val="00823D0D"/>
    <w:rsid w:val="008248FE"/>
    <w:rsid w:val="00827773"/>
    <w:rsid w:val="00830AF2"/>
    <w:rsid w:val="00830EAB"/>
    <w:rsid w:val="00830F29"/>
    <w:rsid w:val="008310D2"/>
    <w:rsid w:val="00831F24"/>
    <w:rsid w:val="00832458"/>
    <w:rsid w:val="00832601"/>
    <w:rsid w:val="00832DD9"/>
    <w:rsid w:val="0083423F"/>
    <w:rsid w:val="00835DBB"/>
    <w:rsid w:val="00835F9B"/>
    <w:rsid w:val="0083687A"/>
    <w:rsid w:val="00837229"/>
    <w:rsid w:val="00841487"/>
    <w:rsid w:val="00842ACC"/>
    <w:rsid w:val="00843CCF"/>
    <w:rsid w:val="00844AC8"/>
    <w:rsid w:val="0084510F"/>
    <w:rsid w:val="008454E1"/>
    <w:rsid w:val="00845746"/>
    <w:rsid w:val="00845E68"/>
    <w:rsid w:val="008460C4"/>
    <w:rsid w:val="008469B2"/>
    <w:rsid w:val="008472DB"/>
    <w:rsid w:val="008476CA"/>
    <w:rsid w:val="00847C04"/>
    <w:rsid w:val="0085048F"/>
    <w:rsid w:val="00850E57"/>
    <w:rsid w:val="0085101E"/>
    <w:rsid w:val="00852470"/>
    <w:rsid w:val="00852846"/>
    <w:rsid w:val="0085320F"/>
    <w:rsid w:val="00853835"/>
    <w:rsid w:val="008538E8"/>
    <w:rsid w:val="00854CBF"/>
    <w:rsid w:val="00855CB8"/>
    <w:rsid w:val="008566CA"/>
    <w:rsid w:val="008568C5"/>
    <w:rsid w:val="00860650"/>
    <w:rsid w:val="0086252D"/>
    <w:rsid w:val="00862675"/>
    <w:rsid w:val="00862D18"/>
    <w:rsid w:val="00862DF6"/>
    <w:rsid w:val="008632E4"/>
    <w:rsid w:val="00863A74"/>
    <w:rsid w:val="00864BA7"/>
    <w:rsid w:val="00864FA0"/>
    <w:rsid w:val="00864FD5"/>
    <w:rsid w:val="00867216"/>
    <w:rsid w:val="0086743B"/>
    <w:rsid w:val="0087154B"/>
    <w:rsid w:val="00871579"/>
    <w:rsid w:val="00871B86"/>
    <w:rsid w:val="00872962"/>
    <w:rsid w:val="008731BF"/>
    <w:rsid w:val="00873A05"/>
    <w:rsid w:val="00873C79"/>
    <w:rsid w:val="00873F1F"/>
    <w:rsid w:val="008742B8"/>
    <w:rsid w:val="008743CE"/>
    <w:rsid w:val="00874AFA"/>
    <w:rsid w:val="00874BE6"/>
    <w:rsid w:val="00874C43"/>
    <w:rsid w:val="00874E07"/>
    <w:rsid w:val="00875044"/>
    <w:rsid w:val="008752CF"/>
    <w:rsid w:val="00876093"/>
    <w:rsid w:val="008774B2"/>
    <w:rsid w:val="008815C0"/>
    <w:rsid w:val="0088250C"/>
    <w:rsid w:val="00882D25"/>
    <w:rsid w:val="008832BB"/>
    <w:rsid w:val="008835AA"/>
    <w:rsid w:val="0088499B"/>
    <w:rsid w:val="00884DE8"/>
    <w:rsid w:val="008864C3"/>
    <w:rsid w:val="00886B83"/>
    <w:rsid w:val="00886D73"/>
    <w:rsid w:val="00887AA2"/>
    <w:rsid w:val="00887D3E"/>
    <w:rsid w:val="008900AB"/>
    <w:rsid w:val="008916E6"/>
    <w:rsid w:val="00891840"/>
    <w:rsid w:val="00891B0F"/>
    <w:rsid w:val="008926B9"/>
    <w:rsid w:val="00892B5E"/>
    <w:rsid w:val="00892BD6"/>
    <w:rsid w:val="008937DC"/>
    <w:rsid w:val="0089400B"/>
    <w:rsid w:val="00894579"/>
    <w:rsid w:val="00895C6B"/>
    <w:rsid w:val="008A0126"/>
    <w:rsid w:val="008A0954"/>
    <w:rsid w:val="008A0D61"/>
    <w:rsid w:val="008A23CB"/>
    <w:rsid w:val="008A241B"/>
    <w:rsid w:val="008A2A96"/>
    <w:rsid w:val="008A4CBA"/>
    <w:rsid w:val="008A531F"/>
    <w:rsid w:val="008A596A"/>
    <w:rsid w:val="008A636F"/>
    <w:rsid w:val="008A6F31"/>
    <w:rsid w:val="008A79F4"/>
    <w:rsid w:val="008A7EC2"/>
    <w:rsid w:val="008B0641"/>
    <w:rsid w:val="008B08C7"/>
    <w:rsid w:val="008B0DE5"/>
    <w:rsid w:val="008B23C5"/>
    <w:rsid w:val="008B2637"/>
    <w:rsid w:val="008B4273"/>
    <w:rsid w:val="008B5768"/>
    <w:rsid w:val="008B5B1F"/>
    <w:rsid w:val="008B5F93"/>
    <w:rsid w:val="008B5FD5"/>
    <w:rsid w:val="008B6411"/>
    <w:rsid w:val="008B6948"/>
    <w:rsid w:val="008B6DA0"/>
    <w:rsid w:val="008B6E0E"/>
    <w:rsid w:val="008C0190"/>
    <w:rsid w:val="008C01FF"/>
    <w:rsid w:val="008C17E1"/>
    <w:rsid w:val="008C1A5E"/>
    <w:rsid w:val="008C2007"/>
    <w:rsid w:val="008C3036"/>
    <w:rsid w:val="008C32C7"/>
    <w:rsid w:val="008C455A"/>
    <w:rsid w:val="008C4839"/>
    <w:rsid w:val="008C4EDA"/>
    <w:rsid w:val="008C5128"/>
    <w:rsid w:val="008C5566"/>
    <w:rsid w:val="008C562A"/>
    <w:rsid w:val="008C5863"/>
    <w:rsid w:val="008C64A1"/>
    <w:rsid w:val="008C6986"/>
    <w:rsid w:val="008C6D7A"/>
    <w:rsid w:val="008C7124"/>
    <w:rsid w:val="008C713E"/>
    <w:rsid w:val="008C7B9B"/>
    <w:rsid w:val="008C7CE9"/>
    <w:rsid w:val="008D0BAF"/>
    <w:rsid w:val="008D0D6B"/>
    <w:rsid w:val="008D0E73"/>
    <w:rsid w:val="008D14B9"/>
    <w:rsid w:val="008D1648"/>
    <w:rsid w:val="008D2745"/>
    <w:rsid w:val="008D2B4A"/>
    <w:rsid w:val="008E00F8"/>
    <w:rsid w:val="008E1922"/>
    <w:rsid w:val="008E1DAF"/>
    <w:rsid w:val="008E1DB7"/>
    <w:rsid w:val="008E1F25"/>
    <w:rsid w:val="008E20DF"/>
    <w:rsid w:val="008E27CB"/>
    <w:rsid w:val="008E2AE3"/>
    <w:rsid w:val="008E449D"/>
    <w:rsid w:val="008E47C3"/>
    <w:rsid w:val="008E54FF"/>
    <w:rsid w:val="008E57B4"/>
    <w:rsid w:val="008E66CD"/>
    <w:rsid w:val="008E6791"/>
    <w:rsid w:val="008E7C43"/>
    <w:rsid w:val="008F06E3"/>
    <w:rsid w:val="008F2C96"/>
    <w:rsid w:val="008F3767"/>
    <w:rsid w:val="008F3AB4"/>
    <w:rsid w:val="008F432B"/>
    <w:rsid w:val="008F43F9"/>
    <w:rsid w:val="008F4452"/>
    <w:rsid w:val="008F4FFD"/>
    <w:rsid w:val="008F6E39"/>
    <w:rsid w:val="008F75CE"/>
    <w:rsid w:val="00900473"/>
    <w:rsid w:val="009011CB"/>
    <w:rsid w:val="009013F6"/>
    <w:rsid w:val="00901880"/>
    <w:rsid w:val="00901E5B"/>
    <w:rsid w:val="00901EB2"/>
    <w:rsid w:val="00902AA5"/>
    <w:rsid w:val="0090438C"/>
    <w:rsid w:val="00905A66"/>
    <w:rsid w:val="00905DB4"/>
    <w:rsid w:val="00906C94"/>
    <w:rsid w:val="00907E6E"/>
    <w:rsid w:val="009124AC"/>
    <w:rsid w:val="00912695"/>
    <w:rsid w:val="009130F8"/>
    <w:rsid w:val="00913494"/>
    <w:rsid w:val="00913C46"/>
    <w:rsid w:val="00913F80"/>
    <w:rsid w:val="009144AB"/>
    <w:rsid w:val="00914654"/>
    <w:rsid w:val="00914F50"/>
    <w:rsid w:val="009152A9"/>
    <w:rsid w:val="00916292"/>
    <w:rsid w:val="00917D64"/>
    <w:rsid w:val="00921EF6"/>
    <w:rsid w:val="0092251C"/>
    <w:rsid w:val="009229C9"/>
    <w:rsid w:val="0092357A"/>
    <w:rsid w:val="00923FED"/>
    <w:rsid w:val="0092402B"/>
    <w:rsid w:val="00925C0E"/>
    <w:rsid w:val="00925DF4"/>
    <w:rsid w:val="00930B44"/>
    <w:rsid w:val="00931225"/>
    <w:rsid w:val="0093126B"/>
    <w:rsid w:val="00932288"/>
    <w:rsid w:val="00932774"/>
    <w:rsid w:val="00934220"/>
    <w:rsid w:val="009350DA"/>
    <w:rsid w:val="009357E4"/>
    <w:rsid w:val="0093791B"/>
    <w:rsid w:val="00940D6C"/>
    <w:rsid w:val="00941303"/>
    <w:rsid w:val="0094165E"/>
    <w:rsid w:val="00941DAA"/>
    <w:rsid w:val="00941FD2"/>
    <w:rsid w:val="00943CA5"/>
    <w:rsid w:val="00944146"/>
    <w:rsid w:val="0094427C"/>
    <w:rsid w:val="009443AE"/>
    <w:rsid w:val="00944BA6"/>
    <w:rsid w:val="009457AA"/>
    <w:rsid w:val="00946797"/>
    <w:rsid w:val="00946822"/>
    <w:rsid w:val="00946E91"/>
    <w:rsid w:val="00947C03"/>
    <w:rsid w:val="009511EB"/>
    <w:rsid w:val="009544B7"/>
    <w:rsid w:val="009549CD"/>
    <w:rsid w:val="00956153"/>
    <w:rsid w:val="009561B4"/>
    <w:rsid w:val="0095684C"/>
    <w:rsid w:val="00956AA3"/>
    <w:rsid w:val="009574B7"/>
    <w:rsid w:val="009611D3"/>
    <w:rsid w:val="00962193"/>
    <w:rsid w:val="009627CF"/>
    <w:rsid w:val="0096469D"/>
    <w:rsid w:val="00964D10"/>
    <w:rsid w:val="00965371"/>
    <w:rsid w:val="00965468"/>
    <w:rsid w:val="00965E71"/>
    <w:rsid w:val="009667F1"/>
    <w:rsid w:val="009668D3"/>
    <w:rsid w:val="009670C2"/>
    <w:rsid w:val="00967A49"/>
    <w:rsid w:val="00967FA4"/>
    <w:rsid w:val="00970100"/>
    <w:rsid w:val="0097040B"/>
    <w:rsid w:val="00971DCA"/>
    <w:rsid w:val="00972177"/>
    <w:rsid w:val="009737DD"/>
    <w:rsid w:val="00973DF4"/>
    <w:rsid w:val="00974624"/>
    <w:rsid w:val="00976AA6"/>
    <w:rsid w:val="009773D6"/>
    <w:rsid w:val="00977C0C"/>
    <w:rsid w:val="00983210"/>
    <w:rsid w:val="0098376A"/>
    <w:rsid w:val="0098402E"/>
    <w:rsid w:val="0098413C"/>
    <w:rsid w:val="0098560B"/>
    <w:rsid w:val="009872EB"/>
    <w:rsid w:val="00987CEE"/>
    <w:rsid w:val="00991EA5"/>
    <w:rsid w:val="00992B33"/>
    <w:rsid w:val="009945E8"/>
    <w:rsid w:val="0099482C"/>
    <w:rsid w:val="00994CD0"/>
    <w:rsid w:val="00997309"/>
    <w:rsid w:val="00997DE4"/>
    <w:rsid w:val="009A0557"/>
    <w:rsid w:val="009A0F7D"/>
    <w:rsid w:val="009A1344"/>
    <w:rsid w:val="009A1365"/>
    <w:rsid w:val="009A20BC"/>
    <w:rsid w:val="009A24FB"/>
    <w:rsid w:val="009A26E1"/>
    <w:rsid w:val="009A3C08"/>
    <w:rsid w:val="009A485F"/>
    <w:rsid w:val="009A55FF"/>
    <w:rsid w:val="009A57CD"/>
    <w:rsid w:val="009A5DEE"/>
    <w:rsid w:val="009A6783"/>
    <w:rsid w:val="009A76A1"/>
    <w:rsid w:val="009A7AFF"/>
    <w:rsid w:val="009A7D13"/>
    <w:rsid w:val="009B0DA6"/>
    <w:rsid w:val="009B1391"/>
    <w:rsid w:val="009B1A87"/>
    <w:rsid w:val="009B2576"/>
    <w:rsid w:val="009B297F"/>
    <w:rsid w:val="009B31C1"/>
    <w:rsid w:val="009B3D52"/>
    <w:rsid w:val="009B4548"/>
    <w:rsid w:val="009B4699"/>
    <w:rsid w:val="009B4E55"/>
    <w:rsid w:val="009B55EE"/>
    <w:rsid w:val="009B5882"/>
    <w:rsid w:val="009B5CCC"/>
    <w:rsid w:val="009B6485"/>
    <w:rsid w:val="009B7097"/>
    <w:rsid w:val="009B72D7"/>
    <w:rsid w:val="009C0631"/>
    <w:rsid w:val="009C1008"/>
    <w:rsid w:val="009C1AFF"/>
    <w:rsid w:val="009C218C"/>
    <w:rsid w:val="009C26CD"/>
    <w:rsid w:val="009C2C60"/>
    <w:rsid w:val="009C3B12"/>
    <w:rsid w:val="009C3EC8"/>
    <w:rsid w:val="009C47F5"/>
    <w:rsid w:val="009C4FD6"/>
    <w:rsid w:val="009C59C1"/>
    <w:rsid w:val="009C602C"/>
    <w:rsid w:val="009C7ACB"/>
    <w:rsid w:val="009C7EED"/>
    <w:rsid w:val="009C7EF2"/>
    <w:rsid w:val="009D1A15"/>
    <w:rsid w:val="009D2F15"/>
    <w:rsid w:val="009D321C"/>
    <w:rsid w:val="009D3F25"/>
    <w:rsid w:val="009D4B3F"/>
    <w:rsid w:val="009D5899"/>
    <w:rsid w:val="009D648F"/>
    <w:rsid w:val="009D6D0A"/>
    <w:rsid w:val="009D737C"/>
    <w:rsid w:val="009D7EC6"/>
    <w:rsid w:val="009E4179"/>
    <w:rsid w:val="009E4732"/>
    <w:rsid w:val="009E59F4"/>
    <w:rsid w:val="009E5D79"/>
    <w:rsid w:val="009E7266"/>
    <w:rsid w:val="009E7D74"/>
    <w:rsid w:val="009F0190"/>
    <w:rsid w:val="009F0F0E"/>
    <w:rsid w:val="009F1217"/>
    <w:rsid w:val="009F1D5A"/>
    <w:rsid w:val="009F1DEF"/>
    <w:rsid w:val="009F2418"/>
    <w:rsid w:val="009F2588"/>
    <w:rsid w:val="009F2BD9"/>
    <w:rsid w:val="009F36F6"/>
    <w:rsid w:val="009F3D5F"/>
    <w:rsid w:val="009F5F4C"/>
    <w:rsid w:val="009F7480"/>
    <w:rsid w:val="00A00170"/>
    <w:rsid w:val="00A00A9B"/>
    <w:rsid w:val="00A01E51"/>
    <w:rsid w:val="00A04736"/>
    <w:rsid w:val="00A0551C"/>
    <w:rsid w:val="00A05BB8"/>
    <w:rsid w:val="00A05BE3"/>
    <w:rsid w:val="00A06427"/>
    <w:rsid w:val="00A0758E"/>
    <w:rsid w:val="00A076BA"/>
    <w:rsid w:val="00A121A7"/>
    <w:rsid w:val="00A12416"/>
    <w:rsid w:val="00A136C6"/>
    <w:rsid w:val="00A136CE"/>
    <w:rsid w:val="00A13755"/>
    <w:rsid w:val="00A1398C"/>
    <w:rsid w:val="00A13A89"/>
    <w:rsid w:val="00A14256"/>
    <w:rsid w:val="00A14BAC"/>
    <w:rsid w:val="00A14D5C"/>
    <w:rsid w:val="00A14FAE"/>
    <w:rsid w:val="00A154F9"/>
    <w:rsid w:val="00A1666B"/>
    <w:rsid w:val="00A17BA4"/>
    <w:rsid w:val="00A207DC"/>
    <w:rsid w:val="00A20D25"/>
    <w:rsid w:val="00A21118"/>
    <w:rsid w:val="00A21717"/>
    <w:rsid w:val="00A22628"/>
    <w:rsid w:val="00A22977"/>
    <w:rsid w:val="00A2391D"/>
    <w:rsid w:val="00A23A82"/>
    <w:rsid w:val="00A241F9"/>
    <w:rsid w:val="00A252B6"/>
    <w:rsid w:val="00A27A38"/>
    <w:rsid w:val="00A27C3C"/>
    <w:rsid w:val="00A27D03"/>
    <w:rsid w:val="00A27DB4"/>
    <w:rsid w:val="00A30E89"/>
    <w:rsid w:val="00A314A0"/>
    <w:rsid w:val="00A31ADE"/>
    <w:rsid w:val="00A320DB"/>
    <w:rsid w:val="00A32479"/>
    <w:rsid w:val="00A3249C"/>
    <w:rsid w:val="00A340C7"/>
    <w:rsid w:val="00A3410E"/>
    <w:rsid w:val="00A34D78"/>
    <w:rsid w:val="00A35ACD"/>
    <w:rsid w:val="00A35AFF"/>
    <w:rsid w:val="00A36A84"/>
    <w:rsid w:val="00A370B4"/>
    <w:rsid w:val="00A37836"/>
    <w:rsid w:val="00A402E2"/>
    <w:rsid w:val="00A41B8E"/>
    <w:rsid w:val="00A4292D"/>
    <w:rsid w:val="00A4334A"/>
    <w:rsid w:val="00A43B3A"/>
    <w:rsid w:val="00A4649C"/>
    <w:rsid w:val="00A50E22"/>
    <w:rsid w:val="00A532E3"/>
    <w:rsid w:val="00A533E8"/>
    <w:rsid w:val="00A53746"/>
    <w:rsid w:val="00A54141"/>
    <w:rsid w:val="00A541FD"/>
    <w:rsid w:val="00A54811"/>
    <w:rsid w:val="00A54BD8"/>
    <w:rsid w:val="00A54CB9"/>
    <w:rsid w:val="00A56340"/>
    <w:rsid w:val="00A56E78"/>
    <w:rsid w:val="00A57A69"/>
    <w:rsid w:val="00A57F82"/>
    <w:rsid w:val="00A60749"/>
    <w:rsid w:val="00A60FE1"/>
    <w:rsid w:val="00A61853"/>
    <w:rsid w:val="00A618C6"/>
    <w:rsid w:val="00A6317B"/>
    <w:rsid w:val="00A63184"/>
    <w:rsid w:val="00A63DF1"/>
    <w:rsid w:val="00A647CD"/>
    <w:rsid w:val="00A64E5F"/>
    <w:rsid w:val="00A6560B"/>
    <w:rsid w:val="00A65C42"/>
    <w:rsid w:val="00A66396"/>
    <w:rsid w:val="00A671D1"/>
    <w:rsid w:val="00A6741B"/>
    <w:rsid w:val="00A7234D"/>
    <w:rsid w:val="00A72490"/>
    <w:rsid w:val="00A754DD"/>
    <w:rsid w:val="00A75510"/>
    <w:rsid w:val="00A75723"/>
    <w:rsid w:val="00A75E47"/>
    <w:rsid w:val="00A768CE"/>
    <w:rsid w:val="00A76961"/>
    <w:rsid w:val="00A76BFB"/>
    <w:rsid w:val="00A80B23"/>
    <w:rsid w:val="00A80C32"/>
    <w:rsid w:val="00A81A20"/>
    <w:rsid w:val="00A82EDC"/>
    <w:rsid w:val="00A83DDC"/>
    <w:rsid w:val="00A83F37"/>
    <w:rsid w:val="00A84BED"/>
    <w:rsid w:val="00A84CF8"/>
    <w:rsid w:val="00A8536F"/>
    <w:rsid w:val="00A85791"/>
    <w:rsid w:val="00A857C4"/>
    <w:rsid w:val="00A85CD9"/>
    <w:rsid w:val="00A85E27"/>
    <w:rsid w:val="00A85F2F"/>
    <w:rsid w:val="00A86D6F"/>
    <w:rsid w:val="00A86E3E"/>
    <w:rsid w:val="00A87BAE"/>
    <w:rsid w:val="00A90976"/>
    <w:rsid w:val="00A925DB"/>
    <w:rsid w:val="00A94012"/>
    <w:rsid w:val="00A94354"/>
    <w:rsid w:val="00A94796"/>
    <w:rsid w:val="00A94CEF"/>
    <w:rsid w:val="00A951AC"/>
    <w:rsid w:val="00A96EF6"/>
    <w:rsid w:val="00A97E8F"/>
    <w:rsid w:val="00AA119A"/>
    <w:rsid w:val="00AA1424"/>
    <w:rsid w:val="00AA14C3"/>
    <w:rsid w:val="00AA3EDF"/>
    <w:rsid w:val="00AA4239"/>
    <w:rsid w:val="00AA4D46"/>
    <w:rsid w:val="00AA56D7"/>
    <w:rsid w:val="00AA6816"/>
    <w:rsid w:val="00AA71A4"/>
    <w:rsid w:val="00AB06B8"/>
    <w:rsid w:val="00AB0ADE"/>
    <w:rsid w:val="00AB0C51"/>
    <w:rsid w:val="00AB1B38"/>
    <w:rsid w:val="00AB1EBA"/>
    <w:rsid w:val="00AB217D"/>
    <w:rsid w:val="00AB2581"/>
    <w:rsid w:val="00AB2643"/>
    <w:rsid w:val="00AB27C6"/>
    <w:rsid w:val="00AB3031"/>
    <w:rsid w:val="00AB3AAC"/>
    <w:rsid w:val="00AB3E2F"/>
    <w:rsid w:val="00AB4013"/>
    <w:rsid w:val="00AB462F"/>
    <w:rsid w:val="00AB4C0D"/>
    <w:rsid w:val="00AB557D"/>
    <w:rsid w:val="00AB6533"/>
    <w:rsid w:val="00AB689D"/>
    <w:rsid w:val="00AB6EB6"/>
    <w:rsid w:val="00AB7675"/>
    <w:rsid w:val="00AC070D"/>
    <w:rsid w:val="00AC2A94"/>
    <w:rsid w:val="00AC322C"/>
    <w:rsid w:val="00AC33E2"/>
    <w:rsid w:val="00AC3674"/>
    <w:rsid w:val="00AC4A20"/>
    <w:rsid w:val="00AC4FEA"/>
    <w:rsid w:val="00AC5213"/>
    <w:rsid w:val="00AC53F3"/>
    <w:rsid w:val="00AC584E"/>
    <w:rsid w:val="00AC5B6E"/>
    <w:rsid w:val="00AC607A"/>
    <w:rsid w:val="00AC69E2"/>
    <w:rsid w:val="00AC7B80"/>
    <w:rsid w:val="00AD0A32"/>
    <w:rsid w:val="00AD0D7B"/>
    <w:rsid w:val="00AD1442"/>
    <w:rsid w:val="00AD14AB"/>
    <w:rsid w:val="00AD1B73"/>
    <w:rsid w:val="00AD20ED"/>
    <w:rsid w:val="00AD2FE7"/>
    <w:rsid w:val="00AD30DD"/>
    <w:rsid w:val="00AD3804"/>
    <w:rsid w:val="00AD3BC2"/>
    <w:rsid w:val="00AD4434"/>
    <w:rsid w:val="00AD4D18"/>
    <w:rsid w:val="00AD53AA"/>
    <w:rsid w:val="00AD6A5E"/>
    <w:rsid w:val="00AD79BF"/>
    <w:rsid w:val="00AE1D52"/>
    <w:rsid w:val="00AE2133"/>
    <w:rsid w:val="00AE43F4"/>
    <w:rsid w:val="00AE5099"/>
    <w:rsid w:val="00AE50D3"/>
    <w:rsid w:val="00AE606A"/>
    <w:rsid w:val="00AE61BF"/>
    <w:rsid w:val="00AE64C2"/>
    <w:rsid w:val="00AE7D92"/>
    <w:rsid w:val="00AF0A66"/>
    <w:rsid w:val="00AF0CF8"/>
    <w:rsid w:val="00AF262C"/>
    <w:rsid w:val="00AF415A"/>
    <w:rsid w:val="00AF44F2"/>
    <w:rsid w:val="00AF53AB"/>
    <w:rsid w:val="00AF53BA"/>
    <w:rsid w:val="00AF69B4"/>
    <w:rsid w:val="00AF717B"/>
    <w:rsid w:val="00AF7D95"/>
    <w:rsid w:val="00B00D77"/>
    <w:rsid w:val="00B01283"/>
    <w:rsid w:val="00B0153C"/>
    <w:rsid w:val="00B02A46"/>
    <w:rsid w:val="00B035B9"/>
    <w:rsid w:val="00B045ED"/>
    <w:rsid w:val="00B04B03"/>
    <w:rsid w:val="00B05993"/>
    <w:rsid w:val="00B060CD"/>
    <w:rsid w:val="00B0686C"/>
    <w:rsid w:val="00B06E97"/>
    <w:rsid w:val="00B07E41"/>
    <w:rsid w:val="00B11168"/>
    <w:rsid w:val="00B134E7"/>
    <w:rsid w:val="00B14FC0"/>
    <w:rsid w:val="00B159F7"/>
    <w:rsid w:val="00B165E7"/>
    <w:rsid w:val="00B16649"/>
    <w:rsid w:val="00B16796"/>
    <w:rsid w:val="00B16E86"/>
    <w:rsid w:val="00B1748E"/>
    <w:rsid w:val="00B20364"/>
    <w:rsid w:val="00B21050"/>
    <w:rsid w:val="00B21145"/>
    <w:rsid w:val="00B2130C"/>
    <w:rsid w:val="00B21609"/>
    <w:rsid w:val="00B22081"/>
    <w:rsid w:val="00B2300D"/>
    <w:rsid w:val="00B230F6"/>
    <w:rsid w:val="00B23139"/>
    <w:rsid w:val="00B23551"/>
    <w:rsid w:val="00B25335"/>
    <w:rsid w:val="00B26391"/>
    <w:rsid w:val="00B26A06"/>
    <w:rsid w:val="00B26B5A"/>
    <w:rsid w:val="00B27F3D"/>
    <w:rsid w:val="00B30066"/>
    <w:rsid w:val="00B3108F"/>
    <w:rsid w:val="00B3114E"/>
    <w:rsid w:val="00B3148D"/>
    <w:rsid w:val="00B34DAE"/>
    <w:rsid w:val="00B35B1B"/>
    <w:rsid w:val="00B36CA1"/>
    <w:rsid w:val="00B37791"/>
    <w:rsid w:val="00B4039D"/>
    <w:rsid w:val="00B40514"/>
    <w:rsid w:val="00B40964"/>
    <w:rsid w:val="00B40E2E"/>
    <w:rsid w:val="00B41534"/>
    <w:rsid w:val="00B4154B"/>
    <w:rsid w:val="00B41784"/>
    <w:rsid w:val="00B42E68"/>
    <w:rsid w:val="00B4311D"/>
    <w:rsid w:val="00B4420E"/>
    <w:rsid w:val="00B44C71"/>
    <w:rsid w:val="00B45669"/>
    <w:rsid w:val="00B466F0"/>
    <w:rsid w:val="00B467BB"/>
    <w:rsid w:val="00B47E3B"/>
    <w:rsid w:val="00B50700"/>
    <w:rsid w:val="00B511ED"/>
    <w:rsid w:val="00B51602"/>
    <w:rsid w:val="00B52540"/>
    <w:rsid w:val="00B53C34"/>
    <w:rsid w:val="00B54100"/>
    <w:rsid w:val="00B5454B"/>
    <w:rsid w:val="00B545F7"/>
    <w:rsid w:val="00B54A1B"/>
    <w:rsid w:val="00B5657A"/>
    <w:rsid w:val="00B57961"/>
    <w:rsid w:val="00B60F48"/>
    <w:rsid w:val="00B61614"/>
    <w:rsid w:val="00B618F9"/>
    <w:rsid w:val="00B61B8F"/>
    <w:rsid w:val="00B62488"/>
    <w:rsid w:val="00B628A4"/>
    <w:rsid w:val="00B64774"/>
    <w:rsid w:val="00B64E06"/>
    <w:rsid w:val="00B65029"/>
    <w:rsid w:val="00B65CB5"/>
    <w:rsid w:val="00B65D4A"/>
    <w:rsid w:val="00B661F1"/>
    <w:rsid w:val="00B669F1"/>
    <w:rsid w:val="00B66B65"/>
    <w:rsid w:val="00B6746E"/>
    <w:rsid w:val="00B674D1"/>
    <w:rsid w:val="00B706E2"/>
    <w:rsid w:val="00B7145B"/>
    <w:rsid w:val="00B71881"/>
    <w:rsid w:val="00B72FA4"/>
    <w:rsid w:val="00B73359"/>
    <w:rsid w:val="00B7374F"/>
    <w:rsid w:val="00B73D5A"/>
    <w:rsid w:val="00B74472"/>
    <w:rsid w:val="00B74500"/>
    <w:rsid w:val="00B74AFB"/>
    <w:rsid w:val="00B74E39"/>
    <w:rsid w:val="00B754EA"/>
    <w:rsid w:val="00B75B34"/>
    <w:rsid w:val="00B762DB"/>
    <w:rsid w:val="00B768AD"/>
    <w:rsid w:val="00B76D77"/>
    <w:rsid w:val="00B7761D"/>
    <w:rsid w:val="00B77BCD"/>
    <w:rsid w:val="00B77E2A"/>
    <w:rsid w:val="00B81393"/>
    <w:rsid w:val="00B8326F"/>
    <w:rsid w:val="00B83638"/>
    <w:rsid w:val="00B839BC"/>
    <w:rsid w:val="00B84738"/>
    <w:rsid w:val="00B84B83"/>
    <w:rsid w:val="00B853F9"/>
    <w:rsid w:val="00B9028B"/>
    <w:rsid w:val="00B92342"/>
    <w:rsid w:val="00B93445"/>
    <w:rsid w:val="00B939A1"/>
    <w:rsid w:val="00B93B87"/>
    <w:rsid w:val="00B9465D"/>
    <w:rsid w:val="00B94881"/>
    <w:rsid w:val="00B95517"/>
    <w:rsid w:val="00B95C12"/>
    <w:rsid w:val="00B961F1"/>
    <w:rsid w:val="00B96885"/>
    <w:rsid w:val="00B969C6"/>
    <w:rsid w:val="00B96C4E"/>
    <w:rsid w:val="00B97C50"/>
    <w:rsid w:val="00BA1434"/>
    <w:rsid w:val="00BA1758"/>
    <w:rsid w:val="00BA3212"/>
    <w:rsid w:val="00BA371A"/>
    <w:rsid w:val="00BA3B4B"/>
    <w:rsid w:val="00BA40BE"/>
    <w:rsid w:val="00BA4D41"/>
    <w:rsid w:val="00BA52F7"/>
    <w:rsid w:val="00BA67FC"/>
    <w:rsid w:val="00BA6B8E"/>
    <w:rsid w:val="00BA6C04"/>
    <w:rsid w:val="00BA7165"/>
    <w:rsid w:val="00BA7285"/>
    <w:rsid w:val="00BA76F2"/>
    <w:rsid w:val="00BA7BE8"/>
    <w:rsid w:val="00BB08F7"/>
    <w:rsid w:val="00BB0CA1"/>
    <w:rsid w:val="00BB0E91"/>
    <w:rsid w:val="00BB133D"/>
    <w:rsid w:val="00BB1924"/>
    <w:rsid w:val="00BB26EB"/>
    <w:rsid w:val="00BB2C15"/>
    <w:rsid w:val="00BB3C8A"/>
    <w:rsid w:val="00BB4049"/>
    <w:rsid w:val="00BB6A56"/>
    <w:rsid w:val="00BB7094"/>
    <w:rsid w:val="00BB76BB"/>
    <w:rsid w:val="00BB7AF7"/>
    <w:rsid w:val="00BC00C1"/>
    <w:rsid w:val="00BC0688"/>
    <w:rsid w:val="00BC1478"/>
    <w:rsid w:val="00BC1BFE"/>
    <w:rsid w:val="00BC2264"/>
    <w:rsid w:val="00BC2C3A"/>
    <w:rsid w:val="00BC3CE2"/>
    <w:rsid w:val="00BC3E3B"/>
    <w:rsid w:val="00BC41DD"/>
    <w:rsid w:val="00BC7956"/>
    <w:rsid w:val="00BD02E6"/>
    <w:rsid w:val="00BD065D"/>
    <w:rsid w:val="00BD0DDA"/>
    <w:rsid w:val="00BD1469"/>
    <w:rsid w:val="00BD154C"/>
    <w:rsid w:val="00BD154F"/>
    <w:rsid w:val="00BD1DBD"/>
    <w:rsid w:val="00BD24B6"/>
    <w:rsid w:val="00BD3080"/>
    <w:rsid w:val="00BD3124"/>
    <w:rsid w:val="00BD316A"/>
    <w:rsid w:val="00BD3A94"/>
    <w:rsid w:val="00BD3DE0"/>
    <w:rsid w:val="00BD4CF5"/>
    <w:rsid w:val="00BE09C7"/>
    <w:rsid w:val="00BE1BBB"/>
    <w:rsid w:val="00BE2ACB"/>
    <w:rsid w:val="00BE3013"/>
    <w:rsid w:val="00BE3CB6"/>
    <w:rsid w:val="00BE4035"/>
    <w:rsid w:val="00BE46DC"/>
    <w:rsid w:val="00BE4A58"/>
    <w:rsid w:val="00BE4B70"/>
    <w:rsid w:val="00BE5120"/>
    <w:rsid w:val="00BE5756"/>
    <w:rsid w:val="00BE5B3C"/>
    <w:rsid w:val="00BE64BF"/>
    <w:rsid w:val="00BE6653"/>
    <w:rsid w:val="00BF02D4"/>
    <w:rsid w:val="00BF0724"/>
    <w:rsid w:val="00BF1896"/>
    <w:rsid w:val="00BF2098"/>
    <w:rsid w:val="00BF2A1F"/>
    <w:rsid w:val="00BF324E"/>
    <w:rsid w:val="00BF329F"/>
    <w:rsid w:val="00BF4674"/>
    <w:rsid w:val="00BF47B7"/>
    <w:rsid w:val="00BF4DFE"/>
    <w:rsid w:val="00BF5020"/>
    <w:rsid w:val="00BF55BA"/>
    <w:rsid w:val="00BF58F2"/>
    <w:rsid w:val="00BF590D"/>
    <w:rsid w:val="00BF64A1"/>
    <w:rsid w:val="00C009B9"/>
    <w:rsid w:val="00C00F33"/>
    <w:rsid w:val="00C024DF"/>
    <w:rsid w:val="00C028F9"/>
    <w:rsid w:val="00C0308D"/>
    <w:rsid w:val="00C035A7"/>
    <w:rsid w:val="00C0387C"/>
    <w:rsid w:val="00C04A2A"/>
    <w:rsid w:val="00C04FA3"/>
    <w:rsid w:val="00C051F1"/>
    <w:rsid w:val="00C05754"/>
    <w:rsid w:val="00C0586E"/>
    <w:rsid w:val="00C06091"/>
    <w:rsid w:val="00C07721"/>
    <w:rsid w:val="00C077A9"/>
    <w:rsid w:val="00C10D34"/>
    <w:rsid w:val="00C11612"/>
    <w:rsid w:val="00C11B8C"/>
    <w:rsid w:val="00C12101"/>
    <w:rsid w:val="00C12216"/>
    <w:rsid w:val="00C1230F"/>
    <w:rsid w:val="00C1270B"/>
    <w:rsid w:val="00C12EC3"/>
    <w:rsid w:val="00C13810"/>
    <w:rsid w:val="00C13934"/>
    <w:rsid w:val="00C13B21"/>
    <w:rsid w:val="00C14234"/>
    <w:rsid w:val="00C14C9F"/>
    <w:rsid w:val="00C155CC"/>
    <w:rsid w:val="00C15941"/>
    <w:rsid w:val="00C160D1"/>
    <w:rsid w:val="00C168BD"/>
    <w:rsid w:val="00C16E20"/>
    <w:rsid w:val="00C170CD"/>
    <w:rsid w:val="00C2047B"/>
    <w:rsid w:val="00C21801"/>
    <w:rsid w:val="00C21C5C"/>
    <w:rsid w:val="00C22C50"/>
    <w:rsid w:val="00C236EB"/>
    <w:rsid w:val="00C24016"/>
    <w:rsid w:val="00C250D5"/>
    <w:rsid w:val="00C2541E"/>
    <w:rsid w:val="00C2649C"/>
    <w:rsid w:val="00C26623"/>
    <w:rsid w:val="00C26685"/>
    <w:rsid w:val="00C30F87"/>
    <w:rsid w:val="00C321D5"/>
    <w:rsid w:val="00C338CB"/>
    <w:rsid w:val="00C33B0D"/>
    <w:rsid w:val="00C348FF"/>
    <w:rsid w:val="00C34CC3"/>
    <w:rsid w:val="00C37345"/>
    <w:rsid w:val="00C3796D"/>
    <w:rsid w:val="00C400C1"/>
    <w:rsid w:val="00C4057F"/>
    <w:rsid w:val="00C40753"/>
    <w:rsid w:val="00C40815"/>
    <w:rsid w:val="00C40B89"/>
    <w:rsid w:val="00C40B90"/>
    <w:rsid w:val="00C41BEB"/>
    <w:rsid w:val="00C429BA"/>
    <w:rsid w:val="00C42ABF"/>
    <w:rsid w:val="00C42E64"/>
    <w:rsid w:val="00C43C61"/>
    <w:rsid w:val="00C50040"/>
    <w:rsid w:val="00C507A3"/>
    <w:rsid w:val="00C5183A"/>
    <w:rsid w:val="00C521AE"/>
    <w:rsid w:val="00C52E64"/>
    <w:rsid w:val="00C54A87"/>
    <w:rsid w:val="00C55428"/>
    <w:rsid w:val="00C57991"/>
    <w:rsid w:val="00C60B64"/>
    <w:rsid w:val="00C615B8"/>
    <w:rsid w:val="00C615D1"/>
    <w:rsid w:val="00C62D23"/>
    <w:rsid w:val="00C62D67"/>
    <w:rsid w:val="00C64DCC"/>
    <w:rsid w:val="00C652E2"/>
    <w:rsid w:val="00C667D0"/>
    <w:rsid w:val="00C66AD7"/>
    <w:rsid w:val="00C66E3C"/>
    <w:rsid w:val="00C70E36"/>
    <w:rsid w:val="00C71A08"/>
    <w:rsid w:val="00C71E02"/>
    <w:rsid w:val="00C72625"/>
    <w:rsid w:val="00C7271D"/>
    <w:rsid w:val="00C730F7"/>
    <w:rsid w:val="00C74CF6"/>
    <w:rsid w:val="00C75BCA"/>
    <w:rsid w:val="00C75C66"/>
    <w:rsid w:val="00C77531"/>
    <w:rsid w:val="00C81278"/>
    <w:rsid w:val="00C81A2C"/>
    <w:rsid w:val="00C81D0A"/>
    <w:rsid w:val="00C821AC"/>
    <w:rsid w:val="00C82489"/>
    <w:rsid w:val="00C8285E"/>
    <w:rsid w:val="00C82F2D"/>
    <w:rsid w:val="00C84318"/>
    <w:rsid w:val="00C84C3A"/>
    <w:rsid w:val="00C856BE"/>
    <w:rsid w:val="00C87A9E"/>
    <w:rsid w:val="00C87AE1"/>
    <w:rsid w:val="00C90F2C"/>
    <w:rsid w:val="00C91633"/>
    <w:rsid w:val="00C92EEE"/>
    <w:rsid w:val="00C9311D"/>
    <w:rsid w:val="00C94583"/>
    <w:rsid w:val="00C94AA2"/>
    <w:rsid w:val="00C94B97"/>
    <w:rsid w:val="00C94F15"/>
    <w:rsid w:val="00C954BD"/>
    <w:rsid w:val="00C95615"/>
    <w:rsid w:val="00C96D60"/>
    <w:rsid w:val="00C97CC0"/>
    <w:rsid w:val="00C97D75"/>
    <w:rsid w:val="00CA0261"/>
    <w:rsid w:val="00CA04BA"/>
    <w:rsid w:val="00CA136D"/>
    <w:rsid w:val="00CA147B"/>
    <w:rsid w:val="00CA2400"/>
    <w:rsid w:val="00CA24A1"/>
    <w:rsid w:val="00CA2998"/>
    <w:rsid w:val="00CA2D7A"/>
    <w:rsid w:val="00CA451A"/>
    <w:rsid w:val="00CA47F5"/>
    <w:rsid w:val="00CA5368"/>
    <w:rsid w:val="00CA6310"/>
    <w:rsid w:val="00CA68BC"/>
    <w:rsid w:val="00CB0113"/>
    <w:rsid w:val="00CB058C"/>
    <w:rsid w:val="00CB0C58"/>
    <w:rsid w:val="00CB14A4"/>
    <w:rsid w:val="00CB30D0"/>
    <w:rsid w:val="00CB37A5"/>
    <w:rsid w:val="00CB3B29"/>
    <w:rsid w:val="00CB3C01"/>
    <w:rsid w:val="00CB3EBC"/>
    <w:rsid w:val="00CB494B"/>
    <w:rsid w:val="00CB4EC9"/>
    <w:rsid w:val="00CB570A"/>
    <w:rsid w:val="00CB679C"/>
    <w:rsid w:val="00CB6A84"/>
    <w:rsid w:val="00CB6A85"/>
    <w:rsid w:val="00CB7121"/>
    <w:rsid w:val="00CB7364"/>
    <w:rsid w:val="00CB7C4A"/>
    <w:rsid w:val="00CB7ECC"/>
    <w:rsid w:val="00CC09FE"/>
    <w:rsid w:val="00CC0B1E"/>
    <w:rsid w:val="00CC1475"/>
    <w:rsid w:val="00CC319E"/>
    <w:rsid w:val="00CC340A"/>
    <w:rsid w:val="00CC3C61"/>
    <w:rsid w:val="00CC5AA0"/>
    <w:rsid w:val="00CC75B6"/>
    <w:rsid w:val="00CC7607"/>
    <w:rsid w:val="00CC779B"/>
    <w:rsid w:val="00CD0F87"/>
    <w:rsid w:val="00CD2DD0"/>
    <w:rsid w:val="00CD3776"/>
    <w:rsid w:val="00CD381A"/>
    <w:rsid w:val="00CD424B"/>
    <w:rsid w:val="00CD4D65"/>
    <w:rsid w:val="00CD5A1B"/>
    <w:rsid w:val="00CD5D11"/>
    <w:rsid w:val="00CD648D"/>
    <w:rsid w:val="00CD6DEB"/>
    <w:rsid w:val="00CD7616"/>
    <w:rsid w:val="00CD775A"/>
    <w:rsid w:val="00CD7C90"/>
    <w:rsid w:val="00CE01B5"/>
    <w:rsid w:val="00CE021F"/>
    <w:rsid w:val="00CE0817"/>
    <w:rsid w:val="00CE0B98"/>
    <w:rsid w:val="00CE2312"/>
    <w:rsid w:val="00CE3490"/>
    <w:rsid w:val="00CE384F"/>
    <w:rsid w:val="00CE3CDF"/>
    <w:rsid w:val="00CE3E07"/>
    <w:rsid w:val="00CE79A8"/>
    <w:rsid w:val="00CF14A0"/>
    <w:rsid w:val="00CF19DF"/>
    <w:rsid w:val="00CF1F8D"/>
    <w:rsid w:val="00CF1F97"/>
    <w:rsid w:val="00CF2172"/>
    <w:rsid w:val="00CF2BBB"/>
    <w:rsid w:val="00CF3B6C"/>
    <w:rsid w:val="00CF4F47"/>
    <w:rsid w:val="00CF5030"/>
    <w:rsid w:val="00CF6E4D"/>
    <w:rsid w:val="00CF75E2"/>
    <w:rsid w:val="00CF7CC4"/>
    <w:rsid w:val="00D01AD1"/>
    <w:rsid w:val="00D02277"/>
    <w:rsid w:val="00D02BB4"/>
    <w:rsid w:val="00D033C8"/>
    <w:rsid w:val="00D03B43"/>
    <w:rsid w:val="00D03C14"/>
    <w:rsid w:val="00D04B2D"/>
    <w:rsid w:val="00D050B6"/>
    <w:rsid w:val="00D058FD"/>
    <w:rsid w:val="00D06433"/>
    <w:rsid w:val="00D07169"/>
    <w:rsid w:val="00D072E8"/>
    <w:rsid w:val="00D07614"/>
    <w:rsid w:val="00D1045F"/>
    <w:rsid w:val="00D109FA"/>
    <w:rsid w:val="00D11EC0"/>
    <w:rsid w:val="00D13294"/>
    <w:rsid w:val="00D13CB3"/>
    <w:rsid w:val="00D14D12"/>
    <w:rsid w:val="00D17B5F"/>
    <w:rsid w:val="00D20031"/>
    <w:rsid w:val="00D20137"/>
    <w:rsid w:val="00D208E6"/>
    <w:rsid w:val="00D209D9"/>
    <w:rsid w:val="00D20A15"/>
    <w:rsid w:val="00D21396"/>
    <w:rsid w:val="00D21A55"/>
    <w:rsid w:val="00D21D4E"/>
    <w:rsid w:val="00D21F0B"/>
    <w:rsid w:val="00D23AD0"/>
    <w:rsid w:val="00D23B0A"/>
    <w:rsid w:val="00D24089"/>
    <w:rsid w:val="00D24239"/>
    <w:rsid w:val="00D24C26"/>
    <w:rsid w:val="00D255C6"/>
    <w:rsid w:val="00D302B2"/>
    <w:rsid w:val="00D309DD"/>
    <w:rsid w:val="00D31163"/>
    <w:rsid w:val="00D31D60"/>
    <w:rsid w:val="00D3330C"/>
    <w:rsid w:val="00D3349D"/>
    <w:rsid w:val="00D33682"/>
    <w:rsid w:val="00D3386A"/>
    <w:rsid w:val="00D3432A"/>
    <w:rsid w:val="00D34598"/>
    <w:rsid w:val="00D3511A"/>
    <w:rsid w:val="00D35D06"/>
    <w:rsid w:val="00D35F28"/>
    <w:rsid w:val="00D368FF"/>
    <w:rsid w:val="00D37596"/>
    <w:rsid w:val="00D40238"/>
    <w:rsid w:val="00D40524"/>
    <w:rsid w:val="00D43430"/>
    <w:rsid w:val="00D439C3"/>
    <w:rsid w:val="00D449C6"/>
    <w:rsid w:val="00D44A3B"/>
    <w:rsid w:val="00D451A0"/>
    <w:rsid w:val="00D45C34"/>
    <w:rsid w:val="00D476D1"/>
    <w:rsid w:val="00D4777F"/>
    <w:rsid w:val="00D478D3"/>
    <w:rsid w:val="00D50B46"/>
    <w:rsid w:val="00D52DA7"/>
    <w:rsid w:val="00D54E87"/>
    <w:rsid w:val="00D55828"/>
    <w:rsid w:val="00D55C1D"/>
    <w:rsid w:val="00D566F1"/>
    <w:rsid w:val="00D57388"/>
    <w:rsid w:val="00D61A0D"/>
    <w:rsid w:val="00D63F45"/>
    <w:rsid w:val="00D645BF"/>
    <w:rsid w:val="00D64E9D"/>
    <w:rsid w:val="00D65A11"/>
    <w:rsid w:val="00D65B91"/>
    <w:rsid w:val="00D66CD5"/>
    <w:rsid w:val="00D67145"/>
    <w:rsid w:val="00D713D8"/>
    <w:rsid w:val="00D7160F"/>
    <w:rsid w:val="00D71AF6"/>
    <w:rsid w:val="00D71DF9"/>
    <w:rsid w:val="00D72C26"/>
    <w:rsid w:val="00D72C68"/>
    <w:rsid w:val="00D73288"/>
    <w:rsid w:val="00D7371E"/>
    <w:rsid w:val="00D741DB"/>
    <w:rsid w:val="00D746EF"/>
    <w:rsid w:val="00D74750"/>
    <w:rsid w:val="00D74E88"/>
    <w:rsid w:val="00D7502F"/>
    <w:rsid w:val="00D75216"/>
    <w:rsid w:val="00D75D33"/>
    <w:rsid w:val="00D75E56"/>
    <w:rsid w:val="00D763AE"/>
    <w:rsid w:val="00D7672C"/>
    <w:rsid w:val="00D76FF2"/>
    <w:rsid w:val="00D77919"/>
    <w:rsid w:val="00D8047F"/>
    <w:rsid w:val="00D8158C"/>
    <w:rsid w:val="00D83088"/>
    <w:rsid w:val="00D8359E"/>
    <w:rsid w:val="00D857FE"/>
    <w:rsid w:val="00D87458"/>
    <w:rsid w:val="00D900EC"/>
    <w:rsid w:val="00D907F2"/>
    <w:rsid w:val="00D92BBF"/>
    <w:rsid w:val="00D933F6"/>
    <w:rsid w:val="00D93B75"/>
    <w:rsid w:val="00D94010"/>
    <w:rsid w:val="00D948C4"/>
    <w:rsid w:val="00D94E85"/>
    <w:rsid w:val="00D952F8"/>
    <w:rsid w:val="00D96531"/>
    <w:rsid w:val="00D97233"/>
    <w:rsid w:val="00DA1111"/>
    <w:rsid w:val="00DA18C2"/>
    <w:rsid w:val="00DA26B3"/>
    <w:rsid w:val="00DA2FCF"/>
    <w:rsid w:val="00DA465F"/>
    <w:rsid w:val="00DA518C"/>
    <w:rsid w:val="00DA5B15"/>
    <w:rsid w:val="00DA5B16"/>
    <w:rsid w:val="00DA77DE"/>
    <w:rsid w:val="00DB078B"/>
    <w:rsid w:val="00DB1C75"/>
    <w:rsid w:val="00DB2AEF"/>
    <w:rsid w:val="00DB2B51"/>
    <w:rsid w:val="00DB305D"/>
    <w:rsid w:val="00DB4490"/>
    <w:rsid w:val="00DB47A5"/>
    <w:rsid w:val="00DB4D17"/>
    <w:rsid w:val="00DB72FC"/>
    <w:rsid w:val="00DB74B6"/>
    <w:rsid w:val="00DB7CED"/>
    <w:rsid w:val="00DC0296"/>
    <w:rsid w:val="00DC09FC"/>
    <w:rsid w:val="00DC1CE3"/>
    <w:rsid w:val="00DC385E"/>
    <w:rsid w:val="00DC4145"/>
    <w:rsid w:val="00DC493B"/>
    <w:rsid w:val="00DC6826"/>
    <w:rsid w:val="00DD0B51"/>
    <w:rsid w:val="00DD0BE6"/>
    <w:rsid w:val="00DD1707"/>
    <w:rsid w:val="00DD1C59"/>
    <w:rsid w:val="00DD1F91"/>
    <w:rsid w:val="00DD24A7"/>
    <w:rsid w:val="00DD3467"/>
    <w:rsid w:val="00DD3A54"/>
    <w:rsid w:val="00DD45B5"/>
    <w:rsid w:val="00DD474F"/>
    <w:rsid w:val="00DD4A1A"/>
    <w:rsid w:val="00DD52FC"/>
    <w:rsid w:val="00DD5C3A"/>
    <w:rsid w:val="00DD674D"/>
    <w:rsid w:val="00DD701C"/>
    <w:rsid w:val="00DD79F6"/>
    <w:rsid w:val="00DE0656"/>
    <w:rsid w:val="00DE0CC3"/>
    <w:rsid w:val="00DE3136"/>
    <w:rsid w:val="00DE39F4"/>
    <w:rsid w:val="00DE3A27"/>
    <w:rsid w:val="00DE5085"/>
    <w:rsid w:val="00DE587D"/>
    <w:rsid w:val="00DE5F16"/>
    <w:rsid w:val="00DE6805"/>
    <w:rsid w:val="00DE7807"/>
    <w:rsid w:val="00DF0D0A"/>
    <w:rsid w:val="00DF1FB9"/>
    <w:rsid w:val="00DF2469"/>
    <w:rsid w:val="00DF2657"/>
    <w:rsid w:val="00DF299A"/>
    <w:rsid w:val="00DF3014"/>
    <w:rsid w:val="00DF45B9"/>
    <w:rsid w:val="00DF54CF"/>
    <w:rsid w:val="00DF58E5"/>
    <w:rsid w:val="00DF79E1"/>
    <w:rsid w:val="00E000D0"/>
    <w:rsid w:val="00E00784"/>
    <w:rsid w:val="00E00F2E"/>
    <w:rsid w:val="00E01525"/>
    <w:rsid w:val="00E0186E"/>
    <w:rsid w:val="00E01FE1"/>
    <w:rsid w:val="00E024B2"/>
    <w:rsid w:val="00E03063"/>
    <w:rsid w:val="00E057EA"/>
    <w:rsid w:val="00E06971"/>
    <w:rsid w:val="00E07AA2"/>
    <w:rsid w:val="00E1015B"/>
    <w:rsid w:val="00E106AE"/>
    <w:rsid w:val="00E10723"/>
    <w:rsid w:val="00E11A5C"/>
    <w:rsid w:val="00E1223A"/>
    <w:rsid w:val="00E122A9"/>
    <w:rsid w:val="00E12ABE"/>
    <w:rsid w:val="00E12DA4"/>
    <w:rsid w:val="00E13DAF"/>
    <w:rsid w:val="00E1415F"/>
    <w:rsid w:val="00E15683"/>
    <w:rsid w:val="00E1603D"/>
    <w:rsid w:val="00E16872"/>
    <w:rsid w:val="00E1784D"/>
    <w:rsid w:val="00E20E02"/>
    <w:rsid w:val="00E2282E"/>
    <w:rsid w:val="00E229C1"/>
    <w:rsid w:val="00E22C09"/>
    <w:rsid w:val="00E239E9"/>
    <w:rsid w:val="00E26A96"/>
    <w:rsid w:val="00E30003"/>
    <w:rsid w:val="00E313CE"/>
    <w:rsid w:val="00E31F09"/>
    <w:rsid w:val="00E320DB"/>
    <w:rsid w:val="00E32733"/>
    <w:rsid w:val="00E331D5"/>
    <w:rsid w:val="00E33AB2"/>
    <w:rsid w:val="00E33E69"/>
    <w:rsid w:val="00E3497F"/>
    <w:rsid w:val="00E34E6A"/>
    <w:rsid w:val="00E35ADF"/>
    <w:rsid w:val="00E35D26"/>
    <w:rsid w:val="00E35F0A"/>
    <w:rsid w:val="00E36D49"/>
    <w:rsid w:val="00E36E14"/>
    <w:rsid w:val="00E408E9"/>
    <w:rsid w:val="00E40A04"/>
    <w:rsid w:val="00E41003"/>
    <w:rsid w:val="00E414F8"/>
    <w:rsid w:val="00E418F1"/>
    <w:rsid w:val="00E4238A"/>
    <w:rsid w:val="00E4408E"/>
    <w:rsid w:val="00E44935"/>
    <w:rsid w:val="00E44C7E"/>
    <w:rsid w:val="00E4579A"/>
    <w:rsid w:val="00E46E0B"/>
    <w:rsid w:val="00E471C4"/>
    <w:rsid w:val="00E478DA"/>
    <w:rsid w:val="00E5076A"/>
    <w:rsid w:val="00E50E1F"/>
    <w:rsid w:val="00E528AD"/>
    <w:rsid w:val="00E52A22"/>
    <w:rsid w:val="00E53914"/>
    <w:rsid w:val="00E55390"/>
    <w:rsid w:val="00E5696B"/>
    <w:rsid w:val="00E578AA"/>
    <w:rsid w:val="00E60221"/>
    <w:rsid w:val="00E6098E"/>
    <w:rsid w:val="00E60A5A"/>
    <w:rsid w:val="00E61780"/>
    <w:rsid w:val="00E661DB"/>
    <w:rsid w:val="00E66C88"/>
    <w:rsid w:val="00E71086"/>
    <w:rsid w:val="00E7391F"/>
    <w:rsid w:val="00E745BB"/>
    <w:rsid w:val="00E77331"/>
    <w:rsid w:val="00E77E32"/>
    <w:rsid w:val="00E8173D"/>
    <w:rsid w:val="00E82D27"/>
    <w:rsid w:val="00E834BF"/>
    <w:rsid w:val="00E83987"/>
    <w:rsid w:val="00E87BD5"/>
    <w:rsid w:val="00E87C5D"/>
    <w:rsid w:val="00E87E94"/>
    <w:rsid w:val="00E90B12"/>
    <w:rsid w:val="00E91F0F"/>
    <w:rsid w:val="00E921EF"/>
    <w:rsid w:val="00E95DDA"/>
    <w:rsid w:val="00E972A2"/>
    <w:rsid w:val="00EA03AA"/>
    <w:rsid w:val="00EA12EA"/>
    <w:rsid w:val="00EA141E"/>
    <w:rsid w:val="00EA1B41"/>
    <w:rsid w:val="00EA1DF6"/>
    <w:rsid w:val="00EA2B29"/>
    <w:rsid w:val="00EA2C90"/>
    <w:rsid w:val="00EA2EC0"/>
    <w:rsid w:val="00EA35FC"/>
    <w:rsid w:val="00EA3942"/>
    <w:rsid w:val="00EA44A9"/>
    <w:rsid w:val="00EA5DE5"/>
    <w:rsid w:val="00EA6F49"/>
    <w:rsid w:val="00EA71D3"/>
    <w:rsid w:val="00EA7259"/>
    <w:rsid w:val="00EA7821"/>
    <w:rsid w:val="00EB0C40"/>
    <w:rsid w:val="00EB1A14"/>
    <w:rsid w:val="00EB2610"/>
    <w:rsid w:val="00EB2D92"/>
    <w:rsid w:val="00EB341F"/>
    <w:rsid w:val="00EB5A65"/>
    <w:rsid w:val="00EB5C2A"/>
    <w:rsid w:val="00EB686E"/>
    <w:rsid w:val="00EB6D6E"/>
    <w:rsid w:val="00EC05B4"/>
    <w:rsid w:val="00EC1EA8"/>
    <w:rsid w:val="00EC27C8"/>
    <w:rsid w:val="00EC2BE5"/>
    <w:rsid w:val="00EC2CCA"/>
    <w:rsid w:val="00EC2E71"/>
    <w:rsid w:val="00EC4D53"/>
    <w:rsid w:val="00EC4E19"/>
    <w:rsid w:val="00EC5347"/>
    <w:rsid w:val="00EC766D"/>
    <w:rsid w:val="00EC7835"/>
    <w:rsid w:val="00ED05EB"/>
    <w:rsid w:val="00ED09BF"/>
    <w:rsid w:val="00ED0D53"/>
    <w:rsid w:val="00ED0ED2"/>
    <w:rsid w:val="00ED14C6"/>
    <w:rsid w:val="00ED3605"/>
    <w:rsid w:val="00ED3CE8"/>
    <w:rsid w:val="00ED45B8"/>
    <w:rsid w:val="00ED47E4"/>
    <w:rsid w:val="00ED58AD"/>
    <w:rsid w:val="00ED5E13"/>
    <w:rsid w:val="00ED616D"/>
    <w:rsid w:val="00ED71AE"/>
    <w:rsid w:val="00ED73A4"/>
    <w:rsid w:val="00EE0342"/>
    <w:rsid w:val="00EE038F"/>
    <w:rsid w:val="00EE1C14"/>
    <w:rsid w:val="00EE22A7"/>
    <w:rsid w:val="00EE338A"/>
    <w:rsid w:val="00EE350E"/>
    <w:rsid w:val="00EE3627"/>
    <w:rsid w:val="00EE469A"/>
    <w:rsid w:val="00EE4D2B"/>
    <w:rsid w:val="00EE5770"/>
    <w:rsid w:val="00EE5D97"/>
    <w:rsid w:val="00EE6288"/>
    <w:rsid w:val="00EE6440"/>
    <w:rsid w:val="00EE66D4"/>
    <w:rsid w:val="00EE6C2D"/>
    <w:rsid w:val="00EE6D3D"/>
    <w:rsid w:val="00EE6F5D"/>
    <w:rsid w:val="00EE72D2"/>
    <w:rsid w:val="00EF0017"/>
    <w:rsid w:val="00EF0280"/>
    <w:rsid w:val="00EF12CC"/>
    <w:rsid w:val="00EF2355"/>
    <w:rsid w:val="00EF3011"/>
    <w:rsid w:val="00EF3BE1"/>
    <w:rsid w:val="00EF4351"/>
    <w:rsid w:val="00EF446C"/>
    <w:rsid w:val="00EF4927"/>
    <w:rsid w:val="00EF497B"/>
    <w:rsid w:val="00EF5363"/>
    <w:rsid w:val="00EF59F2"/>
    <w:rsid w:val="00EF66F3"/>
    <w:rsid w:val="00EF7B3E"/>
    <w:rsid w:val="00F000C4"/>
    <w:rsid w:val="00F0069B"/>
    <w:rsid w:val="00F01D44"/>
    <w:rsid w:val="00F02BF0"/>
    <w:rsid w:val="00F03C49"/>
    <w:rsid w:val="00F0432C"/>
    <w:rsid w:val="00F04516"/>
    <w:rsid w:val="00F04B09"/>
    <w:rsid w:val="00F07A6D"/>
    <w:rsid w:val="00F1097C"/>
    <w:rsid w:val="00F121F0"/>
    <w:rsid w:val="00F12F63"/>
    <w:rsid w:val="00F1310D"/>
    <w:rsid w:val="00F13971"/>
    <w:rsid w:val="00F13F1C"/>
    <w:rsid w:val="00F144D6"/>
    <w:rsid w:val="00F14FC4"/>
    <w:rsid w:val="00F1511E"/>
    <w:rsid w:val="00F152BC"/>
    <w:rsid w:val="00F15831"/>
    <w:rsid w:val="00F16108"/>
    <w:rsid w:val="00F16136"/>
    <w:rsid w:val="00F16D91"/>
    <w:rsid w:val="00F17B7B"/>
    <w:rsid w:val="00F201FD"/>
    <w:rsid w:val="00F21631"/>
    <w:rsid w:val="00F2227C"/>
    <w:rsid w:val="00F23548"/>
    <w:rsid w:val="00F2359A"/>
    <w:rsid w:val="00F2404C"/>
    <w:rsid w:val="00F2406B"/>
    <w:rsid w:val="00F2429E"/>
    <w:rsid w:val="00F25545"/>
    <w:rsid w:val="00F25983"/>
    <w:rsid w:val="00F265B9"/>
    <w:rsid w:val="00F266AA"/>
    <w:rsid w:val="00F27FFD"/>
    <w:rsid w:val="00F3079C"/>
    <w:rsid w:val="00F3223F"/>
    <w:rsid w:val="00F3261D"/>
    <w:rsid w:val="00F33B9C"/>
    <w:rsid w:val="00F340F6"/>
    <w:rsid w:val="00F3424C"/>
    <w:rsid w:val="00F37037"/>
    <w:rsid w:val="00F3771F"/>
    <w:rsid w:val="00F37BB9"/>
    <w:rsid w:val="00F4058C"/>
    <w:rsid w:val="00F40B80"/>
    <w:rsid w:val="00F41B49"/>
    <w:rsid w:val="00F42726"/>
    <w:rsid w:val="00F42C78"/>
    <w:rsid w:val="00F4367A"/>
    <w:rsid w:val="00F43B26"/>
    <w:rsid w:val="00F43C32"/>
    <w:rsid w:val="00F453B6"/>
    <w:rsid w:val="00F45854"/>
    <w:rsid w:val="00F461FC"/>
    <w:rsid w:val="00F468F2"/>
    <w:rsid w:val="00F46D54"/>
    <w:rsid w:val="00F50DC4"/>
    <w:rsid w:val="00F524C0"/>
    <w:rsid w:val="00F52A72"/>
    <w:rsid w:val="00F53548"/>
    <w:rsid w:val="00F5528F"/>
    <w:rsid w:val="00F568CD"/>
    <w:rsid w:val="00F569C2"/>
    <w:rsid w:val="00F57C62"/>
    <w:rsid w:val="00F6000C"/>
    <w:rsid w:val="00F61269"/>
    <w:rsid w:val="00F62DFC"/>
    <w:rsid w:val="00F6362F"/>
    <w:rsid w:val="00F6381A"/>
    <w:rsid w:val="00F658BB"/>
    <w:rsid w:val="00F6598F"/>
    <w:rsid w:val="00F66292"/>
    <w:rsid w:val="00F665F6"/>
    <w:rsid w:val="00F6694F"/>
    <w:rsid w:val="00F67026"/>
    <w:rsid w:val="00F702ED"/>
    <w:rsid w:val="00F706F1"/>
    <w:rsid w:val="00F717ED"/>
    <w:rsid w:val="00F72E23"/>
    <w:rsid w:val="00F72ED6"/>
    <w:rsid w:val="00F72EDE"/>
    <w:rsid w:val="00F7494B"/>
    <w:rsid w:val="00F75BD6"/>
    <w:rsid w:val="00F76B38"/>
    <w:rsid w:val="00F76DA5"/>
    <w:rsid w:val="00F76F1C"/>
    <w:rsid w:val="00F770EF"/>
    <w:rsid w:val="00F775E1"/>
    <w:rsid w:val="00F7791F"/>
    <w:rsid w:val="00F77B0B"/>
    <w:rsid w:val="00F77BDA"/>
    <w:rsid w:val="00F77EC2"/>
    <w:rsid w:val="00F808A8"/>
    <w:rsid w:val="00F81687"/>
    <w:rsid w:val="00F82060"/>
    <w:rsid w:val="00F82C4E"/>
    <w:rsid w:val="00F84289"/>
    <w:rsid w:val="00F84A4E"/>
    <w:rsid w:val="00F8663C"/>
    <w:rsid w:val="00F86FDF"/>
    <w:rsid w:val="00F8722D"/>
    <w:rsid w:val="00F902E6"/>
    <w:rsid w:val="00F9196A"/>
    <w:rsid w:val="00F92ACA"/>
    <w:rsid w:val="00F92EAB"/>
    <w:rsid w:val="00F92FAB"/>
    <w:rsid w:val="00F930D9"/>
    <w:rsid w:val="00F93EEE"/>
    <w:rsid w:val="00F954CA"/>
    <w:rsid w:val="00F96FBB"/>
    <w:rsid w:val="00FA2BD7"/>
    <w:rsid w:val="00FA30A9"/>
    <w:rsid w:val="00FA40A1"/>
    <w:rsid w:val="00FA5B03"/>
    <w:rsid w:val="00FA6579"/>
    <w:rsid w:val="00FA6F37"/>
    <w:rsid w:val="00FB119A"/>
    <w:rsid w:val="00FB1431"/>
    <w:rsid w:val="00FB181F"/>
    <w:rsid w:val="00FB1864"/>
    <w:rsid w:val="00FB1918"/>
    <w:rsid w:val="00FB1AE8"/>
    <w:rsid w:val="00FB1D7A"/>
    <w:rsid w:val="00FB24C0"/>
    <w:rsid w:val="00FB286E"/>
    <w:rsid w:val="00FB37DA"/>
    <w:rsid w:val="00FB526E"/>
    <w:rsid w:val="00FB5CF6"/>
    <w:rsid w:val="00FB6054"/>
    <w:rsid w:val="00FC024E"/>
    <w:rsid w:val="00FC05AB"/>
    <w:rsid w:val="00FC0EFA"/>
    <w:rsid w:val="00FC1327"/>
    <w:rsid w:val="00FC1D4B"/>
    <w:rsid w:val="00FC201C"/>
    <w:rsid w:val="00FC2213"/>
    <w:rsid w:val="00FC3AE8"/>
    <w:rsid w:val="00FC5E6F"/>
    <w:rsid w:val="00FC7615"/>
    <w:rsid w:val="00FD058E"/>
    <w:rsid w:val="00FD05BC"/>
    <w:rsid w:val="00FD0E60"/>
    <w:rsid w:val="00FD18F9"/>
    <w:rsid w:val="00FD2102"/>
    <w:rsid w:val="00FD2718"/>
    <w:rsid w:val="00FD3382"/>
    <w:rsid w:val="00FD3BFD"/>
    <w:rsid w:val="00FD4582"/>
    <w:rsid w:val="00FD45D6"/>
    <w:rsid w:val="00FD4ABF"/>
    <w:rsid w:val="00FD7771"/>
    <w:rsid w:val="00FE01B4"/>
    <w:rsid w:val="00FE0294"/>
    <w:rsid w:val="00FE0A78"/>
    <w:rsid w:val="00FE18B4"/>
    <w:rsid w:val="00FE1C21"/>
    <w:rsid w:val="00FE23AE"/>
    <w:rsid w:val="00FE260E"/>
    <w:rsid w:val="00FE2F0E"/>
    <w:rsid w:val="00FE2F48"/>
    <w:rsid w:val="00FE37C2"/>
    <w:rsid w:val="00FE37E3"/>
    <w:rsid w:val="00FE47B3"/>
    <w:rsid w:val="00FE5276"/>
    <w:rsid w:val="00FE54AF"/>
    <w:rsid w:val="00FE66FB"/>
    <w:rsid w:val="00FE7884"/>
    <w:rsid w:val="00FF1103"/>
    <w:rsid w:val="00FF3DBD"/>
    <w:rsid w:val="00FF4204"/>
    <w:rsid w:val="00FF4314"/>
    <w:rsid w:val="00FF456E"/>
    <w:rsid w:val="00FF4A19"/>
    <w:rsid w:val="00FF6345"/>
    <w:rsid w:val="00FF7533"/>
    <w:rsid w:val="016B5C0C"/>
    <w:rsid w:val="01B6279C"/>
    <w:rsid w:val="021B7EB0"/>
    <w:rsid w:val="024B5C50"/>
    <w:rsid w:val="024D7F96"/>
    <w:rsid w:val="02523317"/>
    <w:rsid w:val="02983D1E"/>
    <w:rsid w:val="02C65AF8"/>
    <w:rsid w:val="02F649FF"/>
    <w:rsid w:val="032C35BD"/>
    <w:rsid w:val="033D2742"/>
    <w:rsid w:val="037A7990"/>
    <w:rsid w:val="038F3A48"/>
    <w:rsid w:val="03965720"/>
    <w:rsid w:val="03A91880"/>
    <w:rsid w:val="03A956B8"/>
    <w:rsid w:val="03E57395"/>
    <w:rsid w:val="040C1ABE"/>
    <w:rsid w:val="042E050F"/>
    <w:rsid w:val="043221C0"/>
    <w:rsid w:val="047B0682"/>
    <w:rsid w:val="049C3A95"/>
    <w:rsid w:val="04EB3000"/>
    <w:rsid w:val="04F4323C"/>
    <w:rsid w:val="04FA63E5"/>
    <w:rsid w:val="055C132D"/>
    <w:rsid w:val="055E56D0"/>
    <w:rsid w:val="056A6417"/>
    <w:rsid w:val="05795135"/>
    <w:rsid w:val="064457AB"/>
    <w:rsid w:val="06595058"/>
    <w:rsid w:val="066C6471"/>
    <w:rsid w:val="06904D26"/>
    <w:rsid w:val="07174F63"/>
    <w:rsid w:val="078B5CC6"/>
    <w:rsid w:val="07B45197"/>
    <w:rsid w:val="07B611C8"/>
    <w:rsid w:val="07C312D5"/>
    <w:rsid w:val="07F21AE4"/>
    <w:rsid w:val="08157EBE"/>
    <w:rsid w:val="08432ECB"/>
    <w:rsid w:val="089862C5"/>
    <w:rsid w:val="08B63606"/>
    <w:rsid w:val="08C56A58"/>
    <w:rsid w:val="08CF6972"/>
    <w:rsid w:val="08E977B8"/>
    <w:rsid w:val="09541D9E"/>
    <w:rsid w:val="098934CB"/>
    <w:rsid w:val="09AB7D21"/>
    <w:rsid w:val="09F26E23"/>
    <w:rsid w:val="0A1B20CB"/>
    <w:rsid w:val="0A322333"/>
    <w:rsid w:val="0A515081"/>
    <w:rsid w:val="0ACE2B5A"/>
    <w:rsid w:val="0AD12438"/>
    <w:rsid w:val="0AD75AA6"/>
    <w:rsid w:val="0B0E2FB8"/>
    <w:rsid w:val="0B3B6F70"/>
    <w:rsid w:val="0B864297"/>
    <w:rsid w:val="0B962C51"/>
    <w:rsid w:val="0C0B561A"/>
    <w:rsid w:val="0C145737"/>
    <w:rsid w:val="0C523D23"/>
    <w:rsid w:val="0C5A6A0B"/>
    <w:rsid w:val="0CF049E3"/>
    <w:rsid w:val="0D1A446C"/>
    <w:rsid w:val="0D58526F"/>
    <w:rsid w:val="0DAF19EE"/>
    <w:rsid w:val="0DB251AE"/>
    <w:rsid w:val="0DB533CD"/>
    <w:rsid w:val="0DD768DB"/>
    <w:rsid w:val="0DFC3E76"/>
    <w:rsid w:val="0E514175"/>
    <w:rsid w:val="0E5444D3"/>
    <w:rsid w:val="0E705502"/>
    <w:rsid w:val="0E785CAD"/>
    <w:rsid w:val="0E787129"/>
    <w:rsid w:val="0E7F6625"/>
    <w:rsid w:val="0E805C83"/>
    <w:rsid w:val="0E9B78A3"/>
    <w:rsid w:val="0EB565B0"/>
    <w:rsid w:val="0ECA0F29"/>
    <w:rsid w:val="0ED222C6"/>
    <w:rsid w:val="0EDA1894"/>
    <w:rsid w:val="0F0030C3"/>
    <w:rsid w:val="0F052BC0"/>
    <w:rsid w:val="0F0C1DD2"/>
    <w:rsid w:val="0F11072B"/>
    <w:rsid w:val="0F1B6567"/>
    <w:rsid w:val="0F953969"/>
    <w:rsid w:val="0FA55170"/>
    <w:rsid w:val="0FD2556C"/>
    <w:rsid w:val="0FDD3864"/>
    <w:rsid w:val="10316EFA"/>
    <w:rsid w:val="107D481D"/>
    <w:rsid w:val="10801DE1"/>
    <w:rsid w:val="109B6FDB"/>
    <w:rsid w:val="10B23D31"/>
    <w:rsid w:val="10F87E16"/>
    <w:rsid w:val="10FF7EB1"/>
    <w:rsid w:val="110E3618"/>
    <w:rsid w:val="11533504"/>
    <w:rsid w:val="11656653"/>
    <w:rsid w:val="1197178C"/>
    <w:rsid w:val="119B544A"/>
    <w:rsid w:val="11AD747B"/>
    <w:rsid w:val="11AF4BC5"/>
    <w:rsid w:val="11EB152E"/>
    <w:rsid w:val="12242485"/>
    <w:rsid w:val="123F6A69"/>
    <w:rsid w:val="12691EF7"/>
    <w:rsid w:val="12691F00"/>
    <w:rsid w:val="12810D18"/>
    <w:rsid w:val="129F1F94"/>
    <w:rsid w:val="12AE55E7"/>
    <w:rsid w:val="12D851A4"/>
    <w:rsid w:val="12EF6993"/>
    <w:rsid w:val="135A72DC"/>
    <w:rsid w:val="13965914"/>
    <w:rsid w:val="13DA02A4"/>
    <w:rsid w:val="140838E1"/>
    <w:rsid w:val="148B2B0C"/>
    <w:rsid w:val="14970F61"/>
    <w:rsid w:val="14DF0DA1"/>
    <w:rsid w:val="14EF2EE0"/>
    <w:rsid w:val="14F37D05"/>
    <w:rsid w:val="14F453F1"/>
    <w:rsid w:val="151C3AC0"/>
    <w:rsid w:val="152236E0"/>
    <w:rsid w:val="153C54B5"/>
    <w:rsid w:val="15472B4A"/>
    <w:rsid w:val="157C388F"/>
    <w:rsid w:val="1589410E"/>
    <w:rsid w:val="15943E61"/>
    <w:rsid w:val="159822E7"/>
    <w:rsid w:val="15BA74DF"/>
    <w:rsid w:val="161C5453"/>
    <w:rsid w:val="161F1140"/>
    <w:rsid w:val="16765683"/>
    <w:rsid w:val="16963909"/>
    <w:rsid w:val="16A06CF0"/>
    <w:rsid w:val="16B804B5"/>
    <w:rsid w:val="16B96B9D"/>
    <w:rsid w:val="171A527E"/>
    <w:rsid w:val="176C0DDB"/>
    <w:rsid w:val="17B876AC"/>
    <w:rsid w:val="17BE7723"/>
    <w:rsid w:val="17E53644"/>
    <w:rsid w:val="17F673BF"/>
    <w:rsid w:val="17FF65AC"/>
    <w:rsid w:val="18795CD6"/>
    <w:rsid w:val="188808AE"/>
    <w:rsid w:val="18C17F84"/>
    <w:rsid w:val="18D53478"/>
    <w:rsid w:val="18EA4BB9"/>
    <w:rsid w:val="18FD5AAA"/>
    <w:rsid w:val="19156EA0"/>
    <w:rsid w:val="19177236"/>
    <w:rsid w:val="194763BD"/>
    <w:rsid w:val="199457D9"/>
    <w:rsid w:val="19A2006B"/>
    <w:rsid w:val="19C93A3B"/>
    <w:rsid w:val="19D87F0A"/>
    <w:rsid w:val="1A271E2D"/>
    <w:rsid w:val="1A29271C"/>
    <w:rsid w:val="1A326A3B"/>
    <w:rsid w:val="1A4E7FB6"/>
    <w:rsid w:val="1A7B036E"/>
    <w:rsid w:val="1AA52EE1"/>
    <w:rsid w:val="1AD338EF"/>
    <w:rsid w:val="1AE845A5"/>
    <w:rsid w:val="1AEA075F"/>
    <w:rsid w:val="1AF94B23"/>
    <w:rsid w:val="1B2809E3"/>
    <w:rsid w:val="1B39179C"/>
    <w:rsid w:val="1B490420"/>
    <w:rsid w:val="1B7B2F06"/>
    <w:rsid w:val="1B804369"/>
    <w:rsid w:val="1BA11DBE"/>
    <w:rsid w:val="1BA96CA2"/>
    <w:rsid w:val="1BFC59A7"/>
    <w:rsid w:val="1BFF57F3"/>
    <w:rsid w:val="1C4065A1"/>
    <w:rsid w:val="1C68263C"/>
    <w:rsid w:val="1C875799"/>
    <w:rsid w:val="1C9A6A71"/>
    <w:rsid w:val="1CCB2115"/>
    <w:rsid w:val="1CE83F9D"/>
    <w:rsid w:val="1CEB1D73"/>
    <w:rsid w:val="1CEF02B3"/>
    <w:rsid w:val="1CF34657"/>
    <w:rsid w:val="1D5B6BC8"/>
    <w:rsid w:val="1D60556B"/>
    <w:rsid w:val="1D8559D1"/>
    <w:rsid w:val="1D880855"/>
    <w:rsid w:val="1DB25925"/>
    <w:rsid w:val="1DB73863"/>
    <w:rsid w:val="1DBB4253"/>
    <w:rsid w:val="1DBE2573"/>
    <w:rsid w:val="1DE0713B"/>
    <w:rsid w:val="1E1C0C48"/>
    <w:rsid w:val="1E41277F"/>
    <w:rsid w:val="1E9F67BC"/>
    <w:rsid w:val="1EC17A0F"/>
    <w:rsid w:val="1F0D41A5"/>
    <w:rsid w:val="1F2970B0"/>
    <w:rsid w:val="1F453547"/>
    <w:rsid w:val="1F65019F"/>
    <w:rsid w:val="1F6E60AE"/>
    <w:rsid w:val="1F866B16"/>
    <w:rsid w:val="1FD20E0C"/>
    <w:rsid w:val="20117815"/>
    <w:rsid w:val="203706D3"/>
    <w:rsid w:val="2051128C"/>
    <w:rsid w:val="20547B8C"/>
    <w:rsid w:val="209259B9"/>
    <w:rsid w:val="20B15CEE"/>
    <w:rsid w:val="20D35123"/>
    <w:rsid w:val="20D443A6"/>
    <w:rsid w:val="20F11723"/>
    <w:rsid w:val="20F51774"/>
    <w:rsid w:val="21015C13"/>
    <w:rsid w:val="211A36BC"/>
    <w:rsid w:val="21BE571D"/>
    <w:rsid w:val="21E134D5"/>
    <w:rsid w:val="2205202C"/>
    <w:rsid w:val="221F697A"/>
    <w:rsid w:val="226D5699"/>
    <w:rsid w:val="22B67B9E"/>
    <w:rsid w:val="22ED7F40"/>
    <w:rsid w:val="23142D32"/>
    <w:rsid w:val="23265D27"/>
    <w:rsid w:val="23487B0D"/>
    <w:rsid w:val="23771723"/>
    <w:rsid w:val="237E4E3D"/>
    <w:rsid w:val="246F5F3C"/>
    <w:rsid w:val="247D06D8"/>
    <w:rsid w:val="24AC349B"/>
    <w:rsid w:val="24BD70B5"/>
    <w:rsid w:val="24C61A34"/>
    <w:rsid w:val="24E96078"/>
    <w:rsid w:val="25282D5C"/>
    <w:rsid w:val="25487A2C"/>
    <w:rsid w:val="255B4E16"/>
    <w:rsid w:val="25AB3ABE"/>
    <w:rsid w:val="2632593A"/>
    <w:rsid w:val="26B41DC9"/>
    <w:rsid w:val="26C54A3F"/>
    <w:rsid w:val="26F62F37"/>
    <w:rsid w:val="26F65DF1"/>
    <w:rsid w:val="270524D2"/>
    <w:rsid w:val="27401858"/>
    <w:rsid w:val="276B6453"/>
    <w:rsid w:val="27C0721C"/>
    <w:rsid w:val="27C57EB1"/>
    <w:rsid w:val="27E504FD"/>
    <w:rsid w:val="27E92461"/>
    <w:rsid w:val="2811247C"/>
    <w:rsid w:val="281251A6"/>
    <w:rsid w:val="28555B14"/>
    <w:rsid w:val="2898628C"/>
    <w:rsid w:val="28D75DCF"/>
    <w:rsid w:val="291B6877"/>
    <w:rsid w:val="29234400"/>
    <w:rsid w:val="29460653"/>
    <w:rsid w:val="29745825"/>
    <w:rsid w:val="29875891"/>
    <w:rsid w:val="29A47D25"/>
    <w:rsid w:val="29B16347"/>
    <w:rsid w:val="2A9A007E"/>
    <w:rsid w:val="2AA007BD"/>
    <w:rsid w:val="2AA9439E"/>
    <w:rsid w:val="2AC376C1"/>
    <w:rsid w:val="2AD01BA5"/>
    <w:rsid w:val="2B015213"/>
    <w:rsid w:val="2B1E4F51"/>
    <w:rsid w:val="2B2010E4"/>
    <w:rsid w:val="2B243DEB"/>
    <w:rsid w:val="2B582C1D"/>
    <w:rsid w:val="2B834E3C"/>
    <w:rsid w:val="2B9203B3"/>
    <w:rsid w:val="2BDB09EB"/>
    <w:rsid w:val="2D1C2309"/>
    <w:rsid w:val="2D2B2C00"/>
    <w:rsid w:val="2D6C1D5B"/>
    <w:rsid w:val="2D85342A"/>
    <w:rsid w:val="2DAF30BD"/>
    <w:rsid w:val="2DC71E12"/>
    <w:rsid w:val="2DDC6D2D"/>
    <w:rsid w:val="2E0B231A"/>
    <w:rsid w:val="2E0C1C5F"/>
    <w:rsid w:val="2E57262A"/>
    <w:rsid w:val="2E6800AA"/>
    <w:rsid w:val="2EA276CD"/>
    <w:rsid w:val="2EBF4ADC"/>
    <w:rsid w:val="2ED07FD6"/>
    <w:rsid w:val="2F334571"/>
    <w:rsid w:val="2F3C14C0"/>
    <w:rsid w:val="2F4D4623"/>
    <w:rsid w:val="2F515FBF"/>
    <w:rsid w:val="2F7351E5"/>
    <w:rsid w:val="2FB467FF"/>
    <w:rsid w:val="2FDE7250"/>
    <w:rsid w:val="3002170D"/>
    <w:rsid w:val="30053EB2"/>
    <w:rsid w:val="300541EB"/>
    <w:rsid w:val="3015619E"/>
    <w:rsid w:val="301F6AC5"/>
    <w:rsid w:val="309B4BA5"/>
    <w:rsid w:val="30D13425"/>
    <w:rsid w:val="30D72B2C"/>
    <w:rsid w:val="30E67608"/>
    <w:rsid w:val="30EF1593"/>
    <w:rsid w:val="30F55F26"/>
    <w:rsid w:val="310D559B"/>
    <w:rsid w:val="31B74F65"/>
    <w:rsid w:val="31E0180F"/>
    <w:rsid w:val="32C0357C"/>
    <w:rsid w:val="331F7826"/>
    <w:rsid w:val="333B2147"/>
    <w:rsid w:val="33F700DB"/>
    <w:rsid w:val="33F96400"/>
    <w:rsid w:val="34BC3DD4"/>
    <w:rsid w:val="34C736F0"/>
    <w:rsid w:val="34FA5733"/>
    <w:rsid w:val="35724E1E"/>
    <w:rsid w:val="35D20C0D"/>
    <w:rsid w:val="36C12E1A"/>
    <w:rsid w:val="36CB756F"/>
    <w:rsid w:val="36D368AC"/>
    <w:rsid w:val="36F56B15"/>
    <w:rsid w:val="371562E4"/>
    <w:rsid w:val="371D65C3"/>
    <w:rsid w:val="374D01C4"/>
    <w:rsid w:val="375B7008"/>
    <w:rsid w:val="37A048A2"/>
    <w:rsid w:val="37C45AAE"/>
    <w:rsid w:val="37EA01DB"/>
    <w:rsid w:val="381C323A"/>
    <w:rsid w:val="38C64D71"/>
    <w:rsid w:val="39033366"/>
    <w:rsid w:val="39881F1F"/>
    <w:rsid w:val="398E3DFB"/>
    <w:rsid w:val="39F4010F"/>
    <w:rsid w:val="3A45515F"/>
    <w:rsid w:val="3A6E7A28"/>
    <w:rsid w:val="3ABF77E6"/>
    <w:rsid w:val="3B466A01"/>
    <w:rsid w:val="3B4A7656"/>
    <w:rsid w:val="3C151D33"/>
    <w:rsid w:val="3C2438AC"/>
    <w:rsid w:val="3C2E5730"/>
    <w:rsid w:val="3C954C05"/>
    <w:rsid w:val="3CBC6008"/>
    <w:rsid w:val="3D1E29F6"/>
    <w:rsid w:val="3D4365F4"/>
    <w:rsid w:val="3D5629B7"/>
    <w:rsid w:val="3F0E10E6"/>
    <w:rsid w:val="3F89395C"/>
    <w:rsid w:val="3FA82705"/>
    <w:rsid w:val="3FB25152"/>
    <w:rsid w:val="3FB67C44"/>
    <w:rsid w:val="3FF93826"/>
    <w:rsid w:val="404D28FD"/>
    <w:rsid w:val="40B25B47"/>
    <w:rsid w:val="40C41938"/>
    <w:rsid w:val="410F7515"/>
    <w:rsid w:val="41440747"/>
    <w:rsid w:val="414C667F"/>
    <w:rsid w:val="4159575C"/>
    <w:rsid w:val="41AB78B1"/>
    <w:rsid w:val="41AF5A77"/>
    <w:rsid w:val="41C940A0"/>
    <w:rsid w:val="42086B71"/>
    <w:rsid w:val="4224273F"/>
    <w:rsid w:val="424810AE"/>
    <w:rsid w:val="42A82EAA"/>
    <w:rsid w:val="42B55E3F"/>
    <w:rsid w:val="438331E9"/>
    <w:rsid w:val="43CE2096"/>
    <w:rsid w:val="44030957"/>
    <w:rsid w:val="446B565F"/>
    <w:rsid w:val="44905409"/>
    <w:rsid w:val="4523198A"/>
    <w:rsid w:val="452D591E"/>
    <w:rsid w:val="457D605A"/>
    <w:rsid w:val="45C85D8F"/>
    <w:rsid w:val="45D466E2"/>
    <w:rsid w:val="461816AA"/>
    <w:rsid w:val="463C1CB2"/>
    <w:rsid w:val="46463BF8"/>
    <w:rsid w:val="46611407"/>
    <w:rsid w:val="46745046"/>
    <w:rsid w:val="46B90A5F"/>
    <w:rsid w:val="47632137"/>
    <w:rsid w:val="4816038D"/>
    <w:rsid w:val="482C4860"/>
    <w:rsid w:val="487F3DBF"/>
    <w:rsid w:val="48BF2145"/>
    <w:rsid w:val="493203D2"/>
    <w:rsid w:val="49B25245"/>
    <w:rsid w:val="49B616CF"/>
    <w:rsid w:val="49BB3DEA"/>
    <w:rsid w:val="49F46B0F"/>
    <w:rsid w:val="4A5C3FE0"/>
    <w:rsid w:val="4B8C7DDC"/>
    <w:rsid w:val="4BA6260B"/>
    <w:rsid w:val="4BBC71E9"/>
    <w:rsid w:val="4BDC223E"/>
    <w:rsid w:val="4BEF6D85"/>
    <w:rsid w:val="4C1C368C"/>
    <w:rsid w:val="4C5704DD"/>
    <w:rsid w:val="4C711F18"/>
    <w:rsid w:val="4C97216F"/>
    <w:rsid w:val="4CD8779D"/>
    <w:rsid w:val="4CE14FED"/>
    <w:rsid w:val="4CE2166F"/>
    <w:rsid w:val="4CF87F6E"/>
    <w:rsid w:val="4CFB69B6"/>
    <w:rsid w:val="4D2D0FBD"/>
    <w:rsid w:val="4D74246D"/>
    <w:rsid w:val="4D775451"/>
    <w:rsid w:val="4D8A7401"/>
    <w:rsid w:val="4DA32C37"/>
    <w:rsid w:val="4DC652FD"/>
    <w:rsid w:val="4E0C0095"/>
    <w:rsid w:val="4E1223CF"/>
    <w:rsid w:val="4E1A339D"/>
    <w:rsid w:val="4E303C4F"/>
    <w:rsid w:val="4E6C1757"/>
    <w:rsid w:val="4E726A98"/>
    <w:rsid w:val="4EC12A4A"/>
    <w:rsid w:val="4ED7668A"/>
    <w:rsid w:val="4EFF50EA"/>
    <w:rsid w:val="4FB42257"/>
    <w:rsid w:val="4FD36851"/>
    <w:rsid w:val="509E403C"/>
    <w:rsid w:val="51574FE6"/>
    <w:rsid w:val="51DD2235"/>
    <w:rsid w:val="51E35F7C"/>
    <w:rsid w:val="52042BBB"/>
    <w:rsid w:val="52633886"/>
    <w:rsid w:val="52704797"/>
    <w:rsid w:val="529B779D"/>
    <w:rsid w:val="529C1AF4"/>
    <w:rsid w:val="529C6554"/>
    <w:rsid w:val="52DB46C8"/>
    <w:rsid w:val="52DE0C08"/>
    <w:rsid w:val="533E33EC"/>
    <w:rsid w:val="53C61E68"/>
    <w:rsid w:val="53E5673C"/>
    <w:rsid w:val="53F720BA"/>
    <w:rsid w:val="54B06690"/>
    <w:rsid w:val="54C31095"/>
    <w:rsid w:val="55321E0D"/>
    <w:rsid w:val="553C6CC4"/>
    <w:rsid w:val="555302B0"/>
    <w:rsid w:val="557205DD"/>
    <w:rsid w:val="561C366E"/>
    <w:rsid w:val="56A06473"/>
    <w:rsid w:val="56BB7C4A"/>
    <w:rsid w:val="56D963A7"/>
    <w:rsid w:val="572C5375"/>
    <w:rsid w:val="57516335"/>
    <w:rsid w:val="57695E65"/>
    <w:rsid w:val="57B03CE9"/>
    <w:rsid w:val="57C7676B"/>
    <w:rsid w:val="57E063D6"/>
    <w:rsid w:val="58256DB8"/>
    <w:rsid w:val="583B64DE"/>
    <w:rsid w:val="58606E47"/>
    <w:rsid w:val="58C62E6C"/>
    <w:rsid w:val="59830730"/>
    <w:rsid w:val="5A796196"/>
    <w:rsid w:val="5B5A3285"/>
    <w:rsid w:val="5B694099"/>
    <w:rsid w:val="5BE517D7"/>
    <w:rsid w:val="5C784203"/>
    <w:rsid w:val="5C891B7C"/>
    <w:rsid w:val="5CAE4935"/>
    <w:rsid w:val="5D25377D"/>
    <w:rsid w:val="5D5B0D46"/>
    <w:rsid w:val="5DE937EF"/>
    <w:rsid w:val="5DE965DE"/>
    <w:rsid w:val="5E9266C5"/>
    <w:rsid w:val="5E941AF5"/>
    <w:rsid w:val="5E9666C9"/>
    <w:rsid w:val="5EB4464D"/>
    <w:rsid w:val="5EDF458C"/>
    <w:rsid w:val="5F1D172F"/>
    <w:rsid w:val="5F5647B6"/>
    <w:rsid w:val="5F585EAA"/>
    <w:rsid w:val="5F615DB7"/>
    <w:rsid w:val="5F8933A3"/>
    <w:rsid w:val="5FCB6736"/>
    <w:rsid w:val="5FEB3AEB"/>
    <w:rsid w:val="60336558"/>
    <w:rsid w:val="604917AF"/>
    <w:rsid w:val="61447253"/>
    <w:rsid w:val="614C6A2D"/>
    <w:rsid w:val="614D3289"/>
    <w:rsid w:val="61882403"/>
    <w:rsid w:val="619D13A6"/>
    <w:rsid w:val="61CA036C"/>
    <w:rsid w:val="61D713DE"/>
    <w:rsid w:val="621557E0"/>
    <w:rsid w:val="628303B4"/>
    <w:rsid w:val="62E92048"/>
    <w:rsid w:val="63057A83"/>
    <w:rsid w:val="63086866"/>
    <w:rsid w:val="631C54A4"/>
    <w:rsid w:val="632B7C2C"/>
    <w:rsid w:val="63431B90"/>
    <w:rsid w:val="63445203"/>
    <w:rsid w:val="63545E93"/>
    <w:rsid w:val="63642350"/>
    <w:rsid w:val="63AE5018"/>
    <w:rsid w:val="64850B41"/>
    <w:rsid w:val="650E7A21"/>
    <w:rsid w:val="656A5CEE"/>
    <w:rsid w:val="65BB3192"/>
    <w:rsid w:val="65C61AE8"/>
    <w:rsid w:val="65F33C8B"/>
    <w:rsid w:val="664B10D0"/>
    <w:rsid w:val="667134CD"/>
    <w:rsid w:val="66B25D02"/>
    <w:rsid w:val="66E96BA7"/>
    <w:rsid w:val="670F5666"/>
    <w:rsid w:val="6737171E"/>
    <w:rsid w:val="67477862"/>
    <w:rsid w:val="67607A6E"/>
    <w:rsid w:val="676C00D0"/>
    <w:rsid w:val="677A23A4"/>
    <w:rsid w:val="678B608E"/>
    <w:rsid w:val="67AB7AEB"/>
    <w:rsid w:val="67BD6E34"/>
    <w:rsid w:val="67C31E57"/>
    <w:rsid w:val="680D51FF"/>
    <w:rsid w:val="686C6340"/>
    <w:rsid w:val="68A574C6"/>
    <w:rsid w:val="6918603E"/>
    <w:rsid w:val="694504E6"/>
    <w:rsid w:val="697C42B3"/>
    <w:rsid w:val="69FE0290"/>
    <w:rsid w:val="6A0879CF"/>
    <w:rsid w:val="6A3579EB"/>
    <w:rsid w:val="6A4365CC"/>
    <w:rsid w:val="6A451FF7"/>
    <w:rsid w:val="6A913734"/>
    <w:rsid w:val="6A9E2C97"/>
    <w:rsid w:val="6AD00C18"/>
    <w:rsid w:val="6AE7346F"/>
    <w:rsid w:val="6AFC74B8"/>
    <w:rsid w:val="6B1F24E7"/>
    <w:rsid w:val="6B2E5D06"/>
    <w:rsid w:val="6B410AE7"/>
    <w:rsid w:val="6B55078F"/>
    <w:rsid w:val="6B563C65"/>
    <w:rsid w:val="6B7A46EA"/>
    <w:rsid w:val="6B9D225F"/>
    <w:rsid w:val="6BAA0DAF"/>
    <w:rsid w:val="6BBB0482"/>
    <w:rsid w:val="6C5938CE"/>
    <w:rsid w:val="6CA75FD4"/>
    <w:rsid w:val="6CC06086"/>
    <w:rsid w:val="6D0C6FF1"/>
    <w:rsid w:val="6D1F462D"/>
    <w:rsid w:val="6D7118AC"/>
    <w:rsid w:val="6DB161C1"/>
    <w:rsid w:val="6DFD4702"/>
    <w:rsid w:val="6E50320B"/>
    <w:rsid w:val="6E5864B3"/>
    <w:rsid w:val="6E65518C"/>
    <w:rsid w:val="6E7A0D1F"/>
    <w:rsid w:val="6EB86342"/>
    <w:rsid w:val="6ED906EB"/>
    <w:rsid w:val="6EDC1FDD"/>
    <w:rsid w:val="6F1D1A60"/>
    <w:rsid w:val="6F6F30EE"/>
    <w:rsid w:val="6F710342"/>
    <w:rsid w:val="6F7A03C7"/>
    <w:rsid w:val="6FC17298"/>
    <w:rsid w:val="6FEA25BB"/>
    <w:rsid w:val="6FF8291C"/>
    <w:rsid w:val="707E7BEA"/>
    <w:rsid w:val="70AE6E62"/>
    <w:rsid w:val="715D70EB"/>
    <w:rsid w:val="717F1642"/>
    <w:rsid w:val="719E03EB"/>
    <w:rsid w:val="71B249A1"/>
    <w:rsid w:val="7203330D"/>
    <w:rsid w:val="720B0832"/>
    <w:rsid w:val="720F0220"/>
    <w:rsid w:val="72907527"/>
    <w:rsid w:val="72D9397A"/>
    <w:rsid w:val="72EF6DD2"/>
    <w:rsid w:val="73161C97"/>
    <w:rsid w:val="731B3E54"/>
    <w:rsid w:val="73483829"/>
    <w:rsid w:val="73CD3359"/>
    <w:rsid w:val="73D5002D"/>
    <w:rsid w:val="74157CB2"/>
    <w:rsid w:val="7466716A"/>
    <w:rsid w:val="746C594F"/>
    <w:rsid w:val="74931E35"/>
    <w:rsid w:val="74CF7441"/>
    <w:rsid w:val="754A4C81"/>
    <w:rsid w:val="754F6547"/>
    <w:rsid w:val="75AB3CF3"/>
    <w:rsid w:val="75B36E3F"/>
    <w:rsid w:val="75E111AF"/>
    <w:rsid w:val="766D1A76"/>
    <w:rsid w:val="77023C28"/>
    <w:rsid w:val="77253D5A"/>
    <w:rsid w:val="772734BA"/>
    <w:rsid w:val="774773A0"/>
    <w:rsid w:val="775D737C"/>
    <w:rsid w:val="777C6215"/>
    <w:rsid w:val="77C27B3F"/>
    <w:rsid w:val="78057634"/>
    <w:rsid w:val="781A6563"/>
    <w:rsid w:val="789C68D1"/>
    <w:rsid w:val="78B2592C"/>
    <w:rsid w:val="79021489"/>
    <w:rsid w:val="791F608C"/>
    <w:rsid w:val="792F13B4"/>
    <w:rsid w:val="798C0433"/>
    <w:rsid w:val="79B91499"/>
    <w:rsid w:val="79F36D56"/>
    <w:rsid w:val="79F73FB2"/>
    <w:rsid w:val="7A1A37A3"/>
    <w:rsid w:val="7A417D2E"/>
    <w:rsid w:val="7A473259"/>
    <w:rsid w:val="7A54219F"/>
    <w:rsid w:val="7A5C3D6B"/>
    <w:rsid w:val="7A5F2A48"/>
    <w:rsid w:val="7A6C63EB"/>
    <w:rsid w:val="7AB65F8C"/>
    <w:rsid w:val="7ABB0238"/>
    <w:rsid w:val="7AC34054"/>
    <w:rsid w:val="7AFF0C6F"/>
    <w:rsid w:val="7B156888"/>
    <w:rsid w:val="7B2E5D3F"/>
    <w:rsid w:val="7B46083D"/>
    <w:rsid w:val="7B4B50A8"/>
    <w:rsid w:val="7B597CD0"/>
    <w:rsid w:val="7B686826"/>
    <w:rsid w:val="7B984367"/>
    <w:rsid w:val="7BA07098"/>
    <w:rsid w:val="7BF170B5"/>
    <w:rsid w:val="7C136EAC"/>
    <w:rsid w:val="7C3A771B"/>
    <w:rsid w:val="7CB8421F"/>
    <w:rsid w:val="7CF0427A"/>
    <w:rsid w:val="7D040D28"/>
    <w:rsid w:val="7D271410"/>
    <w:rsid w:val="7D284DDC"/>
    <w:rsid w:val="7D43225C"/>
    <w:rsid w:val="7D441FCB"/>
    <w:rsid w:val="7D5D4382"/>
    <w:rsid w:val="7DBD7E45"/>
    <w:rsid w:val="7E0C1A60"/>
    <w:rsid w:val="7E2813AE"/>
    <w:rsid w:val="7E4749C5"/>
    <w:rsid w:val="7E670FA2"/>
    <w:rsid w:val="7ECD7332"/>
    <w:rsid w:val="7EDB466E"/>
    <w:rsid w:val="7F516E07"/>
    <w:rsid w:val="7FA71D90"/>
    <w:rsid w:val="7FB63D35"/>
    <w:rsid w:val="7FC53EA1"/>
    <w:rsid w:val="7FFE0262"/>
    <w:rsid w:val="FA7FADB6"/>
    <w:rsid w:val="FD19A807"/>
    <w:rsid w:val="FDDFDDD9"/>
    <w:rsid w:val="FE5F0576"/>
    <w:rsid w:val="FFF5F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115"/>
    <w:qFormat/>
    <w:uiPriority w:val="0"/>
    <w:pPr>
      <w:spacing w:before="0" w:after="330" w:line="360" w:lineRule="auto"/>
      <w:jc w:val="center"/>
      <w:outlineLvl w:val="0"/>
    </w:pPr>
    <w:rPr>
      <w:rFonts w:eastAsia="黑体"/>
      <w:b w:val="0"/>
      <w:bCs w:val="0"/>
      <w:kern w:val="44"/>
      <w:sz w:val="28"/>
      <w:szCs w:val="28"/>
    </w:rPr>
  </w:style>
  <w:style w:type="paragraph" w:styleId="4">
    <w:name w:val="heading 2"/>
    <w:basedOn w:val="1"/>
    <w:next w:val="1"/>
    <w:link w:val="122"/>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link w:val="124"/>
    <w:qFormat/>
    <w:uiPriority w:val="0"/>
    <w:pPr>
      <w:keepNext/>
      <w:keepLines/>
      <w:spacing w:before="260" w:after="260" w:line="416" w:lineRule="auto"/>
      <w:outlineLvl w:val="2"/>
    </w:pPr>
    <w:rPr>
      <w:b/>
      <w:bCs/>
      <w:sz w:val="32"/>
      <w:szCs w:val="32"/>
    </w:rPr>
  </w:style>
  <w:style w:type="paragraph" w:styleId="5">
    <w:name w:val="heading 4"/>
    <w:basedOn w:val="1"/>
    <w:next w:val="1"/>
    <w:link w:val="10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116"/>
    <w:qFormat/>
    <w:uiPriority w:val="0"/>
    <w:pPr>
      <w:keepNext/>
      <w:keepLines/>
      <w:spacing w:before="280" w:after="290" w:line="376" w:lineRule="auto"/>
      <w:outlineLvl w:val="4"/>
    </w:pPr>
    <w:rPr>
      <w:b/>
      <w:sz w:val="28"/>
      <w:szCs w:val="20"/>
    </w:rPr>
  </w:style>
  <w:style w:type="paragraph" w:styleId="8">
    <w:name w:val="heading 6"/>
    <w:basedOn w:val="1"/>
    <w:next w:val="7"/>
    <w:link w:val="129"/>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130"/>
    <w:qFormat/>
    <w:uiPriority w:val="0"/>
    <w:pPr>
      <w:keepNext/>
      <w:keepLines/>
      <w:spacing w:before="240" w:after="64" w:line="320" w:lineRule="auto"/>
      <w:outlineLvl w:val="6"/>
    </w:pPr>
    <w:rPr>
      <w:b/>
      <w:sz w:val="24"/>
      <w:szCs w:val="20"/>
    </w:rPr>
  </w:style>
  <w:style w:type="paragraph" w:styleId="10">
    <w:name w:val="heading 8"/>
    <w:basedOn w:val="1"/>
    <w:next w:val="7"/>
    <w:link w:val="107"/>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108"/>
    <w:qFormat/>
    <w:uiPriority w:val="0"/>
    <w:pPr>
      <w:keepNext/>
      <w:keepLines/>
      <w:spacing w:before="240" w:after="64" w:line="320" w:lineRule="auto"/>
      <w:outlineLvl w:val="8"/>
    </w:pPr>
    <w:rPr>
      <w:rFonts w:ascii="Arial" w:hAnsi="Arial" w:eastAsia="黑体"/>
      <w:szCs w:val="20"/>
    </w:rPr>
  </w:style>
  <w:style w:type="character" w:default="1" w:styleId="43">
    <w:name w:val="Default Paragraph Font"/>
    <w:semiHidden/>
    <w:unhideWhenUsed/>
    <w:qFormat/>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7">
    <w:name w:val="Normal Indent"/>
    <w:basedOn w:val="1"/>
    <w:link w:val="120"/>
    <w:qFormat/>
    <w:uiPriority w:val="0"/>
    <w:pPr>
      <w:ind w:firstLine="420" w:firstLineChars="200"/>
    </w:pPr>
  </w:style>
  <w:style w:type="paragraph" w:styleId="12">
    <w:name w:val="toc 7"/>
    <w:basedOn w:val="1"/>
    <w:next w:val="1"/>
    <w:unhideWhenUsed/>
    <w:qFormat/>
    <w:uiPriority w:val="0"/>
    <w:pPr>
      <w:ind w:left="2520" w:leftChars="1200"/>
    </w:pPr>
    <w:rPr>
      <w:rFonts w:ascii="Calibri" w:hAnsi="Calibri"/>
      <w:szCs w:val="22"/>
    </w:rPr>
  </w:style>
  <w:style w:type="paragraph" w:styleId="13">
    <w:name w:val="caption"/>
    <w:basedOn w:val="1"/>
    <w:next w:val="1"/>
    <w:qFormat/>
    <w:uiPriority w:val="35"/>
    <w:pPr>
      <w:widowControl/>
      <w:spacing w:after="200"/>
      <w:jc w:val="left"/>
    </w:pPr>
    <w:rPr>
      <w:rFonts w:ascii="Calibri" w:hAnsi="Calibri"/>
      <w:b/>
      <w:bCs/>
      <w:color w:val="4F81BD"/>
      <w:kern w:val="0"/>
      <w:sz w:val="18"/>
      <w:szCs w:val="18"/>
      <w:lang w:eastAsia="en-US" w:bidi="en-US"/>
    </w:rPr>
  </w:style>
  <w:style w:type="paragraph" w:styleId="14">
    <w:name w:val="List Bullet"/>
    <w:basedOn w:val="1"/>
    <w:qFormat/>
    <w:uiPriority w:val="0"/>
    <w:pPr>
      <w:tabs>
        <w:tab w:val="left" w:pos="360"/>
      </w:tabs>
      <w:ind w:left="360" w:hanging="360" w:hangingChars="200"/>
    </w:pPr>
    <w:rPr>
      <w:szCs w:val="20"/>
    </w:rPr>
  </w:style>
  <w:style w:type="paragraph" w:styleId="15">
    <w:name w:val="Document Map"/>
    <w:basedOn w:val="1"/>
    <w:link w:val="127"/>
    <w:semiHidden/>
    <w:qFormat/>
    <w:uiPriority w:val="0"/>
    <w:pPr>
      <w:shd w:val="clear" w:color="auto" w:fill="000080"/>
    </w:pPr>
  </w:style>
  <w:style w:type="paragraph" w:styleId="16">
    <w:name w:val="annotation text"/>
    <w:basedOn w:val="1"/>
    <w:link w:val="112"/>
    <w:semiHidden/>
    <w:qFormat/>
    <w:uiPriority w:val="0"/>
    <w:pPr>
      <w:jc w:val="left"/>
    </w:pPr>
  </w:style>
  <w:style w:type="paragraph" w:styleId="17">
    <w:name w:val="Body Text 3"/>
    <w:basedOn w:val="1"/>
    <w:link w:val="132"/>
    <w:qFormat/>
    <w:uiPriority w:val="0"/>
    <w:pPr>
      <w:spacing w:after="120"/>
    </w:pPr>
    <w:rPr>
      <w:sz w:val="16"/>
      <w:szCs w:val="16"/>
    </w:rPr>
  </w:style>
  <w:style w:type="paragraph" w:styleId="18">
    <w:name w:val="Body Text"/>
    <w:basedOn w:val="1"/>
    <w:link w:val="93"/>
    <w:qFormat/>
    <w:uiPriority w:val="0"/>
    <w:pPr>
      <w:spacing w:after="120"/>
    </w:pPr>
  </w:style>
  <w:style w:type="paragraph" w:styleId="19">
    <w:name w:val="Body Text Indent"/>
    <w:basedOn w:val="1"/>
    <w:link w:val="123"/>
    <w:qFormat/>
    <w:uiPriority w:val="0"/>
    <w:pPr>
      <w:spacing w:after="120"/>
      <w:ind w:left="420" w:leftChars="200"/>
    </w:pPr>
  </w:style>
  <w:style w:type="paragraph" w:styleId="20">
    <w:name w:val="toc 5"/>
    <w:basedOn w:val="1"/>
    <w:next w:val="1"/>
    <w:unhideWhenUsed/>
    <w:qFormat/>
    <w:uiPriority w:val="0"/>
    <w:pPr>
      <w:ind w:left="1680" w:leftChars="800"/>
    </w:pPr>
    <w:rPr>
      <w:rFonts w:ascii="Calibri" w:hAnsi="Calibri"/>
      <w:szCs w:val="22"/>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100"/>
    <w:qFormat/>
    <w:uiPriority w:val="0"/>
    <w:rPr>
      <w:rFonts w:ascii="宋体" w:hAnsi="Courier New"/>
      <w:szCs w:val="20"/>
    </w:rPr>
  </w:style>
  <w:style w:type="paragraph" w:styleId="23">
    <w:name w:val="toc 8"/>
    <w:basedOn w:val="1"/>
    <w:next w:val="1"/>
    <w:unhideWhenUsed/>
    <w:qFormat/>
    <w:uiPriority w:val="0"/>
    <w:pPr>
      <w:ind w:left="2940" w:leftChars="1400"/>
    </w:pPr>
    <w:rPr>
      <w:rFonts w:ascii="Calibri" w:hAnsi="Calibri"/>
      <w:szCs w:val="22"/>
    </w:rPr>
  </w:style>
  <w:style w:type="paragraph" w:styleId="24">
    <w:name w:val="Date"/>
    <w:basedOn w:val="1"/>
    <w:next w:val="1"/>
    <w:link w:val="95"/>
    <w:unhideWhenUsed/>
    <w:qFormat/>
    <w:uiPriority w:val="0"/>
    <w:pPr>
      <w:ind w:left="100" w:leftChars="2500"/>
    </w:pPr>
    <w:rPr>
      <w:rFonts w:ascii="Calibri" w:hAnsi="Calibri"/>
      <w:szCs w:val="22"/>
    </w:rPr>
  </w:style>
  <w:style w:type="paragraph" w:styleId="25">
    <w:name w:val="Body Text Indent 2"/>
    <w:basedOn w:val="1"/>
    <w:link w:val="111"/>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5"/>
    <w:semiHidden/>
    <w:qFormat/>
    <w:uiPriority w:val="0"/>
    <w:rPr>
      <w:sz w:val="18"/>
      <w:szCs w:val="18"/>
    </w:rPr>
  </w:style>
  <w:style w:type="paragraph" w:styleId="27">
    <w:name w:val="footer"/>
    <w:basedOn w:val="1"/>
    <w:link w:val="96"/>
    <w:qFormat/>
    <w:uiPriority w:val="99"/>
    <w:pPr>
      <w:tabs>
        <w:tab w:val="center" w:pos="4153"/>
        <w:tab w:val="right" w:pos="8306"/>
      </w:tabs>
      <w:snapToGrid w:val="0"/>
      <w:jc w:val="left"/>
    </w:pPr>
    <w:rPr>
      <w:sz w:val="18"/>
      <w:szCs w:val="18"/>
    </w:rPr>
  </w:style>
  <w:style w:type="paragraph" w:styleId="28">
    <w:name w:val="header"/>
    <w:basedOn w:val="1"/>
    <w:link w:val="94"/>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pPr>
      <w:spacing w:before="120" w:after="120"/>
      <w:jc w:val="left"/>
    </w:pPr>
    <w:rPr>
      <w:b/>
      <w:bCs/>
      <w:caps/>
    </w:rPr>
  </w:style>
  <w:style w:type="paragraph" w:styleId="30">
    <w:name w:val="toc 4"/>
    <w:basedOn w:val="1"/>
    <w:next w:val="1"/>
    <w:unhideWhenUsed/>
    <w:qFormat/>
    <w:uiPriority w:val="0"/>
    <w:pPr>
      <w:ind w:left="1260" w:leftChars="600"/>
    </w:pPr>
    <w:rPr>
      <w:rFonts w:ascii="Calibri" w:hAnsi="Calibri"/>
      <w:szCs w:val="22"/>
    </w:rPr>
  </w:style>
  <w:style w:type="paragraph" w:styleId="31">
    <w:name w:val="toc 6"/>
    <w:basedOn w:val="1"/>
    <w:next w:val="1"/>
    <w:unhideWhenUsed/>
    <w:qFormat/>
    <w:uiPriority w:val="0"/>
    <w:pPr>
      <w:ind w:left="2100" w:leftChars="1000"/>
    </w:pPr>
    <w:rPr>
      <w:rFonts w:ascii="Calibri" w:hAnsi="Calibri"/>
      <w:szCs w:val="22"/>
    </w:rPr>
  </w:style>
  <w:style w:type="paragraph" w:styleId="32">
    <w:name w:val="Body Text Indent 3"/>
    <w:basedOn w:val="1"/>
    <w:link w:val="131"/>
    <w:qFormat/>
    <w:uiPriority w:val="0"/>
    <w:pPr>
      <w:spacing w:line="360" w:lineRule="auto"/>
      <w:ind w:firstLine="482" w:firstLineChars="200"/>
    </w:pPr>
    <w:rPr>
      <w:rFonts w:ascii="宋体"/>
      <w:b/>
      <w:bCs/>
      <w:sz w:val="24"/>
    </w:rPr>
  </w:style>
  <w:style w:type="paragraph" w:styleId="33">
    <w:name w:val="toc 2"/>
    <w:basedOn w:val="1"/>
    <w:next w:val="1"/>
    <w:unhideWhenUsed/>
    <w:qFormat/>
    <w:uiPriority w:val="0"/>
    <w:pPr>
      <w:tabs>
        <w:tab w:val="right" w:leader="dot" w:pos="8302"/>
      </w:tabs>
      <w:ind w:left="420" w:leftChars="200"/>
      <w:jc w:val="left"/>
    </w:pPr>
    <w:rPr>
      <w:rFonts w:ascii="Calibri" w:hAnsi="Calibri"/>
      <w:sz w:val="24"/>
    </w:rPr>
  </w:style>
  <w:style w:type="paragraph" w:styleId="34">
    <w:name w:val="toc 9"/>
    <w:basedOn w:val="1"/>
    <w:next w:val="1"/>
    <w:unhideWhenUsed/>
    <w:qFormat/>
    <w:uiPriority w:val="0"/>
    <w:pPr>
      <w:ind w:left="3360" w:leftChars="1600"/>
    </w:pPr>
    <w:rPr>
      <w:rFonts w:ascii="Calibri" w:hAnsi="Calibri"/>
      <w:szCs w:val="22"/>
    </w:rPr>
  </w:style>
  <w:style w:type="paragraph" w:styleId="35">
    <w:name w:val="Body Text 2"/>
    <w:basedOn w:val="1"/>
    <w:link w:val="98"/>
    <w:qFormat/>
    <w:uiPriority w:val="0"/>
    <w:pPr>
      <w:spacing w:line="360" w:lineRule="auto"/>
    </w:pPr>
    <w:rPr>
      <w:sz w:val="24"/>
    </w:rPr>
  </w:style>
  <w:style w:type="paragraph" w:styleId="36">
    <w:name w:val="HTML Preformatted"/>
    <w:basedOn w:val="1"/>
    <w:link w:val="11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7">
    <w:name w:val="Normal (Web)"/>
    <w:basedOn w:val="1"/>
    <w:qFormat/>
    <w:uiPriority w:val="0"/>
    <w:pPr>
      <w:widowControl/>
      <w:spacing w:before="100" w:beforeAutospacing="1" w:after="100" w:afterAutospacing="1"/>
      <w:jc w:val="left"/>
    </w:pPr>
    <w:rPr>
      <w:kern w:val="0"/>
      <w:sz w:val="24"/>
    </w:rPr>
  </w:style>
  <w:style w:type="paragraph" w:styleId="38">
    <w:name w:val="Title"/>
    <w:basedOn w:val="1"/>
    <w:link w:val="119"/>
    <w:qFormat/>
    <w:uiPriority w:val="0"/>
    <w:pPr>
      <w:spacing w:before="240" w:after="60"/>
      <w:jc w:val="center"/>
      <w:outlineLvl w:val="0"/>
    </w:pPr>
    <w:rPr>
      <w:rFonts w:ascii="Arial" w:hAnsi="Arial" w:eastAsia="隶书"/>
      <w:b/>
      <w:bCs/>
      <w:sz w:val="32"/>
      <w:szCs w:val="32"/>
    </w:rPr>
  </w:style>
  <w:style w:type="paragraph" w:styleId="39">
    <w:name w:val="annotation subject"/>
    <w:basedOn w:val="16"/>
    <w:next w:val="16"/>
    <w:link w:val="128"/>
    <w:semiHidden/>
    <w:qFormat/>
    <w:uiPriority w:val="0"/>
    <w:rPr>
      <w:b/>
      <w:bCs/>
    </w:rPr>
  </w:style>
  <w:style w:type="paragraph" w:styleId="40">
    <w:name w:val="Body Text First Indent"/>
    <w:basedOn w:val="18"/>
    <w:link w:val="99"/>
    <w:qFormat/>
    <w:uiPriority w:val="0"/>
    <w:pPr>
      <w:ind w:firstLine="420" w:firstLineChars="1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Hyperlink"/>
    <w:qFormat/>
    <w:uiPriority w:val="0"/>
    <w:rPr>
      <w:color w:val="0000FF"/>
      <w:u w:val="single"/>
    </w:rPr>
  </w:style>
  <w:style w:type="character" w:styleId="48">
    <w:name w:val="annotation reference"/>
    <w:semiHidden/>
    <w:qFormat/>
    <w:uiPriority w:val="0"/>
    <w:rPr>
      <w:sz w:val="21"/>
      <w:szCs w:val="21"/>
    </w:rPr>
  </w:style>
  <w:style w:type="paragraph" w:customStyle="1" w:styleId="49">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50">
    <w:name w:val="正文缩进2"/>
    <w:basedOn w:val="1"/>
    <w:link w:val="113"/>
    <w:qFormat/>
    <w:uiPriority w:val="0"/>
    <w:pPr>
      <w:spacing w:line="360" w:lineRule="auto"/>
      <w:ind w:firstLine="200" w:firstLineChars="200"/>
    </w:pPr>
    <w:rPr>
      <w:kern w:val="0"/>
      <w:sz w:val="20"/>
    </w:rPr>
  </w:style>
  <w:style w:type="paragraph" w:customStyle="1" w:styleId="51">
    <w:name w:val="Table Text"/>
    <w:basedOn w:val="1"/>
    <w:link w:val="97"/>
    <w:qFormat/>
    <w:uiPriority w:val="0"/>
    <w:pPr>
      <w:keepLines/>
      <w:overflowPunct w:val="0"/>
      <w:autoSpaceDE w:val="0"/>
      <w:autoSpaceDN w:val="0"/>
      <w:adjustRightInd w:val="0"/>
      <w:jc w:val="left"/>
      <w:textAlignment w:val="baseline"/>
    </w:pPr>
    <w:rPr>
      <w:rFonts w:ascii="宋体"/>
      <w:kern w:val="0"/>
      <w:sz w:val="16"/>
      <w:szCs w:val="20"/>
    </w:rPr>
  </w:style>
  <w:style w:type="paragraph" w:customStyle="1" w:styleId="52">
    <w:name w:val="无间隔1"/>
    <w:link w:val="104"/>
    <w:qFormat/>
    <w:uiPriority w:val="1"/>
    <w:rPr>
      <w:rFonts w:ascii="Calibri" w:hAnsi="Calibri" w:eastAsia="宋体" w:cs="Times New Roman"/>
      <w:sz w:val="22"/>
      <w:lang w:val="en-US" w:eastAsia="en-US" w:bidi="en-US"/>
    </w:rPr>
  </w:style>
  <w:style w:type="paragraph" w:customStyle="1" w:styleId="53">
    <w:name w:val="Char"/>
    <w:basedOn w:val="1"/>
    <w:qFormat/>
    <w:uiPriority w:val="0"/>
    <w:pPr>
      <w:widowControl/>
      <w:spacing w:after="160" w:line="360" w:lineRule="auto"/>
      <w:jc w:val="center"/>
    </w:pPr>
    <w:rPr>
      <w:rFonts w:ascii="宋体" w:hAnsi="宋体"/>
      <w:kern w:val="0"/>
      <w:sz w:val="52"/>
      <w:szCs w:val="52"/>
    </w:rPr>
  </w:style>
  <w:style w:type="paragraph" w:customStyle="1" w:styleId="54">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55">
    <w:name w:val="缩进正文"/>
    <w:basedOn w:val="1"/>
    <w:link w:val="121"/>
    <w:qFormat/>
    <w:uiPriority w:val="0"/>
    <w:pPr>
      <w:ind w:firstLine="560" w:firstLineChars="200"/>
    </w:pPr>
    <w:rPr>
      <w:rFonts w:eastAsia="仿宋_GB2312" w:cs="宋体"/>
      <w:sz w:val="28"/>
      <w:szCs w:val="20"/>
    </w:rPr>
  </w:style>
  <w:style w:type="paragraph" w:customStyle="1" w:styleId="56">
    <w:name w:val="列出段落1"/>
    <w:basedOn w:val="1"/>
    <w:link w:val="135"/>
    <w:qFormat/>
    <w:uiPriority w:val="34"/>
    <w:pPr>
      <w:ind w:firstLine="420" w:firstLineChars="200"/>
    </w:pPr>
  </w:style>
  <w:style w:type="paragraph" w:customStyle="1" w:styleId="57">
    <w:name w:val="Item List"/>
    <w:qFormat/>
    <w:uiPriority w:val="0"/>
    <w:pPr>
      <w:numPr>
        <w:ilvl w:val="0"/>
        <w:numId w:val="1"/>
      </w:numPr>
      <w:adjustRightInd w:val="0"/>
      <w:snapToGrid w:val="0"/>
      <w:spacing w:before="80" w:after="80" w:line="240" w:lineRule="atLeast"/>
    </w:pPr>
    <w:rPr>
      <w:rFonts w:ascii="Times New Roman" w:hAnsi="Times New Roman" w:eastAsia="宋体" w:cs="Arial"/>
      <w:kern w:val="2"/>
      <w:sz w:val="21"/>
      <w:szCs w:val="21"/>
      <w:lang w:val="en-US" w:eastAsia="zh-CN" w:bidi="ar-SA"/>
    </w:rPr>
  </w:style>
  <w:style w:type="paragraph" w:customStyle="1" w:styleId="5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59">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5B9BD5"/>
      <w:spacing w:before="100" w:beforeAutospacing="1" w:after="100" w:afterAutospacing="1"/>
      <w:jc w:val="center"/>
      <w:textAlignment w:val="center"/>
    </w:pPr>
    <w:rPr>
      <w:b/>
      <w:bCs/>
      <w:kern w:val="0"/>
      <w:sz w:val="22"/>
      <w:szCs w:val="22"/>
    </w:rPr>
  </w:style>
  <w:style w:type="paragraph" w:customStyle="1" w:styleId="60">
    <w:name w:val="正文缩进2 Char"/>
    <w:basedOn w:val="1"/>
    <w:link w:val="125"/>
    <w:qFormat/>
    <w:uiPriority w:val="0"/>
    <w:pPr>
      <w:spacing w:line="360" w:lineRule="auto"/>
      <w:ind w:firstLine="200" w:firstLineChars="200"/>
    </w:pPr>
    <w:rPr>
      <w:kern w:val="0"/>
      <w:sz w:val="20"/>
    </w:rPr>
  </w:style>
  <w:style w:type="paragraph" w:customStyle="1" w:styleId="61">
    <w:name w:val="font9"/>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62">
    <w:name w:val="Char1"/>
    <w:basedOn w:val="1"/>
    <w:qFormat/>
    <w:uiPriority w:val="0"/>
    <w:rPr>
      <w:rFonts w:ascii="仿宋_GB2312" w:eastAsia="仿宋_GB2312"/>
      <w:b/>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带缩进正文"/>
    <w:basedOn w:val="1"/>
    <w:qFormat/>
    <w:uiPriority w:val="0"/>
    <w:pPr>
      <w:spacing w:line="360" w:lineRule="auto"/>
      <w:ind w:firstLine="420"/>
    </w:pPr>
    <w:rPr>
      <w:rFonts w:cs="宋体"/>
      <w:szCs w:val="20"/>
    </w:rPr>
  </w:style>
  <w:style w:type="paragraph" w:customStyle="1" w:styleId="65">
    <w:name w:val="样式1 Char Char"/>
    <w:basedOn w:val="1"/>
    <w:next w:val="1"/>
    <w:link w:val="117"/>
    <w:qFormat/>
    <w:uiPriority w:val="0"/>
    <w:pPr>
      <w:spacing w:line="360" w:lineRule="auto"/>
      <w:ind w:firstLine="516" w:firstLineChars="215"/>
    </w:pPr>
    <w:rPr>
      <w:sz w:val="24"/>
      <w:szCs w:val="20"/>
    </w:rPr>
  </w:style>
  <w:style w:type="paragraph" w:customStyle="1" w:styleId="66">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67">
    <w:name w:val="Char Char5 Char Char"/>
    <w:basedOn w:val="1"/>
    <w:qFormat/>
    <w:uiPriority w:val="0"/>
    <w:pPr>
      <w:tabs>
        <w:tab w:val="left" w:pos="363"/>
      </w:tabs>
      <w:ind w:left="363" w:hanging="360"/>
    </w:pPr>
    <w:rPr>
      <w:sz w:val="24"/>
    </w:rPr>
  </w:style>
  <w:style w:type="paragraph" w:customStyle="1" w:styleId="68">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9">
    <w:name w:val="_Style 68"/>
    <w:unhideWhenUsed/>
    <w:qFormat/>
    <w:uiPriority w:val="99"/>
    <w:rPr>
      <w:rFonts w:ascii="Times New Roman" w:hAnsi="Times New Roman" w:eastAsia="宋体" w:cs="Times New Roman"/>
      <w:kern w:val="2"/>
      <w:sz w:val="21"/>
      <w:szCs w:val="24"/>
      <w:lang w:val="en-US" w:eastAsia="zh-CN" w:bidi="ar-SA"/>
    </w:rPr>
  </w:style>
  <w:style w:type="paragraph" w:customStyle="1" w:styleId="70">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kern w:val="0"/>
      <w:sz w:val="22"/>
      <w:szCs w:val="22"/>
    </w:rPr>
  </w:style>
  <w:style w:type="paragraph" w:customStyle="1" w:styleId="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72">
    <w:name w:val="正文1"/>
    <w:basedOn w:val="1"/>
    <w:qFormat/>
    <w:uiPriority w:val="0"/>
    <w:pPr>
      <w:tabs>
        <w:tab w:val="left" w:pos="4"/>
      </w:tabs>
      <w:spacing w:line="360" w:lineRule="auto"/>
      <w:ind w:left="-2" w:firstLine="482"/>
    </w:pPr>
    <w:rPr>
      <w:rFonts w:ascii="宋体" w:hAnsi="宋体"/>
      <w:sz w:val="24"/>
    </w:rPr>
  </w:style>
  <w:style w:type="paragraph" w:customStyle="1" w:styleId="73">
    <w:name w:val="font7"/>
    <w:basedOn w:val="1"/>
    <w:qFormat/>
    <w:uiPriority w:val="0"/>
    <w:pPr>
      <w:widowControl/>
      <w:spacing w:before="100" w:beforeAutospacing="1" w:after="100" w:afterAutospacing="1"/>
      <w:jc w:val="left"/>
    </w:pPr>
    <w:rPr>
      <w:rFonts w:ascii="宋体" w:hAnsi="宋体" w:cs="宋体"/>
      <w:b/>
      <w:bCs/>
      <w:kern w:val="0"/>
      <w:sz w:val="22"/>
      <w:szCs w:val="22"/>
    </w:rPr>
  </w:style>
  <w:style w:type="paragraph" w:customStyle="1" w:styleId="74">
    <w:name w:val="样式1"/>
    <w:basedOn w:val="38"/>
    <w:link w:val="118"/>
    <w:qFormat/>
    <w:uiPriority w:val="0"/>
    <w:pPr>
      <w:spacing w:before="120" w:after="120"/>
    </w:pPr>
    <w:rPr>
      <w:rFonts w:eastAsia="黑体" w:cs="Arial"/>
      <w:b w:val="0"/>
      <w:sz w:val="30"/>
      <w:szCs w:val="21"/>
    </w:rPr>
  </w:style>
  <w:style w:type="paragraph" w:customStyle="1" w:styleId="75">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76">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78">
    <w:name w:val="正文段落"/>
    <w:basedOn w:val="1"/>
    <w:qFormat/>
    <w:uiPriority w:val="0"/>
    <w:pPr>
      <w:spacing w:line="300" w:lineRule="auto"/>
      <w:ind w:firstLine="425"/>
    </w:pPr>
    <w:rPr>
      <w:rFonts w:eastAsia="楷体_GB2312"/>
      <w:szCs w:val="20"/>
    </w:rPr>
  </w:style>
  <w:style w:type="paragraph" w:customStyle="1" w:styleId="79">
    <w:name w:val="Char Char Char Char Char Char Char"/>
    <w:basedOn w:val="1"/>
    <w:qFormat/>
    <w:uiPriority w:val="0"/>
    <w:pPr>
      <w:widowControl/>
      <w:adjustRightInd w:val="0"/>
      <w:spacing w:after="160" w:line="240" w:lineRule="exact"/>
      <w:jc w:val="left"/>
      <w:textAlignment w:val="baseline"/>
    </w:pPr>
  </w:style>
  <w:style w:type="paragraph" w:customStyle="1" w:styleId="8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1">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2">
    <w:name w:val="font8"/>
    <w:basedOn w:val="1"/>
    <w:qFormat/>
    <w:uiPriority w:val="0"/>
    <w:pPr>
      <w:widowControl/>
      <w:spacing w:before="100" w:beforeAutospacing="1" w:after="100" w:afterAutospacing="1"/>
      <w:jc w:val="left"/>
    </w:pPr>
    <w:rPr>
      <w:kern w:val="0"/>
      <w:sz w:val="22"/>
      <w:szCs w:val="22"/>
    </w:rPr>
  </w:style>
  <w:style w:type="paragraph" w:customStyle="1" w:styleId="83">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kern w:val="0"/>
      <w:sz w:val="22"/>
      <w:szCs w:val="22"/>
    </w:rPr>
  </w:style>
  <w:style w:type="paragraph" w:customStyle="1" w:styleId="8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5B9BD5"/>
      <w:spacing w:before="100" w:beforeAutospacing="1" w:after="100" w:afterAutospacing="1"/>
      <w:jc w:val="center"/>
      <w:textAlignment w:val="center"/>
    </w:pPr>
    <w:rPr>
      <w:rFonts w:ascii="宋体" w:hAnsi="宋体" w:cs="宋体"/>
      <w:b/>
      <w:bCs/>
      <w:kern w:val="0"/>
      <w:sz w:val="22"/>
      <w:szCs w:val="22"/>
    </w:rPr>
  </w:style>
  <w:style w:type="paragraph" w:customStyle="1" w:styleId="85">
    <w:name w:val="xl70"/>
    <w:basedOn w:val="1"/>
    <w:qFormat/>
    <w:uiPriority w:val="0"/>
    <w:pPr>
      <w:widowControl/>
      <w:spacing w:before="100" w:beforeAutospacing="1" w:after="100" w:afterAutospacing="1"/>
      <w:jc w:val="center"/>
      <w:textAlignment w:val="center"/>
    </w:pPr>
    <w:rPr>
      <w:kern w:val="0"/>
      <w:sz w:val="22"/>
      <w:szCs w:val="22"/>
    </w:rPr>
  </w:style>
  <w:style w:type="paragraph" w:customStyle="1" w:styleId="86">
    <w:name w:val="样式41"/>
    <w:basedOn w:val="1"/>
    <w:qFormat/>
    <w:uiPriority w:val="0"/>
    <w:pPr>
      <w:tabs>
        <w:tab w:val="left" w:pos="945"/>
        <w:tab w:val="left" w:pos="2040"/>
      </w:tabs>
      <w:spacing w:line="360" w:lineRule="auto"/>
      <w:ind w:left="2040" w:leftChars="800" w:hanging="360" w:hangingChars="200"/>
    </w:pPr>
    <w:rPr>
      <w:b/>
      <w:color w:val="000000"/>
      <w:sz w:val="24"/>
      <w:szCs w:val="20"/>
    </w:rPr>
  </w:style>
  <w:style w:type="paragraph" w:customStyle="1" w:styleId="8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8">
    <w:name w:val="自定义正文"/>
    <w:basedOn w:val="1"/>
    <w:qFormat/>
    <w:uiPriority w:val="0"/>
    <w:pPr>
      <w:spacing w:afterLines="50"/>
      <w:ind w:left="600" w:leftChars="600"/>
    </w:pPr>
  </w:style>
  <w:style w:type="paragraph" w:customStyle="1" w:styleId="89">
    <w:name w:val="Char Char Char Char Char"/>
    <w:basedOn w:val="1"/>
    <w:qFormat/>
    <w:uiPriority w:val="0"/>
    <w:rPr>
      <w:rFonts w:ascii="Tahoma" w:hAnsi="Tahoma"/>
      <w:sz w:val="24"/>
      <w:szCs w:val="20"/>
    </w:rPr>
  </w:style>
  <w:style w:type="paragraph" w:customStyle="1" w:styleId="90">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91">
    <w:name w:val="Char Char"/>
    <w:basedOn w:val="1"/>
    <w:qFormat/>
    <w:uiPriority w:val="0"/>
    <w:rPr>
      <w:rFonts w:ascii="Tahoma" w:hAnsi="Tahoma"/>
      <w:sz w:val="24"/>
      <w:szCs w:val="20"/>
    </w:rPr>
  </w:style>
  <w:style w:type="paragraph" w:customStyle="1" w:styleId="92">
    <w:name w:val="List Paragraph1"/>
    <w:basedOn w:val="1"/>
    <w:qFormat/>
    <w:uiPriority w:val="34"/>
    <w:pPr>
      <w:ind w:firstLine="420" w:firstLineChars="200"/>
    </w:pPr>
    <w:rPr>
      <w:rFonts w:ascii="Calibri" w:hAnsi="Calibri"/>
      <w:szCs w:val="22"/>
    </w:rPr>
  </w:style>
  <w:style w:type="character" w:customStyle="1" w:styleId="93">
    <w:name w:val="正文文本 字符"/>
    <w:link w:val="18"/>
    <w:qFormat/>
    <w:uiPriority w:val="0"/>
    <w:rPr>
      <w:kern w:val="2"/>
      <w:sz w:val="21"/>
      <w:szCs w:val="24"/>
    </w:rPr>
  </w:style>
  <w:style w:type="character" w:customStyle="1" w:styleId="94">
    <w:name w:val="页眉 字符"/>
    <w:link w:val="28"/>
    <w:qFormat/>
    <w:uiPriority w:val="0"/>
    <w:rPr>
      <w:rFonts w:eastAsia="宋体"/>
      <w:kern w:val="2"/>
      <w:sz w:val="18"/>
      <w:szCs w:val="18"/>
      <w:lang w:val="en-US" w:eastAsia="zh-CN" w:bidi="ar-SA"/>
    </w:rPr>
  </w:style>
  <w:style w:type="character" w:customStyle="1" w:styleId="95">
    <w:name w:val="日期 字符"/>
    <w:link w:val="24"/>
    <w:qFormat/>
    <w:uiPriority w:val="0"/>
    <w:rPr>
      <w:rFonts w:ascii="Calibri" w:hAnsi="Calibri"/>
      <w:kern w:val="2"/>
      <w:sz w:val="21"/>
      <w:szCs w:val="22"/>
    </w:rPr>
  </w:style>
  <w:style w:type="character" w:customStyle="1" w:styleId="96">
    <w:name w:val="页脚 字符"/>
    <w:link w:val="27"/>
    <w:qFormat/>
    <w:uiPriority w:val="99"/>
    <w:rPr>
      <w:kern w:val="2"/>
      <w:sz w:val="18"/>
      <w:szCs w:val="18"/>
    </w:rPr>
  </w:style>
  <w:style w:type="character" w:customStyle="1" w:styleId="97">
    <w:name w:val="Table Text Char"/>
    <w:link w:val="51"/>
    <w:qFormat/>
    <w:locked/>
    <w:uiPriority w:val="0"/>
    <w:rPr>
      <w:rFonts w:ascii="宋体"/>
      <w:sz w:val="16"/>
    </w:rPr>
  </w:style>
  <w:style w:type="character" w:customStyle="1" w:styleId="98">
    <w:name w:val="正文文本 2 字符"/>
    <w:link w:val="35"/>
    <w:qFormat/>
    <w:uiPriority w:val="0"/>
    <w:rPr>
      <w:kern w:val="2"/>
      <w:sz w:val="24"/>
      <w:szCs w:val="24"/>
    </w:rPr>
  </w:style>
  <w:style w:type="character" w:customStyle="1" w:styleId="99">
    <w:name w:val="正文首行缩进 字符"/>
    <w:link w:val="40"/>
    <w:qFormat/>
    <w:uiPriority w:val="0"/>
    <w:rPr>
      <w:rFonts w:eastAsia="宋体"/>
      <w:kern w:val="2"/>
      <w:sz w:val="21"/>
      <w:szCs w:val="24"/>
      <w:lang w:val="en-US" w:eastAsia="zh-CN" w:bidi="ar-SA"/>
    </w:rPr>
  </w:style>
  <w:style w:type="character" w:customStyle="1" w:styleId="100">
    <w:name w:val="纯文本 字符"/>
    <w:link w:val="22"/>
    <w:qFormat/>
    <w:uiPriority w:val="0"/>
    <w:rPr>
      <w:rFonts w:ascii="宋体" w:hAnsi="Courier New" w:eastAsia="宋体"/>
      <w:kern w:val="2"/>
      <w:sz w:val="21"/>
      <w:lang w:val="en-US" w:eastAsia="zh-CN" w:bidi="ar-SA"/>
    </w:rPr>
  </w:style>
  <w:style w:type="character" w:customStyle="1" w:styleId="101">
    <w:name w:val="Char Char24"/>
    <w:qFormat/>
    <w:uiPriority w:val="0"/>
    <w:rPr>
      <w:rFonts w:ascii="宋体" w:hAnsi="宋体" w:eastAsia="宋体" w:cs="Times New Roman"/>
      <w:b/>
      <w:kern w:val="0"/>
      <w:sz w:val="24"/>
      <w:szCs w:val="20"/>
    </w:rPr>
  </w:style>
  <w:style w:type="character" w:customStyle="1" w:styleId="102">
    <w:name w:val="标题 3 Char1"/>
    <w:qFormat/>
    <w:uiPriority w:val="0"/>
    <w:rPr>
      <w:rFonts w:ascii="宋体" w:hAnsi="宋体" w:eastAsia="宋体" w:cs="Times New Roman"/>
      <w:b/>
      <w:bCs/>
      <w:sz w:val="28"/>
      <w:szCs w:val="32"/>
    </w:rPr>
  </w:style>
  <w:style w:type="character" w:customStyle="1" w:styleId="103">
    <w:name w:val="标题 4 字符"/>
    <w:link w:val="5"/>
    <w:qFormat/>
    <w:uiPriority w:val="0"/>
    <w:rPr>
      <w:rFonts w:ascii="Arial" w:hAnsi="Arial" w:eastAsia="黑体"/>
      <w:b/>
      <w:bCs/>
      <w:kern w:val="2"/>
      <w:sz w:val="28"/>
      <w:szCs w:val="28"/>
    </w:rPr>
  </w:style>
  <w:style w:type="character" w:customStyle="1" w:styleId="104">
    <w:name w:val="无间隔 字符"/>
    <w:link w:val="52"/>
    <w:qFormat/>
    <w:uiPriority w:val="1"/>
    <w:rPr>
      <w:rFonts w:ascii="Calibri" w:hAnsi="Calibri"/>
      <w:sz w:val="22"/>
      <w:lang w:val="en-US" w:eastAsia="en-US" w:bidi="en-US"/>
    </w:rPr>
  </w:style>
  <w:style w:type="character" w:customStyle="1" w:styleId="105">
    <w:name w:val="批注框文本 字符"/>
    <w:link w:val="26"/>
    <w:semiHidden/>
    <w:qFormat/>
    <w:uiPriority w:val="0"/>
    <w:rPr>
      <w:kern w:val="2"/>
      <w:sz w:val="18"/>
      <w:szCs w:val="18"/>
    </w:rPr>
  </w:style>
  <w:style w:type="character" w:customStyle="1" w:styleId="106">
    <w:name w:val="font01"/>
    <w:qFormat/>
    <w:uiPriority w:val="0"/>
    <w:rPr>
      <w:rFonts w:hint="eastAsia" w:ascii="宋体" w:hAnsi="宋体" w:eastAsia="宋体" w:cs="宋体"/>
      <w:color w:val="000000"/>
      <w:kern w:val="0"/>
      <w:sz w:val="22"/>
      <w:szCs w:val="22"/>
      <w:u w:val="none"/>
      <w:lang w:eastAsia="en-US"/>
    </w:rPr>
  </w:style>
  <w:style w:type="character" w:customStyle="1" w:styleId="107">
    <w:name w:val="标题 8 字符"/>
    <w:link w:val="10"/>
    <w:qFormat/>
    <w:uiPriority w:val="0"/>
    <w:rPr>
      <w:rFonts w:ascii="Arial" w:hAnsi="Arial" w:eastAsia="黑体"/>
      <w:kern w:val="2"/>
      <w:sz w:val="24"/>
    </w:rPr>
  </w:style>
  <w:style w:type="character" w:customStyle="1" w:styleId="108">
    <w:name w:val="标题 9 字符"/>
    <w:link w:val="11"/>
    <w:qFormat/>
    <w:uiPriority w:val="0"/>
    <w:rPr>
      <w:rFonts w:ascii="Arial" w:hAnsi="Arial" w:eastAsia="黑体"/>
      <w:kern w:val="2"/>
      <w:sz w:val="21"/>
    </w:rPr>
  </w:style>
  <w:style w:type="character" w:customStyle="1" w:styleId="109">
    <w:name w:val="tpc_content1"/>
    <w:qFormat/>
    <w:uiPriority w:val="0"/>
    <w:rPr>
      <w:sz w:val="20"/>
      <w:szCs w:val="20"/>
    </w:rPr>
  </w:style>
  <w:style w:type="character" w:customStyle="1" w:styleId="110">
    <w:name w:val="HTML 预设格式 字符"/>
    <w:link w:val="36"/>
    <w:qFormat/>
    <w:uiPriority w:val="99"/>
    <w:rPr>
      <w:rFonts w:ascii="宋体" w:hAnsi="宋体" w:cs="宋体"/>
      <w:sz w:val="24"/>
      <w:szCs w:val="24"/>
    </w:rPr>
  </w:style>
  <w:style w:type="character" w:customStyle="1" w:styleId="111">
    <w:name w:val="正文文本缩进 2 字符"/>
    <w:link w:val="25"/>
    <w:qFormat/>
    <w:uiPriority w:val="0"/>
    <w:rPr>
      <w:rFonts w:ascii="宋体" w:hAnsi="宋体"/>
      <w:kern w:val="2"/>
      <w:sz w:val="21"/>
      <w:szCs w:val="24"/>
    </w:rPr>
  </w:style>
  <w:style w:type="character" w:customStyle="1" w:styleId="112">
    <w:name w:val="批注文字 字符"/>
    <w:link w:val="16"/>
    <w:semiHidden/>
    <w:qFormat/>
    <w:uiPriority w:val="0"/>
    <w:rPr>
      <w:kern w:val="2"/>
      <w:sz w:val="21"/>
      <w:szCs w:val="24"/>
    </w:rPr>
  </w:style>
  <w:style w:type="character" w:customStyle="1" w:styleId="113">
    <w:name w:val="正文缩进2 Char1"/>
    <w:link w:val="50"/>
    <w:qFormat/>
    <w:uiPriority w:val="0"/>
    <w:rPr>
      <w:szCs w:val="24"/>
    </w:rPr>
  </w:style>
  <w:style w:type="character" w:customStyle="1" w:styleId="114">
    <w:name w:val="tpc_title1"/>
    <w:qFormat/>
    <w:uiPriority w:val="0"/>
    <w:rPr>
      <w:b/>
      <w:bCs/>
      <w:sz w:val="18"/>
      <w:szCs w:val="18"/>
    </w:rPr>
  </w:style>
  <w:style w:type="character" w:customStyle="1" w:styleId="115">
    <w:name w:val="标题 1 字符"/>
    <w:link w:val="2"/>
    <w:qFormat/>
    <w:uiPriority w:val="0"/>
    <w:rPr>
      <w:rFonts w:eastAsia="黑体"/>
      <w:kern w:val="44"/>
      <w:sz w:val="28"/>
      <w:szCs w:val="28"/>
    </w:rPr>
  </w:style>
  <w:style w:type="character" w:customStyle="1" w:styleId="116">
    <w:name w:val="标题 5 字符"/>
    <w:link w:val="6"/>
    <w:qFormat/>
    <w:uiPriority w:val="0"/>
    <w:rPr>
      <w:b/>
      <w:kern w:val="2"/>
      <w:sz w:val="28"/>
    </w:rPr>
  </w:style>
  <w:style w:type="character" w:customStyle="1" w:styleId="117">
    <w:name w:val="样式1 Char Char Char"/>
    <w:link w:val="65"/>
    <w:qFormat/>
    <w:uiPriority w:val="0"/>
    <w:rPr>
      <w:rFonts w:eastAsia="宋体"/>
      <w:kern w:val="2"/>
      <w:sz w:val="24"/>
      <w:lang w:val="en-US" w:eastAsia="zh-CN" w:bidi="ar-SA"/>
    </w:rPr>
  </w:style>
  <w:style w:type="character" w:customStyle="1" w:styleId="118">
    <w:name w:val="样式1 Char"/>
    <w:link w:val="74"/>
    <w:qFormat/>
    <w:uiPriority w:val="0"/>
    <w:rPr>
      <w:rFonts w:ascii="Arial" w:hAnsi="Arial" w:eastAsia="黑体" w:cs="Arial"/>
      <w:bCs/>
      <w:kern w:val="2"/>
      <w:sz w:val="30"/>
      <w:szCs w:val="21"/>
      <w:lang w:val="en-US" w:eastAsia="zh-CN" w:bidi="ar-SA"/>
    </w:rPr>
  </w:style>
  <w:style w:type="character" w:customStyle="1" w:styleId="119">
    <w:name w:val="标题 字符"/>
    <w:link w:val="38"/>
    <w:qFormat/>
    <w:uiPriority w:val="0"/>
    <w:rPr>
      <w:rFonts w:ascii="Arial" w:hAnsi="Arial" w:eastAsia="隶书" w:cs="Arial"/>
      <w:b/>
      <w:bCs/>
      <w:kern w:val="2"/>
      <w:sz w:val="32"/>
      <w:szCs w:val="32"/>
    </w:rPr>
  </w:style>
  <w:style w:type="character" w:customStyle="1" w:styleId="120">
    <w:name w:val="正文缩进 字符"/>
    <w:link w:val="7"/>
    <w:qFormat/>
    <w:uiPriority w:val="0"/>
    <w:rPr>
      <w:rFonts w:eastAsia="宋体"/>
      <w:kern w:val="2"/>
      <w:sz w:val="21"/>
      <w:szCs w:val="24"/>
      <w:lang w:val="en-US" w:eastAsia="zh-CN" w:bidi="ar-SA"/>
    </w:rPr>
  </w:style>
  <w:style w:type="character" w:customStyle="1" w:styleId="121">
    <w:name w:val="缩进正文 Char"/>
    <w:link w:val="55"/>
    <w:qFormat/>
    <w:uiPriority w:val="0"/>
    <w:rPr>
      <w:rFonts w:eastAsia="仿宋_GB2312" w:cs="宋体"/>
      <w:kern w:val="2"/>
      <w:sz w:val="28"/>
      <w:lang w:val="en-US" w:eastAsia="zh-CN" w:bidi="ar-SA"/>
    </w:rPr>
  </w:style>
  <w:style w:type="character" w:customStyle="1" w:styleId="122">
    <w:name w:val="标题 2 字符"/>
    <w:link w:val="4"/>
    <w:qFormat/>
    <w:uiPriority w:val="0"/>
    <w:rPr>
      <w:rFonts w:ascii="Arial" w:hAnsi="Arial" w:eastAsia="黑体"/>
      <w:b/>
      <w:bCs/>
      <w:kern w:val="2"/>
      <w:sz w:val="32"/>
      <w:szCs w:val="32"/>
    </w:rPr>
  </w:style>
  <w:style w:type="character" w:customStyle="1" w:styleId="123">
    <w:name w:val="正文文本缩进 字符"/>
    <w:link w:val="19"/>
    <w:qFormat/>
    <w:uiPriority w:val="0"/>
    <w:rPr>
      <w:kern w:val="2"/>
      <w:sz w:val="21"/>
      <w:szCs w:val="24"/>
    </w:rPr>
  </w:style>
  <w:style w:type="character" w:customStyle="1" w:styleId="124">
    <w:name w:val="标题 3 字符"/>
    <w:link w:val="3"/>
    <w:qFormat/>
    <w:uiPriority w:val="0"/>
    <w:rPr>
      <w:b/>
      <w:bCs/>
      <w:kern w:val="2"/>
      <w:sz w:val="32"/>
      <w:szCs w:val="32"/>
    </w:rPr>
  </w:style>
  <w:style w:type="character" w:customStyle="1" w:styleId="125">
    <w:name w:val="正文缩进2 Char Char"/>
    <w:link w:val="60"/>
    <w:qFormat/>
    <w:uiPriority w:val="0"/>
    <w:rPr>
      <w:szCs w:val="24"/>
    </w:rPr>
  </w:style>
  <w:style w:type="character" w:customStyle="1" w:styleId="126">
    <w:name w:val="style91"/>
    <w:qFormat/>
    <w:uiPriority w:val="0"/>
    <w:rPr>
      <w:sz w:val="21"/>
      <w:szCs w:val="21"/>
    </w:rPr>
  </w:style>
  <w:style w:type="character" w:customStyle="1" w:styleId="127">
    <w:name w:val="文档结构图 字符"/>
    <w:link w:val="15"/>
    <w:semiHidden/>
    <w:qFormat/>
    <w:uiPriority w:val="0"/>
    <w:rPr>
      <w:kern w:val="2"/>
      <w:sz w:val="21"/>
      <w:szCs w:val="24"/>
      <w:shd w:val="clear" w:color="auto" w:fill="000080"/>
    </w:rPr>
  </w:style>
  <w:style w:type="character" w:customStyle="1" w:styleId="128">
    <w:name w:val="批注主题 字符"/>
    <w:link w:val="39"/>
    <w:semiHidden/>
    <w:qFormat/>
    <w:uiPriority w:val="0"/>
    <w:rPr>
      <w:b/>
      <w:bCs/>
      <w:kern w:val="2"/>
      <w:sz w:val="21"/>
      <w:szCs w:val="24"/>
    </w:rPr>
  </w:style>
  <w:style w:type="character" w:customStyle="1" w:styleId="129">
    <w:name w:val="标题 6 字符"/>
    <w:link w:val="8"/>
    <w:qFormat/>
    <w:uiPriority w:val="0"/>
    <w:rPr>
      <w:rFonts w:ascii="Arial" w:hAnsi="Arial" w:eastAsia="黑体"/>
      <w:b/>
      <w:kern w:val="2"/>
      <w:sz w:val="24"/>
    </w:rPr>
  </w:style>
  <w:style w:type="character" w:customStyle="1" w:styleId="130">
    <w:name w:val="标题 7 字符"/>
    <w:link w:val="9"/>
    <w:qFormat/>
    <w:uiPriority w:val="0"/>
    <w:rPr>
      <w:b/>
      <w:kern w:val="2"/>
      <w:sz w:val="24"/>
    </w:rPr>
  </w:style>
  <w:style w:type="character" w:customStyle="1" w:styleId="131">
    <w:name w:val="正文文本缩进 3 字符"/>
    <w:link w:val="32"/>
    <w:qFormat/>
    <w:uiPriority w:val="0"/>
    <w:rPr>
      <w:rFonts w:ascii="宋体"/>
      <w:b/>
      <w:bCs/>
      <w:kern w:val="2"/>
      <w:sz w:val="24"/>
      <w:szCs w:val="24"/>
    </w:rPr>
  </w:style>
  <w:style w:type="character" w:customStyle="1" w:styleId="132">
    <w:name w:val="正文文本 3 字符"/>
    <w:link w:val="17"/>
    <w:qFormat/>
    <w:uiPriority w:val="0"/>
    <w:rPr>
      <w:kern w:val="2"/>
      <w:sz w:val="16"/>
      <w:szCs w:val="16"/>
    </w:rPr>
  </w:style>
  <w:style w:type="character" w:customStyle="1" w:styleId="133">
    <w:name w:val="font51"/>
    <w:qFormat/>
    <w:uiPriority w:val="0"/>
    <w:rPr>
      <w:rFonts w:hint="eastAsia" w:ascii="宋体" w:hAnsi="宋体" w:eastAsia="宋体" w:cs="宋体"/>
      <w:color w:val="000000"/>
      <w:kern w:val="0"/>
      <w:sz w:val="22"/>
      <w:szCs w:val="22"/>
      <w:u w:val="none"/>
      <w:vertAlign w:val="superscript"/>
      <w:lang w:eastAsia="en-US"/>
    </w:rPr>
  </w:style>
  <w:style w:type="table" w:customStyle="1" w:styleId="134">
    <w:name w:val="网格型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5">
    <w:name w:val="列表段落 字符"/>
    <w:link w:val="56"/>
    <w:qFormat/>
    <w:locked/>
    <w:uiPriority w:val="34"/>
    <w:rPr>
      <w:kern w:val="2"/>
      <w:sz w:val="21"/>
      <w:szCs w:val="24"/>
    </w:rPr>
  </w:style>
  <w:style w:type="table" w:customStyle="1" w:styleId="136">
    <w:name w:val="网格型2"/>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7">
    <w:name w:val="15"/>
    <w:qFormat/>
    <w:uiPriority w:val="0"/>
    <w:rPr>
      <w:rFonts w:hint="eastAsia" w:ascii="宋体" w:hAnsi="宋体" w:eastAsia="宋体"/>
      <w:color w:val="000000"/>
      <w:sz w:val="21"/>
      <w:szCs w:val="21"/>
    </w:rPr>
  </w:style>
  <w:style w:type="character" w:customStyle="1" w:styleId="138">
    <w:name w:val="18"/>
    <w:qFormat/>
    <w:uiPriority w:val="0"/>
    <w:rPr>
      <w:rFonts w:hint="default" w:ascii="Calibri" w:hAnsi="Calibri"/>
      <w:color w:val="000000"/>
      <w:sz w:val="21"/>
      <w:szCs w:val="21"/>
    </w:rPr>
  </w:style>
  <w:style w:type="paragraph" w:customStyle="1" w:styleId="139">
    <w:name w:val="列出段落2"/>
    <w:basedOn w:val="1"/>
    <w:qFormat/>
    <w:uiPriority w:val="99"/>
    <w:pPr>
      <w:ind w:firstLine="420" w:firstLineChars="200"/>
    </w:pPr>
  </w:style>
  <w:style w:type="paragraph" w:customStyle="1" w:styleId="140">
    <w:name w:val="179"/>
    <w:basedOn w:val="1"/>
    <w:qFormat/>
    <w:uiPriority w:val="0"/>
    <w:pPr>
      <w:ind w:firstLine="420" w:firstLineChars="200"/>
      <w:textAlignment w:val="baseline"/>
    </w:pPr>
    <w:rPr>
      <w:szCs w:val="20"/>
    </w:rPr>
  </w:style>
  <w:style w:type="character" w:customStyle="1" w:styleId="141">
    <w:name w:val="NormalCharacter"/>
    <w:qFormat/>
    <w:uiPriority w:val="0"/>
    <w:rPr>
      <w:kern w:val="2"/>
      <w:sz w:val="21"/>
      <w:szCs w:val="22"/>
      <w:lang w:val="en-US" w:eastAsia="zh-CN" w:bidi="ar-SA"/>
    </w:rPr>
  </w:style>
  <w:style w:type="paragraph" w:customStyle="1" w:styleId="142">
    <w:name w:val="Table Paragraph"/>
    <w:basedOn w:val="1"/>
    <w:qFormat/>
    <w:uiPriority w:val="0"/>
    <w:pPr>
      <w:autoSpaceDE w:val="0"/>
      <w:autoSpaceDN w:val="0"/>
      <w:jc w:val="left"/>
    </w:pPr>
    <w:rPr>
      <w:rFonts w:hint="eastAsia" w:ascii="宋体" w:hAnsi="宋体"/>
      <w:sz w:val="22"/>
      <w:szCs w:val="22"/>
    </w:rPr>
  </w:style>
  <w:style w:type="paragraph" w:customStyle="1" w:styleId="143">
    <w:name w:val="*正文"/>
    <w:basedOn w:val="1"/>
    <w:qFormat/>
    <w:uiPriority w:val="0"/>
    <w:pPr>
      <w:spacing w:beforeLines="10" w:afterLines="10"/>
    </w:pPr>
    <w:rPr>
      <w:rFonts w:hint="eastAsia"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28</Pages>
  <Words>7591</Words>
  <Characters>8883</Characters>
  <Lines>68</Lines>
  <Paragraphs>19</Paragraphs>
  <TotalTime>1</TotalTime>
  <ScaleCrop>false</ScaleCrop>
  <LinksUpToDate>false</LinksUpToDate>
  <CharactersWithSpaces>9182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2025-02-10T05:30:00Z</dcterms:created>
  <dc:creator>微软用户</dc:creator>
  <cp:lastModifiedBy>岳</cp:lastModifiedBy>
  <cp:lastPrinted>2022-09-27T07:52:00Z</cp:lastPrinted>
  <dcterms:modified xsi:type="dcterms:W3CDTF">2025-03-10T08:23:39Z</dcterms:modified>
  <dc:title>招标编号：UHO2010-G0029</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7F55ADEF4FCE4651B5AF72438BF25B68_13</vt:lpwstr>
  </property>
  <property fmtid="{D5CDD505-2E9C-101B-9397-08002B2CF9AE}" pid="4" name="KSOTemplateDocerSaveRecord">
    <vt:lpwstr>eyJoZGlkIjoiNjhhZGM1YTEzMWZkYWMwMWJjZDY3YjliOGU2ZWI0MjEiLCJ1c2VySWQiOiIyNzQwMDc1NzcifQ==</vt:lpwstr>
  </property>
</Properties>
</file>