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CC5A2F">
      <w:pPr>
        <w:spacing w:line="1000" w:lineRule="exact"/>
        <w:jc w:val="center"/>
        <w:rPr>
          <w:rFonts w:eastAsia="黑体"/>
          <w:b/>
          <w:bCs/>
          <w:spacing w:val="20"/>
          <w:sz w:val="44"/>
          <w:szCs w:val="72"/>
        </w:rPr>
      </w:pPr>
    </w:p>
    <w:p w14:paraId="0818458D">
      <w:pPr>
        <w:spacing w:line="1000" w:lineRule="exact"/>
        <w:jc w:val="center"/>
        <w:rPr>
          <w:rFonts w:eastAsia="黑体"/>
          <w:b/>
          <w:bCs/>
          <w:spacing w:val="20"/>
          <w:sz w:val="44"/>
          <w:szCs w:val="72"/>
        </w:rPr>
      </w:pPr>
    </w:p>
    <w:p w14:paraId="2646336D">
      <w:pPr>
        <w:spacing w:line="1000" w:lineRule="exact"/>
        <w:jc w:val="center"/>
        <w:rPr>
          <w:rFonts w:eastAsia="黑体"/>
          <w:b/>
          <w:bCs/>
          <w:color w:val="000000" w:themeColor="text1"/>
          <w:spacing w:val="20"/>
          <w:sz w:val="44"/>
          <w:szCs w:val="72"/>
          <w14:textFill>
            <w14:solidFill>
              <w14:schemeClr w14:val="tx1"/>
            </w14:solidFill>
          </w14:textFill>
        </w:rPr>
      </w:pPr>
    </w:p>
    <w:p w14:paraId="75D1F5EE">
      <w:pPr>
        <w:spacing w:line="1000" w:lineRule="exact"/>
        <w:jc w:val="center"/>
        <w:rPr>
          <w:rFonts w:eastAsia="黑体"/>
          <w:b/>
          <w:bCs/>
          <w:color w:val="000000" w:themeColor="text1"/>
          <w:spacing w:val="20"/>
          <w:sz w:val="44"/>
          <w:szCs w:val="72"/>
          <w14:textFill>
            <w14:solidFill>
              <w14:schemeClr w14:val="tx1"/>
            </w14:solidFill>
          </w14:textFill>
        </w:rPr>
      </w:pPr>
    </w:p>
    <w:p w14:paraId="1D0CD62F">
      <w:pPr>
        <w:spacing w:line="1000" w:lineRule="exact"/>
        <w:jc w:val="center"/>
        <w:rPr>
          <w:rFonts w:eastAsia="黑体"/>
          <w:b/>
          <w:bCs/>
          <w:color w:val="000000" w:themeColor="text1"/>
          <w:spacing w:val="20"/>
          <w:sz w:val="44"/>
          <w:szCs w:val="72"/>
          <w14:textFill>
            <w14:solidFill>
              <w14:schemeClr w14:val="tx1"/>
            </w14:solidFill>
          </w14:textFill>
        </w:rPr>
      </w:pPr>
      <w:r>
        <w:rPr>
          <w:rFonts w:hint="eastAsia" w:eastAsia="黑体"/>
          <w:b/>
          <w:bCs/>
          <w:color w:val="000000" w:themeColor="text1"/>
          <w:spacing w:val="20"/>
          <w:sz w:val="44"/>
          <w:szCs w:val="72"/>
          <w14:textFill>
            <w14:solidFill>
              <w14:schemeClr w14:val="tx1"/>
            </w14:solidFill>
          </w14:textFill>
        </w:rPr>
        <w:t>结算机房基础设施</w:t>
      </w:r>
      <w:r>
        <w:rPr>
          <w:rFonts w:hint="eastAsia" w:eastAsia="黑体"/>
          <w:b/>
          <w:bCs/>
          <w:color w:val="000000" w:themeColor="text1"/>
          <w:spacing w:val="20"/>
          <w:sz w:val="44"/>
          <w:szCs w:val="72"/>
          <w:lang w:eastAsia="zh-CN"/>
          <w14:textFill>
            <w14:solidFill>
              <w14:schemeClr w14:val="tx1"/>
            </w14:solidFill>
          </w14:textFill>
        </w:rPr>
        <w:t>工程</w:t>
      </w:r>
      <w:r>
        <w:rPr>
          <w:rFonts w:hint="eastAsia" w:eastAsia="黑体"/>
          <w:b/>
          <w:bCs/>
          <w:color w:val="000000" w:themeColor="text1"/>
          <w:spacing w:val="20"/>
          <w:sz w:val="44"/>
          <w:szCs w:val="72"/>
          <w14:textFill>
            <w14:solidFill>
              <w14:schemeClr w14:val="tx1"/>
            </w14:solidFill>
          </w14:textFill>
        </w:rPr>
        <w:t>项目</w:t>
      </w:r>
    </w:p>
    <w:p w14:paraId="3BFEEE7F">
      <w:pPr>
        <w:spacing w:line="1000" w:lineRule="exact"/>
        <w:jc w:val="center"/>
        <w:rPr>
          <w:rFonts w:eastAsia="黑体"/>
          <w:b/>
          <w:bCs/>
          <w:color w:val="000000" w:themeColor="text1"/>
          <w:spacing w:val="20"/>
          <w:sz w:val="44"/>
          <w:szCs w:val="72"/>
          <w14:textFill>
            <w14:solidFill>
              <w14:schemeClr w14:val="tx1"/>
            </w14:solidFill>
          </w14:textFill>
        </w:rPr>
      </w:pPr>
      <w:r>
        <w:rPr>
          <w:rFonts w:hint="eastAsia" w:eastAsia="黑体"/>
          <w:b/>
          <w:bCs/>
          <w:color w:val="000000" w:themeColor="text1"/>
          <w:spacing w:val="20"/>
          <w:sz w:val="44"/>
          <w:szCs w:val="72"/>
          <w14:textFill>
            <w14:solidFill>
              <w14:schemeClr w14:val="tx1"/>
            </w14:solidFill>
          </w14:textFill>
        </w:rPr>
        <w:t>需求书</w:t>
      </w:r>
    </w:p>
    <w:p w14:paraId="4CD15892">
      <w:pPr>
        <w:pStyle w:val="52"/>
        <w:spacing w:after="156" w:afterLines="50"/>
        <w:rPr>
          <w:rFonts w:ascii="Times New Roman" w:hAnsi="Times New Roman"/>
          <w:b/>
          <w:bCs/>
          <w:sz w:val="24"/>
          <w:lang w:eastAsia="zh-CN"/>
        </w:rPr>
        <w:sectPr>
          <w:pgSz w:w="11906" w:h="16838"/>
          <w:pgMar w:top="1134" w:right="1134" w:bottom="1134" w:left="1134" w:header="851" w:footer="992" w:gutter="0"/>
          <w:cols w:space="720" w:num="1"/>
          <w:docGrid w:type="lines" w:linePitch="312" w:charSpace="0"/>
        </w:sectPr>
      </w:pPr>
    </w:p>
    <w:p w14:paraId="5E1E8E17">
      <w:pPr>
        <w:pStyle w:val="52"/>
        <w:spacing w:after="156" w:afterLines="50"/>
        <w:rPr>
          <w:rFonts w:ascii="宋体" w:hAnsi="宋体" w:cs="宋体"/>
          <w:b/>
          <w:bCs/>
          <w:sz w:val="32"/>
          <w:szCs w:val="32"/>
          <w:lang w:eastAsia="zh-CN"/>
        </w:rPr>
      </w:pPr>
      <w:r>
        <w:rPr>
          <w:rFonts w:hint="eastAsia" w:ascii="宋体" w:hAnsi="宋体" w:cs="宋体"/>
          <w:b/>
          <w:bCs/>
          <w:sz w:val="32"/>
          <w:szCs w:val="32"/>
          <w:lang w:eastAsia="zh-CN"/>
        </w:rPr>
        <w:t>一、项目清单</w:t>
      </w:r>
    </w:p>
    <w:tbl>
      <w:tblPr>
        <w:tblStyle w:val="41"/>
        <w:tblW w:w="78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
        <w:gridCol w:w="5127"/>
        <w:gridCol w:w="995"/>
        <w:gridCol w:w="921"/>
      </w:tblGrid>
      <w:tr w14:paraId="4ECDC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jc w:val="center"/>
        </w:trPr>
        <w:tc>
          <w:tcPr>
            <w:tcW w:w="831" w:type="dxa"/>
            <w:vAlign w:val="center"/>
          </w:tcPr>
          <w:p w14:paraId="251CA00B">
            <w:pPr>
              <w:spacing w:line="360" w:lineRule="auto"/>
              <w:jc w:val="center"/>
              <w:textAlignment w:val="center"/>
              <w:rPr>
                <w:rStyle w:val="138"/>
                <w:rFonts w:ascii="宋体" w:hAnsi="宋体" w:cs="宋体"/>
                <w:sz w:val="28"/>
                <w:szCs w:val="28"/>
              </w:rPr>
            </w:pPr>
            <w:r>
              <w:rPr>
                <w:rStyle w:val="138"/>
                <w:rFonts w:hint="eastAsia" w:ascii="宋体" w:hAnsi="宋体" w:cs="宋体"/>
                <w:sz w:val="28"/>
                <w:szCs w:val="28"/>
              </w:rPr>
              <w:t>序号</w:t>
            </w:r>
          </w:p>
        </w:tc>
        <w:tc>
          <w:tcPr>
            <w:tcW w:w="5127" w:type="dxa"/>
            <w:vAlign w:val="center"/>
          </w:tcPr>
          <w:p w14:paraId="19A95863">
            <w:pPr>
              <w:spacing w:line="360" w:lineRule="auto"/>
              <w:jc w:val="center"/>
              <w:textAlignment w:val="center"/>
              <w:rPr>
                <w:rStyle w:val="138"/>
                <w:rFonts w:ascii="宋体" w:hAnsi="宋体" w:cs="宋体"/>
                <w:sz w:val="28"/>
                <w:szCs w:val="28"/>
              </w:rPr>
            </w:pPr>
            <w:r>
              <w:rPr>
                <w:rStyle w:val="138"/>
                <w:rFonts w:hint="eastAsia" w:ascii="宋体" w:hAnsi="宋体" w:cs="宋体"/>
                <w:sz w:val="28"/>
                <w:szCs w:val="28"/>
              </w:rPr>
              <w:t>名称</w:t>
            </w:r>
          </w:p>
        </w:tc>
        <w:tc>
          <w:tcPr>
            <w:tcW w:w="995" w:type="dxa"/>
            <w:vAlign w:val="center"/>
          </w:tcPr>
          <w:p w14:paraId="1E092A7B">
            <w:pPr>
              <w:spacing w:line="360" w:lineRule="auto"/>
              <w:jc w:val="center"/>
              <w:textAlignment w:val="center"/>
              <w:rPr>
                <w:rStyle w:val="138"/>
                <w:rFonts w:ascii="宋体" w:hAnsi="宋体" w:cs="宋体"/>
                <w:sz w:val="28"/>
                <w:szCs w:val="28"/>
              </w:rPr>
            </w:pPr>
            <w:r>
              <w:rPr>
                <w:rStyle w:val="138"/>
                <w:rFonts w:hint="eastAsia" w:ascii="宋体" w:hAnsi="宋体" w:cs="宋体"/>
                <w:sz w:val="28"/>
                <w:szCs w:val="28"/>
              </w:rPr>
              <w:t>数量</w:t>
            </w:r>
          </w:p>
        </w:tc>
        <w:tc>
          <w:tcPr>
            <w:tcW w:w="921" w:type="dxa"/>
            <w:vAlign w:val="center"/>
          </w:tcPr>
          <w:p w14:paraId="1E225B27">
            <w:pPr>
              <w:spacing w:line="360" w:lineRule="auto"/>
              <w:jc w:val="center"/>
              <w:textAlignment w:val="center"/>
              <w:rPr>
                <w:rStyle w:val="138"/>
                <w:rFonts w:ascii="宋体" w:hAnsi="宋体" w:cs="宋体"/>
                <w:sz w:val="28"/>
                <w:szCs w:val="28"/>
              </w:rPr>
            </w:pPr>
            <w:r>
              <w:rPr>
                <w:rStyle w:val="138"/>
                <w:rFonts w:hint="eastAsia" w:ascii="宋体" w:hAnsi="宋体" w:cs="宋体"/>
                <w:sz w:val="28"/>
                <w:szCs w:val="28"/>
              </w:rPr>
              <w:t>单位</w:t>
            </w:r>
          </w:p>
        </w:tc>
      </w:tr>
      <w:tr w14:paraId="637D7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1" w:type="dxa"/>
            <w:vAlign w:val="center"/>
          </w:tcPr>
          <w:p w14:paraId="1C53B1DC">
            <w:pPr>
              <w:spacing w:line="360" w:lineRule="auto"/>
              <w:jc w:val="center"/>
              <w:textAlignment w:val="center"/>
              <w:rPr>
                <w:rStyle w:val="138"/>
                <w:rFonts w:ascii="宋体" w:hAnsi="宋体" w:cs="宋体"/>
                <w:sz w:val="28"/>
                <w:szCs w:val="28"/>
              </w:rPr>
            </w:pPr>
            <w:r>
              <w:rPr>
                <w:rStyle w:val="138"/>
                <w:rFonts w:hint="eastAsia" w:ascii="宋体" w:hAnsi="宋体" w:cs="宋体"/>
                <w:sz w:val="28"/>
                <w:szCs w:val="28"/>
              </w:rPr>
              <w:t>1</w:t>
            </w:r>
          </w:p>
        </w:tc>
        <w:tc>
          <w:tcPr>
            <w:tcW w:w="5127" w:type="dxa"/>
            <w:vAlign w:val="center"/>
          </w:tcPr>
          <w:p w14:paraId="250A5E7C">
            <w:pPr>
              <w:jc w:val="center"/>
              <w:rPr>
                <w:rStyle w:val="138"/>
                <w:rFonts w:ascii="宋体" w:hAnsi="宋体" w:cs="宋体"/>
                <w:sz w:val="28"/>
                <w:szCs w:val="28"/>
              </w:rPr>
            </w:pPr>
            <w:r>
              <w:rPr>
                <w:rFonts w:hint="eastAsia" w:ascii="宋体" w:hAnsi="宋体" w:cs="宋体"/>
                <w:sz w:val="28"/>
                <w:szCs w:val="28"/>
                <w:lang w:eastAsia="zh-CN"/>
              </w:rPr>
              <w:t>结算机房基础设施工程项目</w:t>
            </w:r>
            <w:r>
              <w:rPr>
                <w:rFonts w:hint="eastAsia" w:ascii="宋体" w:hAnsi="宋体" w:cs="宋体"/>
                <w:sz w:val="28"/>
                <w:szCs w:val="28"/>
              </w:rPr>
              <w:t>需求书</w:t>
            </w:r>
          </w:p>
        </w:tc>
        <w:tc>
          <w:tcPr>
            <w:tcW w:w="995" w:type="dxa"/>
            <w:vAlign w:val="center"/>
          </w:tcPr>
          <w:p w14:paraId="7D111C4F">
            <w:pPr>
              <w:spacing w:line="360" w:lineRule="auto"/>
              <w:jc w:val="center"/>
              <w:textAlignment w:val="center"/>
              <w:rPr>
                <w:rStyle w:val="138"/>
                <w:rFonts w:ascii="宋体" w:hAnsi="宋体" w:cs="宋体"/>
                <w:sz w:val="28"/>
                <w:szCs w:val="28"/>
              </w:rPr>
            </w:pPr>
            <w:r>
              <w:rPr>
                <w:rStyle w:val="138"/>
                <w:rFonts w:hint="eastAsia" w:ascii="宋体" w:hAnsi="宋体" w:cs="宋体"/>
                <w:sz w:val="28"/>
                <w:szCs w:val="28"/>
              </w:rPr>
              <w:t>1</w:t>
            </w:r>
          </w:p>
        </w:tc>
        <w:tc>
          <w:tcPr>
            <w:tcW w:w="921" w:type="dxa"/>
            <w:vAlign w:val="center"/>
          </w:tcPr>
          <w:p w14:paraId="4D2CDEBF">
            <w:pPr>
              <w:spacing w:line="360" w:lineRule="auto"/>
              <w:jc w:val="center"/>
              <w:textAlignment w:val="center"/>
              <w:rPr>
                <w:rStyle w:val="138"/>
                <w:rFonts w:ascii="宋体" w:hAnsi="宋体" w:cs="宋体"/>
                <w:sz w:val="28"/>
                <w:szCs w:val="28"/>
              </w:rPr>
            </w:pPr>
            <w:r>
              <w:rPr>
                <w:rStyle w:val="138"/>
                <w:rFonts w:hint="eastAsia" w:ascii="宋体" w:hAnsi="宋体" w:cs="宋体"/>
                <w:sz w:val="28"/>
                <w:szCs w:val="28"/>
              </w:rPr>
              <w:t>套</w:t>
            </w:r>
          </w:p>
        </w:tc>
      </w:tr>
    </w:tbl>
    <w:p w14:paraId="686F3DBA">
      <w:pPr>
        <w:rPr>
          <w:rFonts w:ascii="宋体" w:hAnsi="宋体" w:cs="宋体"/>
          <w:b/>
          <w:bCs/>
          <w:sz w:val="28"/>
          <w:szCs w:val="28"/>
        </w:rPr>
      </w:pPr>
    </w:p>
    <w:p w14:paraId="1524DE22">
      <w:pPr>
        <w:pStyle w:val="52"/>
        <w:spacing w:after="156" w:afterLines="50"/>
        <w:rPr>
          <w:rFonts w:ascii="宋体" w:hAnsi="宋体" w:cs="宋体"/>
          <w:b/>
          <w:bCs/>
          <w:sz w:val="32"/>
          <w:szCs w:val="32"/>
          <w:lang w:eastAsia="zh-CN"/>
        </w:rPr>
      </w:pPr>
      <w:r>
        <w:rPr>
          <w:rFonts w:hint="eastAsia" w:ascii="宋体" w:hAnsi="宋体" w:cs="宋体"/>
          <w:b/>
          <w:bCs/>
          <w:sz w:val="32"/>
          <w:szCs w:val="32"/>
          <w:lang w:eastAsia="zh-CN"/>
        </w:rPr>
        <w:t>二、项目概况</w:t>
      </w:r>
    </w:p>
    <w:p w14:paraId="418B875D">
      <w:pPr>
        <w:pStyle w:val="140"/>
        <w:widowControl/>
        <w:spacing w:line="360" w:lineRule="auto"/>
        <w:ind w:firstLine="562"/>
        <w:rPr>
          <w:rFonts w:ascii="宋体" w:hAnsi="宋体" w:cs="宋体"/>
          <w:b/>
          <w:bCs/>
          <w:color w:val="333333"/>
          <w:sz w:val="28"/>
          <w:szCs w:val="28"/>
          <w:shd w:val="clear" w:color="auto" w:fill="FFFFFF"/>
        </w:rPr>
      </w:pPr>
      <w:r>
        <w:rPr>
          <w:rFonts w:hint="eastAsia" w:ascii="宋体" w:hAnsi="宋体" w:cs="宋体"/>
          <w:b/>
          <w:bCs/>
          <w:color w:val="333333"/>
          <w:sz w:val="28"/>
          <w:szCs w:val="28"/>
          <w:shd w:val="clear" w:color="auto" w:fill="FFFFFF"/>
        </w:rPr>
        <w:t>理由：</w:t>
      </w:r>
    </w:p>
    <w:p w14:paraId="3EEFB454">
      <w:pPr>
        <w:spacing w:line="360" w:lineRule="auto"/>
        <w:ind w:firstLine="560" w:firstLineChars="200"/>
        <w:rPr>
          <w:rFonts w:ascii="宋体" w:hAnsi="宋体" w:cs="宋体"/>
          <w:sz w:val="28"/>
          <w:szCs w:val="28"/>
        </w:rPr>
      </w:pPr>
      <w:r>
        <w:rPr>
          <w:rFonts w:hint="eastAsia" w:ascii="宋体" w:hAnsi="宋体" w:cs="宋体"/>
          <w:sz w:val="28"/>
          <w:szCs w:val="28"/>
        </w:rPr>
        <w:t>结算信息机房作为信息化建设的最重要组成部分之一，是整个医院关键数据信息计算、交换和存储的中心，机房的建设必须按照安全可靠、绿色节能、美观大气原则进行，以满足IT服务应用的需求。目前我院为新建信息机房。</w:t>
      </w:r>
    </w:p>
    <w:p w14:paraId="3DB7019E">
      <w:pPr>
        <w:spacing w:line="360" w:lineRule="auto"/>
        <w:ind w:firstLine="562" w:firstLineChars="200"/>
        <w:rPr>
          <w:rFonts w:ascii="宋体" w:hAnsi="宋体" w:cs="宋体"/>
          <w:b/>
          <w:bCs/>
          <w:color w:val="333333"/>
          <w:sz w:val="28"/>
          <w:szCs w:val="28"/>
          <w:shd w:val="clear" w:color="auto" w:fill="FFFFFF"/>
        </w:rPr>
      </w:pPr>
      <w:r>
        <w:rPr>
          <w:rFonts w:hint="eastAsia" w:ascii="宋体" w:hAnsi="宋体" w:cs="宋体"/>
          <w:b/>
          <w:bCs/>
          <w:color w:val="333333"/>
          <w:sz w:val="28"/>
          <w:szCs w:val="28"/>
          <w:shd w:val="clear" w:color="auto" w:fill="FFFFFF"/>
        </w:rPr>
        <w:t>目标：</w:t>
      </w:r>
    </w:p>
    <w:p w14:paraId="2A629CB3">
      <w:pPr>
        <w:spacing w:line="360" w:lineRule="auto"/>
        <w:ind w:firstLine="560" w:firstLineChars="200"/>
        <w:textAlignment w:val="center"/>
        <w:rPr>
          <w:rFonts w:ascii="宋体" w:hAnsi="宋体" w:cs="宋体"/>
          <w:sz w:val="28"/>
          <w:szCs w:val="28"/>
        </w:rPr>
      </w:pPr>
      <w:r>
        <w:rPr>
          <w:rFonts w:hint="eastAsia" w:ascii="宋体" w:hAnsi="宋体" w:cs="宋体"/>
          <w:sz w:val="28"/>
          <w:szCs w:val="28"/>
        </w:rPr>
        <w:t>信息中心机房设计与施工的优劣，直接关系到信息机房内部各种设备是否能够稳定可靠地运行，是否能够保证各类信息通畅无阻。数据中心既要保障机房设备安全可靠地运行，延长计算机系统使用寿命，又能为系统管理员创造一个舒适的环境。能够满足系统管理员对温度、湿度、洁净度、场强强度、安全防护、电源配电和防雷接地的要求，所以一个现代化的机房需具备高度可靠，舒适实用，节能高效和可扩展性等基本特点。</w:t>
      </w:r>
    </w:p>
    <w:p w14:paraId="7A626B7E">
      <w:pPr>
        <w:spacing w:line="360" w:lineRule="auto"/>
        <w:ind w:firstLine="562" w:firstLineChars="200"/>
        <w:textAlignment w:val="center"/>
        <w:rPr>
          <w:rFonts w:ascii="宋体" w:hAnsi="宋体" w:cs="宋体"/>
          <w:b/>
          <w:bCs/>
          <w:color w:val="333333"/>
          <w:sz w:val="28"/>
          <w:szCs w:val="28"/>
          <w:shd w:val="clear" w:color="auto" w:fill="FFFFFF"/>
        </w:rPr>
      </w:pPr>
      <w:r>
        <w:rPr>
          <w:rFonts w:hint="eastAsia" w:ascii="宋体" w:hAnsi="宋体" w:cs="宋体"/>
          <w:b/>
          <w:bCs/>
          <w:color w:val="333333"/>
          <w:sz w:val="28"/>
          <w:szCs w:val="28"/>
          <w:shd w:val="clear" w:color="auto" w:fill="FFFFFF"/>
        </w:rPr>
        <w:t>主要功能：</w:t>
      </w:r>
    </w:p>
    <w:p w14:paraId="11180361">
      <w:pPr>
        <w:spacing w:line="360" w:lineRule="auto"/>
        <w:ind w:firstLine="560" w:firstLineChars="200"/>
        <w:textAlignment w:val="center"/>
        <w:rPr>
          <w:rFonts w:ascii="宋体" w:hAnsi="宋体" w:cs="宋体"/>
          <w:szCs w:val="21"/>
        </w:rPr>
      </w:pPr>
      <w:r>
        <w:rPr>
          <w:rFonts w:hint="eastAsia" w:ascii="宋体" w:hAnsi="宋体" w:cs="宋体"/>
          <w:sz w:val="28"/>
          <w:szCs w:val="28"/>
        </w:rPr>
        <w:t>科研楼5层结算机房的配电系统服务、气体灭火系统和综合布线系统</w:t>
      </w:r>
      <w:r>
        <w:rPr>
          <w:rFonts w:hint="eastAsia" w:ascii="宋体" w:hAnsi="宋体" w:cs="宋体"/>
          <w:szCs w:val="21"/>
        </w:rPr>
        <w:t>。</w:t>
      </w:r>
    </w:p>
    <w:p w14:paraId="1F290B43">
      <w:pPr>
        <w:numPr>
          <w:ilvl w:val="0"/>
          <w:numId w:val="2"/>
        </w:numPr>
        <w:spacing w:line="360" w:lineRule="auto"/>
        <w:ind w:firstLine="560" w:firstLineChars="200"/>
        <w:textAlignment w:val="center"/>
        <w:rPr>
          <w:rFonts w:ascii="宋体" w:hAnsi="宋体" w:cs="宋体"/>
          <w:sz w:val="28"/>
          <w:szCs w:val="28"/>
        </w:rPr>
      </w:pPr>
      <w:r>
        <w:rPr>
          <w:rFonts w:hint="eastAsia" w:ascii="宋体" w:hAnsi="宋体" w:cs="宋体"/>
          <w:sz w:val="28"/>
          <w:szCs w:val="28"/>
        </w:rPr>
        <w:t>配电系统含UPS、铅酸蓄电池、电池架、电池柜、无线电池监控系统、2000A密集型母线、市电柜到UPS线缆、UPS输出柜电缆、列头柜输入电缆、精密空调室内机电缆、精密空调室外机供电线缆、密空空调室内外机信号线缆、18台配电箱输入输出电缆、PDU线缆等设备</w:t>
      </w:r>
    </w:p>
    <w:p w14:paraId="495075EB">
      <w:pPr>
        <w:numPr>
          <w:ilvl w:val="0"/>
          <w:numId w:val="2"/>
        </w:numPr>
        <w:spacing w:line="360" w:lineRule="auto"/>
        <w:ind w:firstLine="560" w:firstLineChars="200"/>
        <w:textAlignment w:val="center"/>
        <w:rPr>
          <w:rFonts w:ascii="宋体" w:hAnsi="宋体" w:cs="宋体"/>
          <w:sz w:val="28"/>
          <w:szCs w:val="28"/>
        </w:rPr>
      </w:pPr>
      <w:r>
        <w:rPr>
          <w:rFonts w:hint="eastAsia" w:ascii="宋体" w:hAnsi="宋体" w:cs="宋体"/>
          <w:sz w:val="28"/>
          <w:szCs w:val="28"/>
        </w:rPr>
        <w:t>气体灭火系统含气体灭火系统</w:t>
      </w:r>
    </w:p>
    <w:p w14:paraId="7DB96430">
      <w:pPr>
        <w:numPr>
          <w:ilvl w:val="0"/>
          <w:numId w:val="2"/>
        </w:numPr>
        <w:spacing w:line="360" w:lineRule="auto"/>
        <w:ind w:firstLine="560" w:firstLineChars="200"/>
        <w:textAlignment w:val="center"/>
        <w:rPr>
          <w:rFonts w:ascii="宋体" w:hAnsi="宋体" w:cs="宋体"/>
          <w:sz w:val="28"/>
          <w:szCs w:val="28"/>
        </w:rPr>
      </w:pPr>
      <w:r>
        <w:rPr>
          <w:rFonts w:hint="eastAsia" w:ascii="宋体" w:hAnsi="宋体" w:cs="宋体"/>
          <w:sz w:val="28"/>
          <w:szCs w:val="28"/>
        </w:rPr>
        <w:t>综合布线系统含108个模块，每个模块含一个布线柜，每个机柜布置24个六类信息点，主干12芯光缆。设备包含光纤配线架、金属理线器、光纤跳线、12芯光纤、光纤熔接</w:t>
      </w:r>
    </w:p>
    <w:p w14:paraId="09E63F52">
      <w:pPr>
        <w:pStyle w:val="4"/>
        <w:spacing w:before="120" w:after="120"/>
      </w:pPr>
      <w:bookmarkStart w:id="0" w:name="_Toc27338"/>
      <w:bookmarkStart w:id="1" w:name="_Toc12055"/>
      <w:r>
        <w:rPr>
          <w:rFonts w:hint="eastAsia"/>
        </w:rPr>
        <w:t>机房供配电系统规划</w:t>
      </w:r>
      <w:bookmarkEnd w:id="0"/>
      <w:bookmarkEnd w:id="1"/>
    </w:p>
    <w:p w14:paraId="74691BCF">
      <w:pPr>
        <w:spacing w:line="360" w:lineRule="auto"/>
        <w:ind w:firstLine="560" w:firstLineChars="200"/>
        <w:textAlignment w:val="center"/>
        <w:rPr>
          <w:rFonts w:ascii="宋体" w:hAnsi="宋体" w:cs="宋体"/>
          <w:sz w:val="28"/>
          <w:szCs w:val="28"/>
        </w:rPr>
      </w:pPr>
      <w:r>
        <w:rPr>
          <w:rFonts w:hint="eastAsia" w:ascii="宋体" w:hAnsi="宋体" w:cs="宋体"/>
          <w:sz w:val="28"/>
          <w:szCs w:val="28"/>
        </w:rPr>
        <w:t>医院的计算机机房按照国家规定设计为一级负荷，一级负荷要求供配电系统具有非常高的可靠性，一级负荷的总供电电源应符合下列要求：</w:t>
      </w:r>
    </w:p>
    <w:p w14:paraId="57671855">
      <w:pPr>
        <w:spacing w:line="360" w:lineRule="auto"/>
        <w:ind w:firstLine="560" w:firstLineChars="200"/>
        <w:textAlignment w:val="center"/>
        <w:rPr>
          <w:rFonts w:ascii="宋体" w:hAnsi="宋体" w:cs="宋体"/>
          <w:sz w:val="28"/>
          <w:szCs w:val="28"/>
        </w:rPr>
      </w:pPr>
      <w:r>
        <w:rPr>
          <w:rFonts w:hint="eastAsia" w:ascii="宋体" w:hAnsi="宋体" w:cs="宋体"/>
          <w:sz w:val="28"/>
          <w:szCs w:val="28"/>
        </w:rPr>
        <w:t>一级负荷由两路电源供电，当一个设备发生故障时，另一个设备可以支撑系统的正常工作。</w:t>
      </w:r>
    </w:p>
    <w:p w14:paraId="502C1A8B">
      <w:pPr>
        <w:spacing w:line="360" w:lineRule="auto"/>
        <w:ind w:firstLine="560" w:firstLineChars="200"/>
        <w:textAlignment w:val="center"/>
        <w:rPr>
          <w:rFonts w:ascii="宋体" w:hAnsi="宋体" w:cs="宋体"/>
          <w:sz w:val="28"/>
          <w:szCs w:val="28"/>
        </w:rPr>
      </w:pPr>
      <w:r>
        <w:rPr>
          <w:rFonts w:hint="eastAsia" w:ascii="宋体" w:hAnsi="宋体" w:cs="宋体"/>
          <w:sz w:val="28"/>
          <w:szCs w:val="28"/>
        </w:rPr>
        <w:t>计算机机房电源要求： 频率：50Hz</w:t>
      </w:r>
    </w:p>
    <w:p w14:paraId="7F9F71A1">
      <w:pPr>
        <w:spacing w:line="360" w:lineRule="auto"/>
        <w:ind w:firstLine="560" w:firstLineChars="200"/>
        <w:textAlignment w:val="center"/>
        <w:rPr>
          <w:rFonts w:ascii="宋体" w:hAnsi="宋体" w:cs="宋体"/>
          <w:sz w:val="28"/>
          <w:szCs w:val="28"/>
        </w:rPr>
      </w:pPr>
      <w:r>
        <w:rPr>
          <w:rFonts w:hint="eastAsia" w:ascii="宋体" w:hAnsi="宋体" w:cs="宋体"/>
          <w:sz w:val="28"/>
          <w:szCs w:val="28"/>
        </w:rPr>
        <w:t>电压：380V/220V</w:t>
      </w:r>
    </w:p>
    <w:p w14:paraId="5704D76B">
      <w:pPr>
        <w:spacing w:line="360" w:lineRule="auto"/>
        <w:ind w:firstLine="560" w:firstLineChars="200"/>
        <w:textAlignment w:val="center"/>
        <w:rPr>
          <w:rFonts w:ascii="宋体" w:hAnsi="宋体" w:cs="宋体"/>
          <w:sz w:val="28"/>
          <w:szCs w:val="28"/>
        </w:rPr>
      </w:pPr>
      <w:r>
        <w:rPr>
          <w:rFonts w:hint="eastAsia" w:ascii="宋体" w:hAnsi="宋体" w:cs="宋体"/>
          <w:sz w:val="28"/>
          <w:szCs w:val="28"/>
        </w:rPr>
        <w:t>相数：三相五线制/单相三线制</w:t>
      </w:r>
    </w:p>
    <w:p w14:paraId="40D6537B">
      <w:pPr>
        <w:spacing w:line="360" w:lineRule="auto"/>
        <w:ind w:firstLine="560" w:firstLineChars="200"/>
        <w:textAlignment w:val="center"/>
        <w:rPr>
          <w:rFonts w:ascii="宋体" w:hAnsi="宋体" w:cs="宋体"/>
          <w:sz w:val="28"/>
          <w:szCs w:val="28"/>
        </w:rPr>
      </w:pPr>
      <w:r>
        <w:rPr>
          <w:rFonts w:hint="eastAsia" w:ascii="宋体" w:hAnsi="宋体" w:cs="宋体"/>
          <w:sz w:val="28"/>
          <w:szCs w:val="28"/>
        </w:rPr>
        <w:t>依据计算机的性能，对电源质量要求如下表所示：</w:t>
      </w:r>
    </w:p>
    <w:p w14:paraId="22F4B322">
      <w:pPr>
        <w:autoSpaceDE w:val="0"/>
        <w:autoSpaceDN w:val="0"/>
        <w:spacing w:line="436" w:lineRule="auto"/>
        <w:ind w:left="969" w:right="733" w:firstLine="420"/>
        <w:jc w:val="center"/>
        <w:rPr>
          <w:szCs w:val="22"/>
        </w:rPr>
      </w:pPr>
      <w:r>
        <w:rPr>
          <w:rFonts w:hint="eastAsia" w:ascii="宋体" w:hAnsi="宋体"/>
          <w:szCs w:val="22"/>
          <w:lang w:bidi="ar"/>
        </w:rPr>
        <w:t>电源质量要求表</w:t>
      </w:r>
    </w:p>
    <w:tbl>
      <w:tblPr>
        <w:tblStyle w:val="4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379"/>
        <w:gridCol w:w="2240"/>
        <w:gridCol w:w="2028"/>
        <w:gridCol w:w="1997"/>
      </w:tblGrid>
      <w:tr w14:paraId="42C88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752" w:type="pct"/>
          </w:tcPr>
          <w:p w14:paraId="0F48D894">
            <w:pPr>
              <w:pStyle w:val="37"/>
              <w:tabs>
                <w:tab w:val="left" w:pos="440"/>
              </w:tabs>
              <w:autoSpaceDE w:val="0"/>
              <w:autoSpaceDN w:val="0"/>
              <w:spacing w:before="0" w:after="0"/>
              <w:jc w:val="center"/>
              <w:rPr>
                <w:kern w:val="2"/>
                <w:sz w:val="20"/>
                <w:szCs w:val="20"/>
              </w:rPr>
            </w:pPr>
            <w:r>
              <w:rPr>
                <w:rFonts w:hint="eastAsia"/>
                <w:kern w:val="2"/>
                <w:sz w:val="20"/>
                <w:szCs w:val="20"/>
                <w:lang w:bidi="ar"/>
              </w:rPr>
              <w:t>参</w:t>
            </w:r>
            <w:r>
              <w:rPr>
                <w:rFonts w:hint="eastAsia"/>
                <w:kern w:val="2"/>
                <w:sz w:val="20"/>
                <w:szCs w:val="20"/>
                <w:lang w:bidi="ar"/>
              </w:rPr>
              <w:tab/>
            </w:r>
            <w:r>
              <w:rPr>
                <w:rFonts w:hint="eastAsia"/>
                <w:kern w:val="2"/>
                <w:sz w:val="20"/>
                <w:szCs w:val="20"/>
                <w:lang w:bidi="ar"/>
              </w:rPr>
              <w:t>数</w:t>
            </w:r>
          </w:p>
        </w:tc>
        <w:tc>
          <w:tcPr>
            <w:tcW w:w="1161" w:type="pct"/>
          </w:tcPr>
          <w:p w14:paraId="14A459EA">
            <w:pPr>
              <w:pStyle w:val="37"/>
              <w:autoSpaceDE w:val="0"/>
              <w:autoSpaceDN w:val="0"/>
              <w:spacing w:before="0" w:after="0"/>
              <w:jc w:val="center"/>
              <w:rPr>
                <w:kern w:val="2"/>
                <w:sz w:val="20"/>
                <w:szCs w:val="20"/>
              </w:rPr>
            </w:pPr>
            <w:r>
              <w:rPr>
                <w:rFonts w:eastAsia="Times New Roman"/>
                <w:kern w:val="2"/>
                <w:sz w:val="20"/>
                <w:szCs w:val="20"/>
                <w:lang w:bidi="ar"/>
              </w:rPr>
              <w:t xml:space="preserve">A </w:t>
            </w:r>
            <w:r>
              <w:rPr>
                <w:rFonts w:hint="eastAsia"/>
                <w:kern w:val="2"/>
                <w:sz w:val="20"/>
                <w:szCs w:val="20"/>
                <w:lang w:bidi="ar"/>
              </w:rPr>
              <w:t>级</w:t>
            </w:r>
          </w:p>
        </w:tc>
        <w:tc>
          <w:tcPr>
            <w:tcW w:w="1050" w:type="pct"/>
          </w:tcPr>
          <w:p w14:paraId="663A3613">
            <w:pPr>
              <w:pStyle w:val="37"/>
              <w:autoSpaceDE w:val="0"/>
              <w:autoSpaceDN w:val="0"/>
              <w:spacing w:before="0" w:after="0"/>
              <w:jc w:val="center"/>
              <w:rPr>
                <w:kern w:val="2"/>
                <w:sz w:val="20"/>
                <w:szCs w:val="20"/>
              </w:rPr>
            </w:pPr>
            <w:r>
              <w:rPr>
                <w:rFonts w:eastAsia="Times New Roman"/>
                <w:kern w:val="2"/>
                <w:sz w:val="20"/>
                <w:szCs w:val="20"/>
                <w:lang w:bidi="ar"/>
              </w:rPr>
              <w:t xml:space="preserve">B </w:t>
            </w:r>
            <w:r>
              <w:rPr>
                <w:rFonts w:hint="eastAsia"/>
                <w:kern w:val="2"/>
                <w:sz w:val="20"/>
                <w:szCs w:val="20"/>
                <w:lang w:bidi="ar"/>
              </w:rPr>
              <w:t>级</w:t>
            </w:r>
          </w:p>
        </w:tc>
        <w:tc>
          <w:tcPr>
            <w:tcW w:w="1035" w:type="pct"/>
          </w:tcPr>
          <w:p w14:paraId="37C29389">
            <w:pPr>
              <w:pStyle w:val="37"/>
              <w:autoSpaceDE w:val="0"/>
              <w:autoSpaceDN w:val="0"/>
              <w:spacing w:before="0" w:after="0"/>
              <w:jc w:val="center"/>
              <w:rPr>
                <w:kern w:val="2"/>
                <w:sz w:val="20"/>
                <w:szCs w:val="20"/>
              </w:rPr>
            </w:pPr>
            <w:r>
              <w:rPr>
                <w:rFonts w:eastAsia="Times New Roman"/>
                <w:kern w:val="2"/>
                <w:sz w:val="20"/>
                <w:szCs w:val="20"/>
                <w:lang w:bidi="ar"/>
              </w:rPr>
              <w:t xml:space="preserve">C </w:t>
            </w:r>
            <w:r>
              <w:rPr>
                <w:rFonts w:hint="eastAsia"/>
                <w:kern w:val="2"/>
                <w:sz w:val="20"/>
                <w:szCs w:val="20"/>
                <w:lang w:bidi="ar"/>
              </w:rPr>
              <w:t>级</w:t>
            </w:r>
          </w:p>
        </w:tc>
      </w:tr>
      <w:tr w14:paraId="4DB89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752" w:type="pct"/>
          </w:tcPr>
          <w:p w14:paraId="69A2A424">
            <w:pPr>
              <w:pStyle w:val="37"/>
              <w:autoSpaceDE w:val="0"/>
              <w:autoSpaceDN w:val="0"/>
              <w:spacing w:before="0" w:after="0"/>
              <w:rPr>
                <w:kern w:val="2"/>
                <w:sz w:val="20"/>
                <w:szCs w:val="20"/>
              </w:rPr>
            </w:pPr>
            <w:r>
              <w:rPr>
                <w:rFonts w:hint="eastAsia"/>
                <w:kern w:val="2"/>
                <w:sz w:val="20"/>
                <w:szCs w:val="20"/>
                <w:lang w:bidi="ar"/>
              </w:rPr>
              <w:t>稳态电压偏移范围</w:t>
            </w:r>
          </w:p>
        </w:tc>
        <w:tc>
          <w:tcPr>
            <w:tcW w:w="2212" w:type="pct"/>
            <w:gridSpan w:val="2"/>
          </w:tcPr>
          <w:p w14:paraId="0DBA84A0">
            <w:pPr>
              <w:pStyle w:val="37"/>
              <w:autoSpaceDE w:val="0"/>
              <w:autoSpaceDN w:val="0"/>
              <w:spacing w:before="0" w:after="0"/>
              <w:jc w:val="center"/>
              <w:rPr>
                <w:kern w:val="2"/>
                <w:sz w:val="20"/>
                <w:szCs w:val="20"/>
              </w:rPr>
            </w:pPr>
            <w:r>
              <w:rPr>
                <w:rFonts w:hint="eastAsia"/>
                <w:kern w:val="2"/>
                <w:sz w:val="20"/>
                <w:szCs w:val="20"/>
                <w:lang w:bidi="ar"/>
              </w:rPr>
              <w:t>±</w:t>
            </w:r>
            <w:r>
              <w:rPr>
                <w:kern w:val="2"/>
                <w:sz w:val="20"/>
                <w:szCs w:val="20"/>
                <w:lang w:bidi="ar"/>
              </w:rPr>
              <w:t>3 %</w:t>
            </w:r>
          </w:p>
        </w:tc>
        <w:tc>
          <w:tcPr>
            <w:tcW w:w="1035" w:type="pct"/>
          </w:tcPr>
          <w:p w14:paraId="7DB21AEF">
            <w:pPr>
              <w:pStyle w:val="37"/>
              <w:autoSpaceDE w:val="0"/>
              <w:autoSpaceDN w:val="0"/>
              <w:spacing w:before="0" w:after="0"/>
              <w:jc w:val="center"/>
              <w:rPr>
                <w:kern w:val="2"/>
                <w:sz w:val="20"/>
                <w:szCs w:val="20"/>
              </w:rPr>
            </w:pPr>
            <w:r>
              <w:rPr>
                <w:rFonts w:hint="eastAsia"/>
                <w:kern w:val="2"/>
                <w:sz w:val="20"/>
                <w:szCs w:val="20"/>
                <w:lang w:bidi="ar"/>
              </w:rPr>
              <w:t>±</w:t>
            </w:r>
            <w:r>
              <w:rPr>
                <w:kern w:val="2"/>
                <w:sz w:val="20"/>
                <w:szCs w:val="20"/>
                <w:lang w:bidi="ar"/>
              </w:rPr>
              <w:t>5 %</w:t>
            </w:r>
          </w:p>
        </w:tc>
      </w:tr>
      <w:tr w14:paraId="67A1B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752" w:type="pct"/>
          </w:tcPr>
          <w:p w14:paraId="5A7CFE26">
            <w:pPr>
              <w:pStyle w:val="37"/>
              <w:autoSpaceDE w:val="0"/>
              <w:autoSpaceDN w:val="0"/>
              <w:spacing w:before="0" w:after="0"/>
              <w:rPr>
                <w:kern w:val="2"/>
                <w:sz w:val="20"/>
                <w:szCs w:val="20"/>
              </w:rPr>
            </w:pPr>
            <w:r>
              <w:rPr>
                <w:rFonts w:hint="eastAsia"/>
                <w:kern w:val="2"/>
                <w:sz w:val="20"/>
                <w:szCs w:val="20"/>
                <w:lang w:bidi="ar"/>
              </w:rPr>
              <w:t>稳态频率偏移范围</w:t>
            </w:r>
          </w:p>
        </w:tc>
        <w:tc>
          <w:tcPr>
            <w:tcW w:w="3247" w:type="pct"/>
            <w:gridSpan w:val="3"/>
          </w:tcPr>
          <w:p w14:paraId="3D9BCC30">
            <w:pPr>
              <w:pStyle w:val="37"/>
              <w:autoSpaceDE w:val="0"/>
              <w:autoSpaceDN w:val="0"/>
              <w:spacing w:before="0" w:after="0"/>
              <w:jc w:val="center"/>
              <w:rPr>
                <w:kern w:val="2"/>
                <w:sz w:val="20"/>
                <w:szCs w:val="20"/>
              </w:rPr>
            </w:pPr>
            <w:r>
              <w:rPr>
                <w:rFonts w:hint="eastAsia"/>
                <w:kern w:val="2"/>
                <w:sz w:val="20"/>
                <w:szCs w:val="20"/>
                <w:lang w:bidi="ar"/>
              </w:rPr>
              <w:t>±</w:t>
            </w:r>
            <w:r>
              <w:rPr>
                <w:kern w:val="2"/>
                <w:sz w:val="20"/>
                <w:szCs w:val="20"/>
                <w:lang w:bidi="ar"/>
              </w:rPr>
              <w:t>0.5 Hz</w:t>
            </w:r>
          </w:p>
        </w:tc>
      </w:tr>
      <w:tr w14:paraId="06476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752" w:type="pct"/>
          </w:tcPr>
          <w:p w14:paraId="73ED71E4">
            <w:pPr>
              <w:pStyle w:val="37"/>
              <w:autoSpaceDE w:val="0"/>
              <w:autoSpaceDN w:val="0"/>
              <w:spacing w:before="0" w:after="0"/>
              <w:rPr>
                <w:kern w:val="2"/>
                <w:sz w:val="20"/>
                <w:szCs w:val="20"/>
              </w:rPr>
            </w:pPr>
            <w:r>
              <w:rPr>
                <w:rFonts w:hint="eastAsia"/>
                <w:kern w:val="2"/>
                <w:sz w:val="20"/>
                <w:szCs w:val="20"/>
                <w:lang w:bidi="ar"/>
              </w:rPr>
              <w:t>输入电压波形失真度</w:t>
            </w:r>
          </w:p>
        </w:tc>
        <w:tc>
          <w:tcPr>
            <w:tcW w:w="3247" w:type="pct"/>
            <w:gridSpan w:val="3"/>
          </w:tcPr>
          <w:p w14:paraId="18B0551D">
            <w:pPr>
              <w:pStyle w:val="37"/>
              <w:autoSpaceDE w:val="0"/>
              <w:autoSpaceDN w:val="0"/>
              <w:spacing w:before="0" w:after="0"/>
              <w:jc w:val="center"/>
              <w:rPr>
                <w:kern w:val="2"/>
                <w:sz w:val="20"/>
                <w:szCs w:val="20"/>
              </w:rPr>
            </w:pPr>
            <w:r>
              <w:rPr>
                <w:rFonts w:hint="eastAsia"/>
                <w:kern w:val="2"/>
                <w:sz w:val="20"/>
                <w:szCs w:val="20"/>
                <w:lang w:bidi="ar"/>
              </w:rPr>
              <w:t>≤5 %</w:t>
            </w:r>
            <w:r>
              <w:rPr>
                <w:rFonts w:hint="eastAsia"/>
                <w:kern w:val="2"/>
                <w:sz w:val="20"/>
                <w:szCs w:val="20"/>
                <w:lang w:bidi="ar"/>
              </w:rPr>
              <w:tab/>
            </w:r>
            <w:r>
              <w:rPr>
                <w:rFonts w:hint="eastAsia"/>
                <w:kern w:val="2"/>
                <w:sz w:val="20"/>
                <w:szCs w:val="20"/>
                <w:lang w:bidi="ar"/>
              </w:rPr>
              <w:t>电子信息设备正常工作时</w:t>
            </w:r>
          </w:p>
        </w:tc>
      </w:tr>
      <w:tr w14:paraId="0A170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752" w:type="pct"/>
          </w:tcPr>
          <w:p w14:paraId="2F6980DB">
            <w:pPr>
              <w:pStyle w:val="37"/>
              <w:autoSpaceDE w:val="0"/>
              <w:autoSpaceDN w:val="0"/>
              <w:spacing w:before="0" w:after="0"/>
              <w:rPr>
                <w:kern w:val="2"/>
                <w:sz w:val="20"/>
                <w:szCs w:val="20"/>
              </w:rPr>
            </w:pPr>
            <w:r>
              <w:rPr>
                <w:rFonts w:hint="eastAsia"/>
                <w:kern w:val="2"/>
                <w:sz w:val="20"/>
                <w:szCs w:val="20"/>
                <w:lang w:bidi="ar"/>
              </w:rPr>
              <w:t>零地电压</w:t>
            </w:r>
          </w:p>
        </w:tc>
        <w:tc>
          <w:tcPr>
            <w:tcW w:w="3247" w:type="pct"/>
            <w:gridSpan w:val="3"/>
          </w:tcPr>
          <w:p w14:paraId="6E0D4C86">
            <w:pPr>
              <w:pStyle w:val="37"/>
              <w:autoSpaceDE w:val="0"/>
              <w:autoSpaceDN w:val="0"/>
              <w:spacing w:before="0" w:after="0"/>
              <w:jc w:val="center"/>
              <w:rPr>
                <w:kern w:val="2"/>
                <w:sz w:val="20"/>
                <w:szCs w:val="20"/>
              </w:rPr>
            </w:pPr>
            <w:r>
              <w:rPr>
                <w:rFonts w:hint="eastAsia"/>
                <w:kern w:val="2"/>
                <w:sz w:val="20"/>
                <w:szCs w:val="20"/>
                <w:lang w:bidi="ar"/>
              </w:rPr>
              <w:t>&lt;2 V</w:t>
            </w:r>
            <w:r>
              <w:rPr>
                <w:rFonts w:hint="eastAsia"/>
                <w:kern w:val="2"/>
                <w:sz w:val="20"/>
                <w:szCs w:val="20"/>
                <w:lang w:bidi="ar"/>
              </w:rPr>
              <w:tab/>
            </w:r>
            <w:r>
              <w:rPr>
                <w:rFonts w:hint="eastAsia"/>
                <w:kern w:val="2"/>
                <w:sz w:val="20"/>
                <w:szCs w:val="20"/>
                <w:lang w:bidi="ar"/>
              </w:rPr>
              <w:t>应满足设备使用要求</w:t>
            </w:r>
          </w:p>
        </w:tc>
      </w:tr>
      <w:tr w14:paraId="45F6E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752" w:type="pct"/>
          </w:tcPr>
          <w:p w14:paraId="39242229">
            <w:pPr>
              <w:pStyle w:val="37"/>
              <w:autoSpaceDE w:val="0"/>
              <w:autoSpaceDN w:val="0"/>
              <w:spacing w:before="0" w:after="0"/>
              <w:rPr>
                <w:kern w:val="2"/>
                <w:sz w:val="20"/>
                <w:szCs w:val="20"/>
              </w:rPr>
            </w:pPr>
            <w:r>
              <w:rPr>
                <w:rFonts w:hint="eastAsia"/>
                <w:kern w:val="2"/>
                <w:sz w:val="20"/>
                <w:szCs w:val="20"/>
                <w:lang w:bidi="ar"/>
              </w:rPr>
              <w:t>允许断电持续时间</w:t>
            </w:r>
          </w:p>
        </w:tc>
        <w:tc>
          <w:tcPr>
            <w:tcW w:w="1161" w:type="pct"/>
          </w:tcPr>
          <w:p w14:paraId="0E45B4E1">
            <w:pPr>
              <w:pStyle w:val="37"/>
              <w:autoSpaceDE w:val="0"/>
              <w:autoSpaceDN w:val="0"/>
              <w:spacing w:before="0" w:after="0"/>
              <w:jc w:val="center"/>
              <w:rPr>
                <w:rFonts w:eastAsia="Times New Roman"/>
                <w:kern w:val="2"/>
                <w:sz w:val="20"/>
                <w:szCs w:val="20"/>
              </w:rPr>
            </w:pPr>
            <w:r>
              <w:rPr>
                <w:rFonts w:eastAsia="Times New Roman"/>
                <w:kern w:val="2"/>
                <w:sz w:val="20"/>
                <w:szCs w:val="20"/>
                <w:lang w:bidi="ar"/>
              </w:rPr>
              <w:t>0</w:t>
            </w:r>
            <w:r>
              <w:rPr>
                <w:rFonts w:hint="eastAsia" w:eastAsia="Times New Roman"/>
                <w:kern w:val="2"/>
                <w:sz w:val="20"/>
                <w:szCs w:val="20"/>
                <w:lang w:bidi="ar"/>
              </w:rPr>
              <w:t>~</w:t>
            </w:r>
            <w:r>
              <w:rPr>
                <w:rFonts w:eastAsia="Times New Roman"/>
                <w:kern w:val="2"/>
                <w:sz w:val="20"/>
                <w:szCs w:val="20"/>
                <w:lang w:bidi="ar"/>
              </w:rPr>
              <w:t>4 ms</w:t>
            </w:r>
          </w:p>
        </w:tc>
        <w:tc>
          <w:tcPr>
            <w:tcW w:w="1050" w:type="pct"/>
          </w:tcPr>
          <w:p w14:paraId="38045B9C">
            <w:pPr>
              <w:pStyle w:val="37"/>
              <w:autoSpaceDE w:val="0"/>
              <w:autoSpaceDN w:val="0"/>
              <w:spacing w:before="0" w:after="0"/>
              <w:jc w:val="center"/>
              <w:rPr>
                <w:rFonts w:eastAsia="Times New Roman"/>
                <w:kern w:val="2"/>
                <w:sz w:val="20"/>
                <w:szCs w:val="20"/>
              </w:rPr>
            </w:pPr>
            <w:r>
              <w:rPr>
                <w:rFonts w:eastAsia="Times New Roman"/>
                <w:kern w:val="2"/>
                <w:sz w:val="20"/>
                <w:szCs w:val="20"/>
                <w:lang w:bidi="ar"/>
              </w:rPr>
              <w:t>0</w:t>
            </w:r>
            <w:r>
              <w:rPr>
                <w:rFonts w:hint="eastAsia" w:eastAsia="Times New Roman"/>
                <w:kern w:val="2"/>
                <w:sz w:val="20"/>
                <w:szCs w:val="20"/>
                <w:lang w:bidi="ar"/>
              </w:rPr>
              <w:t>~</w:t>
            </w:r>
            <w:r>
              <w:rPr>
                <w:rFonts w:eastAsia="Times New Roman"/>
                <w:kern w:val="2"/>
                <w:sz w:val="20"/>
                <w:szCs w:val="20"/>
                <w:lang w:bidi="ar"/>
              </w:rPr>
              <w:t>10 ms</w:t>
            </w:r>
          </w:p>
        </w:tc>
        <w:tc>
          <w:tcPr>
            <w:tcW w:w="1035" w:type="pct"/>
          </w:tcPr>
          <w:p w14:paraId="48F24674">
            <w:pPr>
              <w:pStyle w:val="37"/>
              <w:autoSpaceDE w:val="0"/>
              <w:autoSpaceDN w:val="0"/>
              <w:spacing w:before="0" w:after="0"/>
              <w:jc w:val="center"/>
              <w:rPr>
                <w:kern w:val="2"/>
                <w:sz w:val="20"/>
                <w:szCs w:val="20"/>
              </w:rPr>
            </w:pPr>
            <w:r>
              <w:rPr>
                <w:w w:val="99"/>
                <w:kern w:val="2"/>
                <w:sz w:val="20"/>
                <w:szCs w:val="20"/>
                <w:lang w:bidi="ar"/>
              </w:rPr>
              <w:t>/</w:t>
            </w:r>
          </w:p>
        </w:tc>
      </w:tr>
      <w:tr w14:paraId="21321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752" w:type="pct"/>
          </w:tcPr>
          <w:p w14:paraId="0AFC86D7">
            <w:pPr>
              <w:pStyle w:val="37"/>
              <w:autoSpaceDE w:val="0"/>
              <w:autoSpaceDN w:val="0"/>
              <w:spacing w:before="0" w:after="0"/>
              <w:rPr>
                <w:kern w:val="2"/>
                <w:sz w:val="20"/>
                <w:szCs w:val="20"/>
              </w:rPr>
            </w:pPr>
            <w:r>
              <w:rPr>
                <w:rFonts w:eastAsia="Times New Roman"/>
                <w:kern w:val="2"/>
                <w:sz w:val="20"/>
                <w:szCs w:val="20"/>
                <w:lang w:bidi="ar"/>
              </w:rPr>
              <w:t xml:space="preserve">UPS </w:t>
            </w:r>
            <w:r>
              <w:rPr>
                <w:rFonts w:hint="eastAsia"/>
                <w:kern w:val="2"/>
                <w:sz w:val="20"/>
                <w:szCs w:val="20"/>
                <w:lang w:bidi="ar"/>
              </w:rPr>
              <w:t xml:space="preserve">输入端 </w:t>
            </w:r>
            <w:r>
              <w:rPr>
                <w:rFonts w:eastAsia="Times New Roman"/>
                <w:kern w:val="2"/>
                <w:sz w:val="20"/>
                <w:szCs w:val="20"/>
                <w:lang w:bidi="ar"/>
              </w:rPr>
              <w:t xml:space="preserve">THDI </w:t>
            </w:r>
            <w:r>
              <w:rPr>
                <w:rFonts w:hint="eastAsia"/>
                <w:kern w:val="2"/>
                <w:sz w:val="20"/>
                <w:szCs w:val="20"/>
                <w:lang w:bidi="ar"/>
              </w:rPr>
              <w:t>含量</w:t>
            </w:r>
          </w:p>
        </w:tc>
        <w:tc>
          <w:tcPr>
            <w:tcW w:w="3247" w:type="pct"/>
            <w:gridSpan w:val="3"/>
          </w:tcPr>
          <w:p w14:paraId="49E57332">
            <w:pPr>
              <w:pStyle w:val="37"/>
              <w:autoSpaceDE w:val="0"/>
              <w:autoSpaceDN w:val="0"/>
              <w:spacing w:before="0" w:after="0"/>
              <w:jc w:val="center"/>
              <w:rPr>
                <w:kern w:val="2"/>
                <w:sz w:val="20"/>
                <w:szCs w:val="20"/>
              </w:rPr>
            </w:pPr>
            <w:r>
              <w:rPr>
                <w:rFonts w:eastAsia="Times New Roman"/>
                <w:kern w:val="2"/>
                <w:sz w:val="20"/>
                <w:szCs w:val="20"/>
                <w:lang w:bidi="ar"/>
              </w:rPr>
              <w:t>&lt;15 %</w:t>
            </w:r>
            <w:r>
              <w:rPr>
                <w:rFonts w:hint="eastAsia"/>
                <w:kern w:val="2"/>
                <w:sz w:val="20"/>
                <w:szCs w:val="20"/>
                <w:lang w:bidi="ar"/>
              </w:rPr>
              <w:t>，</w:t>
            </w:r>
            <w:r>
              <w:rPr>
                <w:rFonts w:eastAsia="Times New Roman"/>
                <w:kern w:val="2"/>
                <w:sz w:val="20"/>
                <w:szCs w:val="20"/>
                <w:lang w:bidi="ar"/>
              </w:rPr>
              <w:t>3</w:t>
            </w:r>
            <w:r>
              <w:rPr>
                <w:rFonts w:hint="eastAsia"/>
                <w:kern w:val="2"/>
                <w:sz w:val="20"/>
                <w:szCs w:val="20"/>
                <w:lang w:bidi="ar"/>
              </w:rPr>
              <w:t>～</w:t>
            </w:r>
            <w:r>
              <w:rPr>
                <w:rFonts w:eastAsia="Times New Roman"/>
                <w:kern w:val="2"/>
                <w:sz w:val="20"/>
                <w:szCs w:val="20"/>
                <w:lang w:bidi="ar"/>
              </w:rPr>
              <w:t xml:space="preserve">39 </w:t>
            </w:r>
            <w:r>
              <w:rPr>
                <w:rFonts w:hint="eastAsia"/>
                <w:kern w:val="2"/>
                <w:sz w:val="20"/>
                <w:szCs w:val="20"/>
                <w:lang w:bidi="ar"/>
              </w:rPr>
              <w:t>次谐波</w:t>
            </w:r>
          </w:p>
        </w:tc>
      </w:tr>
    </w:tbl>
    <w:p w14:paraId="5BB640BF">
      <w:pPr>
        <w:spacing w:line="360" w:lineRule="auto"/>
        <w:ind w:firstLine="560" w:firstLineChars="200"/>
        <w:textAlignment w:val="center"/>
        <w:rPr>
          <w:rFonts w:ascii="宋体" w:hAnsi="宋体" w:cs="宋体"/>
          <w:sz w:val="28"/>
          <w:szCs w:val="28"/>
        </w:rPr>
      </w:pPr>
      <w:r>
        <w:rPr>
          <w:rFonts w:hint="eastAsia" w:ascii="宋体" w:hAnsi="宋体" w:cs="宋体"/>
          <w:sz w:val="28"/>
          <w:szCs w:val="28"/>
        </w:rPr>
        <w:t>依据标准，对配电系统架构要求如下表所示：</w:t>
      </w:r>
    </w:p>
    <w:p w14:paraId="2AE99365">
      <w:pPr>
        <w:autoSpaceDE w:val="0"/>
        <w:autoSpaceDN w:val="0"/>
        <w:spacing w:line="436" w:lineRule="auto"/>
        <w:ind w:left="972" w:right="733" w:firstLine="420"/>
        <w:jc w:val="center"/>
        <w:rPr>
          <w:szCs w:val="22"/>
        </w:rPr>
      </w:pPr>
      <w:r>
        <w:rPr>
          <w:rFonts w:hint="eastAsia" w:ascii="宋体" w:hAnsi="宋体"/>
          <w:szCs w:val="22"/>
          <w:lang w:bidi="ar"/>
        </w:rPr>
        <w:t xml:space="preserve">表 </w:t>
      </w:r>
      <w:r>
        <w:rPr>
          <w:rFonts w:hAnsi="宋体" w:eastAsia="Times New Roman"/>
          <w:szCs w:val="22"/>
          <w:lang w:bidi="ar"/>
        </w:rPr>
        <w:t xml:space="preserve">5-22  </w:t>
      </w:r>
      <w:r>
        <w:rPr>
          <w:rFonts w:hint="eastAsia" w:ascii="宋体" w:hAnsi="宋体"/>
          <w:szCs w:val="22"/>
          <w:lang w:bidi="ar"/>
        </w:rPr>
        <w:t>配电系统架构要求表</w:t>
      </w:r>
    </w:p>
    <w:tbl>
      <w:tblPr>
        <w:tblStyle w:val="4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625"/>
        <w:gridCol w:w="2843"/>
        <w:gridCol w:w="2885"/>
        <w:gridCol w:w="2291"/>
      </w:tblGrid>
      <w:tr w14:paraId="532D8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42" w:type="pct"/>
            <w:vAlign w:val="center"/>
          </w:tcPr>
          <w:p w14:paraId="3EED649E">
            <w:pPr>
              <w:pStyle w:val="37"/>
              <w:autoSpaceDE w:val="0"/>
              <w:autoSpaceDN w:val="0"/>
              <w:spacing w:before="0" w:after="0"/>
              <w:jc w:val="center"/>
              <w:rPr>
                <w:kern w:val="2"/>
                <w:sz w:val="20"/>
                <w:szCs w:val="20"/>
              </w:rPr>
            </w:pPr>
            <w:r>
              <w:rPr>
                <w:rFonts w:hint="eastAsia"/>
                <w:kern w:val="2"/>
                <w:sz w:val="20"/>
                <w:szCs w:val="20"/>
                <w:lang w:bidi="ar"/>
              </w:rPr>
              <w:t>参数</w:t>
            </w:r>
          </w:p>
        </w:tc>
        <w:tc>
          <w:tcPr>
            <w:tcW w:w="1473" w:type="pct"/>
            <w:vAlign w:val="center"/>
          </w:tcPr>
          <w:p w14:paraId="7F021698">
            <w:pPr>
              <w:pStyle w:val="37"/>
              <w:autoSpaceDE w:val="0"/>
              <w:autoSpaceDN w:val="0"/>
              <w:spacing w:before="0" w:after="0"/>
              <w:jc w:val="center"/>
              <w:rPr>
                <w:kern w:val="2"/>
                <w:sz w:val="20"/>
                <w:szCs w:val="20"/>
              </w:rPr>
            </w:pPr>
            <w:r>
              <w:rPr>
                <w:rFonts w:hint="eastAsia"/>
                <w:kern w:val="2"/>
                <w:sz w:val="20"/>
                <w:szCs w:val="20"/>
                <w:lang w:bidi="ar"/>
              </w:rPr>
              <w:t>A 级</w:t>
            </w:r>
          </w:p>
        </w:tc>
        <w:tc>
          <w:tcPr>
            <w:tcW w:w="1495" w:type="pct"/>
            <w:vAlign w:val="center"/>
          </w:tcPr>
          <w:p w14:paraId="6825A41D">
            <w:pPr>
              <w:pStyle w:val="37"/>
              <w:autoSpaceDE w:val="0"/>
              <w:autoSpaceDN w:val="0"/>
              <w:spacing w:before="0" w:after="0"/>
              <w:jc w:val="center"/>
              <w:rPr>
                <w:kern w:val="2"/>
                <w:sz w:val="20"/>
                <w:szCs w:val="20"/>
              </w:rPr>
            </w:pPr>
            <w:r>
              <w:rPr>
                <w:rFonts w:hint="eastAsia"/>
                <w:kern w:val="2"/>
                <w:sz w:val="20"/>
                <w:szCs w:val="20"/>
                <w:lang w:bidi="ar"/>
              </w:rPr>
              <w:t>B 级</w:t>
            </w:r>
          </w:p>
        </w:tc>
        <w:tc>
          <w:tcPr>
            <w:tcW w:w="1187" w:type="pct"/>
            <w:vAlign w:val="center"/>
          </w:tcPr>
          <w:p w14:paraId="2299A6CD">
            <w:pPr>
              <w:pStyle w:val="37"/>
              <w:autoSpaceDE w:val="0"/>
              <w:autoSpaceDN w:val="0"/>
              <w:spacing w:before="0" w:after="0"/>
              <w:jc w:val="center"/>
              <w:rPr>
                <w:kern w:val="2"/>
                <w:sz w:val="20"/>
                <w:szCs w:val="20"/>
              </w:rPr>
            </w:pPr>
            <w:r>
              <w:rPr>
                <w:rFonts w:hint="eastAsia"/>
                <w:kern w:val="2"/>
                <w:sz w:val="20"/>
                <w:szCs w:val="20"/>
                <w:lang w:bidi="ar"/>
              </w:rPr>
              <w:t>C 级</w:t>
            </w:r>
          </w:p>
        </w:tc>
      </w:tr>
      <w:tr w14:paraId="29F02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42" w:type="pct"/>
            <w:vAlign w:val="center"/>
          </w:tcPr>
          <w:p w14:paraId="26C4A5DD">
            <w:pPr>
              <w:pStyle w:val="37"/>
              <w:autoSpaceDE w:val="0"/>
              <w:autoSpaceDN w:val="0"/>
              <w:spacing w:before="0" w:after="0"/>
              <w:rPr>
                <w:kern w:val="2"/>
                <w:sz w:val="20"/>
                <w:szCs w:val="20"/>
              </w:rPr>
            </w:pPr>
            <w:r>
              <w:rPr>
                <w:rFonts w:hint="eastAsia"/>
                <w:kern w:val="2"/>
                <w:sz w:val="20"/>
                <w:szCs w:val="20"/>
                <w:lang w:bidi="ar"/>
              </w:rPr>
              <w:t>供电电源</w:t>
            </w:r>
          </w:p>
        </w:tc>
        <w:tc>
          <w:tcPr>
            <w:tcW w:w="1473" w:type="pct"/>
            <w:vAlign w:val="center"/>
          </w:tcPr>
          <w:p w14:paraId="771FE2B4">
            <w:pPr>
              <w:pStyle w:val="37"/>
              <w:autoSpaceDE w:val="0"/>
              <w:autoSpaceDN w:val="0"/>
              <w:spacing w:before="0" w:after="0"/>
              <w:rPr>
                <w:kern w:val="2"/>
                <w:sz w:val="20"/>
                <w:szCs w:val="20"/>
              </w:rPr>
            </w:pPr>
            <w:r>
              <w:rPr>
                <w:rFonts w:hint="eastAsia"/>
                <w:kern w:val="2"/>
                <w:sz w:val="20"/>
                <w:szCs w:val="20"/>
                <w:lang w:bidi="ar"/>
              </w:rPr>
              <w:t>两个电源供电，两个电源不应同时受到损坏</w:t>
            </w:r>
          </w:p>
        </w:tc>
        <w:tc>
          <w:tcPr>
            <w:tcW w:w="1495" w:type="pct"/>
            <w:vAlign w:val="center"/>
          </w:tcPr>
          <w:p w14:paraId="70F2F6DD">
            <w:pPr>
              <w:pStyle w:val="37"/>
              <w:autoSpaceDE w:val="0"/>
              <w:autoSpaceDN w:val="0"/>
              <w:spacing w:before="0" w:after="0"/>
              <w:rPr>
                <w:kern w:val="2"/>
                <w:sz w:val="20"/>
                <w:szCs w:val="20"/>
              </w:rPr>
            </w:pPr>
            <w:r>
              <w:rPr>
                <w:rFonts w:hint="eastAsia"/>
                <w:kern w:val="2"/>
                <w:sz w:val="20"/>
                <w:szCs w:val="20"/>
                <w:lang w:bidi="ar"/>
              </w:rPr>
              <w:t>两个电源供电，两个电源不应同时受到损坏</w:t>
            </w:r>
          </w:p>
        </w:tc>
        <w:tc>
          <w:tcPr>
            <w:tcW w:w="1187" w:type="pct"/>
            <w:vAlign w:val="center"/>
          </w:tcPr>
          <w:p w14:paraId="55E85C21">
            <w:pPr>
              <w:pStyle w:val="37"/>
              <w:autoSpaceDE w:val="0"/>
              <w:autoSpaceDN w:val="0"/>
              <w:spacing w:before="0" w:after="0"/>
              <w:rPr>
                <w:kern w:val="2"/>
                <w:sz w:val="20"/>
                <w:szCs w:val="20"/>
              </w:rPr>
            </w:pPr>
            <w:r>
              <w:rPr>
                <w:rFonts w:hint="eastAsia"/>
                <w:kern w:val="2"/>
                <w:sz w:val="20"/>
                <w:szCs w:val="20"/>
                <w:lang w:bidi="ar"/>
              </w:rPr>
              <w:t>两回线路供电</w:t>
            </w:r>
          </w:p>
        </w:tc>
      </w:tr>
      <w:tr w14:paraId="0273A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42" w:type="pct"/>
            <w:vMerge w:val="restart"/>
            <w:vAlign w:val="center"/>
          </w:tcPr>
          <w:p w14:paraId="0E94F2C4">
            <w:pPr>
              <w:pStyle w:val="37"/>
              <w:autoSpaceDE w:val="0"/>
              <w:autoSpaceDN w:val="0"/>
              <w:spacing w:before="0" w:after="0"/>
              <w:rPr>
                <w:kern w:val="2"/>
                <w:sz w:val="20"/>
                <w:szCs w:val="20"/>
              </w:rPr>
            </w:pPr>
            <w:r>
              <w:rPr>
                <w:rFonts w:hint="eastAsia"/>
                <w:kern w:val="2"/>
                <w:sz w:val="20"/>
                <w:szCs w:val="20"/>
                <w:lang w:bidi="ar"/>
              </w:rPr>
              <w:t>变压器</w:t>
            </w:r>
          </w:p>
        </w:tc>
        <w:tc>
          <w:tcPr>
            <w:tcW w:w="1473" w:type="pct"/>
            <w:vMerge w:val="restart"/>
            <w:vAlign w:val="center"/>
          </w:tcPr>
          <w:p w14:paraId="5701AB15">
            <w:pPr>
              <w:pStyle w:val="37"/>
              <w:autoSpaceDE w:val="0"/>
              <w:autoSpaceDN w:val="0"/>
              <w:spacing w:before="0" w:after="0"/>
              <w:rPr>
                <w:kern w:val="2"/>
                <w:sz w:val="20"/>
                <w:szCs w:val="20"/>
              </w:rPr>
            </w:pPr>
            <w:r>
              <w:rPr>
                <w:rFonts w:hint="eastAsia"/>
                <w:kern w:val="2"/>
                <w:sz w:val="20"/>
                <w:szCs w:val="20"/>
                <w:lang w:bidi="ar"/>
              </w:rPr>
              <w:t>M（1+1 ）冗余</w:t>
            </w:r>
          </w:p>
          <w:p w14:paraId="541579B1">
            <w:pPr>
              <w:pStyle w:val="37"/>
              <w:autoSpaceDE w:val="0"/>
              <w:autoSpaceDN w:val="0"/>
              <w:spacing w:before="0" w:after="0"/>
              <w:rPr>
                <w:kern w:val="2"/>
                <w:sz w:val="20"/>
                <w:szCs w:val="20"/>
              </w:rPr>
            </w:pPr>
            <w:r>
              <w:rPr>
                <w:rFonts w:hint="eastAsia"/>
                <w:kern w:val="2"/>
                <w:sz w:val="20"/>
                <w:szCs w:val="20"/>
                <w:lang w:bidi="ar"/>
              </w:rPr>
              <w:t>(M=1 、2</w:t>
            </w:r>
            <w:r>
              <w:rPr>
                <w:rFonts w:hint="eastAsia"/>
                <w:spacing w:val="51"/>
                <w:kern w:val="2"/>
                <w:sz w:val="20"/>
                <w:szCs w:val="20"/>
                <w:lang w:bidi="ar"/>
              </w:rPr>
              <w:t xml:space="preserve"> </w:t>
            </w:r>
            <w:r>
              <w:rPr>
                <w:rFonts w:hint="eastAsia"/>
                <w:kern w:val="2"/>
                <w:sz w:val="20"/>
                <w:szCs w:val="20"/>
                <w:lang w:bidi="ar"/>
              </w:rPr>
              <w:t>、3……)</w:t>
            </w:r>
          </w:p>
        </w:tc>
        <w:tc>
          <w:tcPr>
            <w:tcW w:w="1495" w:type="pct"/>
            <w:vAlign w:val="center"/>
          </w:tcPr>
          <w:p w14:paraId="543AA7DF">
            <w:pPr>
              <w:pStyle w:val="37"/>
              <w:autoSpaceDE w:val="0"/>
              <w:autoSpaceDN w:val="0"/>
              <w:spacing w:before="0" w:after="0"/>
              <w:rPr>
                <w:kern w:val="2"/>
                <w:sz w:val="20"/>
                <w:szCs w:val="20"/>
              </w:rPr>
            </w:pPr>
            <w:r>
              <w:rPr>
                <w:rFonts w:hint="eastAsia"/>
                <w:kern w:val="2"/>
                <w:sz w:val="20"/>
                <w:szCs w:val="20"/>
                <w:lang w:bidi="ar"/>
              </w:rPr>
              <w:t>M（1+1 ）冗余</w:t>
            </w:r>
          </w:p>
        </w:tc>
        <w:tc>
          <w:tcPr>
            <w:tcW w:w="1187" w:type="pct"/>
            <w:vMerge w:val="restart"/>
            <w:vAlign w:val="center"/>
          </w:tcPr>
          <w:p w14:paraId="015A6D85">
            <w:pPr>
              <w:pStyle w:val="37"/>
              <w:autoSpaceDE w:val="0"/>
              <w:autoSpaceDN w:val="0"/>
              <w:spacing w:before="0" w:after="0"/>
              <w:rPr>
                <w:kern w:val="2"/>
                <w:sz w:val="20"/>
                <w:szCs w:val="20"/>
              </w:rPr>
            </w:pPr>
            <w:r>
              <w:rPr>
                <w:rFonts w:hint="eastAsia"/>
                <w:w w:val="99"/>
                <w:kern w:val="2"/>
                <w:sz w:val="20"/>
                <w:szCs w:val="20"/>
                <w:lang w:bidi="ar"/>
              </w:rPr>
              <w:t>N</w:t>
            </w:r>
          </w:p>
        </w:tc>
      </w:tr>
      <w:tr w14:paraId="246EE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42" w:type="pct"/>
            <w:vMerge w:val="continue"/>
            <w:vAlign w:val="center"/>
          </w:tcPr>
          <w:p w14:paraId="2E018A0D">
            <w:pPr>
              <w:rPr>
                <w:rFonts w:ascii="Calibri" w:hAnsi="Calibri"/>
                <w:sz w:val="20"/>
                <w:szCs w:val="20"/>
              </w:rPr>
            </w:pPr>
          </w:p>
        </w:tc>
        <w:tc>
          <w:tcPr>
            <w:tcW w:w="1473" w:type="pct"/>
            <w:vMerge w:val="continue"/>
            <w:vAlign w:val="center"/>
          </w:tcPr>
          <w:p w14:paraId="3658B120">
            <w:pPr>
              <w:rPr>
                <w:rFonts w:ascii="Calibri" w:hAnsi="Calibri"/>
                <w:sz w:val="20"/>
                <w:szCs w:val="20"/>
              </w:rPr>
            </w:pPr>
          </w:p>
        </w:tc>
        <w:tc>
          <w:tcPr>
            <w:tcW w:w="1495" w:type="pct"/>
            <w:vAlign w:val="center"/>
          </w:tcPr>
          <w:p w14:paraId="5FA4F25B">
            <w:pPr>
              <w:pStyle w:val="37"/>
              <w:autoSpaceDE w:val="0"/>
              <w:autoSpaceDN w:val="0"/>
              <w:spacing w:before="0" w:after="0"/>
              <w:rPr>
                <w:kern w:val="2"/>
                <w:sz w:val="20"/>
                <w:szCs w:val="20"/>
              </w:rPr>
            </w:pPr>
            <w:r>
              <w:rPr>
                <w:rFonts w:hint="eastAsia"/>
                <w:kern w:val="2"/>
                <w:sz w:val="20"/>
                <w:szCs w:val="20"/>
                <w:lang w:bidi="ar"/>
              </w:rPr>
              <w:t>(M=1</w:t>
            </w:r>
            <w:r>
              <w:rPr>
                <w:rFonts w:hint="eastAsia"/>
                <w:spacing w:val="51"/>
                <w:kern w:val="2"/>
                <w:sz w:val="20"/>
                <w:szCs w:val="20"/>
                <w:lang w:bidi="ar"/>
              </w:rPr>
              <w:t xml:space="preserve"> </w:t>
            </w:r>
            <w:r>
              <w:rPr>
                <w:rFonts w:hint="eastAsia"/>
                <w:kern w:val="2"/>
                <w:sz w:val="20"/>
                <w:szCs w:val="20"/>
                <w:lang w:bidi="ar"/>
              </w:rPr>
              <w:t>、2</w:t>
            </w:r>
            <w:r>
              <w:rPr>
                <w:rFonts w:hint="eastAsia"/>
                <w:spacing w:val="51"/>
                <w:kern w:val="2"/>
                <w:sz w:val="20"/>
                <w:szCs w:val="20"/>
                <w:lang w:bidi="ar"/>
              </w:rPr>
              <w:t xml:space="preserve"> </w:t>
            </w:r>
            <w:r>
              <w:rPr>
                <w:rFonts w:hint="eastAsia"/>
                <w:kern w:val="2"/>
                <w:sz w:val="20"/>
                <w:szCs w:val="20"/>
                <w:lang w:bidi="ar"/>
              </w:rPr>
              <w:t>、3……)</w:t>
            </w:r>
          </w:p>
        </w:tc>
        <w:tc>
          <w:tcPr>
            <w:tcW w:w="1187" w:type="pct"/>
            <w:vMerge w:val="continue"/>
            <w:vAlign w:val="center"/>
          </w:tcPr>
          <w:p w14:paraId="31D2A642">
            <w:pPr>
              <w:rPr>
                <w:rFonts w:ascii="Calibri" w:hAnsi="Calibri"/>
                <w:sz w:val="20"/>
                <w:szCs w:val="20"/>
              </w:rPr>
            </w:pPr>
          </w:p>
        </w:tc>
      </w:tr>
      <w:tr w14:paraId="0C8A7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42" w:type="pct"/>
            <w:vAlign w:val="center"/>
          </w:tcPr>
          <w:p w14:paraId="0470205B">
            <w:pPr>
              <w:pStyle w:val="37"/>
              <w:autoSpaceDE w:val="0"/>
              <w:autoSpaceDN w:val="0"/>
              <w:spacing w:before="0" w:after="0"/>
              <w:rPr>
                <w:kern w:val="2"/>
                <w:sz w:val="20"/>
                <w:szCs w:val="20"/>
              </w:rPr>
            </w:pPr>
            <w:r>
              <w:rPr>
                <w:rFonts w:hint="eastAsia"/>
                <w:kern w:val="2"/>
                <w:sz w:val="20"/>
                <w:szCs w:val="20"/>
                <w:lang w:bidi="ar"/>
              </w:rPr>
              <w:t>后备柴油发电</w:t>
            </w:r>
          </w:p>
        </w:tc>
        <w:tc>
          <w:tcPr>
            <w:tcW w:w="1473" w:type="pct"/>
            <w:vAlign w:val="center"/>
          </w:tcPr>
          <w:p w14:paraId="1440E662">
            <w:pPr>
              <w:pStyle w:val="37"/>
              <w:autoSpaceDE w:val="0"/>
              <w:autoSpaceDN w:val="0"/>
              <w:spacing w:before="0" w:after="0"/>
              <w:rPr>
                <w:kern w:val="2"/>
                <w:sz w:val="20"/>
                <w:szCs w:val="20"/>
              </w:rPr>
            </w:pPr>
            <w:r>
              <w:rPr>
                <w:rFonts w:hint="eastAsia"/>
                <w:kern w:val="2"/>
                <w:sz w:val="20"/>
                <w:szCs w:val="20"/>
                <w:lang w:bidi="ar"/>
              </w:rPr>
              <w:t>N</w:t>
            </w:r>
            <w:r>
              <w:rPr>
                <w:rFonts w:hint="eastAsia"/>
                <w:spacing w:val="51"/>
                <w:kern w:val="2"/>
                <w:sz w:val="20"/>
                <w:szCs w:val="20"/>
                <w:lang w:bidi="ar"/>
              </w:rPr>
              <w:t xml:space="preserve"> </w:t>
            </w:r>
            <w:r>
              <w:rPr>
                <w:rFonts w:hint="eastAsia"/>
                <w:kern w:val="2"/>
                <w:sz w:val="20"/>
                <w:szCs w:val="20"/>
                <w:lang w:bidi="ar"/>
              </w:rPr>
              <w:t>或（N+X）冗余</w:t>
            </w:r>
          </w:p>
          <w:p w14:paraId="7DEBA9F1">
            <w:pPr>
              <w:pStyle w:val="37"/>
              <w:autoSpaceDE w:val="0"/>
              <w:autoSpaceDN w:val="0"/>
              <w:spacing w:before="0" w:after="0"/>
              <w:rPr>
                <w:kern w:val="2"/>
                <w:sz w:val="20"/>
                <w:szCs w:val="20"/>
              </w:rPr>
            </w:pPr>
            <w:r>
              <w:rPr>
                <w:rFonts w:hint="eastAsia"/>
                <w:kern w:val="2"/>
                <w:sz w:val="20"/>
                <w:szCs w:val="20"/>
                <w:lang w:bidi="ar"/>
              </w:rPr>
              <w:t>(X=1 ~N)</w:t>
            </w:r>
          </w:p>
        </w:tc>
        <w:tc>
          <w:tcPr>
            <w:tcW w:w="1495" w:type="pct"/>
            <w:vAlign w:val="center"/>
          </w:tcPr>
          <w:p w14:paraId="620C6FE1">
            <w:pPr>
              <w:pStyle w:val="37"/>
              <w:autoSpaceDE w:val="0"/>
              <w:autoSpaceDN w:val="0"/>
              <w:spacing w:before="0" w:after="0"/>
              <w:rPr>
                <w:kern w:val="2"/>
                <w:sz w:val="20"/>
                <w:szCs w:val="20"/>
              </w:rPr>
            </w:pPr>
            <w:r>
              <w:rPr>
                <w:rFonts w:hint="eastAsia"/>
                <w:kern w:val="2"/>
                <w:sz w:val="20"/>
                <w:szCs w:val="20"/>
                <w:lang w:bidi="ar"/>
              </w:rPr>
              <w:t>N（供电电源不能满足要求时）</w:t>
            </w:r>
          </w:p>
        </w:tc>
        <w:tc>
          <w:tcPr>
            <w:tcW w:w="1187" w:type="pct"/>
            <w:vAlign w:val="center"/>
          </w:tcPr>
          <w:p w14:paraId="4380E6FD">
            <w:pPr>
              <w:pStyle w:val="37"/>
              <w:autoSpaceDE w:val="0"/>
              <w:autoSpaceDN w:val="0"/>
              <w:spacing w:before="0" w:after="0"/>
              <w:rPr>
                <w:kern w:val="2"/>
                <w:sz w:val="20"/>
                <w:szCs w:val="20"/>
              </w:rPr>
            </w:pPr>
            <w:r>
              <w:rPr>
                <w:rFonts w:hint="eastAsia"/>
                <w:kern w:val="2"/>
                <w:sz w:val="20"/>
                <w:szCs w:val="20"/>
                <w:lang w:bidi="ar"/>
              </w:rPr>
              <w:t>UPS 备电能满足信</w:t>
            </w:r>
          </w:p>
          <w:p w14:paraId="59A63539">
            <w:pPr>
              <w:pStyle w:val="37"/>
              <w:autoSpaceDE w:val="0"/>
              <w:autoSpaceDN w:val="0"/>
              <w:spacing w:before="0" w:after="0"/>
              <w:rPr>
                <w:kern w:val="2"/>
                <w:sz w:val="20"/>
                <w:szCs w:val="20"/>
              </w:rPr>
            </w:pPr>
            <w:r>
              <w:rPr>
                <w:rFonts w:hint="eastAsia"/>
                <w:kern w:val="2"/>
                <w:sz w:val="20"/>
                <w:szCs w:val="20"/>
                <w:lang w:bidi="ar"/>
              </w:rPr>
              <w:t>息存储要求时可不配</w:t>
            </w:r>
          </w:p>
        </w:tc>
      </w:tr>
      <w:tr w14:paraId="57F07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42" w:type="pct"/>
            <w:vAlign w:val="center"/>
          </w:tcPr>
          <w:p w14:paraId="2CC30E7C">
            <w:pPr>
              <w:pStyle w:val="37"/>
              <w:autoSpaceDE w:val="0"/>
              <w:autoSpaceDN w:val="0"/>
              <w:spacing w:before="0" w:after="0"/>
              <w:rPr>
                <w:kern w:val="2"/>
                <w:sz w:val="20"/>
                <w:szCs w:val="20"/>
              </w:rPr>
            </w:pPr>
            <w:r>
              <w:rPr>
                <w:rFonts w:hint="eastAsia"/>
                <w:kern w:val="2"/>
                <w:sz w:val="20"/>
                <w:szCs w:val="20"/>
                <w:lang w:bidi="ar"/>
              </w:rPr>
              <w:t>UPS</w:t>
            </w:r>
          </w:p>
        </w:tc>
        <w:tc>
          <w:tcPr>
            <w:tcW w:w="1473" w:type="pct"/>
            <w:vAlign w:val="center"/>
          </w:tcPr>
          <w:p w14:paraId="0C166C8F">
            <w:pPr>
              <w:pStyle w:val="37"/>
              <w:autoSpaceDE w:val="0"/>
              <w:autoSpaceDN w:val="0"/>
              <w:spacing w:before="0" w:after="0"/>
              <w:rPr>
                <w:kern w:val="2"/>
                <w:sz w:val="20"/>
                <w:szCs w:val="20"/>
              </w:rPr>
            </w:pPr>
            <w:r>
              <w:rPr>
                <w:rFonts w:hint="eastAsia"/>
                <w:kern w:val="2"/>
                <w:sz w:val="20"/>
                <w:szCs w:val="20"/>
                <w:lang w:bidi="ar"/>
              </w:rPr>
              <w:t xml:space="preserve">2N </w:t>
            </w:r>
            <w:r>
              <w:rPr>
                <w:rFonts w:hint="eastAsia"/>
                <w:spacing w:val="-27"/>
                <w:kern w:val="2"/>
                <w:sz w:val="20"/>
                <w:szCs w:val="20"/>
                <w:lang w:bidi="ar"/>
              </w:rPr>
              <w:t xml:space="preserve">或 </w:t>
            </w:r>
            <w:r>
              <w:rPr>
                <w:rFonts w:hint="eastAsia"/>
                <w:kern w:val="2"/>
                <w:sz w:val="20"/>
                <w:szCs w:val="20"/>
                <w:lang w:bidi="ar"/>
              </w:rPr>
              <w:t>M（N+1）</w:t>
            </w:r>
            <w:r>
              <w:rPr>
                <w:rFonts w:hint="eastAsia"/>
                <w:spacing w:val="-14"/>
                <w:kern w:val="2"/>
                <w:sz w:val="20"/>
                <w:szCs w:val="20"/>
                <w:lang w:bidi="ar"/>
              </w:rPr>
              <w:t>冗</w:t>
            </w:r>
            <w:r>
              <w:rPr>
                <w:rFonts w:hint="eastAsia"/>
                <w:kern w:val="2"/>
                <w:sz w:val="20"/>
                <w:szCs w:val="20"/>
                <w:lang w:bidi="ar"/>
              </w:rPr>
              <w:t>余（M=2 、3</w:t>
            </w:r>
            <w:r>
              <w:rPr>
                <w:rFonts w:hint="eastAsia"/>
                <w:spacing w:val="51"/>
                <w:kern w:val="2"/>
                <w:sz w:val="20"/>
                <w:szCs w:val="20"/>
                <w:lang w:bidi="ar"/>
              </w:rPr>
              <w:t xml:space="preserve"> </w:t>
            </w:r>
            <w:r>
              <w:rPr>
                <w:rFonts w:hint="eastAsia"/>
                <w:kern w:val="2"/>
                <w:sz w:val="20"/>
                <w:szCs w:val="20"/>
                <w:lang w:bidi="ar"/>
              </w:rPr>
              <w:t>、4……）</w:t>
            </w:r>
          </w:p>
        </w:tc>
        <w:tc>
          <w:tcPr>
            <w:tcW w:w="1495" w:type="pct"/>
            <w:vAlign w:val="center"/>
          </w:tcPr>
          <w:p w14:paraId="54DCA195">
            <w:pPr>
              <w:pStyle w:val="37"/>
              <w:autoSpaceDE w:val="0"/>
              <w:autoSpaceDN w:val="0"/>
              <w:spacing w:before="0" w:after="0"/>
              <w:rPr>
                <w:kern w:val="2"/>
                <w:sz w:val="20"/>
                <w:szCs w:val="20"/>
              </w:rPr>
            </w:pPr>
            <w:r>
              <w:rPr>
                <w:rFonts w:hint="eastAsia"/>
                <w:kern w:val="2"/>
                <w:sz w:val="20"/>
                <w:szCs w:val="20"/>
                <w:lang w:bidi="ar"/>
              </w:rPr>
              <w:t>N+X 冗余 （X=1  ～N）</w:t>
            </w:r>
          </w:p>
        </w:tc>
        <w:tc>
          <w:tcPr>
            <w:tcW w:w="1187" w:type="pct"/>
            <w:vAlign w:val="center"/>
          </w:tcPr>
          <w:p w14:paraId="72E5AE51">
            <w:pPr>
              <w:pStyle w:val="37"/>
              <w:autoSpaceDE w:val="0"/>
              <w:autoSpaceDN w:val="0"/>
              <w:spacing w:before="0" w:after="0"/>
              <w:rPr>
                <w:kern w:val="2"/>
                <w:sz w:val="20"/>
                <w:szCs w:val="20"/>
              </w:rPr>
            </w:pPr>
            <w:r>
              <w:rPr>
                <w:rFonts w:hint="eastAsia"/>
                <w:w w:val="99"/>
                <w:kern w:val="2"/>
                <w:sz w:val="20"/>
                <w:szCs w:val="20"/>
                <w:lang w:bidi="ar"/>
              </w:rPr>
              <w:t>N</w:t>
            </w:r>
          </w:p>
        </w:tc>
      </w:tr>
    </w:tbl>
    <w:p w14:paraId="1D67F4C8">
      <w:pPr>
        <w:pStyle w:val="3"/>
        <w:spacing w:before="240"/>
      </w:pPr>
      <w:r>
        <w:rPr>
          <w:rFonts w:hint="eastAsia"/>
        </w:rPr>
        <w:t>供配电容量规划</w:t>
      </w:r>
    </w:p>
    <w:p w14:paraId="29C7C01E">
      <w:pPr>
        <w:autoSpaceDE w:val="0"/>
        <w:autoSpaceDN w:val="0"/>
        <w:ind w:left="972" w:right="733" w:firstLine="420"/>
        <w:jc w:val="center"/>
        <w:rPr>
          <w:rFonts w:ascii="宋体" w:hAnsi="宋体"/>
          <w:szCs w:val="22"/>
          <w:lang w:bidi="ar"/>
        </w:rPr>
      </w:pPr>
      <w:r>
        <w:rPr>
          <w:rFonts w:hint="eastAsia" w:ascii="宋体" w:hAnsi="宋体"/>
          <w:szCs w:val="22"/>
          <w:lang w:bidi="ar"/>
        </w:rPr>
        <w:t>供配电容量规划表</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0"/>
        <w:gridCol w:w="1809"/>
        <w:gridCol w:w="1056"/>
        <w:gridCol w:w="1056"/>
        <w:gridCol w:w="1543"/>
        <w:gridCol w:w="1575"/>
        <w:gridCol w:w="1165"/>
      </w:tblGrid>
      <w:tr w14:paraId="7670E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000" w:type="pct"/>
            <w:gridSpan w:val="7"/>
            <w:vAlign w:val="center"/>
          </w:tcPr>
          <w:p w14:paraId="6D326ECD">
            <w:pPr>
              <w:widowControl/>
              <w:jc w:val="center"/>
              <w:rPr>
                <w:rFonts w:ascii="宋体" w:hAnsi="宋体"/>
                <w:b/>
                <w:bCs/>
                <w:szCs w:val="21"/>
              </w:rPr>
            </w:pPr>
            <w:r>
              <w:rPr>
                <w:rFonts w:hint="eastAsia" w:ascii="宋体" w:hAnsi="宋体"/>
                <w:b/>
                <w:bCs/>
                <w:szCs w:val="21"/>
              </w:rPr>
              <w:t>供配电容量规划</w:t>
            </w:r>
          </w:p>
        </w:tc>
      </w:tr>
      <w:tr w14:paraId="05BD9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37" w:type="pct"/>
            <w:vAlign w:val="center"/>
          </w:tcPr>
          <w:p w14:paraId="523698BC">
            <w:pPr>
              <w:widowControl/>
              <w:jc w:val="center"/>
              <w:rPr>
                <w:rFonts w:ascii="宋体" w:hAnsi="宋体"/>
                <w:b/>
                <w:bCs/>
                <w:szCs w:val="21"/>
              </w:rPr>
            </w:pPr>
            <w:r>
              <w:rPr>
                <w:rFonts w:hint="eastAsia" w:ascii="宋体" w:hAnsi="宋体"/>
                <w:b/>
                <w:bCs/>
                <w:szCs w:val="21"/>
              </w:rPr>
              <w:t>功耗类型</w:t>
            </w:r>
          </w:p>
        </w:tc>
        <w:tc>
          <w:tcPr>
            <w:tcW w:w="918" w:type="pct"/>
            <w:vAlign w:val="center"/>
          </w:tcPr>
          <w:p w14:paraId="4DED4EF9">
            <w:pPr>
              <w:widowControl/>
              <w:jc w:val="center"/>
              <w:rPr>
                <w:rFonts w:ascii="宋体" w:hAnsi="宋体"/>
                <w:b/>
                <w:bCs/>
                <w:szCs w:val="21"/>
              </w:rPr>
            </w:pPr>
            <w:r>
              <w:rPr>
                <w:rFonts w:hint="eastAsia" w:ascii="宋体" w:hAnsi="宋体"/>
                <w:b/>
                <w:bCs/>
                <w:szCs w:val="21"/>
              </w:rPr>
              <w:t>机房区域</w:t>
            </w:r>
          </w:p>
        </w:tc>
        <w:tc>
          <w:tcPr>
            <w:tcW w:w="536" w:type="pct"/>
            <w:vAlign w:val="center"/>
          </w:tcPr>
          <w:p w14:paraId="415238AC">
            <w:pPr>
              <w:widowControl/>
              <w:jc w:val="center"/>
              <w:rPr>
                <w:rFonts w:ascii="宋体" w:hAnsi="宋体"/>
                <w:b/>
                <w:bCs/>
                <w:szCs w:val="21"/>
              </w:rPr>
            </w:pPr>
            <w:r>
              <w:rPr>
                <w:rFonts w:hint="eastAsia" w:ascii="宋体" w:hAnsi="宋体"/>
                <w:b/>
                <w:bCs/>
                <w:szCs w:val="21"/>
              </w:rPr>
              <w:t>机房区域</w:t>
            </w:r>
          </w:p>
        </w:tc>
        <w:tc>
          <w:tcPr>
            <w:tcW w:w="536" w:type="pct"/>
            <w:vAlign w:val="center"/>
          </w:tcPr>
          <w:p w14:paraId="42EB93BF">
            <w:pPr>
              <w:widowControl/>
              <w:jc w:val="center"/>
              <w:rPr>
                <w:rFonts w:ascii="宋体" w:hAnsi="宋体"/>
                <w:b/>
                <w:bCs/>
                <w:szCs w:val="21"/>
              </w:rPr>
            </w:pPr>
            <w:r>
              <w:rPr>
                <w:rFonts w:hint="eastAsia" w:ascii="宋体" w:hAnsi="宋体"/>
                <w:b/>
                <w:bCs/>
                <w:szCs w:val="21"/>
              </w:rPr>
              <w:t>机柜数量（台）</w:t>
            </w:r>
          </w:p>
        </w:tc>
        <w:tc>
          <w:tcPr>
            <w:tcW w:w="783" w:type="pct"/>
            <w:vAlign w:val="center"/>
          </w:tcPr>
          <w:p w14:paraId="434E44A5">
            <w:pPr>
              <w:widowControl/>
              <w:jc w:val="center"/>
              <w:rPr>
                <w:rFonts w:ascii="宋体" w:hAnsi="宋体"/>
                <w:b/>
                <w:bCs/>
                <w:szCs w:val="21"/>
              </w:rPr>
            </w:pPr>
            <w:r>
              <w:rPr>
                <w:rFonts w:hint="eastAsia" w:ascii="宋体" w:hAnsi="宋体"/>
                <w:b/>
                <w:bCs/>
                <w:szCs w:val="21"/>
              </w:rPr>
              <w:t>单柜功率密度</w:t>
            </w:r>
          </w:p>
        </w:tc>
        <w:tc>
          <w:tcPr>
            <w:tcW w:w="796" w:type="pct"/>
            <w:vAlign w:val="center"/>
          </w:tcPr>
          <w:p w14:paraId="6E446F66">
            <w:pPr>
              <w:widowControl/>
              <w:jc w:val="center"/>
              <w:rPr>
                <w:rFonts w:ascii="宋体" w:hAnsi="宋体"/>
                <w:b/>
                <w:bCs/>
                <w:szCs w:val="21"/>
              </w:rPr>
            </w:pPr>
            <w:r>
              <w:rPr>
                <w:rFonts w:hint="eastAsia" w:ascii="宋体" w:hAnsi="宋体"/>
                <w:b/>
                <w:bCs/>
                <w:szCs w:val="21"/>
              </w:rPr>
              <w:t>负载：</w:t>
            </w:r>
            <w:r>
              <w:rPr>
                <w:b/>
                <w:bCs/>
                <w:szCs w:val="21"/>
              </w:rPr>
              <w:t>kW</w:t>
            </w:r>
          </w:p>
        </w:tc>
        <w:tc>
          <w:tcPr>
            <w:tcW w:w="589" w:type="pct"/>
            <w:vAlign w:val="center"/>
          </w:tcPr>
          <w:p w14:paraId="2DA6F44C">
            <w:pPr>
              <w:widowControl/>
              <w:jc w:val="center"/>
              <w:rPr>
                <w:rFonts w:ascii="宋体" w:hAnsi="宋体"/>
                <w:b/>
                <w:bCs/>
                <w:szCs w:val="21"/>
              </w:rPr>
            </w:pPr>
            <w:r>
              <w:rPr>
                <w:rFonts w:hint="eastAsia" w:ascii="宋体" w:hAnsi="宋体"/>
                <w:b/>
                <w:bCs/>
                <w:szCs w:val="21"/>
              </w:rPr>
              <w:t>合计：kW</w:t>
            </w:r>
          </w:p>
        </w:tc>
      </w:tr>
      <w:tr w14:paraId="789DD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37" w:type="pct"/>
            <w:vAlign w:val="center"/>
          </w:tcPr>
          <w:p w14:paraId="770FE0CC">
            <w:pPr>
              <w:widowControl/>
              <w:jc w:val="center"/>
              <w:rPr>
                <w:szCs w:val="21"/>
              </w:rPr>
            </w:pPr>
            <w:r>
              <w:rPr>
                <w:szCs w:val="21"/>
              </w:rPr>
              <w:t>P1</w:t>
            </w:r>
            <w:r>
              <w:rPr>
                <w:rFonts w:hint="eastAsia" w:ascii="宋体" w:hAnsi="宋体"/>
                <w:szCs w:val="21"/>
              </w:rPr>
              <w:t>：</w:t>
            </w:r>
            <w:r>
              <w:rPr>
                <w:szCs w:val="21"/>
              </w:rPr>
              <w:t>IT</w:t>
            </w:r>
            <w:r>
              <w:rPr>
                <w:rFonts w:hint="eastAsia" w:ascii="宋体" w:hAnsi="宋体"/>
                <w:szCs w:val="21"/>
              </w:rPr>
              <w:t>设备用电负荷：kW</w:t>
            </w:r>
          </w:p>
        </w:tc>
        <w:tc>
          <w:tcPr>
            <w:tcW w:w="918" w:type="pct"/>
            <w:vAlign w:val="center"/>
          </w:tcPr>
          <w:p w14:paraId="1642A78F">
            <w:pPr>
              <w:widowControl/>
              <w:jc w:val="center"/>
              <w:rPr>
                <w:rFonts w:ascii="宋体" w:hAnsi="宋体"/>
                <w:szCs w:val="21"/>
              </w:rPr>
            </w:pPr>
            <w:r>
              <w:rPr>
                <w:rFonts w:hint="eastAsia" w:ascii="宋体" w:hAnsi="宋体"/>
                <w:szCs w:val="21"/>
              </w:rPr>
              <w:t>数据中心机房</w:t>
            </w:r>
          </w:p>
        </w:tc>
        <w:tc>
          <w:tcPr>
            <w:tcW w:w="536" w:type="pct"/>
            <w:noWrap/>
            <w:vAlign w:val="center"/>
          </w:tcPr>
          <w:p w14:paraId="3051B187">
            <w:pPr>
              <w:widowControl/>
              <w:jc w:val="left"/>
              <w:rPr>
                <w:szCs w:val="21"/>
              </w:rPr>
            </w:pPr>
            <w:r>
              <w:rPr>
                <w:szCs w:val="21"/>
              </w:rPr>
              <w:t>IT</w:t>
            </w:r>
            <w:r>
              <w:rPr>
                <w:rFonts w:hint="eastAsia" w:ascii="宋体" w:hAnsi="宋体"/>
                <w:szCs w:val="21"/>
              </w:rPr>
              <w:t>机柜</w:t>
            </w:r>
          </w:p>
        </w:tc>
        <w:tc>
          <w:tcPr>
            <w:tcW w:w="536" w:type="pct"/>
            <w:noWrap/>
            <w:vAlign w:val="center"/>
          </w:tcPr>
          <w:p w14:paraId="1C1F62CD">
            <w:pPr>
              <w:widowControl/>
              <w:jc w:val="center"/>
              <w:rPr>
                <w:szCs w:val="21"/>
              </w:rPr>
            </w:pPr>
            <w:r>
              <w:rPr>
                <w:rFonts w:hint="eastAsia"/>
                <w:szCs w:val="21"/>
              </w:rPr>
              <w:t>30</w:t>
            </w:r>
          </w:p>
        </w:tc>
        <w:tc>
          <w:tcPr>
            <w:tcW w:w="783" w:type="pct"/>
            <w:noWrap/>
            <w:vAlign w:val="center"/>
          </w:tcPr>
          <w:p w14:paraId="1E94B759">
            <w:pPr>
              <w:widowControl/>
              <w:jc w:val="center"/>
              <w:rPr>
                <w:szCs w:val="21"/>
              </w:rPr>
            </w:pPr>
            <w:r>
              <w:rPr>
                <w:szCs w:val="21"/>
              </w:rPr>
              <w:t>7</w:t>
            </w:r>
          </w:p>
        </w:tc>
        <w:tc>
          <w:tcPr>
            <w:tcW w:w="796" w:type="pct"/>
            <w:noWrap/>
            <w:vAlign w:val="center"/>
          </w:tcPr>
          <w:p w14:paraId="440B312E">
            <w:pPr>
              <w:widowControl/>
              <w:jc w:val="center"/>
              <w:rPr>
                <w:szCs w:val="21"/>
              </w:rPr>
            </w:pPr>
            <w:r>
              <w:rPr>
                <w:rFonts w:hint="eastAsia"/>
                <w:szCs w:val="21"/>
              </w:rPr>
              <w:t>210</w:t>
            </w:r>
          </w:p>
        </w:tc>
        <w:tc>
          <w:tcPr>
            <w:tcW w:w="589" w:type="pct"/>
            <w:noWrap/>
            <w:vAlign w:val="center"/>
          </w:tcPr>
          <w:p w14:paraId="6FE93CDF">
            <w:pPr>
              <w:widowControl/>
              <w:jc w:val="center"/>
              <w:rPr>
                <w:szCs w:val="21"/>
              </w:rPr>
            </w:pPr>
            <w:r>
              <w:rPr>
                <w:rFonts w:hint="eastAsia"/>
                <w:szCs w:val="21"/>
              </w:rPr>
              <w:t>210</w:t>
            </w:r>
          </w:p>
        </w:tc>
      </w:tr>
      <w:tr w14:paraId="26F57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trPr>
        <w:tc>
          <w:tcPr>
            <w:tcW w:w="837" w:type="pct"/>
            <w:vAlign w:val="center"/>
          </w:tcPr>
          <w:p w14:paraId="73589F14">
            <w:pPr>
              <w:widowControl/>
              <w:jc w:val="left"/>
              <w:rPr>
                <w:szCs w:val="21"/>
              </w:rPr>
            </w:pPr>
            <w:r>
              <w:rPr>
                <w:szCs w:val="21"/>
              </w:rPr>
              <w:t>P2</w:t>
            </w:r>
            <w:r>
              <w:rPr>
                <w:rFonts w:hint="eastAsia" w:ascii="宋体" w:hAnsi="宋体"/>
                <w:szCs w:val="21"/>
              </w:rPr>
              <w:t>：安防和监控系统供电负荷（</w:t>
            </w:r>
            <w:r>
              <w:rPr>
                <w:szCs w:val="21"/>
              </w:rPr>
              <w:t>kW</w:t>
            </w:r>
            <w:r>
              <w:rPr>
                <w:rFonts w:hint="eastAsia"/>
                <w:szCs w:val="21"/>
              </w:rPr>
              <w:t>）</w:t>
            </w:r>
          </w:p>
        </w:tc>
        <w:tc>
          <w:tcPr>
            <w:tcW w:w="3572" w:type="pct"/>
            <w:gridSpan w:val="5"/>
            <w:noWrap/>
            <w:vAlign w:val="center"/>
          </w:tcPr>
          <w:p w14:paraId="795806DC">
            <w:pPr>
              <w:widowControl/>
              <w:jc w:val="center"/>
              <w:rPr>
                <w:rFonts w:ascii="宋体" w:hAnsi="宋体"/>
                <w:szCs w:val="21"/>
              </w:rPr>
            </w:pPr>
            <w:r>
              <w:rPr>
                <w:rFonts w:hint="eastAsia" w:ascii="宋体" w:hAnsi="宋体"/>
                <w:szCs w:val="21"/>
              </w:rPr>
              <w:t>按</w:t>
            </w:r>
            <w:r>
              <w:rPr>
                <w:szCs w:val="21"/>
              </w:rPr>
              <w:t>IT</w:t>
            </w:r>
            <w:r>
              <w:rPr>
                <w:rFonts w:hint="eastAsia" w:ascii="宋体" w:hAnsi="宋体"/>
                <w:szCs w:val="21"/>
              </w:rPr>
              <w:t>设备用电负荷</w:t>
            </w:r>
            <w:r>
              <w:rPr>
                <w:szCs w:val="21"/>
              </w:rPr>
              <w:t>2%</w:t>
            </w:r>
          </w:p>
        </w:tc>
        <w:tc>
          <w:tcPr>
            <w:tcW w:w="589" w:type="pct"/>
            <w:noWrap/>
            <w:vAlign w:val="center"/>
          </w:tcPr>
          <w:p w14:paraId="1291E1FA">
            <w:pPr>
              <w:widowControl/>
              <w:jc w:val="center"/>
              <w:rPr>
                <w:szCs w:val="21"/>
              </w:rPr>
            </w:pPr>
            <w:r>
              <w:rPr>
                <w:rFonts w:hint="eastAsia"/>
                <w:szCs w:val="21"/>
              </w:rPr>
              <w:t>10.92</w:t>
            </w:r>
          </w:p>
        </w:tc>
      </w:tr>
      <w:tr w14:paraId="5B4E7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2" w:hRule="atLeast"/>
        </w:trPr>
        <w:tc>
          <w:tcPr>
            <w:tcW w:w="837" w:type="pct"/>
            <w:vAlign w:val="center"/>
          </w:tcPr>
          <w:p w14:paraId="4791C6B4">
            <w:pPr>
              <w:widowControl/>
              <w:jc w:val="left"/>
              <w:rPr>
                <w:szCs w:val="21"/>
              </w:rPr>
            </w:pPr>
            <w:r>
              <w:rPr>
                <w:szCs w:val="21"/>
              </w:rPr>
              <w:t>P3</w:t>
            </w:r>
            <w:r>
              <w:rPr>
                <w:rFonts w:hint="eastAsia" w:ascii="宋体" w:hAnsi="宋体"/>
                <w:szCs w:val="21"/>
              </w:rPr>
              <w:t>：照明系统用电负荷（</w:t>
            </w:r>
            <w:r>
              <w:rPr>
                <w:szCs w:val="21"/>
              </w:rPr>
              <w:t>kW</w:t>
            </w:r>
            <w:r>
              <w:rPr>
                <w:rFonts w:hint="eastAsia"/>
                <w:szCs w:val="21"/>
              </w:rPr>
              <w:t>）</w:t>
            </w:r>
          </w:p>
        </w:tc>
        <w:tc>
          <w:tcPr>
            <w:tcW w:w="918" w:type="pct"/>
            <w:vAlign w:val="center"/>
          </w:tcPr>
          <w:p w14:paraId="29E1877F">
            <w:pPr>
              <w:widowControl/>
              <w:jc w:val="left"/>
              <w:rPr>
                <w:rFonts w:ascii="宋体" w:hAnsi="宋体"/>
                <w:szCs w:val="21"/>
              </w:rPr>
            </w:pPr>
            <w:r>
              <w:rPr>
                <w:rFonts w:hint="eastAsia" w:ascii="宋体" w:hAnsi="宋体"/>
                <w:szCs w:val="21"/>
              </w:rPr>
              <w:t>机房规划总面积：㎡</w:t>
            </w:r>
          </w:p>
        </w:tc>
        <w:tc>
          <w:tcPr>
            <w:tcW w:w="536" w:type="pct"/>
            <w:noWrap/>
            <w:vAlign w:val="center"/>
          </w:tcPr>
          <w:p w14:paraId="6B75652E">
            <w:pPr>
              <w:widowControl/>
              <w:jc w:val="center"/>
              <w:rPr>
                <w:rFonts w:ascii="宋体" w:hAnsi="宋体"/>
                <w:szCs w:val="21"/>
              </w:rPr>
            </w:pPr>
            <w:r>
              <w:rPr>
                <w:rFonts w:hint="eastAsia" w:ascii="宋体" w:hAnsi="宋体"/>
                <w:szCs w:val="21"/>
              </w:rPr>
              <w:t>约</w:t>
            </w:r>
            <w:r>
              <w:rPr>
                <w:szCs w:val="21"/>
              </w:rPr>
              <w:t xml:space="preserve"> </w:t>
            </w:r>
            <w:r>
              <w:rPr>
                <w:rFonts w:hint="eastAsia"/>
                <w:szCs w:val="21"/>
              </w:rPr>
              <w:t>434</w:t>
            </w:r>
          </w:p>
        </w:tc>
        <w:tc>
          <w:tcPr>
            <w:tcW w:w="536" w:type="pct"/>
            <w:vAlign w:val="center"/>
          </w:tcPr>
          <w:p w14:paraId="46C15C42">
            <w:pPr>
              <w:widowControl/>
              <w:jc w:val="left"/>
              <w:rPr>
                <w:rFonts w:ascii="宋体" w:hAnsi="宋体"/>
                <w:szCs w:val="21"/>
              </w:rPr>
            </w:pPr>
            <w:r>
              <w:rPr>
                <w:rFonts w:hint="eastAsia" w:ascii="宋体" w:hAnsi="宋体"/>
                <w:szCs w:val="21"/>
              </w:rPr>
              <w:t>单位面积照明功率：</w:t>
            </w:r>
            <w:r>
              <w:rPr>
                <w:szCs w:val="21"/>
              </w:rPr>
              <w:t>W/m2</w:t>
            </w:r>
          </w:p>
        </w:tc>
        <w:tc>
          <w:tcPr>
            <w:tcW w:w="1580" w:type="pct"/>
            <w:gridSpan w:val="2"/>
            <w:noWrap/>
            <w:vAlign w:val="center"/>
          </w:tcPr>
          <w:p w14:paraId="4D107B4C">
            <w:pPr>
              <w:widowControl/>
              <w:jc w:val="center"/>
              <w:rPr>
                <w:szCs w:val="21"/>
              </w:rPr>
            </w:pPr>
            <w:r>
              <w:rPr>
                <w:szCs w:val="21"/>
              </w:rPr>
              <w:t>20</w:t>
            </w:r>
          </w:p>
        </w:tc>
        <w:tc>
          <w:tcPr>
            <w:tcW w:w="589" w:type="pct"/>
            <w:noWrap/>
            <w:vAlign w:val="center"/>
          </w:tcPr>
          <w:p w14:paraId="6C6ED542">
            <w:pPr>
              <w:widowControl/>
              <w:jc w:val="center"/>
              <w:rPr>
                <w:szCs w:val="21"/>
              </w:rPr>
            </w:pPr>
            <w:r>
              <w:rPr>
                <w:rFonts w:hint="eastAsia"/>
                <w:szCs w:val="21"/>
              </w:rPr>
              <w:t>8.69</w:t>
            </w:r>
          </w:p>
        </w:tc>
      </w:tr>
      <w:tr w14:paraId="5792F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2" w:hRule="atLeast"/>
        </w:trPr>
        <w:tc>
          <w:tcPr>
            <w:tcW w:w="837" w:type="pct"/>
            <w:vAlign w:val="center"/>
          </w:tcPr>
          <w:p w14:paraId="1C8DB667">
            <w:pPr>
              <w:widowControl/>
              <w:jc w:val="left"/>
              <w:rPr>
                <w:szCs w:val="21"/>
              </w:rPr>
            </w:pPr>
            <w:r>
              <w:rPr>
                <w:szCs w:val="21"/>
              </w:rPr>
              <w:t>P4</w:t>
            </w:r>
            <w:r>
              <w:rPr>
                <w:rFonts w:hint="eastAsia" w:ascii="宋体" w:hAnsi="宋体"/>
                <w:szCs w:val="21"/>
              </w:rPr>
              <w:t>：应急照明用电负荷（</w:t>
            </w:r>
            <w:r>
              <w:rPr>
                <w:szCs w:val="21"/>
              </w:rPr>
              <w:t>kW</w:t>
            </w:r>
            <w:r>
              <w:rPr>
                <w:rFonts w:hint="eastAsia"/>
                <w:szCs w:val="21"/>
              </w:rPr>
              <w:t>）</w:t>
            </w:r>
          </w:p>
        </w:tc>
        <w:tc>
          <w:tcPr>
            <w:tcW w:w="3572" w:type="pct"/>
            <w:gridSpan w:val="5"/>
            <w:vAlign w:val="center"/>
          </w:tcPr>
          <w:p w14:paraId="6D4D2588">
            <w:pPr>
              <w:widowControl/>
              <w:jc w:val="center"/>
              <w:rPr>
                <w:rFonts w:ascii="宋体" w:hAnsi="宋体"/>
                <w:szCs w:val="21"/>
              </w:rPr>
            </w:pPr>
            <w:r>
              <w:rPr>
                <w:rFonts w:hint="eastAsia" w:ascii="宋体" w:hAnsi="宋体"/>
                <w:szCs w:val="21"/>
              </w:rPr>
              <w:t>按照明系统</w:t>
            </w:r>
            <w:r>
              <w:rPr>
                <w:szCs w:val="21"/>
              </w:rPr>
              <w:t>0.2</w:t>
            </w:r>
            <w:r>
              <w:rPr>
                <w:rFonts w:hint="eastAsia" w:ascii="宋体" w:hAnsi="宋体"/>
                <w:szCs w:val="21"/>
              </w:rPr>
              <w:t>系数规划</w:t>
            </w:r>
          </w:p>
        </w:tc>
        <w:tc>
          <w:tcPr>
            <w:tcW w:w="589" w:type="pct"/>
            <w:noWrap/>
            <w:vAlign w:val="center"/>
          </w:tcPr>
          <w:p w14:paraId="031E3C1B">
            <w:pPr>
              <w:widowControl/>
              <w:jc w:val="center"/>
              <w:rPr>
                <w:szCs w:val="21"/>
              </w:rPr>
            </w:pPr>
            <w:r>
              <w:rPr>
                <w:szCs w:val="21"/>
              </w:rPr>
              <w:t>1.</w:t>
            </w:r>
            <w:r>
              <w:rPr>
                <w:rFonts w:hint="eastAsia"/>
                <w:szCs w:val="21"/>
              </w:rPr>
              <w:t>74</w:t>
            </w:r>
          </w:p>
        </w:tc>
      </w:tr>
      <w:tr w14:paraId="0E7C9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837" w:type="pct"/>
            <w:vAlign w:val="center"/>
          </w:tcPr>
          <w:p w14:paraId="4DBDE3CB">
            <w:pPr>
              <w:widowControl/>
              <w:jc w:val="left"/>
              <w:rPr>
                <w:szCs w:val="21"/>
              </w:rPr>
            </w:pPr>
            <w:r>
              <w:rPr>
                <w:szCs w:val="21"/>
              </w:rPr>
              <w:t>P5</w:t>
            </w:r>
            <w:r>
              <w:rPr>
                <w:rFonts w:hint="eastAsia" w:ascii="宋体" w:hAnsi="宋体"/>
                <w:szCs w:val="21"/>
              </w:rPr>
              <w:t>：</w:t>
            </w:r>
            <w:r>
              <w:rPr>
                <w:szCs w:val="21"/>
              </w:rPr>
              <w:t>UPS</w:t>
            </w:r>
            <w:r>
              <w:rPr>
                <w:rFonts w:hint="eastAsia" w:ascii="宋体" w:hAnsi="宋体"/>
                <w:szCs w:val="21"/>
              </w:rPr>
              <w:t>带载负荷（</w:t>
            </w:r>
            <w:r>
              <w:rPr>
                <w:szCs w:val="21"/>
              </w:rPr>
              <w:t>kW</w:t>
            </w:r>
            <w:r>
              <w:rPr>
                <w:rFonts w:hint="eastAsia"/>
                <w:szCs w:val="21"/>
              </w:rPr>
              <w:t>）</w:t>
            </w:r>
          </w:p>
        </w:tc>
        <w:tc>
          <w:tcPr>
            <w:tcW w:w="3572" w:type="pct"/>
            <w:gridSpan w:val="5"/>
            <w:vAlign w:val="center"/>
          </w:tcPr>
          <w:p w14:paraId="366C0C39">
            <w:pPr>
              <w:widowControl/>
              <w:jc w:val="center"/>
              <w:rPr>
                <w:szCs w:val="21"/>
              </w:rPr>
            </w:pPr>
            <w:r>
              <w:rPr>
                <w:szCs w:val="21"/>
              </w:rPr>
              <w:t>P5=P1+P2+P4</w:t>
            </w:r>
          </w:p>
        </w:tc>
        <w:tc>
          <w:tcPr>
            <w:tcW w:w="589" w:type="pct"/>
            <w:noWrap/>
            <w:vAlign w:val="center"/>
          </w:tcPr>
          <w:p w14:paraId="384738AB">
            <w:pPr>
              <w:widowControl/>
              <w:jc w:val="center"/>
              <w:rPr>
                <w:szCs w:val="21"/>
              </w:rPr>
            </w:pPr>
            <w:r>
              <w:rPr>
                <w:rFonts w:hint="eastAsia"/>
                <w:szCs w:val="21"/>
              </w:rPr>
              <w:t>558.66</w:t>
            </w:r>
          </w:p>
        </w:tc>
      </w:tr>
      <w:tr w14:paraId="1CE48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837" w:type="pct"/>
            <w:vAlign w:val="center"/>
          </w:tcPr>
          <w:p w14:paraId="6D317324">
            <w:pPr>
              <w:widowControl/>
              <w:jc w:val="left"/>
              <w:rPr>
                <w:szCs w:val="21"/>
              </w:rPr>
            </w:pPr>
            <w:r>
              <w:rPr>
                <w:szCs w:val="21"/>
              </w:rPr>
              <w:t>P6</w:t>
            </w:r>
            <w:r>
              <w:rPr>
                <w:rFonts w:hint="eastAsia" w:ascii="宋体" w:hAnsi="宋体"/>
                <w:szCs w:val="21"/>
              </w:rPr>
              <w:t>：</w:t>
            </w:r>
            <w:r>
              <w:rPr>
                <w:szCs w:val="21"/>
              </w:rPr>
              <w:t>UPS</w:t>
            </w:r>
            <w:r>
              <w:rPr>
                <w:rFonts w:hint="eastAsia" w:ascii="宋体" w:hAnsi="宋体"/>
                <w:szCs w:val="21"/>
              </w:rPr>
              <w:t>总容量（</w:t>
            </w:r>
            <w:r>
              <w:rPr>
                <w:szCs w:val="21"/>
              </w:rPr>
              <w:t>kVA</w:t>
            </w:r>
            <w:r>
              <w:rPr>
                <w:rFonts w:hint="eastAsia"/>
                <w:szCs w:val="21"/>
              </w:rPr>
              <w:t>）</w:t>
            </w:r>
          </w:p>
        </w:tc>
        <w:tc>
          <w:tcPr>
            <w:tcW w:w="3572" w:type="pct"/>
            <w:gridSpan w:val="5"/>
            <w:vAlign w:val="center"/>
          </w:tcPr>
          <w:p w14:paraId="11038476">
            <w:pPr>
              <w:widowControl/>
              <w:jc w:val="center"/>
              <w:rPr>
                <w:szCs w:val="21"/>
              </w:rPr>
            </w:pPr>
            <w:r>
              <w:rPr>
                <w:szCs w:val="21"/>
              </w:rPr>
              <w:t>P6=P5/</w:t>
            </w:r>
            <w:r>
              <w:rPr>
                <w:rFonts w:hint="eastAsia" w:ascii="宋体" w:hAnsi="宋体"/>
                <w:szCs w:val="21"/>
              </w:rPr>
              <w:t>负载率（</w:t>
            </w:r>
            <w:r>
              <w:rPr>
                <w:szCs w:val="21"/>
              </w:rPr>
              <w:t xml:space="preserve">0.95) / </w:t>
            </w:r>
            <w:r>
              <w:rPr>
                <w:rFonts w:hint="eastAsia" w:ascii="宋体" w:hAnsi="宋体"/>
                <w:szCs w:val="21"/>
              </w:rPr>
              <w:t>功率因数（</w:t>
            </w:r>
            <w:r>
              <w:rPr>
                <w:szCs w:val="21"/>
              </w:rPr>
              <w:t>1) * 1.2</w:t>
            </w:r>
          </w:p>
        </w:tc>
        <w:tc>
          <w:tcPr>
            <w:tcW w:w="589" w:type="pct"/>
            <w:noWrap/>
            <w:vAlign w:val="center"/>
          </w:tcPr>
          <w:p w14:paraId="236C1FD0">
            <w:pPr>
              <w:widowControl/>
              <w:jc w:val="center"/>
              <w:rPr>
                <w:szCs w:val="21"/>
              </w:rPr>
            </w:pPr>
            <w:r>
              <w:rPr>
                <w:rFonts w:hint="eastAsia"/>
                <w:szCs w:val="21"/>
              </w:rPr>
              <w:t>705.68</w:t>
            </w:r>
          </w:p>
        </w:tc>
      </w:tr>
      <w:tr w14:paraId="68F2A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37" w:type="pct"/>
            <w:vAlign w:val="center"/>
          </w:tcPr>
          <w:p w14:paraId="7A5F1AFE">
            <w:pPr>
              <w:widowControl/>
              <w:jc w:val="left"/>
              <w:rPr>
                <w:szCs w:val="21"/>
              </w:rPr>
            </w:pPr>
            <w:r>
              <w:rPr>
                <w:szCs w:val="21"/>
              </w:rPr>
              <w:t>P7</w:t>
            </w:r>
            <w:r>
              <w:rPr>
                <w:rFonts w:hint="eastAsia" w:ascii="宋体" w:hAnsi="宋体"/>
                <w:szCs w:val="21"/>
              </w:rPr>
              <w:t>：制冷系统用电负荷（</w:t>
            </w:r>
            <w:r>
              <w:rPr>
                <w:szCs w:val="21"/>
              </w:rPr>
              <w:t>kW</w:t>
            </w:r>
            <w:r>
              <w:rPr>
                <w:rFonts w:hint="eastAsia"/>
                <w:szCs w:val="21"/>
              </w:rPr>
              <w:t>）</w:t>
            </w:r>
          </w:p>
        </w:tc>
        <w:tc>
          <w:tcPr>
            <w:tcW w:w="3572" w:type="pct"/>
            <w:gridSpan w:val="5"/>
            <w:vAlign w:val="center"/>
          </w:tcPr>
          <w:p w14:paraId="52DB19F0">
            <w:pPr>
              <w:widowControl/>
              <w:jc w:val="center"/>
              <w:rPr>
                <w:rFonts w:ascii="宋体" w:hAnsi="宋体"/>
                <w:szCs w:val="21"/>
              </w:rPr>
            </w:pPr>
            <w:r>
              <w:rPr>
                <w:rFonts w:hint="eastAsia" w:ascii="宋体" w:hAnsi="宋体"/>
                <w:szCs w:val="21"/>
              </w:rPr>
              <w:t>空调电功率</w:t>
            </w:r>
            <w:r>
              <w:rPr>
                <w:szCs w:val="21"/>
              </w:rPr>
              <w:t>+</w:t>
            </w:r>
            <w:r>
              <w:rPr>
                <w:rFonts w:hint="eastAsia" w:ascii="宋体" w:hAnsi="宋体"/>
                <w:szCs w:val="21"/>
              </w:rPr>
              <w:t>动力电功率（按</w:t>
            </w:r>
            <w:r>
              <w:rPr>
                <w:szCs w:val="21"/>
              </w:rPr>
              <w:t>PUE</w:t>
            </w:r>
            <w:r>
              <w:rPr>
                <w:rFonts w:hint="eastAsia" w:ascii="宋体" w:hAnsi="宋体"/>
                <w:szCs w:val="21"/>
              </w:rPr>
              <w:t>值</w:t>
            </w:r>
            <w:r>
              <w:rPr>
                <w:szCs w:val="21"/>
              </w:rPr>
              <w:t>1.4</w:t>
            </w:r>
            <w:r>
              <w:rPr>
                <w:rFonts w:hint="eastAsia" w:ascii="宋体" w:hAnsi="宋体"/>
                <w:szCs w:val="21"/>
              </w:rPr>
              <w:t>计算）</w:t>
            </w:r>
          </w:p>
        </w:tc>
        <w:tc>
          <w:tcPr>
            <w:tcW w:w="589" w:type="pct"/>
            <w:noWrap/>
            <w:vAlign w:val="center"/>
          </w:tcPr>
          <w:p w14:paraId="32FB54EF">
            <w:pPr>
              <w:widowControl/>
              <w:jc w:val="center"/>
              <w:rPr>
                <w:szCs w:val="21"/>
              </w:rPr>
            </w:pPr>
            <w:r>
              <w:rPr>
                <w:rFonts w:hint="eastAsia"/>
                <w:szCs w:val="21"/>
              </w:rPr>
              <w:t>339.4</w:t>
            </w:r>
          </w:p>
        </w:tc>
      </w:tr>
      <w:tr w14:paraId="4F0AF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2" w:hRule="atLeast"/>
        </w:trPr>
        <w:tc>
          <w:tcPr>
            <w:tcW w:w="837" w:type="pct"/>
            <w:vAlign w:val="center"/>
          </w:tcPr>
          <w:p w14:paraId="37DA1E5B">
            <w:pPr>
              <w:widowControl/>
              <w:jc w:val="left"/>
              <w:rPr>
                <w:szCs w:val="21"/>
              </w:rPr>
            </w:pPr>
            <w:r>
              <w:rPr>
                <w:szCs w:val="21"/>
              </w:rPr>
              <w:t>P8</w:t>
            </w:r>
            <w:r>
              <w:rPr>
                <w:rFonts w:hint="eastAsia" w:ascii="宋体" w:hAnsi="宋体"/>
                <w:szCs w:val="21"/>
              </w:rPr>
              <w:t>：供配电总用电负荷（</w:t>
            </w:r>
            <w:r>
              <w:rPr>
                <w:szCs w:val="21"/>
              </w:rPr>
              <w:t>kW</w:t>
            </w:r>
            <w:r>
              <w:rPr>
                <w:rFonts w:hint="eastAsia"/>
                <w:szCs w:val="21"/>
              </w:rPr>
              <w:t>）</w:t>
            </w:r>
          </w:p>
        </w:tc>
        <w:tc>
          <w:tcPr>
            <w:tcW w:w="3572" w:type="pct"/>
            <w:gridSpan w:val="5"/>
            <w:vAlign w:val="center"/>
          </w:tcPr>
          <w:p w14:paraId="4D96916C">
            <w:pPr>
              <w:widowControl/>
              <w:jc w:val="center"/>
              <w:rPr>
                <w:szCs w:val="21"/>
              </w:rPr>
            </w:pPr>
            <w:r>
              <w:rPr>
                <w:szCs w:val="21"/>
              </w:rPr>
              <w:t>P8=P3+P5*1.15</w:t>
            </w:r>
            <w:r>
              <w:rPr>
                <w:rFonts w:hint="eastAsia" w:ascii="宋体" w:hAnsi="宋体"/>
                <w:szCs w:val="21"/>
              </w:rPr>
              <w:t>（</w:t>
            </w:r>
            <w:r>
              <w:rPr>
                <w:szCs w:val="21"/>
              </w:rPr>
              <w:t>15%</w:t>
            </w:r>
            <w:r>
              <w:rPr>
                <w:rFonts w:hint="eastAsia" w:ascii="宋体" w:hAnsi="宋体"/>
                <w:szCs w:val="21"/>
              </w:rPr>
              <w:t>为电池充电负荷）</w:t>
            </w:r>
            <w:r>
              <w:rPr>
                <w:szCs w:val="21"/>
              </w:rPr>
              <w:t>+P7</w:t>
            </w:r>
          </w:p>
        </w:tc>
        <w:tc>
          <w:tcPr>
            <w:tcW w:w="589" w:type="pct"/>
            <w:noWrap/>
            <w:vAlign w:val="center"/>
          </w:tcPr>
          <w:p w14:paraId="6605640D">
            <w:pPr>
              <w:widowControl/>
              <w:jc w:val="center"/>
              <w:rPr>
                <w:szCs w:val="21"/>
              </w:rPr>
            </w:pPr>
            <w:r>
              <w:rPr>
                <w:rFonts w:hint="eastAsia"/>
                <w:szCs w:val="21"/>
              </w:rPr>
              <w:t>990.55</w:t>
            </w:r>
          </w:p>
        </w:tc>
      </w:tr>
      <w:tr w14:paraId="07E30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2" w:hRule="atLeast"/>
        </w:trPr>
        <w:tc>
          <w:tcPr>
            <w:tcW w:w="837" w:type="pct"/>
            <w:vAlign w:val="center"/>
          </w:tcPr>
          <w:p w14:paraId="46D1A6E7">
            <w:pPr>
              <w:widowControl/>
              <w:jc w:val="left"/>
              <w:rPr>
                <w:szCs w:val="21"/>
              </w:rPr>
            </w:pPr>
            <w:r>
              <w:rPr>
                <w:szCs w:val="21"/>
              </w:rPr>
              <w:t>P9</w:t>
            </w:r>
            <w:r>
              <w:rPr>
                <w:rFonts w:hint="eastAsia" w:ascii="宋体" w:hAnsi="宋体"/>
                <w:szCs w:val="21"/>
              </w:rPr>
              <w:t>：电力引入总容量（</w:t>
            </w:r>
            <w:r>
              <w:rPr>
                <w:szCs w:val="21"/>
              </w:rPr>
              <w:t>kVA</w:t>
            </w:r>
            <w:r>
              <w:rPr>
                <w:rFonts w:hint="eastAsia"/>
                <w:szCs w:val="21"/>
              </w:rPr>
              <w:t>）</w:t>
            </w:r>
          </w:p>
        </w:tc>
        <w:tc>
          <w:tcPr>
            <w:tcW w:w="3572" w:type="pct"/>
            <w:gridSpan w:val="5"/>
            <w:vAlign w:val="center"/>
          </w:tcPr>
          <w:p w14:paraId="3DD9DA75">
            <w:pPr>
              <w:widowControl/>
              <w:jc w:val="center"/>
              <w:rPr>
                <w:szCs w:val="21"/>
              </w:rPr>
            </w:pPr>
            <w:r>
              <w:rPr>
                <w:szCs w:val="21"/>
              </w:rPr>
              <w:t>P9=P8*1.15</w:t>
            </w:r>
            <w:r>
              <w:rPr>
                <w:rFonts w:hint="eastAsia" w:ascii="宋体" w:hAnsi="宋体"/>
                <w:szCs w:val="21"/>
              </w:rPr>
              <w:t>（变压器冗余系数）</w:t>
            </w:r>
            <w:r>
              <w:rPr>
                <w:szCs w:val="21"/>
              </w:rPr>
              <w:t>/0.95</w:t>
            </w:r>
            <w:r>
              <w:rPr>
                <w:rFonts w:hint="eastAsia" w:ascii="宋体" w:hAnsi="宋体"/>
                <w:szCs w:val="21"/>
              </w:rPr>
              <w:t>（变压器功=率因数）</w:t>
            </w:r>
          </w:p>
        </w:tc>
        <w:tc>
          <w:tcPr>
            <w:tcW w:w="589" w:type="pct"/>
            <w:noWrap/>
            <w:vAlign w:val="center"/>
          </w:tcPr>
          <w:p w14:paraId="3461D6FD">
            <w:pPr>
              <w:widowControl/>
              <w:jc w:val="center"/>
              <w:rPr>
                <w:szCs w:val="21"/>
              </w:rPr>
            </w:pPr>
            <w:r>
              <w:rPr>
                <w:rFonts w:hint="eastAsia"/>
                <w:szCs w:val="21"/>
              </w:rPr>
              <w:t>1199.09</w:t>
            </w:r>
          </w:p>
          <w:p w14:paraId="6E7FA4BD">
            <w:pPr>
              <w:widowControl/>
              <w:jc w:val="center"/>
              <w:rPr>
                <w:szCs w:val="21"/>
              </w:rPr>
            </w:pPr>
          </w:p>
        </w:tc>
      </w:tr>
    </w:tbl>
    <w:p w14:paraId="5153C8A2">
      <w:pPr>
        <w:autoSpaceDE w:val="0"/>
        <w:autoSpaceDN w:val="0"/>
        <w:ind w:left="972" w:right="733" w:firstLine="420"/>
        <w:jc w:val="center"/>
        <w:rPr>
          <w:rFonts w:ascii="宋体" w:hAnsi="宋体"/>
          <w:szCs w:val="22"/>
          <w:lang w:bidi="ar"/>
        </w:rPr>
      </w:pPr>
    </w:p>
    <w:p w14:paraId="65A57D8C">
      <w:pPr>
        <w:spacing w:line="360" w:lineRule="auto"/>
        <w:ind w:firstLine="560" w:firstLineChars="200"/>
        <w:textAlignment w:val="center"/>
        <w:rPr>
          <w:rFonts w:ascii="宋体" w:hAnsi="宋体" w:cs="宋体"/>
          <w:sz w:val="28"/>
          <w:szCs w:val="28"/>
        </w:rPr>
      </w:pPr>
      <w:r>
        <w:rPr>
          <w:rFonts w:hint="eastAsia" w:ascii="宋体" w:hAnsi="宋体" w:cs="宋体"/>
          <w:sz w:val="28"/>
          <w:szCs w:val="28"/>
        </w:rPr>
        <w:t>由以上规划表可得，UPS 实际常载下的总容量约为558.66KVA，考虑其最大的运行工况，本次采用 2N 配电架构，配置 2 台600KVA 模块化 UPS 主机，共配置24个 50KVA 的功率模块。</w:t>
      </w:r>
    </w:p>
    <w:p w14:paraId="25834317">
      <w:pPr>
        <w:spacing w:line="360" w:lineRule="auto"/>
        <w:ind w:firstLine="560" w:firstLineChars="200"/>
        <w:textAlignment w:val="center"/>
        <w:rPr>
          <w:rFonts w:ascii="宋体" w:hAnsi="宋体" w:cs="宋体"/>
          <w:sz w:val="28"/>
          <w:szCs w:val="28"/>
        </w:rPr>
      </w:pPr>
      <w:r>
        <w:rPr>
          <w:rFonts w:hint="eastAsia" w:ascii="宋体" w:hAnsi="宋体" w:cs="宋体"/>
          <w:sz w:val="28"/>
          <w:szCs w:val="28"/>
        </w:rPr>
        <w:t>电力引入总容量为1200KVA的两路市电。</w:t>
      </w:r>
    </w:p>
    <w:p w14:paraId="78B3A899">
      <w:pPr>
        <w:pStyle w:val="3"/>
        <w:spacing w:before="240"/>
      </w:pPr>
      <w:r>
        <w:rPr>
          <w:rFonts w:hint="eastAsia"/>
        </w:rPr>
        <w:t>机房配电系统设计</w:t>
      </w:r>
    </w:p>
    <w:p w14:paraId="622D776F">
      <w:pPr>
        <w:spacing w:line="360" w:lineRule="auto"/>
        <w:ind w:firstLine="560" w:firstLineChars="200"/>
        <w:textAlignment w:val="center"/>
        <w:rPr>
          <w:rFonts w:ascii="宋体" w:hAnsi="宋体" w:cs="宋体"/>
          <w:sz w:val="28"/>
          <w:szCs w:val="28"/>
        </w:rPr>
      </w:pPr>
      <w:r>
        <w:rPr>
          <w:rFonts w:hint="eastAsia" w:ascii="宋体" w:hAnsi="宋体" w:cs="宋体"/>
          <w:sz w:val="28"/>
          <w:szCs w:val="28"/>
        </w:rPr>
        <w:t>机房市电供配电系统图如下：</w:t>
      </w:r>
    </w:p>
    <w:p w14:paraId="4186B25D">
      <w:pPr>
        <w:pStyle w:val="37"/>
        <w:autoSpaceDE w:val="0"/>
        <w:autoSpaceDN w:val="0"/>
        <w:spacing w:before="31" w:after="31" w:line="436" w:lineRule="auto"/>
        <w:ind w:left="533" w:leftChars="254" w:right="256" w:rightChars="122" w:firstLine="480"/>
        <w:jc w:val="center"/>
      </w:pPr>
      <w:r>
        <w:drawing>
          <wp:inline distT="0" distB="0" distL="114300" distR="114300">
            <wp:extent cx="5267960" cy="4047490"/>
            <wp:effectExtent l="0" t="0" r="2540" b="3810"/>
            <wp:docPr id="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pic:cNvPicPr>
                      <a:picLocks noChangeAspect="1"/>
                    </pic:cNvPicPr>
                  </pic:nvPicPr>
                  <pic:blipFill>
                    <a:blip r:embed="rId5"/>
                    <a:stretch>
                      <a:fillRect/>
                    </a:stretch>
                  </pic:blipFill>
                  <pic:spPr>
                    <a:xfrm>
                      <a:off x="0" y="0"/>
                      <a:ext cx="5267960" cy="4047490"/>
                    </a:xfrm>
                    <a:prstGeom prst="rect">
                      <a:avLst/>
                    </a:prstGeom>
                    <a:noFill/>
                    <a:ln>
                      <a:noFill/>
                    </a:ln>
                  </pic:spPr>
                </pic:pic>
              </a:graphicData>
            </a:graphic>
          </wp:inline>
        </w:drawing>
      </w:r>
      <w:r>
        <w:rPr>
          <w:rFonts w:hint="eastAsia"/>
          <w:lang w:bidi="ar"/>
        </w:rPr>
        <w:t xml:space="preserve"> </w:t>
      </w:r>
      <w:r>
        <w:drawing>
          <wp:inline distT="0" distB="0" distL="114300" distR="114300">
            <wp:extent cx="5271770" cy="3987800"/>
            <wp:effectExtent l="0" t="0" r="11430" b="0"/>
            <wp:docPr id="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pic:cNvPicPr>
                      <a:picLocks noChangeAspect="1"/>
                    </pic:cNvPicPr>
                  </pic:nvPicPr>
                  <pic:blipFill>
                    <a:blip r:embed="rId6"/>
                    <a:stretch>
                      <a:fillRect/>
                    </a:stretch>
                  </pic:blipFill>
                  <pic:spPr>
                    <a:xfrm>
                      <a:off x="0" y="0"/>
                      <a:ext cx="5271770" cy="3987800"/>
                    </a:xfrm>
                    <a:prstGeom prst="rect">
                      <a:avLst/>
                    </a:prstGeom>
                    <a:noFill/>
                    <a:ln>
                      <a:noFill/>
                    </a:ln>
                  </pic:spPr>
                </pic:pic>
              </a:graphicData>
            </a:graphic>
          </wp:inline>
        </w:drawing>
      </w:r>
    </w:p>
    <w:p w14:paraId="2E5D35F4">
      <w:pPr>
        <w:autoSpaceDE w:val="0"/>
        <w:autoSpaceDN w:val="0"/>
        <w:spacing w:before="77" w:line="436" w:lineRule="auto"/>
        <w:ind w:left="969" w:right="733" w:firstLine="420"/>
        <w:jc w:val="center"/>
        <w:rPr>
          <w:szCs w:val="21"/>
        </w:rPr>
      </w:pPr>
      <w:r>
        <w:rPr>
          <w:rFonts w:hint="eastAsia" w:ascii="宋体" w:hAnsi="宋体"/>
          <w:szCs w:val="21"/>
          <w:lang w:bidi="ar"/>
        </w:rPr>
        <w:t>机房市电供配电系统图</w:t>
      </w:r>
    </w:p>
    <w:p w14:paraId="22431089">
      <w:pPr>
        <w:numPr>
          <w:ilvl w:val="0"/>
          <w:numId w:val="3"/>
        </w:numPr>
        <w:spacing w:before="156" w:beforeLines="50" w:after="156" w:afterLines="50"/>
        <w:ind w:firstLine="480"/>
        <w:rPr>
          <w:sz w:val="28"/>
          <w:szCs w:val="28"/>
        </w:rPr>
      </w:pPr>
      <w:r>
        <w:rPr>
          <w:rFonts w:hint="eastAsia"/>
          <w:sz w:val="28"/>
          <w:szCs w:val="28"/>
        </w:rPr>
        <w:t>机房市电配电柜1、UPS配电柜1系统图如下：</w:t>
      </w:r>
    </w:p>
    <w:p w14:paraId="696D24B2">
      <w:pPr>
        <w:pStyle w:val="37"/>
        <w:autoSpaceDE w:val="0"/>
        <w:autoSpaceDN w:val="0"/>
        <w:spacing w:before="31" w:after="31" w:line="436" w:lineRule="auto"/>
        <w:ind w:left="533" w:leftChars="254" w:right="256" w:rightChars="122" w:firstLine="480"/>
        <w:rPr>
          <w:spacing w:val="8"/>
        </w:rPr>
      </w:pPr>
      <w:r>
        <w:drawing>
          <wp:inline distT="0" distB="0" distL="114300" distR="114300">
            <wp:extent cx="5273675" cy="5158740"/>
            <wp:effectExtent l="0" t="0" r="9525" b="10160"/>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pic:cNvPicPr>
                      <a:picLocks noChangeAspect="1"/>
                    </pic:cNvPicPr>
                  </pic:nvPicPr>
                  <pic:blipFill>
                    <a:blip r:embed="rId7"/>
                    <a:stretch>
                      <a:fillRect/>
                    </a:stretch>
                  </pic:blipFill>
                  <pic:spPr>
                    <a:xfrm>
                      <a:off x="0" y="0"/>
                      <a:ext cx="5273675" cy="5158740"/>
                    </a:xfrm>
                    <a:prstGeom prst="rect">
                      <a:avLst/>
                    </a:prstGeom>
                    <a:noFill/>
                    <a:ln>
                      <a:noFill/>
                    </a:ln>
                  </pic:spPr>
                </pic:pic>
              </a:graphicData>
            </a:graphic>
          </wp:inline>
        </w:drawing>
      </w:r>
    </w:p>
    <w:p w14:paraId="4640EBF0">
      <w:pPr>
        <w:pStyle w:val="37"/>
        <w:autoSpaceDE w:val="0"/>
        <w:autoSpaceDN w:val="0"/>
        <w:spacing w:before="31" w:after="31" w:line="436" w:lineRule="auto"/>
        <w:ind w:left="533" w:leftChars="254" w:right="256" w:rightChars="122" w:firstLine="512"/>
        <w:rPr>
          <w:spacing w:val="8"/>
        </w:rPr>
      </w:pPr>
    </w:p>
    <w:p w14:paraId="49CD390A">
      <w:pPr>
        <w:autoSpaceDE w:val="0"/>
        <w:autoSpaceDN w:val="0"/>
        <w:spacing w:before="77" w:line="436" w:lineRule="auto"/>
        <w:ind w:left="969" w:right="733" w:firstLine="420"/>
        <w:jc w:val="center"/>
        <w:rPr>
          <w:szCs w:val="21"/>
        </w:rPr>
      </w:pPr>
      <w:r>
        <w:rPr>
          <w:rFonts w:hint="eastAsia" w:ascii="宋体" w:hAnsi="宋体"/>
          <w:szCs w:val="21"/>
          <w:lang w:bidi="ar"/>
        </w:rPr>
        <w:t>机房市电配电柜1、UPS配电柜1系统图</w:t>
      </w:r>
    </w:p>
    <w:p w14:paraId="7C13334C">
      <w:pPr>
        <w:widowControl/>
        <w:autoSpaceDN w:val="0"/>
        <w:ind w:firstLine="472"/>
        <w:jc w:val="left"/>
        <w:rPr>
          <w:sz w:val="28"/>
          <w:szCs w:val="28"/>
        </w:rPr>
      </w:pPr>
      <w:r>
        <w:rPr>
          <w:rFonts w:hint="eastAsia" w:ascii="宋体" w:hAnsi="宋体"/>
          <w:spacing w:val="8"/>
          <w:sz w:val="22"/>
          <w:szCs w:val="22"/>
          <w:lang w:bidi="ar"/>
        </w:rPr>
        <w:br w:type="page"/>
      </w:r>
      <w:r>
        <w:rPr>
          <w:rFonts w:hint="eastAsia"/>
          <w:sz w:val="28"/>
          <w:szCs w:val="28"/>
        </w:rPr>
        <w:t>机房市电配电柜2、UPS配电柜2系统图如下：</w:t>
      </w:r>
    </w:p>
    <w:p w14:paraId="26895380">
      <w:pPr>
        <w:pStyle w:val="37"/>
        <w:autoSpaceDE w:val="0"/>
        <w:autoSpaceDN w:val="0"/>
        <w:spacing w:before="31" w:after="31" w:line="436" w:lineRule="auto"/>
        <w:ind w:left="533" w:leftChars="254" w:right="256" w:rightChars="122" w:firstLine="480"/>
        <w:rPr>
          <w:spacing w:val="8"/>
        </w:rPr>
      </w:pPr>
      <w:r>
        <w:drawing>
          <wp:inline distT="0" distB="0" distL="114300" distR="114300">
            <wp:extent cx="5272405" cy="5177155"/>
            <wp:effectExtent l="0" t="0" r="10795" b="4445"/>
            <wp:docPr id="3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
                    <pic:cNvPicPr>
                      <a:picLocks noChangeAspect="1"/>
                    </pic:cNvPicPr>
                  </pic:nvPicPr>
                  <pic:blipFill>
                    <a:blip r:embed="rId8"/>
                    <a:stretch>
                      <a:fillRect/>
                    </a:stretch>
                  </pic:blipFill>
                  <pic:spPr>
                    <a:xfrm>
                      <a:off x="0" y="0"/>
                      <a:ext cx="5272405" cy="5177155"/>
                    </a:xfrm>
                    <a:prstGeom prst="rect">
                      <a:avLst/>
                    </a:prstGeom>
                    <a:noFill/>
                    <a:ln>
                      <a:noFill/>
                    </a:ln>
                  </pic:spPr>
                </pic:pic>
              </a:graphicData>
            </a:graphic>
          </wp:inline>
        </w:drawing>
      </w:r>
    </w:p>
    <w:p w14:paraId="5BEA92B0">
      <w:pPr>
        <w:pStyle w:val="37"/>
        <w:autoSpaceDE w:val="0"/>
        <w:autoSpaceDN w:val="0"/>
        <w:spacing w:before="31" w:after="31" w:line="436" w:lineRule="auto"/>
        <w:ind w:left="533" w:leftChars="254" w:right="256" w:rightChars="122" w:firstLine="512"/>
        <w:rPr>
          <w:spacing w:val="8"/>
        </w:rPr>
      </w:pPr>
    </w:p>
    <w:p w14:paraId="170C99A5">
      <w:pPr>
        <w:autoSpaceDE w:val="0"/>
        <w:autoSpaceDN w:val="0"/>
        <w:spacing w:before="77" w:line="436" w:lineRule="auto"/>
        <w:ind w:left="969" w:right="733" w:firstLine="420"/>
        <w:jc w:val="center"/>
        <w:rPr>
          <w:szCs w:val="21"/>
        </w:rPr>
      </w:pPr>
      <w:r>
        <w:rPr>
          <w:rFonts w:hint="eastAsia" w:ascii="宋体" w:hAnsi="宋体"/>
          <w:szCs w:val="21"/>
          <w:lang w:bidi="ar"/>
        </w:rPr>
        <w:t>机房市电配电柜2、UPS配电柜2系统图</w:t>
      </w:r>
    </w:p>
    <w:p w14:paraId="4ED0F3BD">
      <w:pPr>
        <w:widowControl/>
        <w:autoSpaceDN w:val="0"/>
        <w:ind w:firstLine="472"/>
        <w:jc w:val="left"/>
        <w:rPr>
          <w:spacing w:val="8"/>
        </w:rPr>
      </w:pPr>
      <w:r>
        <w:rPr>
          <w:rFonts w:hint="eastAsia" w:ascii="宋体" w:hAnsi="宋体"/>
          <w:spacing w:val="8"/>
          <w:sz w:val="22"/>
          <w:szCs w:val="22"/>
          <w:lang w:bidi="ar"/>
        </w:rPr>
        <w:br w:type="page"/>
      </w:r>
    </w:p>
    <w:p w14:paraId="07FBA70A">
      <w:pPr>
        <w:numPr>
          <w:ilvl w:val="0"/>
          <w:numId w:val="3"/>
        </w:numPr>
        <w:spacing w:before="156" w:beforeLines="50" w:after="156" w:afterLines="50"/>
        <w:ind w:firstLine="480"/>
        <w:rPr>
          <w:sz w:val="28"/>
          <w:szCs w:val="28"/>
        </w:rPr>
      </w:pPr>
      <w:r>
        <w:rPr>
          <w:rFonts w:hint="eastAsia"/>
          <w:sz w:val="28"/>
          <w:szCs w:val="28"/>
        </w:rPr>
        <w:t>配电列头柜系统图如下：</w:t>
      </w:r>
    </w:p>
    <w:p w14:paraId="5474129F">
      <w:pPr>
        <w:pStyle w:val="37"/>
        <w:autoSpaceDE w:val="0"/>
        <w:autoSpaceDN w:val="0"/>
        <w:spacing w:before="31" w:after="31" w:line="436" w:lineRule="auto"/>
        <w:ind w:left="533" w:leftChars="254" w:right="256" w:rightChars="122" w:firstLine="480"/>
      </w:pPr>
      <w:r>
        <w:drawing>
          <wp:inline distT="0" distB="0" distL="114300" distR="114300">
            <wp:extent cx="4358640" cy="4030980"/>
            <wp:effectExtent l="0" t="0" r="10160" b="7620"/>
            <wp:docPr id="3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6"/>
                    <pic:cNvPicPr>
                      <a:picLocks noChangeAspect="1"/>
                    </pic:cNvPicPr>
                  </pic:nvPicPr>
                  <pic:blipFill>
                    <a:blip r:embed="rId9"/>
                    <a:stretch>
                      <a:fillRect/>
                    </a:stretch>
                  </pic:blipFill>
                  <pic:spPr>
                    <a:xfrm>
                      <a:off x="0" y="0"/>
                      <a:ext cx="4358640" cy="4030980"/>
                    </a:xfrm>
                    <a:prstGeom prst="rect">
                      <a:avLst/>
                    </a:prstGeom>
                    <a:noFill/>
                    <a:ln>
                      <a:noFill/>
                    </a:ln>
                  </pic:spPr>
                </pic:pic>
              </a:graphicData>
            </a:graphic>
          </wp:inline>
        </w:drawing>
      </w:r>
    </w:p>
    <w:p w14:paraId="3B1DF6E0">
      <w:pPr>
        <w:pStyle w:val="37"/>
        <w:autoSpaceDE w:val="0"/>
        <w:autoSpaceDN w:val="0"/>
        <w:spacing w:before="31" w:after="31" w:line="436" w:lineRule="auto"/>
        <w:ind w:left="533" w:leftChars="254" w:right="256" w:rightChars="122" w:firstLine="480"/>
      </w:pPr>
      <w:r>
        <w:drawing>
          <wp:inline distT="0" distB="0" distL="114300" distR="114300">
            <wp:extent cx="4335780" cy="4020820"/>
            <wp:effectExtent l="0" t="0" r="7620" b="5080"/>
            <wp:docPr id="4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8"/>
                    <pic:cNvPicPr>
                      <a:picLocks noChangeAspect="1"/>
                    </pic:cNvPicPr>
                  </pic:nvPicPr>
                  <pic:blipFill>
                    <a:blip r:embed="rId10"/>
                    <a:stretch>
                      <a:fillRect/>
                    </a:stretch>
                  </pic:blipFill>
                  <pic:spPr>
                    <a:xfrm>
                      <a:off x="0" y="0"/>
                      <a:ext cx="4335780" cy="4020820"/>
                    </a:xfrm>
                    <a:prstGeom prst="rect">
                      <a:avLst/>
                    </a:prstGeom>
                    <a:noFill/>
                    <a:ln>
                      <a:noFill/>
                    </a:ln>
                  </pic:spPr>
                </pic:pic>
              </a:graphicData>
            </a:graphic>
          </wp:inline>
        </w:drawing>
      </w:r>
    </w:p>
    <w:p w14:paraId="29740860">
      <w:pPr>
        <w:autoSpaceDE w:val="0"/>
        <w:autoSpaceDN w:val="0"/>
        <w:spacing w:before="77" w:line="436" w:lineRule="auto"/>
        <w:ind w:left="969" w:right="733" w:firstLine="420"/>
        <w:jc w:val="center"/>
        <w:rPr>
          <w:szCs w:val="21"/>
        </w:rPr>
      </w:pPr>
      <w:r>
        <w:rPr>
          <w:rFonts w:hint="eastAsia" w:ascii="宋体" w:hAnsi="宋体"/>
          <w:szCs w:val="21"/>
          <w:lang w:bidi="ar"/>
        </w:rPr>
        <w:t>配电列头柜系统图</w:t>
      </w:r>
    </w:p>
    <w:p w14:paraId="48E55717">
      <w:pPr>
        <w:numPr>
          <w:ilvl w:val="0"/>
          <w:numId w:val="3"/>
        </w:numPr>
        <w:spacing w:before="156" w:beforeLines="50" w:after="156" w:afterLines="50"/>
        <w:ind w:firstLine="480"/>
        <w:rPr>
          <w:sz w:val="28"/>
          <w:szCs w:val="28"/>
        </w:rPr>
      </w:pPr>
      <w:r>
        <w:rPr>
          <w:rFonts w:hint="eastAsia"/>
          <w:sz w:val="28"/>
          <w:szCs w:val="28"/>
        </w:rPr>
        <w:t>市电配电柜主空开设计</w:t>
      </w:r>
    </w:p>
    <w:p w14:paraId="57923D86">
      <w:pPr>
        <w:spacing w:before="156" w:beforeLines="50" w:after="156" w:afterLines="50"/>
        <w:ind w:firstLine="480"/>
        <w:rPr>
          <w:sz w:val="28"/>
          <w:szCs w:val="28"/>
        </w:rPr>
      </w:pPr>
      <w:r>
        <w:rPr>
          <w:rFonts w:hint="eastAsia"/>
          <w:sz w:val="28"/>
          <w:szCs w:val="28"/>
        </w:rPr>
        <w:t>机房二期工程，根据总功率约1200kW，输入功率因数取0.9，同时系数取0.8，则主电路输入电流：1200/0.9*0.8/1.732/0.38=1620.68A，空开的额定电流一般要比负荷电流大1.2-1.4倍，本项目按1.2倍计算，1620.68*1.2=1944.82A，本项目主空开采用不低于2000A设计，双路。</w:t>
      </w:r>
    </w:p>
    <w:p w14:paraId="5E03118A">
      <w:pPr>
        <w:spacing w:before="156" w:beforeLines="50" w:after="156" w:afterLines="50"/>
        <w:ind w:firstLine="480"/>
        <w:rPr>
          <w:sz w:val="28"/>
          <w:szCs w:val="28"/>
        </w:rPr>
      </w:pPr>
      <w:r>
        <w:rPr>
          <w:rFonts w:hint="eastAsia"/>
          <w:sz w:val="28"/>
          <w:szCs w:val="28"/>
        </w:rPr>
        <w:t>市电配电本着一次投入建设的原则，同样主空开采用不低于2000A设计，双路。</w:t>
      </w:r>
    </w:p>
    <w:p w14:paraId="4CFDE84B">
      <w:pPr>
        <w:numPr>
          <w:ilvl w:val="0"/>
          <w:numId w:val="3"/>
        </w:numPr>
        <w:spacing w:before="156" w:beforeLines="50" w:after="156" w:afterLines="50"/>
        <w:ind w:firstLine="480"/>
        <w:rPr>
          <w:sz w:val="28"/>
          <w:szCs w:val="28"/>
        </w:rPr>
      </w:pPr>
      <w:r>
        <w:rPr>
          <w:rFonts w:hint="eastAsia"/>
          <w:sz w:val="28"/>
          <w:szCs w:val="28"/>
        </w:rPr>
        <w:t>UPS输入输出柜空开设计</w:t>
      </w:r>
    </w:p>
    <w:p w14:paraId="774F40C3">
      <w:pPr>
        <w:spacing w:before="156" w:beforeLines="50" w:after="156" w:afterLines="50"/>
        <w:ind w:firstLine="480"/>
        <w:rPr>
          <w:sz w:val="28"/>
          <w:szCs w:val="28"/>
        </w:rPr>
      </w:pPr>
      <w:r>
        <w:rPr>
          <w:rFonts w:hint="eastAsia"/>
          <w:sz w:val="28"/>
          <w:szCs w:val="28"/>
        </w:rPr>
        <w:t>微模块1的机柜功率112kW，输入功率因数取0.9，同时系数取0.7，机柜总空开：112/0.9*0.7/1.732/0.38=132.36A，空开的额定电流一般要比负荷电流大1.2-1.4倍，本项目按1.4倍计算，132.36*1.4=185.3A，机柜列头柜总空开建议不低于250A设计。</w:t>
      </w:r>
    </w:p>
    <w:p w14:paraId="34E0DEEB">
      <w:pPr>
        <w:spacing w:before="156" w:beforeLines="50" w:after="156" w:afterLines="50"/>
        <w:ind w:firstLine="480"/>
        <w:rPr>
          <w:sz w:val="28"/>
          <w:szCs w:val="28"/>
        </w:rPr>
      </w:pPr>
      <w:r>
        <w:rPr>
          <w:rFonts w:hint="eastAsia"/>
          <w:sz w:val="28"/>
          <w:szCs w:val="28"/>
        </w:rPr>
        <w:t>微模块2的机柜功率112kW，输入功率因数取0.9，同时系数取0.7，机柜总空开：112/0.9*0.7/1.732/0.38=132.36A，空开的额定电流一般要比负荷电流大1.2-1.4倍，本项目按1.4倍计算，132.36*1.4=185.3A，机柜列头柜总空开建议不低于250A设计。</w:t>
      </w:r>
    </w:p>
    <w:p w14:paraId="640B9A97">
      <w:pPr>
        <w:numPr>
          <w:ilvl w:val="0"/>
          <w:numId w:val="3"/>
        </w:numPr>
        <w:spacing w:before="156" w:beforeLines="50" w:after="156" w:afterLines="50"/>
        <w:ind w:firstLine="480"/>
        <w:rPr>
          <w:sz w:val="28"/>
          <w:szCs w:val="28"/>
        </w:rPr>
      </w:pPr>
      <w:r>
        <w:rPr>
          <w:rFonts w:hint="eastAsia"/>
          <w:sz w:val="28"/>
          <w:szCs w:val="28"/>
        </w:rPr>
        <w:t>配电柜设计</w:t>
      </w:r>
    </w:p>
    <w:p w14:paraId="25A5B991">
      <w:pPr>
        <w:spacing w:before="156" w:beforeLines="50" w:after="156" w:afterLines="50"/>
        <w:ind w:firstLine="480"/>
        <w:rPr>
          <w:sz w:val="28"/>
          <w:szCs w:val="28"/>
        </w:rPr>
      </w:pPr>
      <w:r>
        <w:rPr>
          <w:rFonts w:hint="eastAsia"/>
          <w:sz w:val="28"/>
          <w:szCs w:val="28"/>
        </w:rPr>
        <w:t>根据此次机房建设对供配电系统的需求，机房内本次设计配电柜共6台：市电输入柜2台、UPS输入柜2台，UPS输出柜2台、精密列头柜6台。</w:t>
      </w:r>
    </w:p>
    <w:p w14:paraId="6CE9DD5A">
      <w:pPr>
        <w:numPr>
          <w:ilvl w:val="0"/>
          <w:numId w:val="3"/>
        </w:numPr>
        <w:spacing w:before="156" w:beforeLines="50" w:after="156" w:afterLines="50"/>
        <w:ind w:firstLine="480"/>
        <w:rPr>
          <w:sz w:val="28"/>
          <w:szCs w:val="28"/>
        </w:rPr>
      </w:pPr>
      <w:r>
        <w:rPr>
          <w:rFonts w:hint="eastAsia"/>
          <w:sz w:val="28"/>
          <w:szCs w:val="28"/>
        </w:rPr>
        <w:t>电缆设计</w:t>
      </w:r>
    </w:p>
    <w:p w14:paraId="317AA310">
      <w:pPr>
        <w:spacing w:before="156" w:beforeLines="50" w:after="156" w:afterLines="50"/>
        <w:ind w:firstLine="480"/>
        <w:rPr>
          <w:sz w:val="28"/>
          <w:szCs w:val="28"/>
        </w:rPr>
      </w:pPr>
      <w:r>
        <w:rPr>
          <w:rFonts w:hint="eastAsia"/>
          <w:sz w:val="28"/>
          <w:szCs w:val="28"/>
        </w:rPr>
        <w:t>根据《阻燃耐火电线电缆通则》GB/T19666-2019中规定，阻燃等级A&gt;B&gt;C&gt;D，A为最高级。ZA，ZB，ZC，ZD中的Z表示阻燃，后面的字母表示阻燃等级。本项目主干电缆选用按照负载选配相应线缆规格。</w:t>
      </w:r>
    </w:p>
    <w:p w14:paraId="6D92D840">
      <w:pPr>
        <w:pStyle w:val="3"/>
        <w:spacing w:before="240"/>
      </w:pPr>
      <w:r>
        <w:t xml:space="preserve">UPS </w:t>
      </w:r>
      <w:r>
        <w:rPr>
          <w:rFonts w:hint="eastAsia"/>
        </w:rPr>
        <w:t>设备选配要求</w:t>
      </w:r>
    </w:p>
    <w:p w14:paraId="3EDACEFF">
      <w:pPr>
        <w:spacing w:before="156" w:beforeLines="50" w:after="156" w:afterLines="50"/>
        <w:ind w:firstLine="480"/>
        <w:rPr>
          <w:sz w:val="28"/>
          <w:szCs w:val="28"/>
        </w:rPr>
      </w:pPr>
      <w:r>
        <w:rPr>
          <w:rFonts w:hint="eastAsia"/>
          <w:sz w:val="28"/>
          <w:szCs w:val="28"/>
        </w:rPr>
        <w:t>UPS 系统为 IT 设备提供安全、稳定、可靠的系统电源，根据以上规划， 机房二期工程配置 2 台 600KVA 模块化 UPS 主机，组成 2N 供电系统，可以实现双路独立供电。模块化可实现在线热插拔，支持模块化扩容。</w:t>
      </w:r>
    </w:p>
    <w:p w14:paraId="31730618">
      <w:pPr>
        <w:spacing w:before="156" w:beforeLines="50" w:after="156" w:afterLines="50"/>
        <w:ind w:firstLine="480"/>
        <w:rPr>
          <w:sz w:val="28"/>
          <w:szCs w:val="28"/>
        </w:rPr>
      </w:pPr>
      <w:r>
        <w:rPr>
          <w:rFonts w:hint="eastAsia"/>
          <w:sz w:val="28"/>
          <w:szCs w:val="28"/>
        </w:rPr>
        <w:t>UPS 采用 2N 系统配置，UPS 内模块冗余。机架内模块相互独立，正常运行时有两路 UPS 同时供电。假如其中一路供电出现故障，另外一路供电可以迅速全面接管所有负载，继续为后端负载供电。</w:t>
      </w:r>
    </w:p>
    <w:p w14:paraId="292E7F62">
      <w:pPr>
        <w:spacing w:before="156" w:beforeLines="50" w:after="156" w:afterLines="50"/>
        <w:ind w:firstLine="480"/>
        <w:rPr>
          <w:sz w:val="28"/>
          <w:szCs w:val="28"/>
        </w:rPr>
      </w:pPr>
      <w:r>
        <w:rPr>
          <w:rFonts w:hint="eastAsia"/>
          <w:sz w:val="28"/>
          <w:szCs w:val="28"/>
        </w:rPr>
        <w:t xml:space="preserve">模块化 </w:t>
      </w:r>
      <w:r>
        <w:rPr>
          <w:sz w:val="28"/>
          <w:szCs w:val="28"/>
        </w:rPr>
        <w:t xml:space="preserve">UPS </w:t>
      </w:r>
      <w:r>
        <w:rPr>
          <w:rFonts w:hint="eastAsia"/>
          <w:sz w:val="28"/>
          <w:szCs w:val="28"/>
        </w:rPr>
        <w:t xml:space="preserve">具有以下特点： </w:t>
      </w:r>
    </w:p>
    <w:p w14:paraId="7B621A36">
      <w:pPr>
        <w:spacing w:before="156" w:beforeLines="50" w:after="156" w:afterLines="50"/>
        <w:ind w:firstLine="480"/>
        <w:rPr>
          <w:sz w:val="28"/>
          <w:szCs w:val="28"/>
        </w:rPr>
      </w:pPr>
      <w:r>
        <w:rPr>
          <w:sz w:val="28"/>
          <w:szCs w:val="28"/>
        </w:rPr>
        <w:t xml:space="preserve">UPS </w:t>
      </w:r>
      <w:r>
        <w:rPr>
          <w:rFonts w:hint="eastAsia"/>
          <w:sz w:val="28"/>
          <w:szCs w:val="28"/>
        </w:rPr>
        <w:t>功率、控制模块全冗余设计。</w:t>
      </w:r>
    </w:p>
    <w:p w14:paraId="0E87F308">
      <w:pPr>
        <w:spacing w:before="156" w:beforeLines="50" w:after="156" w:afterLines="50"/>
        <w:ind w:firstLine="480"/>
        <w:rPr>
          <w:sz w:val="28"/>
          <w:szCs w:val="28"/>
        </w:rPr>
      </w:pPr>
      <w:r>
        <w:rPr>
          <w:sz w:val="28"/>
          <w:szCs w:val="28"/>
        </w:rPr>
        <w:t>138</w:t>
      </w:r>
      <w:r>
        <w:rPr>
          <w:rFonts w:hint="eastAsia"/>
          <w:sz w:val="28"/>
          <w:szCs w:val="28"/>
        </w:rPr>
        <w:t>～</w:t>
      </w:r>
      <w:r>
        <w:rPr>
          <w:sz w:val="28"/>
          <w:szCs w:val="28"/>
        </w:rPr>
        <w:t xml:space="preserve">485V AC </w:t>
      </w:r>
      <w:r>
        <w:rPr>
          <w:rFonts w:hint="eastAsia"/>
          <w:sz w:val="28"/>
          <w:szCs w:val="28"/>
        </w:rPr>
        <w:t>宽输入电压范围，适应各种恶劣电网。</w:t>
      </w:r>
    </w:p>
    <w:p w14:paraId="6E799F9F">
      <w:pPr>
        <w:spacing w:before="156" w:beforeLines="50" w:after="156" w:afterLines="50"/>
        <w:ind w:firstLine="480"/>
        <w:rPr>
          <w:sz w:val="28"/>
          <w:szCs w:val="28"/>
        </w:rPr>
      </w:pPr>
      <w:r>
        <w:rPr>
          <w:sz w:val="28"/>
          <w:szCs w:val="28"/>
        </w:rPr>
        <w:t>PF</w:t>
      </w:r>
      <w:r>
        <w:rPr>
          <w:rFonts w:hint="eastAsia"/>
          <w:sz w:val="28"/>
          <w:szCs w:val="28"/>
        </w:rPr>
        <w:t>（线性负载</w:t>
      </w:r>
      <w:r>
        <w:rPr>
          <w:sz w:val="28"/>
          <w:szCs w:val="28"/>
        </w:rPr>
        <w:t>/</w:t>
      </w:r>
      <w:r>
        <w:rPr>
          <w:rFonts w:hint="eastAsia"/>
          <w:sz w:val="28"/>
          <w:szCs w:val="28"/>
        </w:rPr>
        <w:t>非线性负载）</w:t>
      </w:r>
      <w:r>
        <w:rPr>
          <w:sz w:val="28"/>
          <w:szCs w:val="28"/>
        </w:rPr>
        <w:t xml:space="preserve">0.5 </w:t>
      </w:r>
      <w:r>
        <w:rPr>
          <w:rFonts w:hint="eastAsia"/>
          <w:sz w:val="28"/>
          <w:szCs w:val="28"/>
        </w:rPr>
        <w:t>以上不降额，完美匹配各种负载。</w:t>
      </w:r>
    </w:p>
    <w:p w14:paraId="6ECF4A0A">
      <w:pPr>
        <w:spacing w:before="156" w:beforeLines="50" w:after="156" w:afterLines="50"/>
        <w:ind w:firstLine="480"/>
        <w:rPr>
          <w:sz w:val="28"/>
          <w:szCs w:val="28"/>
        </w:rPr>
      </w:pPr>
      <w:r>
        <w:rPr>
          <w:rFonts w:hint="eastAsia"/>
          <w:sz w:val="28"/>
          <w:szCs w:val="28"/>
        </w:rPr>
        <w:t>高温、高湿、盐雾、粉尘等专项环境可靠性验证，消除环境因素对可靠性的影响。</w:t>
      </w:r>
    </w:p>
    <w:p w14:paraId="7AA0CBDA">
      <w:pPr>
        <w:spacing w:before="156" w:beforeLines="50" w:after="156" w:afterLines="50"/>
        <w:ind w:firstLine="480"/>
        <w:rPr>
          <w:sz w:val="28"/>
          <w:szCs w:val="28"/>
        </w:rPr>
      </w:pPr>
      <w:r>
        <w:rPr>
          <w:rFonts w:hint="eastAsia"/>
          <w:sz w:val="28"/>
          <w:szCs w:val="28"/>
        </w:rPr>
        <w:t>电池、电容以及风扇等关键部件失效预警，防止故障扩大。高效：</w:t>
      </w:r>
    </w:p>
    <w:p w14:paraId="5A3734BE">
      <w:pPr>
        <w:spacing w:before="156" w:beforeLines="50" w:after="156" w:afterLines="50"/>
        <w:ind w:firstLine="480"/>
        <w:rPr>
          <w:sz w:val="28"/>
          <w:szCs w:val="28"/>
        </w:rPr>
      </w:pPr>
      <w:r>
        <w:rPr>
          <w:rFonts w:hint="eastAsia"/>
          <w:sz w:val="28"/>
          <w:szCs w:val="28"/>
        </w:rPr>
        <w:t xml:space="preserve">机房最常用负载率高效，主路模式下效率最高可达 </w:t>
      </w:r>
      <w:r>
        <w:rPr>
          <w:sz w:val="28"/>
          <w:szCs w:val="28"/>
        </w:rPr>
        <w:t>96%</w:t>
      </w:r>
      <w:r>
        <w:rPr>
          <w:rFonts w:hint="eastAsia"/>
          <w:sz w:val="28"/>
          <w:szCs w:val="28"/>
        </w:rPr>
        <w:t>。</w:t>
      </w:r>
    </w:p>
    <w:p w14:paraId="3A66DD4D">
      <w:pPr>
        <w:spacing w:before="156" w:beforeLines="50" w:after="156" w:afterLines="50"/>
        <w:ind w:firstLine="480"/>
        <w:rPr>
          <w:sz w:val="28"/>
          <w:szCs w:val="28"/>
        </w:rPr>
      </w:pPr>
      <w:r>
        <w:rPr>
          <w:rFonts w:hint="eastAsia"/>
          <w:sz w:val="28"/>
          <w:szCs w:val="28"/>
        </w:rPr>
        <w:t>低载高效，极低负载率下情况下，智能轮换休眠技术，确保冗余同时提升</w:t>
      </w:r>
    </w:p>
    <w:p w14:paraId="2C565534">
      <w:pPr>
        <w:spacing w:before="156" w:beforeLines="50" w:after="156" w:afterLines="50"/>
        <w:ind w:firstLine="480"/>
        <w:rPr>
          <w:sz w:val="28"/>
          <w:szCs w:val="28"/>
        </w:rPr>
      </w:pPr>
      <w:r>
        <w:rPr>
          <w:sz w:val="28"/>
          <w:szCs w:val="28"/>
        </w:rPr>
        <w:t xml:space="preserve">UPS </w:t>
      </w:r>
      <w:r>
        <w:rPr>
          <w:rFonts w:hint="eastAsia"/>
          <w:sz w:val="28"/>
          <w:szCs w:val="28"/>
        </w:rPr>
        <w:t xml:space="preserve">效率 </w:t>
      </w:r>
      <w:r>
        <w:rPr>
          <w:sz w:val="28"/>
          <w:szCs w:val="28"/>
        </w:rPr>
        <w:t>3%</w:t>
      </w:r>
      <w:r>
        <w:rPr>
          <w:rFonts w:hint="eastAsia"/>
          <w:sz w:val="28"/>
          <w:szCs w:val="28"/>
        </w:rPr>
        <w:t>～</w:t>
      </w:r>
      <w:r>
        <w:rPr>
          <w:sz w:val="28"/>
          <w:szCs w:val="28"/>
        </w:rPr>
        <w:t>5%</w:t>
      </w:r>
      <w:r>
        <w:rPr>
          <w:rFonts w:hint="eastAsia"/>
          <w:sz w:val="28"/>
          <w:szCs w:val="28"/>
        </w:rPr>
        <w:t>。</w:t>
      </w:r>
    </w:p>
    <w:p w14:paraId="179723BD">
      <w:pPr>
        <w:spacing w:before="156" w:beforeLines="50" w:after="156" w:afterLines="50"/>
        <w:ind w:firstLine="480"/>
        <w:rPr>
          <w:sz w:val="28"/>
          <w:szCs w:val="28"/>
        </w:rPr>
      </w:pPr>
      <w:r>
        <w:rPr>
          <w:rFonts w:hint="eastAsia"/>
          <w:sz w:val="28"/>
          <w:szCs w:val="28"/>
        </w:rPr>
        <w:t>空间利用高效，单机容量可达6</w:t>
      </w:r>
      <w:r>
        <w:rPr>
          <w:sz w:val="28"/>
          <w:szCs w:val="28"/>
        </w:rPr>
        <w:t>00kVA</w:t>
      </w:r>
      <w:r>
        <w:rPr>
          <w:rFonts w:hint="eastAsia"/>
          <w:sz w:val="28"/>
          <w:szCs w:val="28"/>
        </w:rPr>
        <w:t xml:space="preserve">，节约占地为更多 </w:t>
      </w:r>
      <w:r>
        <w:rPr>
          <w:sz w:val="28"/>
          <w:szCs w:val="28"/>
        </w:rPr>
        <w:t xml:space="preserve">IT </w:t>
      </w:r>
      <w:r>
        <w:rPr>
          <w:rFonts w:hint="eastAsia"/>
          <w:sz w:val="28"/>
          <w:szCs w:val="28"/>
        </w:rPr>
        <w:t>设备提供空间。</w:t>
      </w:r>
    </w:p>
    <w:p w14:paraId="01E8629A">
      <w:pPr>
        <w:numPr>
          <w:ilvl w:val="0"/>
          <w:numId w:val="4"/>
        </w:numPr>
        <w:spacing w:before="156" w:beforeLines="50" w:after="156" w:afterLines="50"/>
        <w:ind w:firstLine="480"/>
        <w:rPr>
          <w:sz w:val="28"/>
          <w:szCs w:val="28"/>
        </w:rPr>
      </w:pPr>
      <w:r>
        <w:rPr>
          <w:rFonts w:hint="eastAsia"/>
          <w:sz w:val="28"/>
          <w:szCs w:val="28"/>
        </w:rPr>
        <w:t>模块化 UPS 结构指标</w:t>
      </w:r>
    </w:p>
    <w:p w14:paraId="7E2E3953">
      <w:pPr>
        <w:autoSpaceDE w:val="0"/>
        <w:autoSpaceDN w:val="0"/>
        <w:spacing w:before="210"/>
        <w:ind w:left="969" w:right="733" w:firstLine="364"/>
        <w:jc w:val="center"/>
        <w:rPr>
          <w:szCs w:val="22"/>
        </w:rPr>
      </w:pPr>
      <w:r>
        <w:rPr>
          <w:rFonts w:hint="eastAsia" w:ascii="宋体" w:hAnsi="宋体"/>
          <w:spacing w:val="-14"/>
          <w:szCs w:val="22"/>
          <w:lang w:bidi="ar"/>
        </w:rPr>
        <w:t xml:space="preserve">模块化 </w:t>
      </w:r>
      <w:r>
        <w:rPr>
          <w:rFonts w:hAnsi="宋体" w:eastAsia="Times New Roman"/>
          <w:szCs w:val="22"/>
          <w:lang w:bidi="ar"/>
        </w:rPr>
        <w:t>UPS</w:t>
      </w:r>
      <w:r>
        <w:rPr>
          <w:rFonts w:hAnsi="宋体" w:eastAsia="Times New Roman"/>
          <w:spacing w:val="2"/>
          <w:szCs w:val="22"/>
          <w:lang w:bidi="ar"/>
        </w:rPr>
        <w:t xml:space="preserve"> </w:t>
      </w:r>
      <w:r>
        <w:rPr>
          <w:rFonts w:hint="eastAsia" w:ascii="宋体" w:hAnsi="宋体"/>
          <w:szCs w:val="22"/>
          <w:lang w:bidi="ar"/>
        </w:rPr>
        <w:t>结构指标</w:t>
      </w:r>
    </w:p>
    <w:tbl>
      <w:tblPr>
        <w:tblStyle w:val="41"/>
        <w:tblW w:w="4999"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3072"/>
        <w:gridCol w:w="6580"/>
      </w:tblGrid>
      <w:tr w14:paraId="1F98FD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c>
          <w:tcPr>
            <w:tcW w:w="1591" w:type="pct"/>
            <w:tcBorders>
              <w:top w:val="single" w:color="000000" w:sz="6" w:space="0"/>
              <w:left w:val="single" w:color="000000" w:sz="6" w:space="0"/>
              <w:bottom w:val="single" w:color="000000" w:sz="6" w:space="0"/>
              <w:right w:val="single" w:color="000000" w:sz="6" w:space="0"/>
            </w:tcBorders>
            <w:vAlign w:val="center"/>
          </w:tcPr>
          <w:p w14:paraId="06C063B0">
            <w:pPr>
              <w:pStyle w:val="37"/>
              <w:autoSpaceDE w:val="0"/>
              <w:autoSpaceDN w:val="0"/>
              <w:spacing w:before="0" w:after="0"/>
              <w:rPr>
                <w:kern w:val="2"/>
                <w:sz w:val="20"/>
                <w:szCs w:val="20"/>
              </w:rPr>
            </w:pPr>
            <w:r>
              <w:rPr>
                <w:rFonts w:hint="eastAsia"/>
                <w:kern w:val="2"/>
                <w:sz w:val="20"/>
                <w:szCs w:val="20"/>
                <w:lang w:bidi="ar"/>
              </w:rPr>
              <w:t>配置</w:t>
            </w:r>
          </w:p>
        </w:tc>
        <w:tc>
          <w:tcPr>
            <w:tcW w:w="3408" w:type="pct"/>
            <w:tcBorders>
              <w:top w:val="single" w:color="000000" w:sz="6" w:space="0"/>
              <w:left w:val="single" w:color="000000" w:sz="6" w:space="0"/>
              <w:bottom w:val="single" w:color="000000" w:sz="6" w:space="0"/>
              <w:right w:val="single" w:color="000000" w:sz="6" w:space="0"/>
            </w:tcBorders>
            <w:vAlign w:val="center"/>
          </w:tcPr>
          <w:p w14:paraId="5E8D2CA8">
            <w:pPr>
              <w:pStyle w:val="37"/>
              <w:autoSpaceDE w:val="0"/>
              <w:autoSpaceDN w:val="0"/>
              <w:spacing w:before="0" w:after="0"/>
              <w:rPr>
                <w:kern w:val="2"/>
                <w:sz w:val="20"/>
                <w:szCs w:val="20"/>
              </w:rPr>
            </w:pPr>
            <w:r>
              <w:rPr>
                <w:rFonts w:hint="eastAsia"/>
                <w:kern w:val="2"/>
                <w:sz w:val="20"/>
                <w:szCs w:val="20"/>
                <w:lang w:bidi="ar"/>
              </w:rPr>
              <w:t>场景</w:t>
            </w:r>
          </w:p>
        </w:tc>
      </w:tr>
      <w:tr w14:paraId="0AC256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c>
          <w:tcPr>
            <w:tcW w:w="1591" w:type="pct"/>
            <w:tcBorders>
              <w:top w:val="single" w:color="000000" w:sz="6" w:space="0"/>
              <w:left w:val="single" w:color="000000" w:sz="6" w:space="0"/>
              <w:bottom w:val="single" w:color="000000" w:sz="6" w:space="0"/>
              <w:right w:val="single" w:color="000000" w:sz="6" w:space="0"/>
            </w:tcBorders>
            <w:vAlign w:val="center"/>
          </w:tcPr>
          <w:p w14:paraId="3A379769">
            <w:pPr>
              <w:pStyle w:val="37"/>
              <w:autoSpaceDE w:val="0"/>
              <w:autoSpaceDN w:val="0"/>
              <w:spacing w:before="0" w:after="0"/>
              <w:rPr>
                <w:kern w:val="2"/>
                <w:sz w:val="20"/>
                <w:szCs w:val="20"/>
              </w:rPr>
            </w:pPr>
            <w:r>
              <w:rPr>
                <w:rFonts w:hint="eastAsia"/>
                <w:kern w:val="2"/>
                <w:sz w:val="20"/>
                <w:szCs w:val="20"/>
                <w:lang w:bidi="ar"/>
              </w:rPr>
              <w:t>输入方式</w:t>
            </w:r>
          </w:p>
        </w:tc>
        <w:tc>
          <w:tcPr>
            <w:tcW w:w="3408" w:type="pct"/>
            <w:tcBorders>
              <w:top w:val="single" w:color="000000" w:sz="6" w:space="0"/>
              <w:left w:val="single" w:color="000000" w:sz="6" w:space="0"/>
              <w:bottom w:val="single" w:color="000000" w:sz="6" w:space="0"/>
              <w:right w:val="single" w:color="000000" w:sz="6" w:space="0"/>
            </w:tcBorders>
            <w:vAlign w:val="center"/>
          </w:tcPr>
          <w:p w14:paraId="40C0DDB4">
            <w:pPr>
              <w:pStyle w:val="37"/>
              <w:autoSpaceDE w:val="0"/>
              <w:autoSpaceDN w:val="0"/>
              <w:spacing w:before="0" w:after="0"/>
              <w:rPr>
                <w:kern w:val="2"/>
                <w:sz w:val="20"/>
                <w:szCs w:val="20"/>
              </w:rPr>
            </w:pPr>
            <w:r>
              <w:rPr>
                <w:rFonts w:hint="eastAsia"/>
                <w:kern w:val="2"/>
                <w:sz w:val="20"/>
                <w:szCs w:val="20"/>
                <w:lang w:bidi="ar"/>
              </w:rPr>
              <w:t>1250A/3P</w:t>
            </w:r>
          </w:p>
        </w:tc>
      </w:tr>
      <w:tr w14:paraId="391FC5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c>
          <w:tcPr>
            <w:tcW w:w="1591" w:type="pct"/>
            <w:tcBorders>
              <w:top w:val="single" w:color="000000" w:sz="6" w:space="0"/>
              <w:left w:val="single" w:color="000000" w:sz="6" w:space="0"/>
              <w:bottom w:val="single" w:color="000000" w:sz="6" w:space="0"/>
              <w:right w:val="single" w:color="000000" w:sz="6" w:space="0"/>
            </w:tcBorders>
            <w:vAlign w:val="center"/>
          </w:tcPr>
          <w:p w14:paraId="2941A1F7">
            <w:pPr>
              <w:pStyle w:val="37"/>
              <w:autoSpaceDE w:val="0"/>
              <w:autoSpaceDN w:val="0"/>
              <w:spacing w:before="0" w:after="0"/>
              <w:rPr>
                <w:kern w:val="2"/>
                <w:sz w:val="20"/>
                <w:szCs w:val="20"/>
              </w:rPr>
            </w:pPr>
            <w:r>
              <w:rPr>
                <w:rFonts w:hint="eastAsia"/>
                <w:kern w:val="2"/>
                <w:sz w:val="20"/>
                <w:szCs w:val="20"/>
                <w:lang w:bidi="ar"/>
              </w:rPr>
              <w:t>UPS 配电开关</w:t>
            </w:r>
          </w:p>
        </w:tc>
        <w:tc>
          <w:tcPr>
            <w:tcW w:w="3408" w:type="pct"/>
            <w:tcBorders>
              <w:top w:val="single" w:color="000000" w:sz="6" w:space="0"/>
              <w:left w:val="single" w:color="000000" w:sz="6" w:space="0"/>
              <w:bottom w:val="single" w:color="000000" w:sz="6" w:space="0"/>
              <w:right w:val="single" w:color="000000" w:sz="6" w:space="0"/>
            </w:tcBorders>
            <w:vAlign w:val="center"/>
          </w:tcPr>
          <w:p w14:paraId="3A68CACC">
            <w:pPr>
              <w:pStyle w:val="37"/>
              <w:autoSpaceDE w:val="0"/>
              <w:autoSpaceDN w:val="0"/>
              <w:spacing w:before="0" w:after="0"/>
              <w:rPr>
                <w:kern w:val="2"/>
                <w:sz w:val="20"/>
                <w:szCs w:val="20"/>
              </w:rPr>
            </w:pPr>
            <w:r>
              <w:rPr>
                <w:rFonts w:hint="eastAsia"/>
                <w:kern w:val="2"/>
                <w:sz w:val="20"/>
                <w:szCs w:val="20"/>
                <w:lang w:bidi="ar"/>
              </w:rPr>
              <w:t>UPS 输出：1250A/3P</w:t>
            </w:r>
          </w:p>
          <w:p w14:paraId="6A3C350E">
            <w:pPr>
              <w:pStyle w:val="37"/>
              <w:autoSpaceDE w:val="0"/>
              <w:autoSpaceDN w:val="0"/>
              <w:spacing w:before="0" w:after="0"/>
              <w:rPr>
                <w:kern w:val="2"/>
                <w:sz w:val="20"/>
                <w:szCs w:val="20"/>
              </w:rPr>
            </w:pPr>
            <w:r>
              <w:rPr>
                <w:rFonts w:hint="eastAsia"/>
                <w:kern w:val="2"/>
                <w:sz w:val="20"/>
                <w:szCs w:val="20"/>
                <w:lang w:bidi="ar"/>
              </w:rPr>
              <w:t>维修旁路：1250A/3P</w:t>
            </w:r>
          </w:p>
        </w:tc>
      </w:tr>
      <w:tr w14:paraId="1C672E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c>
          <w:tcPr>
            <w:tcW w:w="1591" w:type="pct"/>
            <w:tcBorders>
              <w:top w:val="single" w:color="000000" w:sz="6" w:space="0"/>
              <w:left w:val="single" w:color="000000" w:sz="6" w:space="0"/>
              <w:bottom w:val="single" w:color="000000" w:sz="6" w:space="0"/>
              <w:right w:val="single" w:color="000000" w:sz="6" w:space="0"/>
            </w:tcBorders>
            <w:vAlign w:val="center"/>
          </w:tcPr>
          <w:p w14:paraId="7B0CDD14">
            <w:pPr>
              <w:pStyle w:val="37"/>
              <w:autoSpaceDE w:val="0"/>
              <w:autoSpaceDN w:val="0"/>
              <w:spacing w:before="0" w:after="0"/>
              <w:rPr>
                <w:kern w:val="2"/>
                <w:sz w:val="20"/>
                <w:szCs w:val="20"/>
              </w:rPr>
            </w:pPr>
            <w:r>
              <w:rPr>
                <w:rFonts w:hint="eastAsia"/>
                <w:kern w:val="2"/>
                <w:sz w:val="20"/>
                <w:szCs w:val="20"/>
                <w:lang w:bidi="ar"/>
              </w:rPr>
              <w:t>尺寸（高×宽×深）</w:t>
            </w:r>
          </w:p>
        </w:tc>
        <w:tc>
          <w:tcPr>
            <w:tcW w:w="3408" w:type="pct"/>
            <w:tcBorders>
              <w:top w:val="single" w:color="000000" w:sz="6" w:space="0"/>
              <w:left w:val="single" w:color="000000" w:sz="6" w:space="0"/>
              <w:bottom w:val="single" w:color="000000" w:sz="6" w:space="0"/>
              <w:right w:val="single" w:color="000000" w:sz="6" w:space="0"/>
            </w:tcBorders>
            <w:vAlign w:val="center"/>
          </w:tcPr>
          <w:p w14:paraId="76103F6A">
            <w:pPr>
              <w:pStyle w:val="37"/>
              <w:autoSpaceDE w:val="0"/>
              <w:autoSpaceDN w:val="0"/>
              <w:spacing w:before="0" w:after="0"/>
              <w:rPr>
                <w:kern w:val="2"/>
                <w:sz w:val="20"/>
                <w:szCs w:val="20"/>
              </w:rPr>
            </w:pPr>
            <w:r>
              <w:rPr>
                <w:rFonts w:hint="eastAsia"/>
                <w:kern w:val="2"/>
                <w:sz w:val="20"/>
                <w:szCs w:val="20"/>
                <w:lang w:bidi="ar"/>
              </w:rPr>
              <w:t>2000mm×1200mm×860mm</w:t>
            </w:r>
          </w:p>
        </w:tc>
      </w:tr>
    </w:tbl>
    <w:p w14:paraId="26E040FE">
      <w:pPr>
        <w:spacing w:before="156" w:beforeLines="50" w:after="156" w:afterLines="50"/>
        <w:ind w:firstLine="480"/>
        <w:rPr>
          <w:sz w:val="28"/>
          <w:szCs w:val="28"/>
        </w:rPr>
      </w:pPr>
      <w:r>
        <w:rPr>
          <w:rFonts w:hint="eastAsia"/>
          <w:sz w:val="28"/>
          <w:szCs w:val="28"/>
        </w:rPr>
        <w:t xml:space="preserve">模块化 </w:t>
      </w:r>
      <w:r>
        <w:rPr>
          <w:sz w:val="28"/>
          <w:szCs w:val="28"/>
        </w:rPr>
        <w:t xml:space="preserve">UPS </w:t>
      </w:r>
      <w:r>
        <w:rPr>
          <w:rFonts w:hint="eastAsia"/>
          <w:sz w:val="28"/>
          <w:szCs w:val="28"/>
        </w:rPr>
        <w:t xml:space="preserve">工作在 </w:t>
      </w:r>
      <w:r>
        <w:rPr>
          <w:sz w:val="28"/>
          <w:szCs w:val="28"/>
        </w:rPr>
        <w:t xml:space="preserve">380V/400V/415V </w:t>
      </w:r>
      <w:r>
        <w:rPr>
          <w:rFonts w:hint="eastAsia"/>
          <w:sz w:val="28"/>
          <w:szCs w:val="28"/>
        </w:rPr>
        <w:t>电源制式下，具有冗余备份、稳定可靠、高效节约、绿色环保、柔性智能、简易灵活等特点。</w:t>
      </w:r>
    </w:p>
    <w:p w14:paraId="5B7BCCEC">
      <w:pPr>
        <w:numPr>
          <w:ilvl w:val="0"/>
          <w:numId w:val="4"/>
        </w:numPr>
        <w:spacing w:before="156" w:beforeLines="50" w:after="156" w:afterLines="50"/>
        <w:ind w:firstLine="480"/>
        <w:rPr>
          <w:sz w:val="28"/>
          <w:szCs w:val="28"/>
        </w:rPr>
      </w:pPr>
      <w:r>
        <w:rPr>
          <w:rFonts w:hint="eastAsia"/>
          <w:sz w:val="28"/>
          <w:szCs w:val="28"/>
        </w:rPr>
        <w:t>模块化 UPS 技术指标</w:t>
      </w:r>
    </w:p>
    <w:p w14:paraId="5A2C2B20">
      <w:pPr>
        <w:autoSpaceDE w:val="0"/>
        <w:autoSpaceDN w:val="0"/>
        <w:spacing w:before="166"/>
        <w:ind w:left="969" w:right="733" w:firstLine="364"/>
        <w:jc w:val="center"/>
        <w:rPr>
          <w:szCs w:val="22"/>
        </w:rPr>
      </w:pPr>
      <w:r>
        <w:rPr>
          <w:rFonts w:hint="eastAsia" w:ascii="宋体" w:hAnsi="宋体"/>
          <w:spacing w:val="-14"/>
          <w:szCs w:val="22"/>
          <w:lang w:bidi="ar"/>
        </w:rPr>
        <w:t xml:space="preserve">模块化 </w:t>
      </w:r>
      <w:r>
        <w:rPr>
          <w:rFonts w:hAnsi="宋体" w:eastAsia="Times New Roman"/>
          <w:szCs w:val="22"/>
          <w:lang w:bidi="ar"/>
        </w:rPr>
        <w:t>UPS</w:t>
      </w:r>
      <w:r>
        <w:rPr>
          <w:rFonts w:hAnsi="宋体" w:eastAsia="Times New Roman"/>
          <w:spacing w:val="2"/>
          <w:szCs w:val="22"/>
          <w:lang w:bidi="ar"/>
        </w:rPr>
        <w:t xml:space="preserve"> </w:t>
      </w:r>
      <w:r>
        <w:rPr>
          <w:rFonts w:hint="eastAsia" w:ascii="宋体" w:hAnsi="宋体"/>
          <w:szCs w:val="22"/>
          <w:lang w:bidi="ar"/>
        </w:rPr>
        <w:t>技术指标</w:t>
      </w:r>
    </w:p>
    <w:tbl>
      <w:tblPr>
        <w:tblStyle w:val="41"/>
        <w:tblW w:w="5007"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1915"/>
        <w:gridCol w:w="2601"/>
        <w:gridCol w:w="5152"/>
      </w:tblGrid>
      <w:tr w14:paraId="6EC2AC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c>
          <w:tcPr>
            <w:tcW w:w="990" w:type="pct"/>
            <w:tcBorders>
              <w:top w:val="single" w:color="000000" w:sz="6" w:space="0"/>
              <w:left w:val="single" w:color="000000" w:sz="6" w:space="0"/>
              <w:bottom w:val="single" w:color="000000" w:sz="6" w:space="0"/>
              <w:right w:val="single" w:color="000000" w:sz="6" w:space="0"/>
            </w:tcBorders>
          </w:tcPr>
          <w:p w14:paraId="601A8192">
            <w:pPr>
              <w:pStyle w:val="37"/>
              <w:autoSpaceDE w:val="0"/>
              <w:autoSpaceDN w:val="0"/>
              <w:spacing w:before="0" w:after="0"/>
              <w:rPr>
                <w:b/>
                <w:kern w:val="2"/>
                <w:sz w:val="20"/>
                <w:szCs w:val="20"/>
              </w:rPr>
            </w:pPr>
            <w:r>
              <w:rPr>
                <w:rFonts w:hint="eastAsia"/>
                <w:b/>
                <w:kern w:val="2"/>
                <w:sz w:val="20"/>
                <w:szCs w:val="20"/>
                <w:lang w:bidi="ar"/>
              </w:rPr>
              <w:t>参数类型</w:t>
            </w:r>
          </w:p>
        </w:tc>
        <w:tc>
          <w:tcPr>
            <w:tcW w:w="1345" w:type="pct"/>
            <w:tcBorders>
              <w:top w:val="single" w:color="000000" w:sz="6" w:space="0"/>
              <w:left w:val="single" w:color="000000" w:sz="6" w:space="0"/>
              <w:bottom w:val="single" w:color="000000" w:sz="6" w:space="0"/>
              <w:right w:val="single" w:color="000000" w:sz="6" w:space="0"/>
            </w:tcBorders>
            <w:vAlign w:val="center"/>
          </w:tcPr>
          <w:p w14:paraId="0945158F">
            <w:pPr>
              <w:pStyle w:val="37"/>
              <w:autoSpaceDE w:val="0"/>
              <w:autoSpaceDN w:val="0"/>
              <w:spacing w:before="0" w:after="0"/>
              <w:rPr>
                <w:b/>
                <w:kern w:val="2"/>
                <w:sz w:val="20"/>
                <w:szCs w:val="20"/>
              </w:rPr>
            </w:pPr>
            <w:r>
              <w:rPr>
                <w:rFonts w:hint="eastAsia"/>
                <w:b/>
                <w:kern w:val="2"/>
                <w:sz w:val="20"/>
                <w:szCs w:val="20"/>
                <w:lang w:bidi="ar"/>
              </w:rPr>
              <w:t>参数名称</w:t>
            </w:r>
          </w:p>
        </w:tc>
        <w:tc>
          <w:tcPr>
            <w:tcW w:w="2664" w:type="pct"/>
            <w:tcBorders>
              <w:top w:val="single" w:color="000000" w:sz="6" w:space="0"/>
              <w:left w:val="single" w:color="000000" w:sz="6" w:space="0"/>
              <w:bottom w:val="single" w:color="000000" w:sz="6" w:space="0"/>
              <w:right w:val="single" w:color="000000" w:sz="6" w:space="0"/>
            </w:tcBorders>
            <w:vAlign w:val="center"/>
          </w:tcPr>
          <w:p w14:paraId="65D626C4">
            <w:pPr>
              <w:pStyle w:val="37"/>
              <w:autoSpaceDE w:val="0"/>
              <w:autoSpaceDN w:val="0"/>
              <w:spacing w:before="0" w:after="0"/>
              <w:rPr>
                <w:b/>
                <w:kern w:val="2"/>
                <w:sz w:val="20"/>
                <w:szCs w:val="20"/>
              </w:rPr>
            </w:pPr>
            <w:r>
              <w:rPr>
                <w:rFonts w:hint="eastAsia"/>
                <w:b/>
                <w:kern w:val="2"/>
                <w:sz w:val="20"/>
                <w:szCs w:val="20"/>
                <w:lang w:bidi="ar"/>
              </w:rPr>
              <w:t>参数值</w:t>
            </w:r>
          </w:p>
        </w:tc>
      </w:tr>
      <w:tr w14:paraId="333B1E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c>
          <w:tcPr>
            <w:tcW w:w="990" w:type="pct"/>
            <w:vMerge w:val="restart"/>
            <w:tcBorders>
              <w:top w:val="single" w:color="000000" w:sz="6" w:space="0"/>
              <w:left w:val="single" w:color="000000" w:sz="6" w:space="0"/>
              <w:bottom w:val="single" w:color="000000" w:sz="6" w:space="0"/>
              <w:right w:val="single" w:color="000000" w:sz="6" w:space="0"/>
            </w:tcBorders>
            <w:vAlign w:val="center"/>
          </w:tcPr>
          <w:p w14:paraId="1786F4E4">
            <w:pPr>
              <w:pStyle w:val="37"/>
              <w:autoSpaceDE w:val="0"/>
              <w:autoSpaceDN w:val="0"/>
              <w:spacing w:before="0" w:after="0"/>
              <w:rPr>
                <w:kern w:val="2"/>
                <w:sz w:val="20"/>
                <w:szCs w:val="20"/>
              </w:rPr>
            </w:pPr>
            <w:r>
              <w:rPr>
                <w:rFonts w:hint="eastAsia"/>
                <w:kern w:val="2"/>
                <w:sz w:val="20"/>
                <w:szCs w:val="20"/>
                <w:lang w:bidi="ar"/>
              </w:rPr>
              <w:t>输入参数</w:t>
            </w:r>
          </w:p>
        </w:tc>
        <w:tc>
          <w:tcPr>
            <w:tcW w:w="1345" w:type="pct"/>
            <w:tcBorders>
              <w:top w:val="single" w:color="000000" w:sz="6" w:space="0"/>
              <w:left w:val="single" w:color="000000" w:sz="6" w:space="0"/>
              <w:bottom w:val="single" w:color="000000" w:sz="6" w:space="0"/>
              <w:right w:val="single" w:color="000000" w:sz="6" w:space="0"/>
            </w:tcBorders>
            <w:vAlign w:val="center"/>
          </w:tcPr>
          <w:p w14:paraId="063C1726">
            <w:pPr>
              <w:pStyle w:val="37"/>
              <w:autoSpaceDE w:val="0"/>
              <w:autoSpaceDN w:val="0"/>
              <w:spacing w:before="0" w:after="0"/>
              <w:rPr>
                <w:kern w:val="2"/>
                <w:sz w:val="20"/>
                <w:szCs w:val="20"/>
              </w:rPr>
            </w:pPr>
            <w:r>
              <w:rPr>
                <w:rFonts w:hint="eastAsia"/>
                <w:kern w:val="2"/>
                <w:sz w:val="20"/>
                <w:szCs w:val="20"/>
                <w:lang w:bidi="ar"/>
              </w:rPr>
              <w:t>电源制式</w:t>
            </w:r>
          </w:p>
        </w:tc>
        <w:tc>
          <w:tcPr>
            <w:tcW w:w="2664" w:type="pct"/>
            <w:tcBorders>
              <w:top w:val="single" w:color="000000" w:sz="6" w:space="0"/>
              <w:left w:val="single" w:color="000000" w:sz="6" w:space="0"/>
              <w:bottom w:val="single" w:color="000000" w:sz="6" w:space="0"/>
              <w:right w:val="single" w:color="000000" w:sz="6" w:space="0"/>
            </w:tcBorders>
            <w:vAlign w:val="center"/>
          </w:tcPr>
          <w:p w14:paraId="31DC2764">
            <w:pPr>
              <w:pStyle w:val="37"/>
              <w:autoSpaceDE w:val="0"/>
              <w:autoSpaceDN w:val="0"/>
              <w:spacing w:before="0" w:after="0"/>
              <w:rPr>
                <w:kern w:val="2"/>
                <w:sz w:val="20"/>
                <w:szCs w:val="20"/>
              </w:rPr>
            </w:pPr>
            <w:r>
              <w:rPr>
                <w:rFonts w:hint="eastAsia"/>
                <w:kern w:val="2"/>
                <w:sz w:val="20"/>
                <w:szCs w:val="20"/>
                <w:lang w:bidi="ar"/>
              </w:rPr>
              <w:t>三相</w:t>
            </w:r>
          </w:p>
        </w:tc>
      </w:tr>
      <w:tr w14:paraId="773794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c>
          <w:tcPr>
            <w:tcW w:w="990" w:type="pct"/>
            <w:vMerge w:val="continue"/>
            <w:tcBorders>
              <w:top w:val="single" w:color="000000" w:sz="6" w:space="0"/>
              <w:left w:val="single" w:color="000000" w:sz="6" w:space="0"/>
              <w:bottom w:val="single" w:color="000000" w:sz="6" w:space="0"/>
              <w:right w:val="single" w:color="000000" w:sz="6" w:space="0"/>
            </w:tcBorders>
            <w:vAlign w:val="center"/>
          </w:tcPr>
          <w:p w14:paraId="3A997A7E">
            <w:pPr>
              <w:rPr>
                <w:rFonts w:ascii="Calibri" w:hAnsi="Calibri"/>
                <w:sz w:val="20"/>
                <w:szCs w:val="20"/>
              </w:rPr>
            </w:pPr>
          </w:p>
        </w:tc>
        <w:tc>
          <w:tcPr>
            <w:tcW w:w="1345" w:type="pct"/>
            <w:tcBorders>
              <w:top w:val="single" w:color="000000" w:sz="6" w:space="0"/>
              <w:left w:val="single" w:color="000000" w:sz="6" w:space="0"/>
              <w:bottom w:val="single" w:color="000000" w:sz="6" w:space="0"/>
              <w:right w:val="single" w:color="000000" w:sz="6" w:space="0"/>
            </w:tcBorders>
            <w:vAlign w:val="center"/>
          </w:tcPr>
          <w:p w14:paraId="5F97B9BC">
            <w:pPr>
              <w:pStyle w:val="37"/>
              <w:autoSpaceDE w:val="0"/>
              <w:autoSpaceDN w:val="0"/>
              <w:spacing w:before="0" w:after="0"/>
              <w:rPr>
                <w:kern w:val="2"/>
                <w:sz w:val="20"/>
                <w:szCs w:val="20"/>
              </w:rPr>
            </w:pPr>
            <w:r>
              <w:rPr>
                <w:rFonts w:hint="eastAsia"/>
                <w:kern w:val="2"/>
                <w:sz w:val="20"/>
                <w:szCs w:val="20"/>
                <w:lang w:bidi="ar"/>
              </w:rPr>
              <w:t>额定输入电压</w:t>
            </w:r>
          </w:p>
        </w:tc>
        <w:tc>
          <w:tcPr>
            <w:tcW w:w="2664" w:type="pct"/>
            <w:tcBorders>
              <w:top w:val="single" w:color="000000" w:sz="6" w:space="0"/>
              <w:left w:val="single" w:color="000000" w:sz="6" w:space="0"/>
              <w:bottom w:val="single" w:color="000000" w:sz="6" w:space="0"/>
              <w:right w:val="single" w:color="000000" w:sz="6" w:space="0"/>
            </w:tcBorders>
            <w:vAlign w:val="center"/>
          </w:tcPr>
          <w:p w14:paraId="28182D94">
            <w:pPr>
              <w:pStyle w:val="37"/>
              <w:autoSpaceDE w:val="0"/>
              <w:autoSpaceDN w:val="0"/>
              <w:spacing w:before="0" w:after="0"/>
              <w:rPr>
                <w:kern w:val="2"/>
                <w:sz w:val="20"/>
                <w:szCs w:val="20"/>
              </w:rPr>
            </w:pPr>
            <w:r>
              <w:rPr>
                <w:rFonts w:hint="eastAsia"/>
                <w:kern w:val="2"/>
                <w:sz w:val="20"/>
                <w:szCs w:val="20"/>
                <w:lang w:bidi="ar"/>
              </w:rPr>
              <w:t>380V AC/400V AC/415V AC，三相四线＋PE</w:t>
            </w:r>
          </w:p>
        </w:tc>
      </w:tr>
      <w:tr w14:paraId="6C3544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c>
          <w:tcPr>
            <w:tcW w:w="990" w:type="pct"/>
            <w:vMerge w:val="continue"/>
            <w:tcBorders>
              <w:top w:val="single" w:color="000000" w:sz="6" w:space="0"/>
              <w:left w:val="single" w:color="000000" w:sz="6" w:space="0"/>
              <w:bottom w:val="single" w:color="000000" w:sz="6" w:space="0"/>
              <w:right w:val="single" w:color="000000" w:sz="6" w:space="0"/>
            </w:tcBorders>
            <w:vAlign w:val="center"/>
          </w:tcPr>
          <w:p w14:paraId="09BE74E4">
            <w:pPr>
              <w:rPr>
                <w:rFonts w:ascii="Calibri" w:hAnsi="Calibri"/>
                <w:sz w:val="20"/>
                <w:szCs w:val="20"/>
              </w:rPr>
            </w:pPr>
          </w:p>
        </w:tc>
        <w:tc>
          <w:tcPr>
            <w:tcW w:w="1345" w:type="pct"/>
            <w:tcBorders>
              <w:top w:val="single" w:color="000000" w:sz="6" w:space="0"/>
              <w:left w:val="single" w:color="000000" w:sz="6" w:space="0"/>
              <w:bottom w:val="single" w:color="000000" w:sz="6" w:space="0"/>
              <w:right w:val="single" w:color="000000" w:sz="6" w:space="0"/>
            </w:tcBorders>
            <w:vAlign w:val="center"/>
          </w:tcPr>
          <w:p w14:paraId="4EF6BDBA">
            <w:pPr>
              <w:pStyle w:val="37"/>
              <w:autoSpaceDE w:val="0"/>
              <w:autoSpaceDN w:val="0"/>
              <w:spacing w:before="0" w:after="0"/>
              <w:rPr>
                <w:kern w:val="2"/>
                <w:sz w:val="20"/>
                <w:szCs w:val="20"/>
              </w:rPr>
            </w:pPr>
            <w:r>
              <w:rPr>
                <w:rFonts w:hint="eastAsia"/>
                <w:kern w:val="2"/>
                <w:sz w:val="20"/>
                <w:szCs w:val="20"/>
                <w:lang w:bidi="ar"/>
              </w:rPr>
              <w:t>输入电压范围</w:t>
            </w:r>
          </w:p>
        </w:tc>
        <w:tc>
          <w:tcPr>
            <w:tcW w:w="2664" w:type="pct"/>
            <w:tcBorders>
              <w:top w:val="single" w:color="000000" w:sz="6" w:space="0"/>
              <w:left w:val="single" w:color="000000" w:sz="6" w:space="0"/>
              <w:bottom w:val="single" w:color="000000" w:sz="6" w:space="0"/>
              <w:right w:val="single" w:color="000000" w:sz="6" w:space="0"/>
            </w:tcBorders>
            <w:vAlign w:val="center"/>
          </w:tcPr>
          <w:p w14:paraId="2729ECEE">
            <w:pPr>
              <w:pStyle w:val="37"/>
              <w:autoSpaceDE w:val="0"/>
              <w:autoSpaceDN w:val="0"/>
              <w:spacing w:before="0" w:after="0"/>
              <w:rPr>
                <w:kern w:val="2"/>
                <w:sz w:val="20"/>
                <w:szCs w:val="20"/>
              </w:rPr>
            </w:pPr>
            <w:r>
              <w:rPr>
                <w:rFonts w:hint="eastAsia"/>
                <w:kern w:val="2"/>
                <w:sz w:val="20"/>
                <w:szCs w:val="20"/>
                <w:lang w:bidi="ar"/>
              </w:rPr>
              <w:t>138V AC~485V AC</w:t>
            </w:r>
          </w:p>
        </w:tc>
      </w:tr>
      <w:tr w14:paraId="27BC10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c>
          <w:tcPr>
            <w:tcW w:w="990" w:type="pct"/>
            <w:vMerge w:val="continue"/>
            <w:tcBorders>
              <w:top w:val="single" w:color="000000" w:sz="6" w:space="0"/>
              <w:left w:val="single" w:color="000000" w:sz="6" w:space="0"/>
              <w:bottom w:val="single" w:color="000000" w:sz="6" w:space="0"/>
              <w:right w:val="single" w:color="000000" w:sz="6" w:space="0"/>
            </w:tcBorders>
            <w:vAlign w:val="center"/>
          </w:tcPr>
          <w:p w14:paraId="68E8071C">
            <w:pPr>
              <w:rPr>
                <w:rFonts w:ascii="Calibri" w:hAnsi="Calibri"/>
                <w:sz w:val="20"/>
                <w:szCs w:val="20"/>
              </w:rPr>
            </w:pPr>
          </w:p>
        </w:tc>
        <w:tc>
          <w:tcPr>
            <w:tcW w:w="1345" w:type="pct"/>
            <w:tcBorders>
              <w:top w:val="single" w:color="000000" w:sz="6" w:space="0"/>
              <w:left w:val="single" w:color="000000" w:sz="6" w:space="0"/>
              <w:bottom w:val="single" w:color="000000" w:sz="6" w:space="0"/>
              <w:right w:val="single" w:color="000000" w:sz="6" w:space="0"/>
            </w:tcBorders>
            <w:vAlign w:val="center"/>
          </w:tcPr>
          <w:p w14:paraId="773D6F30">
            <w:pPr>
              <w:pStyle w:val="37"/>
              <w:autoSpaceDE w:val="0"/>
              <w:autoSpaceDN w:val="0"/>
              <w:spacing w:before="0" w:after="0"/>
              <w:rPr>
                <w:kern w:val="2"/>
                <w:sz w:val="20"/>
                <w:szCs w:val="20"/>
              </w:rPr>
            </w:pPr>
            <w:r>
              <w:rPr>
                <w:rFonts w:hint="eastAsia"/>
                <w:kern w:val="2"/>
                <w:sz w:val="20"/>
                <w:szCs w:val="20"/>
                <w:lang w:bidi="ar"/>
              </w:rPr>
              <w:t>输入频率范围</w:t>
            </w:r>
          </w:p>
        </w:tc>
        <w:tc>
          <w:tcPr>
            <w:tcW w:w="2664" w:type="pct"/>
            <w:tcBorders>
              <w:top w:val="single" w:color="000000" w:sz="6" w:space="0"/>
              <w:left w:val="single" w:color="000000" w:sz="6" w:space="0"/>
              <w:bottom w:val="single" w:color="000000" w:sz="6" w:space="0"/>
              <w:right w:val="single" w:color="000000" w:sz="6" w:space="0"/>
            </w:tcBorders>
            <w:vAlign w:val="center"/>
          </w:tcPr>
          <w:p w14:paraId="7F03DFD7">
            <w:pPr>
              <w:pStyle w:val="37"/>
              <w:autoSpaceDE w:val="0"/>
              <w:autoSpaceDN w:val="0"/>
              <w:spacing w:before="0" w:after="0"/>
              <w:rPr>
                <w:kern w:val="2"/>
                <w:sz w:val="20"/>
                <w:szCs w:val="20"/>
              </w:rPr>
            </w:pPr>
            <w:r>
              <w:rPr>
                <w:rFonts w:hint="eastAsia"/>
                <w:kern w:val="2"/>
                <w:sz w:val="20"/>
                <w:szCs w:val="20"/>
                <w:lang w:bidi="ar"/>
              </w:rPr>
              <w:t>40Hz~70Hz</w:t>
            </w:r>
          </w:p>
        </w:tc>
      </w:tr>
      <w:tr w14:paraId="434123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c>
          <w:tcPr>
            <w:tcW w:w="990" w:type="pct"/>
            <w:vMerge w:val="continue"/>
            <w:tcBorders>
              <w:top w:val="single" w:color="000000" w:sz="6" w:space="0"/>
              <w:left w:val="single" w:color="000000" w:sz="6" w:space="0"/>
              <w:bottom w:val="single" w:color="000000" w:sz="6" w:space="0"/>
              <w:right w:val="single" w:color="000000" w:sz="6" w:space="0"/>
            </w:tcBorders>
            <w:vAlign w:val="center"/>
          </w:tcPr>
          <w:p w14:paraId="6ED33D38">
            <w:pPr>
              <w:rPr>
                <w:rFonts w:ascii="Calibri" w:hAnsi="Calibri"/>
                <w:sz w:val="20"/>
                <w:szCs w:val="20"/>
              </w:rPr>
            </w:pPr>
          </w:p>
        </w:tc>
        <w:tc>
          <w:tcPr>
            <w:tcW w:w="1345" w:type="pct"/>
            <w:tcBorders>
              <w:top w:val="single" w:color="000000" w:sz="6" w:space="0"/>
              <w:left w:val="single" w:color="000000" w:sz="6" w:space="0"/>
              <w:bottom w:val="single" w:color="000000" w:sz="6" w:space="0"/>
              <w:right w:val="single" w:color="000000" w:sz="6" w:space="0"/>
            </w:tcBorders>
            <w:vAlign w:val="center"/>
          </w:tcPr>
          <w:p w14:paraId="48D657BD">
            <w:pPr>
              <w:pStyle w:val="37"/>
              <w:autoSpaceDE w:val="0"/>
              <w:autoSpaceDN w:val="0"/>
              <w:spacing w:before="0" w:after="0"/>
              <w:rPr>
                <w:kern w:val="2"/>
                <w:sz w:val="20"/>
                <w:szCs w:val="20"/>
              </w:rPr>
            </w:pPr>
            <w:r>
              <w:rPr>
                <w:rFonts w:hint="eastAsia"/>
                <w:kern w:val="2"/>
                <w:sz w:val="20"/>
                <w:szCs w:val="20"/>
                <w:lang w:bidi="ar"/>
              </w:rPr>
              <w:t>输入功率因数</w:t>
            </w:r>
          </w:p>
        </w:tc>
        <w:tc>
          <w:tcPr>
            <w:tcW w:w="2664" w:type="pct"/>
            <w:tcBorders>
              <w:top w:val="single" w:color="000000" w:sz="6" w:space="0"/>
              <w:left w:val="single" w:color="000000" w:sz="6" w:space="0"/>
              <w:bottom w:val="single" w:color="000000" w:sz="6" w:space="0"/>
              <w:right w:val="single" w:color="000000" w:sz="6" w:space="0"/>
            </w:tcBorders>
            <w:vAlign w:val="center"/>
          </w:tcPr>
          <w:p w14:paraId="3324212A">
            <w:pPr>
              <w:pStyle w:val="37"/>
              <w:autoSpaceDE w:val="0"/>
              <w:autoSpaceDN w:val="0"/>
              <w:spacing w:before="0" w:after="0"/>
              <w:rPr>
                <w:kern w:val="2"/>
                <w:sz w:val="20"/>
                <w:szCs w:val="20"/>
              </w:rPr>
            </w:pPr>
            <w:r>
              <w:rPr>
                <w:rFonts w:hint="eastAsia"/>
                <w:kern w:val="2"/>
                <w:sz w:val="20"/>
                <w:szCs w:val="20"/>
                <w:lang w:bidi="ar"/>
              </w:rPr>
              <w:t>满载 ＞ 0.99</w:t>
            </w:r>
          </w:p>
        </w:tc>
      </w:tr>
      <w:tr w14:paraId="1564A8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c>
          <w:tcPr>
            <w:tcW w:w="990" w:type="pct"/>
            <w:vMerge w:val="continue"/>
            <w:tcBorders>
              <w:top w:val="single" w:color="000000" w:sz="6" w:space="0"/>
              <w:left w:val="single" w:color="000000" w:sz="6" w:space="0"/>
              <w:bottom w:val="single" w:color="000000" w:sz="6" w:space="0"/>
              <w:right w:val="single" w:color="000000" w:sz="6" w:space="0"/>
            </w:tcBorders>
            <w:vAlign w:val="center"/>
          </w:tcPr>
          <w:p w14:paraId="1BDB43B2">
            <w:pPr>
              <w:rPr>
                <w:rFonts w:ascii="Calibri" w:hAnsi="Calibri"/>
                <w:sz w:val="20"/>
                <w:szCs w:val="20"/>
              </w:rPr>
            </w:pPr>
          </w:p>
        </w:tc>
        <w:tc>
          <w:tcPr>
            <w:tcW w:w="1345" w:type="pct"/>
            <w:tcBorders>
              <w:top w:val="single" w:color="000000" w:sz="6" w:space="0"/>
              <w:left w:val="single" w:color="000000" w:sz="6" w:space="0"/>
              <w:bottom w:val="single" w:color="000000" w:sz="6" w:space="0"/>
              <w:right w:val="single" w:color="000000" w:sz="6" w:space="0"/>
            </w:tcBorders>
            <w:vAlign w:val="center"/>
          </w:tcPr>
          <w:p w14:paraId="5567C61F">
            <w:pPr>
              <w:pStyle w:val="37"/>
              <w:autoSpaceDE w:val="0"/>
              <w:autoSpaceDN w:val="0"/>
              <w:spacing w:before="0" w:after="0"/>
              <w:rPr>
                <w:kern w:val="2"/>
                <w:sz w:val="20"/>
                <w:szCs w:val="20"/>
              </w:rPr>
            </w:pPr>
            <w:r>
              <w:rPr>
                <w:rFonts w:hint="eastAsia"/>
                <w:kern w:val="2"/>
                <w:sz w:val="20"/>
                <w:szCs w:val="20"/>
                <w:lang w:bidi="ar"/>
              </w:rPr>
              <w:t>额定输入电流</w:t>
            </w:r>
          </w:p>
        </w:tc>
        <w:tc>
          <w:tcPr>
            <w:tcW w:w="2664" w:type="pct"/>
            <w:tcBorders>
              <w:top w:val="single" w:color="000000" w:sz="6" w:space="0"/>
              <w:left w:val="single" w:color="000000" w:sz="6" w:space="0"/>
              <w:bottom w:val="single" w:color="000000" w:sz="6" w:space="0"/>
              <w:right w:val="single" w:color="000000" w:sz="6" w:space="0"/>
            </w:tcBorders>
            <w:vAlign w:val="center"/>
          </w:tcPr>
          <w:p w14:paraId="6192FF67">
            <w:pPr>
              <w:pStyle w:val="37"/>
              <w:autoSpaceDE w:val="0"/>
              <w:autoSpaceDN w:val="0"/>
              <w:spacing w:before="0" w:after="0"/>
              <w:rPr>
                <w:kern w:val="2"/>
                <w:sz w:val="20"/>
                <w:szCs w:val="20"/>
              </w:rPr>
            </w:pPr>
            <w:r>
              <w:rPr>
                <w:rFonts w:hint="eastAsia"/>
                <w:kern w:val="2"/>
                <w:sz w:val="20"/>
                <w:szCs w:val="20"/>
                <w:lang w:bidi="ar"/>
              </w:rPr>
              <w:t>1250A</w:t>
            </w:r>
          </w:p>
        </w:tc>
      </w:tr>
      <w:tr w14:paraId="258136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c>
          <w:tcPr>
            <w:tcW w:w="990" w:type="pct"/>
            <w:vMerge w:val="restart"/>
            <w:tcBorders>
              <w:top w:val="single" w:color="000000" w:sz="6" w:space="0"/>
              <w:left w:val="single" w:color="000000" w:sz="6" w:space="0"/>
              <w:bottom w:val="single" w:color="000000" w:sz="6" w:space="0"/>
              <w:right w:val="single" w:color="000000" w:sz="6" w:space="0"/>
            </w:tcBorders>
            <w:vAlign w:val="center"/>
          </w:tcPr>
          <w:p w14:paraId="440358BA">
            <w:pPr>
              <w:pStyle w:val="37"/>
              <w:autoSpaceDE w:val="0"/>
              <w:autoSpaceDN w:val="0"/>
              <w:spacing w:before="0" w:after="0"/>
              <w:rPr>
                <w:kern w:val="2"/>
                <w:sz w:val="20"/>
                <w:szCs w:val="20"/>
              </w:rPr>
            </w:pPr>
            <w:r>
              <w:rPr>
                <w:rFonts w:hint="eastAsia"/>
                <w:kern w:val="2"/>
                <w:sz w:val="20"/>
                <w:szCs w:val="20"/>
                <w:lang w:bidi="ar"/>
              </w:rPr>
              <w:t>输出参数</w:t>
            </w:r>
          </w:p>
        </w:tc>
        <w:tc>
          <w:tcPr>
            <w:tcW w:w="1345" w:type="pct"/>
            <w:tcBorders>
              <w:top w:val="single" w:color="000000" w:sz="6" w:space="0"/>
              <w:left w:val="single" w:color="000000" w:sz="6" w:space="0"/>
              <w:bottom w:val="single" w:color="000000" w:sz="6" w:space="0"/>
              <w:right w:val="single" w:color="000000" w:sz="6" w:space="0"/>
            </w:tcBorders>
            <w:vAlign w:val="center"/>
          </w:tcPr>
          <w:p w14:paraId="0168D9BE">
            <w:pPr>
              <w:pStyle w:val="37"/>
              <w:autoSpaceDE w:val="0"/>
              <w:autoSpaceDN w:val="0"/>
              <w:spacing w:before="0" w:after="0"/>
              <w:rPr>
                <w:kern w:val="2"/>
                <w:sz w:val="20"/>
                <w:szCs w:val="20"/>
              </w:rPr>
            </w:pPr>
            <w:r>
              <w:rPr>
                <w:rFonts w:hint="eastAsia"/>
                <w:kern w:val="2"/>
                <w:sz w:val="20"/>
                <w:szCs w:val="20"/>
                <w:lang w:bidi="ar"/>
              </w:rPr>
              <w:t>额定电压</w:t>
            </w:r>
          </w:p>
        </w:tc>
        <w:tc>
          <w:tcPr>
            <w:tcW w:w="2664" w:type="pct"/>
            <w:tcBorders>
              <w:top w:val="single" w:color="000000" w:sz="6" w:space="0"/>
              <w:left w:val="single" w:color="000000" w:sz="6" w:space="0"/>
              <w:bottom w:val="single" w:color="000000" w:sz="6" w:space="0"/>
              <w:right w:val="single" w:color="000000" w:sz="6" w:space="0"/>
            </w:tcBorders>
            <w:vAlign w:val="center"/>
          </w:tcPr>
          <w:p w14:paraId="75922AF0">
            <w:pPr>
              <w:pStyle w:val="37"/>
              <w:autoSpaceDE w:val="0"/>
              <w:autoSpaceDN w:val="0"/>
              <w:spacing w:before="0" w:after="0"/>
              <w:rPr>
                <w:kern w:val="2"/>
                <w:sz w:val="20"/>
                <w:szCs w:val="20"/>
              </w:rPr>
            </w:pPr>
            <w:r>
              <w:rPr>
                <w:rFonts w:hint="eastAsia"/>
                <w:kern w:val="2"/>
                <w:sz w:val="20"/>
                <w:szCs w:val="20"/>
                <w:lang w:bidi="ar"/>
              </w:rPr>
              <w:t>380V AC/400V AC/415V AC，三相四线＋PE</w:t>
            </w:r>
          </w:p>
        </w:tc>
      </w:tr>
      <w:tr w14:paraId="14D1FE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c>
          <w:tcPr>
            <w:tcW w:w="990" w:type="pct"/>
            <w:vMerge w:val="continue"/>
            <w:tcBorders>
              <w:top w:val="single" w:color="000000" w:sz="6" w:space="0"/>
              <w:left w:val="single" w:color="000000" w:sz="6" w:space="0"/>
              <w:bottom w:val="single" w:color="000000" w:sz="6" w:space="0"/>
              <w:right w:val="single" w:color="000000" w:sz="6" w:space="0"/>
            </w:tcBorders>
            <w:vAlign w:val="center"/>
          </w:tcPr>
          <w:p w14:paraId="3D213079">
            <w:pPr>
              <w:rPr>
                <w:rFonts w:ascii="Calibri" w:hAnsi="Calibri"/>
                <w:sz w:val="20"/>
                <w:szCs w:val="20"/>
              </w:rPr>
            </w:pPr>
          </w:p>
        </w:tc>
        <w:tc>
          <w:tcPr>
            <w:tcW w:w="1345" w:type="pct"/>
            <w:tcBorders>
              <w:top w:val="single" w:color="000000" w:sz="6" w:space="0"/>
              <w:left w:val="single" w:color="000000" w:sz="6" w:space="0"/>
              <w:bottom w:val="single" w:color="000000" w:sz="6" w:space="0"/>
              <w:right w:val="single" w:color="000000" w:sz="6" w:space="0"/>
            </w:tcBorders>
            <w:vAlign w:val="center"/>
          </w:tcPr>
          <w:p w14:paraId="0F0BA0FB">
            <w:pPr>
              <w:pStyle w:val="37"/>
              <w:autoSpaceDE w:val="0"/>
              <w:autoSpaceDN w:val="0"/>
              <w:spacing w:before="0" w:after="0"/>
              <w:rPr>
                <w:kern w:val="2"/>
                <w:sz w:val="20"/>
                <w:szCs w:val="20"/>
              </w:rPr>
            </w:pPr>
            <w:r>
              <w:rPr>
                <w:rFonts w:hint="eastAsia"/>
                <w:kern w:val="2"/>
                <w:sz w:val="20"/>
                <w:szCs w:val="20"/>
                <w:lang w:bidi="ar"/>
              </w:rPr>
              <w:t>电压畸变（线性负载）</w:t>
            </w:r>
          </w:p>
        </w:tc>
        <w:tc>
          <w:tcPr>
            <w:tcW w:w="2664" w:type="pct"/>
            <w:tcBorders>
              <w:top w:val="single" w:color="000000" w:sz="6" w:space="0"/>
              <w:left w:val="single" w:color="000000" w:sz="6" w:space="0"/>
              <w:bottom w:val="single" w:color="000000" w:sz="6" w:space="0"/>
              <w:right w:val="single" w:color="000000" w:sz="6" w:space="0"/>
            </w:tcBorders>
            <w:vAlign w:val="center"/>
          </w:tcPr>
          <w:p w14:paraId="074C51F2">
            <w:pPr>
              <w:pStyle w:val="37"/>
              <w:autoSpaceDE w:val="0"/>
              <w:autoSpaceDN w:val="0"/>
              <w:spacing w:before="0" w:after="0"/>
              <w:rPr>
                <w:kern w:val="2"/>
                <w:sz w:val="20"/>
                <w:szCs w:val="20"/>
              </w:rPr>
            </w:pPr>
            <w:r>
              <w:rPr>
                <w:rFonts w:hint="eastAsia"/>
                <w:kern w:val="2"/>
                <w:sz w:val="20"/>
                <w:szCs w:val="20"/>
                <w:lang w:bidi="ar"/>
              </w:rPr>
              <w:t>THD ≤ 1%</w:t>
            </w:r>
          </w:p>
        </w:tc>
      </w:tr>
      <w:tr w14:paraId="3101B8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c>
          <w:tcPr>
            <w:tcW w:w="990" w:type="pct"/>
            <w:vMerge w:val="continue"/>
            <w:tcBorders>
              <w:top w:val="single" w:color="000000" w:sz="6" w:space="0"/>
              <w:left w:val="single" w:color="000000" w:sz="6" w:space="0"/>
              <w:bottom w:val="single" w:color="000000" w:sz="6" w:space="0"/>
              <w:right w:val="single" w:color="000000" w:sz="6" w:space="0"/>
            </w:tcBorders>
            <w:vAlign w:val="center"/>
          </w:tcPr>
          <w:p w14:paraId="7CAFDEC6">
            <w:pPr>
              <w:rPr>
                <w:rFonts w:ascii="Calibri" w:hAnsi="Calibri"/>
                <w:sz w:val="20"/>
                <w:szCs w:val="20"/>
              </w:rPr>
            </w:pPr>
          </w:p>
        </w:tc>
        <w:tc>
          <w:tcPr>
            <w:tcW w:w="1345" w:type="pct"/>
            <w:tcBorders>
              <w:top w:val="single" w:color="000000" w:sz="6" w:space="0"/>
              <w:left w:val="single" w:color="000000" w:sz="6" w:space="0"/>
              <w:bottom w:val="single" w:color="000000" w:sz="6" w:space="0"/>
              <w:right w:val="single" w:color="000000" w:sz="6" w:space="0"/>
            </w:tcBorders>
            <w:vAlign w:val="center"/>
          </w:tcPr>
          <w:p w14:paraId="41BDF1A1">
            <w:pPr>
              <w:pStyle w:val="37"/>
              <w:autoSpaceDE w:val="0"/>
              <w:autoSpaceDN w:val="0"/>
              <w:spacing w:before="0" w:after="0"/>
              <w:rPr>
                <w:kern w:val="2"/>
                <w:sz w:val="20"/>
                <w:szCs w:val="20"/>
              </w:rPr>
            </w:pPr>
            <w:r>
              <w:rPr>
                <w:rFonts w:hint="eastAsia"/>
                <w:kern w:val="2"/>
                <w:sz w:val="20"/>
                <w:szCs w:val="20"/>
                <w:lang w:bidi="ar"/>
              </w:rPr>
              <w:t>电压畸变（ 非线性负</w:t>
            </w:r>
          </w:p>
          <w:p w14:paraId="5E8D17CB">
            <w:pPr>
              <w:pStyle w:val="37"/>
              <w:autoSpaceDE w:val="0"/>
              <w:autoSpaceDN w:val="0"/>
              <w:spacing w:before="0" w:after="0"/>
              <w:rPr>
                <w:kern w:val="2"/>
                <w:sz w:val="20"/>
                <w:szCs w:val="20"/>
              </w:rPr>
            </w:pPr>
            <w:r>
              <w:rPr>
                <w:rFonts w:hint="eastAsia"/>
                <w:kern w:val="2"/>
                <w:sz w:val="20"/>
                <w:szCs w:val="20"/>
                <w:lang w:bidi="ar"/>
              </w:rPr>
              <w:t>载）</w:t>
            </w:r>
          </w:p>
        </w:tc>
        <w:tc>
          <w:tcPr>
            <w:tcW w:w="2664" w:type="pct"/>
            <w:tcBorders>
              <w:top w:val="single" w:color="000000" w:sz="6" w:space="0"/>
              <w:left w:val="single" w:color="000000" w:sz="6" w:space="0"/>
              <w:bottom w:val="single" w:color="000000" w:sz="6" w:space="0"/>
              <w:right w:val="single" w:color="000000" w:sz="6" w:space="0"/>
            </w:tcBorders>
            <w:vAlign w:val="center"/>
          </w:tcPr>
          <w:p w14:paraId="0837B1B9">
            <w:pPr>
              <w:pStyle w:val="37"/>
              <w:autoSpaceDE w:val="0"/>
              <w:autoSpaceDN w:val="0"/>
              <w:spacing w:before="0" w:after="0"/>
              <w:rPr>
                <w:kern w:val="2"/>
                <w:sz w:val="20"/>
                <w:szCs w:val="20"/>
              </w:rPr>
            </w:pPr>
          </w:p>
          <w:p w14:paraId="72F43225">
            <w:pPr>
              <w:pStyle w:val="37"/>
              <w:autoSpaceDE w:val="0"/>
              <w:autoSpaceDN w:val="0"/>
              <w:spacing w:before="0" w:after="0"/>
              <w:rPr>
                <w:kern w:val="2"/>
                <w:sz w:val="20"/>
                <w:szCs w:val="20"/>
              </w:rPr>
            </w:pPr>
            <w:r>
              <w:rPr>
                <w:rFonts w:hint="eastAsia"/>
                <w:kern w:val="2"/>
                <w:sz w:val="20"/>
                <w:szCs w:val="20"/>
                <w:lang w:bidi="ar"/>
              </w:rPr>
              <w:t>THD ≤ 3%</w:t>
            </w:r>
          </w:p>
        </w:tc>
      </w:tr>
      <w:tr w14:paraId="6A65DE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c>
          <w:tcPr>
            <w:tcW w:w="990" w:type="pct"/>
            <w:vMerge w:val="continue"/>
            <w:tcBorders>
              <w:top w:val="single" w:color="000000" w:sz="6" w:space="0"/>
              <w:left w:val="single" w:color="000000" w:sz="6" w:space="0"/>
              <w:bottom w:val="single" w:color="000000" w:sz="6" w:space="0"/>
              <w:right w:val="single" w:color="000000" w:sz="6" w:space="0"/>
            </w:tcBorders>
            <w:vAlign w:val="center"/>
          </w:tcPr>
          <w:p w14:paraId="144DEB33">
            <w:pPr>
              <w:rPr>
                <w:rFonts w:ascii="Calibri" w:hAnsi="Calibri"/>
                <w:sz w:val="20"/>
                <w:szCs w:val="20"/>
              </w:rPr>
            </w:pPr>
          </w:p>
        </w:tc>
        <w:tc>
          <w:tcPr>
            <w:tcW w:w="1345" w:type="pct"/>
            <w:tcBorders>
              <w:top w:val="single" w:color="000000" w:sz="6" w:space="0"/>
              <w:left w:val="single" w:color="000000" w:sz="6" w:space="0"/>
              <w:bottom w:val="single" w:color="000000" w:sz="6" w:space="0"/>
              <w:right w:val="single" w:color="000000" w:sz="6" w:space="0"/>
            </w:tcBorders>
            <w:vAlign w:val="center"/>
          </w:tcPr>
          <w:p w14:paraId="527A2DEB">
            <w:pPr>
              <w:pStyle w:val="37"/>
              <w:autoSpaceDE w:val="0"/>
              <w:autoSpaceDN w:val="0"/>
              <w:spacing w:before="0" w:after="0"/>
              <w:rPr>
                <w:kern w:val="2"/>
                <w:sz w:val="20"/>
                <w:szCs w:val="20"/>
              </w:rPr>
            </w:pPr>
            <w:r>
              <w:rPr>
                <w:rFonts w:hint="eastAsia"/>
                <w:kern w:val="2"/>
                <w:sz w:val="20"/>
                <w:szCs w:val="20"/>
                <w:lang w:bidi="ar"/>
              </w:rPr>
              <w:t>功率因数</w:t>
            </w:r>
          </w:p>
        </w:tc>
        <w:tc>
          <w:tcPr>
            <w:tcW w:w="2664" w:type="pct"/>
            <w:tcBorders>
              <w:top w:val="single" w:color="000000" w:sz="6" w:space="0"/>
              <w:left w:val="single" w:color="000000" w:sz="6" w:space="0"/>
              <w:bottom w:val="single" w:color="000000" w:sz="6" w:space="0"/>
              <w:right w:val="single" w:color="000000" w:sz="6" w:space="0"/>
            </w:tcBorders>
            <w:vAlign w:val="center"/>
          </w:tcPr>
          <w:p w14:paraId="6FE8F076">
            <w:pPr>
              <w:pStyle w:val="37"/>
              <w:autoSpaceDE w:val="0"/>
              <w:autoSpaceDN w:val="0"/>
              <w:spacing w:before="0" w:after="0"/>
              <w:rPr>
                <w:kern w:val="2"/>
                <w:sz w:val="20"/>
                <w:szCs w:val="20"/>
              </w:rPr>
            </w:pPr>
            <w:r>
              <w:rPr>
                <w:rFonts w:hint="eastAsia"/>
                <w:w w:val="99"/>
                <w:kern w:val="2"/>
                <w:sz w:val="20"/>
                <w:szCs w:val="20"/>
                <w:lang w:bidi="ar"/>
              </w:rPr>
              <w:t>1</w:t>
            </w:r>
          </w:p>
        </w:tc>
      </w:tr>
      <w:tr w14:paraId="750D4C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c>
          <w:tcPr>
            <w:tcW w:w="990" w:type="pct"/>
            <w:vMerge w:val="continue"/>
            <w:tcBorders>
              <w:top w:val="single" w:color="000000" w:sz="6" w:space="0"/>
              <w:left w:val="single" w:color="000000" w:sz="6" w:space="0"/>
              <w:bottom w:val="single" w:color="000000" w:sz="6" w:space="0"/>
              <w:right w:val="single" w:color="000000" w:sz="6" w:space="0"/>
            </w:tcBorders>
            <w:vAlign w:val="center"/>
          </w:tcPr>
          <w:p w14:paraId="6961A322">
            <w:pPr>
              <w:rPr>
                <w:rFonts w:ascii="Calibri" w:hAnsi="Calibri"/>
                <w:sz w:val="20"/>
                <w:szCs w:val="20"/>
              </w:rPr>
            </w:pPr>
          </w:p>
        </w:tc>
        <w:tc>
          <w:tcPr>
            <w:tcW w:w="1345" w:type="pct"/>
            <w:tcBorders>
              <w:top w:val="single" w:color="000000" w:sz="6" w:space="0"/>
              <w:left w:val="single" w:color="000000" w:sz="6" w:space="0"/>
              <w:bottom w:val="single" w:color="000000" w:sz="6" w:space="0"/>
              <w:right w:val="single" w:color="000000" w:sz="6" w:space="0"/>
            </w:tcBorders>
            <w:vAlign w:val="center"/>
          </w:tcPr>
          <w:p w14:paraId="335BF214">
            <w:pPr>
              <w:pStyle w:val="37"/>
              <w:autoSpaceDE w:val="0"/>
              <w:autoSpaceDN w:val="0"/>
              <w:spacing w:before="0" w:after="0"/>
              <w:rPr>
                <w:kern w:val="2"/>
                <w:sz w:val="20"/>
                <w:szCs w:val="20"/>
              </w:rPr>
            </w:pPr>
          </w:p>
          <w:p w14:paraId="03C8630D">
            <w:pPr>
              <w:pStyle w:val="37"/>
              <w:autoSpaceDE w:val="0"/>
              <w:autoSpaceDN w:val="0"/>
              <w:spacing w:before="0" w:after="0"/>
              <w:rPr>
                <w:kern w:val="2"/>
                <w:sz w:val="20"/>
                <w:szCs w:val="20"/>
              </w:rPr>
            </w:pPr>
            <w:r>
              <w:rPr>
                <w:rFonts w:hint="eastAsia"/>
                <w:kern w:val="2"/>
                <w:sz w:val="20"/>
                <w:szCs w:val="20"/>
                <w:lang w:bidi="ar"/>
              </w:rPr>
              <w:t>过载能力</w:t>
            </w:r>
          </w:p>
        </w:tc>
        <w:tc>
          <w:tcPr>
            <w:tcW w:w="2664" w:type="pct"/>
            <w:tcBorders>
              <w:top w:val="single" w:color="000000" w:sz="6" w:space="0"/>
              <w:left w:val="single" w:color="000000" w:sz="6" w:space="0"/>
              <w:bottom w:val="single" w:color="000000" w:sz="6" w:space="0"/>
              <w:right w:val="single" w:color="000000" w:sz="6" w:space="0"/>
            </w:tcBorders>
            <w:vAlign w:val="center"/>
          </w:tcPr>
          <w:p w14:paraId="41852B4E">
            <w:pPr>
              <w:pStyle w:val="37"/>
              <w:autoSpaceDE w:val="0"/>
              <w:autoSpaceDN w:val="0"/>
              <w:spacing w:before="0" w:after="0"/>
              <w:rPr>
                <w:kern w:val="2"/>
                <w:sz w:val="20"/>
                <w:szCs w:val="20"/>
              </w:rPr>
            </w:pPr>
            <w:r>
              <w:rPr>
                <w:rFonts w:hint="eastAsia"/>
                <w:kern w:val="2"/>
                <w:sz w:val="20"/>
                <w:szCs w:val="20"/>
                <w:lang w:bidi="ar"/>
              </w:rPr>
              <w:t>105%~110%,60min</w:t>
            </w:r>
          </w:p>
          <w:p w14:paraId="6CAA0E4E">
            <w:pPr>
              <w:pStyle w:val="37"/>
              <w:autoSpaceDE w:val="0"/>
              <w:autoSpaceDN w:val="0"/>
              <w:spacing w:before="0" w:after="0"/>
              <w:rPr>
                <w:kern w:val="2"/>
                <w:sz w:val="20"/>
                <w:szCs w:val="20"/>
              </w:rPr>
            </w:pPr>
            <w:r>
              <w:rPr>
                <w:rFonts w:hint="eastAsia"/>
                <w:kern w:val="2"/>
                <w:sz w:val="20"/>
                <w:szCs w:val="20"/>
                <w:lang w:bidi="ar"/>
              </w:rPr>
              <w:t>111%~125%,10min</w:t>
            </w:r>
          </w:p>
          <w:p w14:paraId="46CB0268">
            <w:pPr>
              <w:pStyle w:val="37"/>
              <w:autoSpaceDE w:val="0"/>
              <w:autoSpaceDN w:val="0"/>
              <w:spacing w:before="0" w:after="0"/>
              <w:rPr>
                <w:kern w:val="2"/>
                <w:sz w:val="20"/>
                <w:szCs w:val="20"/>
              </w:rPr>
            </w:pPr>
            <w:r>
              <w:rPr>
                <w:rFonts w:hint="eastAsia"/>
                <w:kern w:val="2"/>
                <w:sz w:val="20"/>
                <w:szCs w:val="20"/>
                <w:lang w:bidi="ar"/>
              </w:rPr>
              <w:t>125%~150%,1min</w:t>
            </w:r>
          </w:p>
        </w:tc>
      </w:tr>
      <w:tr w14:paraId="7A7000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c>
          <w:tcPr>
            <w:tcW w:w="990" w:type="pct"/>
            <w:vMerge w:val="restart"/>
            <w:tcBorders>
              <w:top w:val="single" w:color="000000" w:sz="6" w:space="0"/>
              <w:left w:val="single" w:color="000000" w:sz="6" w:space="0"/>
              <w:right w:val="single" w:color="000000" w:sz="6" w:space="0"/>
            </w:tcBorders>
            <w:vAlign w:val="center"/>
          </w:tcPr>
          <w:p w14:paraId="79A520DA">
            <w:pPr>
              <w:pStyle w:val="37"/>
              <w:autoSpaceDE w:val="0"/>
              <w:autoSpaceDN w:val="0"/>
              <w:spacing w:before="0" w:after="0"/>
              <w:rPr>
                <w:kern w:val="2"/>
                <w:sz w:val="20"/>
                <w:szCs w:val="20"/>
              </w:rPr>
            </w:pPr>
            <w:r>
              <w:rPr>
                <w:rFonts w:hint="eastAsia"/>
                <w:kern w:val="2"/>
                <w:sz w:val="20"/>
                <w:szCs w:val="20"/>
                <w:lang w:bidi="ar"/>
              </w:rPr>
              <w:t>系统参数</w:t>
            </w:r>
          </w:p>
        </w:tc>
        <w:tc>
          <w:tcPr>
            <w:tcW w:w="1345" w:type="pct"/>
            <w:tcBorders>
              <w:top w:val="single" w:color="000000" w:sz="6" w:space="0"/>
              <w:left w:val="single" w:color="000000" w:sz="6" w:space="0"/>
              <w:bottom w:val="single" w:color="000000" w:sz="6" w:space="0"/>
              <w:right w:val="single" w:color="000000" w:sz="6" w:space="0"/>
            </w:tcBorders>
            <w:vAlign w:val="center"/>
          </w:tcPr>
          <w:p w14:paraId="36115971">
            <w:pPr>
              <w:pStyle w:val="37"/>
              <w:autoSpaceDE w:val="0"/>
              <w:autoSpaceDN w:val="0"/>
              <w:spacing w:before="0" w:after="0"/>
              <w:rPr>
                <w:kern w:val="2"/>
                <w:sz w:val="20"/>
                <w:szCs w:val="20"/>
              </w:rPr>
            </w:pPr>
            <w:r>
              <w:rPr>
                <w:rFonts w:hint="eastAsia"/>
                <w:kern w:val="2"/>
                <w:sz w:val="20"/>
                <w:szCs w:val="20"/>
                <w:lang w:bidi="ar"/>
              </w:rPr>
              <w:t>显示</w:t>
            </w:r>
          </w:p>
        </w:tc>
        <w:tc>
          <w:tcPr>
            <w:tcW w:w="2664" w:type="pct"/>
            <w:tcBorders>
              <w:top w:val="single" w:color="000000" w:sz="6" w:space="0"/>
              <w:left w:val="single" w:color="000000" w:sz="6" w:space="0"/>
              <w:bottom w:val="single" w:color="000000" w:sz="6" w:space="0"/>
              <w:right w:val="single" w:color="000000" w:sz="6" w:space="0"/>
            </w:tcBorders>
            <w:vAlign w:val="center"/>
          </w:tcPr>
          <w:p w14:paraId="76657B86">
            <w:pPr>
              <w:pStyle w:val="37"/>
              <w:autoSpaceDE w:val="0"/>
              <w:autoSpaceDN w:val="0"/>
              <w:spacing w:before="0" w:after="0"/>
              <w:rPr>
                <w:kern w:val="2"/>
                <w:sz w:val="20"/>
                <w:szCs w:val="20"/>
              </w:rPr>
            </w:pPr>
            <w:r>
              <w:rPr>
                <w:rFonts w:hint="eastAsia"/>
                <w:kern w:val="2"/>
                <w:sz w:val="20"/>
                <w:szCs w:val="20"/>
                <w:lang w:bidi="ar"/>
              </w:rPr>
              <w:t>LCD+LED</w:t>
            </w:r>
          </w:p>
        </w:tc>
      </w:tr>
      <w:tr w14:paraId="583AEA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c>
          <w:tcPr>
            <w:tcW w:w="990" w:type="pct"/>
            <w:vMerge w:val="continue"/>
            <w:tcBorders>
              <w:left w:val="single" w:color="000000" w:sz="6" w:space="0"/>
              <w:right w:val="single" w:color="000000" w:sz="6" w:space="0"/>
            </w:tcBorders>
            <w:vAlign w:val="center"/>
          </w:tcPr>
          <w:p w14:paraId="296F46AD">
            <w:pPr>
              <w:rPr>
                <w:rFonts w:ascii="Calibri" w:hAnsi="Calibri"/>
                <w:sz w:val="20"/>
                <w:szCs w:val="20"/>
              </w:rPr>
            </w:pPr>
          </w:p>
        </w:tc>
        <w:tc>
          <w:tcPr>
            <w:tcW w:w="1345" w:type="pct"/>
            <w:tcBorders>
              <w:top w:val="single" w:color="000000" w:sz="6" w:space="0"/>
              <w:left w:val="single" w:color="000000" w:sz="6" w:space="0"/>
              <w:bottom w:val="single" w:color="000000" w:sz="6" w:space="0"/>
              <w:right w:val="single" w:color="000000" w:sz="6" w:space="0"/>
            </w:tcBorders>
            <w:vAlign w:val="center"/>
          </w:tcPr>
          <w:p w14:paraId="5D764125">
            <w:pPr>
              <w:pStyle w:val="37"/>
              <w:autoSpaceDE w:val="0"/>
              <w:autoSpaceDN w:val="0"/>
              <w:spacing w:before="0" w:after="0"/>
              <w:rPr>
                <w:kern w:val="2"/>
                <w:sz w:val="20"/>
                <w:szCs w:val="20"/>
              </w:rPr>
            </w:pPr>
            <w:r>
              <w:rPr>
                <w:rFonts w:hint="eastAsia"/>
                <w:kern w:val="2"/>
                <w:sz w:val="20"/>
                <w:szCs w:val="20"/>
                <w:lang w:bidi="ar"/>
              </w:rPr>
              <w:t>整机效率</w:t>
            </w:r>
          </w:p>
        </w:tc>
        <w:tc>
          <w:tcPr>
            <w:tcW w:w="2664" w:type="pct"/>
            <w:tcBorders>
              <w:top w:val="single" w:color="000000" w:sz="6" w:space="0"/>
              <w:left w:val="single" w:color="000000" w:sz="6" w:space="0"/>
              <w:bottom w:val="single" w:color="000000" w:sz="6" w:space="0"/>
              <w:right w:val="single" w:color="000000" w:sz="6" w:space="0"/>
            </w:tcBorders>
            <w:vAlign w:val="center"/>
          </w:tcPr>
          <w:p w14:paraId="01CC46F0">
            <w:pPr>
              <w:pStyle w:val="37"/>
              <w:autoSpaceDE w:val="0"/>
              <w:autoSpaceDN w:val="0"/>
              <w:spacing w:before="0" w:after="0"/>
              <w:rPr>
                <w:kern w:val="2"/>
                <w:sz w:val="20"/>
                <w:szCs w:val="20"/>
              </w:rPr>
            </w:pPr>
            <w:r>
              <w:rPr>
                <w:rFonts w:hint="eastAsia"/>
                <w:kern w:val="2"/>
                <w:sz w:val="20"/>
                <w:szCs w:val="20"/>
                <w:lang w:bidi="ar"/>
              </w:rPr>
              <w:t>≥ 96%</w:t>
            </w:r>
          </w:p>
        </w:tc>
      </w:tr>
      <w:tr w14:paraId="59A365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c>
          <w:tcPr>
            <w:tcW w:w="990" w:type="pct"/>
            <w:vMerge w:val="continue"/>
            <w:tcBorders>
              <w:left w:val="single" w:color="000000" w:sz="6" w:space="0"/>
              <w:right w:val="single" w:color="000000" w:sz="6" w:space="0"/>
            </w:tcBorders>
            <w:vAlign w:val="center"/>
          </w:tcPr>
          <w:p w14:paraId="6E67D05F">
            <w:pPr>
              <w:rPr>
                <w:rFonts w:ascii="Calibri" w:hAnsi="Calibri"/>
                <w:sz w:val="20"/>
                <w:szCs w:val="20"/>
              </w:rPr>
            </w:pPr>
          </w:p>
        </w:tc>
        <w:tc>
          <w:tcPr>
            <w:tcW w:w="1345" w:type="pct"/>
            <w:tcBorders>
              <w:top w:val="single" w:color="000000" w:sz="6" w:space="0"/>
              <w:left w:val="single" w:color="000000" w:sz="6" w:space="0"/>
              <w:bottom w:val="single" w:color="000000" w:sz="6" w:space="0"/>
              <w:right w:val="single" w:color="000000" w:sz="6" w:space="0"/>
            </w:tcBorders>
            <w:vAlign w:val="center"/>
          </w:tcPr>
          <w:p w14:paraId="480F0AE3">
            <w:pPr>
              <w:pStyle w:val="37"/>
              <w:autoSpaceDE w:val="0"/>
              <w:autoSpaceDN w:val="0"/>
              <w:spacing w:before="0" w:after="0"/>
              <w:rPr>
                <w:kern w:val="2"/>
                <w:sz w:val="20"/>
                <w:szCs w:val="20"/>
              </w:rPr>
            </w:pPr>
            <w:r>
              <w:rPr>
                <w:rFonts w:hint="eastAsia"/>
                <w:kern w:val="2"/>
                <w:sz w:val="20"/>
                <w:szCs w:val="20"/>
                <w:lang w:bidi="ar"/>
              </w:rPr>
              <w:t>模块均流指标</w:t>
            </w:r>
          </w:p>
        </w:tc>
        <w:tc>
          <w:tcPr>
            <w:tcW w:w="2664" w:type="pct"/>
            <w:tcBorders>
              <w:top w:val="single" w:color="000000" w:sz="6" w:space="0"/>
              <w:left w:val="single" w:color="000000" w:sz="6" w:space="0"/>
              <w:bottom w:val="single" w:color="000000" w:sz="6" w:space="0"/>
              <w:right w:val="single" w:color="000000" w:sz="6" w:space="0"/>
            </w:tcBorders>
            <w:vAlign w:val="center"/>
          </w:tcPr>
          <w:p w14:paraId="6B59926E">
            <w:pPr>
              <w:pStyle w:val="37"/>
              <w:autoSpaceDE w:val="0"/>
              <w:autoSpaceDN w:val="0"/>
              <w:spacing w:before="0" w:after="0"/>
              <w:rPr>
                <w:kern w:val="2"/>
                <w:sz w:val="20"/>
                <w:szCs w:val="20"/>
              </w:rPr>
            </w:pPr>
            <w:r>
              <w:rPr>
                <w:rFonts w:hint="eastAsia"/>
                <w:kern w:val="2"/>
                <w:sz w:val="20"/>
                <w:szCs w:val="20"/>
                <w:lang w:bidi="ar"/>
              </w:rPr>
              <w:t>并机均流 ＜ 5%</w:t>
            </w:r>
          </w:p>
        </w:tc>
      </w:tr>
      <w:tr w14:paraId="338978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c>
          <w:tcPr>
            <w:tcW w:w="990" w:type="pct"/>
            <w:vMerge w:val="continue"/>
            <w:tcBorders>
              <w:left w:val="single" w:color="000000" w:sz="6" w:space="0"/>
              <w:right w:val="single" w:color="000000" w:sz="6" w:space="0"/>
            </w:tcBorders>
            <w:vAlign w:val="center"/>
          </w:tcPr>
          <w:p w14:paraId="2296B3F6">
            <w:pPr>
              <w:rPr>
                <w:rFonts w:ascii="Calibri" w:hAnsi="Calibri"/>
                <w:sz w:val="20"/>
                <w:szCs w:val="20"/>
              </w:rPr>
            </w:pPr>
          </w:p>
        </w:tc>
        <w:tc>
          <w:tcPr>
            <w:tcW w:w="1345" w:type="pct"/>
            <w:tcBorders>
              <w:top w:val="single" w:color="000000" w:sz="6" w:space="0"/>
              <w:left w:val="single" w:color="000000" w:sz="6" w:space="0"/>
              <w:bottom w:val="single" w:color="000000" w:sz="6" w:space="0"/>
              <w:right w:val="single" w:color="000000" w:sz="6" w:space="0"/>
            </w:tcBorders>
            <w:vAlign w:val="center"/>
          </w:tcPr>
          <w:p w14:paraId="3530E7C1">
            <w:pPr>
              <w:pStyle w:val="37"/>
              <w:autoSpaceDE w:val="0"/>
              <w:autoSpaceDN w:val="0"/>
              <w:spacing w:before="0" w:after="0"/>
              <w:rPr>
                <w:kern w:val="2"/>
                <w:sz w:val="20"/>
                <w:szCs w:val="20"/>
              </w:rPr>
            </w:pPr>
            <w:r>
              <w:rPr>
                <w:rFonts w:hint="eastAsia"/>
                <w:kern w:val="2"/>
                <w:sz w:val="20"/>
                <w:szCs w:val="20"/>
                <w:lang w:bidi="ar"/>
              </w:rPr>
              <w:t>整机并联数量</w:t>
            </w:r>
          </w:p>
        </w:tc>
        <w:tc>
          <w:tcPr>
            <w:tcW w:w="2664" w:type="pct"/>
            <w:tcBorders>
              <w:top w:val="single" w:color="000000" w:sz="6" w:space="0"/>
              <w:left w:val="single" w:color="000000" w:sz="6" w:space="0"/>
              <w:bottom w:val="single" w:color="000000" w:sz="6" w:space="0"/>
              <w:right w:val="single" w:color="000000" w:sz="6" w:space="0"/>
            </w:tcBorders>
            <w:vAlign w:val="center"/>
          </w:tcPr>
          <w:p w14:paraId="71AEB457">
            <w:pPr>
              <w:pStyle w:val="37"/>
              <w:autoSpaceDE w:val="0"/>
              <w:autoSpaceDN w:val="0"/>
              <w:spacing w:before="0" w:after="0"/>
              <w:rPr>
                <w:kern w:val="2"/>
                <w:sz w:val="20"/>
                <w:szCs w:val="20"/>
              </w:rPr>
            </w:pPr>
            <w:r>
              <w:rPr>
                <w:rFonts w:hint="eastAsia"/>
                <w:kern w:val="2"/>
                <w:sz w:val="20"/>
                <w:szCs w:val="20"/>
                <w:lang w:bidi="ar"/>
              </w:rPr>
              <w:t>微模块场景不需要并机</w:t>
            </w:r>
          </w:p>
        </w:tc>
      </w:tr>
      <w:tr w14:paraId="6F58E6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c>
          <w:tcPr>
            <w:tcW w:w="990" w:type="pct"/>
            <w:vMerge w:val="continue"/>
            <w:tcBorders>
              <w:left w:val="single" w:color="000000" w:sz="6" w:space="0"/>
              <w:right w:val="single" w:color="000000" w:sz="6" w:space="0"/>
            </w:tcBorders>
            <w:vAlign w:val="center"/>
          </w:tcPr>
          <w:p w14:paraId="72CB5C7B">
            <w:pPr>
              <w:rPr>
                <w:rFonts w:ascii="Calibri" w:hAnsi="Calibri"/>
                <w:sz w:val="20"/>
                <w:szCs w:val="20"/>
              </w:rPr>
            </w:pPr>
          </w:p>
        </w:tc>
        <w:tc>
          <w:tcPr>
            <w:tcW w:w="1345" w:type="pct"/>
            <w:tcBorders>
              <w:top w:val="single" w:color="000000" w:sz="6" w:space="0"/>
              <w:left w:val="single" w:color="000000" w:sz="6" w:space="0"/>
              <w:bottom w:val="single" w:color="000000" w:sz="6" w:space="0"/>
              <w:right w:val="single" w:color="000000" w:sz="6" w:space="0"/>
            </w:tcBorders>
            <w:vAlign w:val="center"/>
          </w:tcPr>
          <w:p w14:paraId="21646AC9">
            <w:pPr>
              <w:pStyle w:val="37"/>
              <w:autoSpaceDE w:val="0"/>
              <w:autoSpaceDN w:val="0"/>
              <w:spacing w:before="0" w:after="0"/>
              <w:rPr>
                <w:kern w:val="2"/>
                <w:sz w:val="20"/>
                <w:szCs w:val="20"/>
              </w:rPr>
            </w:pPr>
            <w:r>
              <w:rPr>
                <w:rFonts w:hint="eastAsia"/>
                <w:kern w:val="2"/>
                <w:sz w:val="20"/>
                <w:szCs w:val="20"/>
                <w:lang w:bidi="ar"/>
              </w:rPr>
              <w:t>接线方式</w:t>
            </w:r>
          </w:p>
        </w:tc>
        <w:tc>
          <w:tcPr>
            <w:tcW w:w="2664" w:type="pct"/>
            <w:tcBorders>
              <w:top w:val="single" w:color="000000" w:sz="6" w:space="0"/>
              <w:left w:val="single" w:color="000000" w:sz="6" w:space="0"/>
              <w:bottom w:val="single" w:color="000000" w:sz="6" w:space="0"/>
              <w:right w:val="single" w:color="000000" w:sz="6" w:space="0"/>
            </w:tcBorders>
            <w:vAlign w:val="center"/>
          </w:tcPr>
          <w:p w14:paraId="2908ED74">
            <w:pPr>
              <w:pStyle w:val="37"/>
              <w:autoSpaceDE w:val="0"/>
              <w:autoSpaceDN w:val="0"/>
              <w:spacing w:before="0" w:after="0"/>
              <w:rPr>
                <w:kern w:val="2"/>
                <w:sz w:val="20"/>
                <w:szCs w:val="20"/>
              </w:rPr>
            </w:pPr>
            <w:r>
              <w:rPr>
                <w:rFonts w:hint="eastAsia"/>
                <w:kern w:val="2"/>
                <w:sz w:val="20"/>
                <w:szCs w:val="20"/>
                <w:lang w:bidi="ar"/>
              </w:rPr>
              <w:t>支持上进线 或 下进线</w:t>
            </w:r>
          </w:p>
        </w:tc>
      </w:tr>
      <w:tr w14:paraId="0DB8E3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c>
          <w:tcPr>
            <w:tcW w:w="990" w:type="pct"/>
            <w:vMerge w:val="continue"/>
            <w:tcBorders>
              <w:left w:val="single" w:color="000000" w:sz="6" w:space="0"/>
              <w:right w:val="single" w:color="000000" w:sz="6" w:space="0"/>
            </w:tcBorders>
            <w:vAlign w:val="center"/>
          </w:tcPr>
          <w:p w14:paraId="1A5FEB4B">
            <w:pPr>
              <w:rPr>
                <w:rFonts w:ascii="Calibri" w:hAnsi="Calibri"/>
                <w:sz w:val="20"/>
                <w:szCs w:val="20"/>
              </w:rPr>
            </w:pPr>
          </w:p>
        </w:tc>
        <w:tc>
          <w:tcPr>
            <w:tcW w:w="1345" w:type="pct"/>
            <w:tcBorders>
              <w:top w:val="single" w:color="000000" w:sz="6" w:space="0"/>
              <w:left w:val="single" w:color="000000" w:sz="6" w:space="0"/>
              <w:bottom w:val="single" w:color="000000" w:sz="6" w:space="0"/>
              <w:right w:val="single" w:color="000000" w:sz="6" w:space="0"/>
            </w:tcBorders>
            <w:vAlign w:val="center"/>
          </w:tcPr>
          <w:p w14:paraId="2206BA3C">
            <w:pPr>
              <w:pStyle w:val="37"/>
              <w:autoSpaceDE w:val="0"/>
              <w:autoSpaceDN w:val="0"/>
              <w:spacing w:before="0" w:after="0"/>
              <w:rPr>
                <w:kern w:val="2"/>
                <w:sz w:val="20"/>
                <w:szCs w:val="20"/>
              </w:rPr>
            </w:pPr>
          </w:p>
          <w:p w14:paraId="466B0833">
            <w:pPr>
              <w:pStyle w:val="37"/>
              <w:autoSpaceDE w:val="0"/>
              <w:autoSpaceDN w:val="0"/>
              <w:spacing w:before="0" w:after="0"/>
              <w:rPr>
                <w:kern w:val="2"/>
                <w:sz w:val="20"/>
                <w:szCs w:val="20"/>
              </w:rPr>
            </w:pPr>
            <w:r>
              <w:rPr>
                <w:rFonts w:hint="eastAsia"/>
                <w:kern w:val="2"/>
                <w:sz w:val="20"/>
                <w:szCs w:val="20"/>
                <w:lang w:bidi="ar"/>
              </w:rPr>
              <w:t>噪声指标</w:t>
            </w:r>
          </w:p>
        </w:tc>
        <w:tc>
          <w:tcPr>
            <w:tcW w:w="2664" w:type="pct"/>
            <w:tcBorders>
              <w:top w:val="single" w:color="000000" w:sz="6" w:space="0"/>
              <w:left w:val="single" w:color="000000" w:sz="6" w:space="0"/>
              <w:bottom w:val="single" w:color="000000" w:sz="6" w:space="0"/>
              <w:right w:val="single" w:color="000000" w:sz="6" w:space="0"/>
            </w:tcBorders>
            <w:vAlign w:val="center"/>
          </w:tcPr>
          <w:p w14:paraId="1BA388EA">
            <w:pPr>
              <w:pStyle w:val="37"/>
              <w:autoSpaceDE w:val="0"/>
              <w:autoSpaceDN w:val="0"/>
              <w:spacing w:before="0" w:after="0"/>
              <w:rPr>
                <w:kern w:val="2"/>
                <w:sz w:val="20"/>
                <w:szCs w:val="20"/>
              </w:rPr>
            </w:pPr>
            <w:r>
              <w:rPr>
                <w:rFonts w:hint="eastAsia"/>
                <w:kern w:val="2"/>
                <w:sz w:val="20"/>
                <w:szCs w:val="20"/>
                <w:lang w:bidi="ar"/>
              </w:rPr>
              <w:t>25℃环境常压下：</w:t>
            </w:r>
          </w:p>
          <w:p w14:paraId="2E5810C2">
            <w:pPr>
              <w:pStyle w:val="37"/>
              <w:numPr>
                <w:ilvl w:val="0"/>
                <w:numId w:val="5"/>
              </w:numPr>
              <w:tabs>
                <w:tab w:val="left" w:pos="277"/>
              </w:tabs>
              <w:autoSpaceDE w:val="0"/>
              <w:autoSpaceDN w:val="0"/>
              <w:spacing w:before="0" w:after="0"/>
              <w:ind w:left="0" w:firstLine="0"/>
              <w:rPr>
                <w:kern w:val="2"/>
                <w:sz w:val="20"/>
                <w:szCs w:val="20"/>
              </w:rPr>
            </w:pPr>
            <w:r>
              <w:rPr>
                <w:rFonts w:hint="eastAsia"/>
                <w:kern w:val="2"/>
                <w:sz w:val="20"/>
                <w:szCs w:val="20"/>
                <w:lang w:bidi="ar"/>
              </w:rPr>
              <w:t>25%</w:t>
            </w:r>
            <w:r>
              <w:rPr>
                <w:rFonts w:hint="eastAsia"/>
                <w:spacing w:val="-5"/>
                <w:kern w:val="2"/>
                <w:sz w:val="20"/>
                <w:szCs w:val="20"/>
                <w:lang w:bidi="ar"/>
              </w:rPr>
              <w:t xml:space="preserve"> </w:t>
            </w:r>
            <w:r>
              <w:rPr>
                <w:rFonts w:hint="eastAsia"/>
                <w:kern w:val="2"/>
                <w:sz w:val="20"/>
                <w:szCs w:val="20"/>
                <w:lang w:bidi="ar"/>
              </w:rPr>
              <w:t>Load:54dB</w:t>
            </w:r>
          </w:p>
          <w:p w14:paraId="59450A72">
            <w:pPr>
              <w:pStyle w:val="37"/>
              <w:numPr>
                <w:ilvl w:val="0"/>
                <w:numId w:val="5"/>
              </w:numPr>
              <w:tabs>
                <w:tab w:val="left" w:pos="277"/>
              </w:tabs>
              <w:autoSpaceDE w:val="0"/>
              <w:autoSpaceDN w:val="0"/>
              <w:spacing w:before="0" w:after="0"/>
              <w:ind w:left="0" w:firstLine="0"/>
              <w:rPr>
                <w:kern w:val="2"/>
                <w:sz w:val="20"/>
                <w:szCs w:val="20"/>
              </w:rPr>
            </w:pPr>
            <w:r>
              <w:rPr>
                <w:rFonts w:hint="eastAsia"/>
                <w:kern w:val="2"/>
                <w:sz w:val="20"/>
                <w:szCs w:val="20"/>
                <w:lang w:bidi="ar"/>
              </w:rPr>
              <w:t>50%</w:t>
            </w:r>
            <w:r>
              <w:rPr>
                <w:rFonts w:hint="eastAsia"/>
                <w:spacing w:val="-5"/>
                <w:kern w:val="2"/>
                <w:sz w:val="20"/>
                <w:szCs w:val="20"/>
                <w:lang w:bidi="ar"/>
              </w:rPr>
              <w:t xml:space="preserve"> </w:t>
            </w:r>
            <w:r>
              <w:rPr>
                <w:rFonts w:hint="eastAsia"/>
                <w:kern w:val="2"/>
                <w:sz w:val="20"/>
                <w:szCs w:val="20"/>
                <w:lang w:bidi="ar"/>
              </w:rPr>
              <w:t>Load:58dB</w:t>
            </w:r>
          </w:p>
          <w:p w14:paraId="0021616F">
            <w:pPr>
              <w:pStyle w:val="37"/>
              <w:numPr>
                <w:ilvl w:val="0"/>
                <w:numId w:val="5"/>
              </w:numPr>
              <w:tabs>
                <w:tab w:val="left" w:pos="277"/>
              </w:tabs>
              <w:autoSpaceDE w:val="0"/>
              <w:autoSpaceDN w:val="0"/>
              <w:spacing w:before="0" w:after="0"/>
              <w:ind w:left="0" w:firstLine="0"/>
              <w:rPr>
                <w:kern w:val="2"/>
                <w:sz w:val="20"/>
                <w:szCs w:val="20"/>
              </w:rPr>
            </w:pPr>
            <w:r>
              <w:rPr>
                <w:rFonts w:hint="eastAsia"/>
                <w:kern w:val="2"/>
                <w:sz w:val="20"/>
                <w:szCs w:val="20"/>
                <w:lang w:bidi="ar"/>
              </w:rPr>
              <w:t>75%</w:t>
            </w:r>
            <w:r>
              <w:rPr>
                <w:rFonts w:hint="eastAsia"/>
                <w:spacing w:val="-2"/>
                <w:kern w:val="2"/>
                <w:sz w:val="20"/>
                <w:szCs w:val="20"/>
                <w:lang w:bidi="ar"/>
              </w:rPr>
              <w:t xml:space="preserve"> </w:t>
            </w:r>
            <w:r>
              <w:rPr>
                <w:rFonts w:hint="eastAsia"/>
                <w:kern w:val="2"/>
                <w:sz w:val="20"/>
                <w:szCs w:val="20"/>
                <w:lang w:bidi="ar"/>
              </w:rPr>
              <w:t>Load:61dB</w:t>
            </w:r>
          </w:p>
          <w:p w14:paraId="49E1AAD1">
            <w:pPr>
              <w:pStyle w:val="37"/>
              <w:numPr>
                <w:ilvl w:val="0"/>
                <w:numId w:val="5"/>
              </w:numPr>
              <w:tabs>
                <w:tab w:val="left" w:pos="277"/>
              </w:tabs>
              <w:autoSpaceDE w:val="0"/>
              <w:autoSpaceDN w:val="0"/>
              <w:spacing w:before="0" w:after="0"/>
              <w:ind w:left="0" w:firstLine="0"/>
              <w:rPr>
                <w:kern w:val="2"/>
                <w:sz w:val="20"/>
                <w:szCs w:val="20"/>
              </w:rPr>
            </w:pPr>
            <w:r>
              <w:rPr>
                <w:rFonts w:hint="eastAsia"/>
                <w:kern w:val="2"/>
                <w:sz w:val="20"/>
                <w:szCs w:val="20"/>
                <w:lang w:bidi="ar"/>
              </w:rPr>
              <w:t>100%</w:t>
            </w:r>
            <w:r>
              <w:rPr>
                <w:rFonts w:hint="eastAsia"/>
                <w:spacing w:val="1"/>
                <w:kern w:val="2"/>
                <w:sz w:val="20"/>
                <w:szCs w:val="20"/>
                <w:lang w:bidi="ar"/>
              </w:rPr>
              <w:t xml:space="preserve"> </w:t>
            </w:r>
            <w:r>
              <w:rPr>
                <w:rFonts w:hint="eastAsia"/>
                <w:kern w:val="2"/>
                <w:sz w:val="20"/>
                <w:szCs w:val="20"/>
                <w:lang w:bidi="ar"/>
              </w:rPr>
              <w:t>Load:65dB</w:t>
            </w:r>
          </w:p>
        </w:tc>
      </w:tr>
      <w:tr w14:paraId="2B3B7B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c>
          <w:tcPr>
            <w:tcW w:w="990" w:type="pct"/>
            <w:vMerge w:val="continue"/>
            <w:tcBorders>
              <w:left w:val="single" w:color="000000" w:sz="6" w:space="0"/>
              <w:right w:val="single" w:color="000000" w:sz="6" w:space="0"/>
            </w:tcBorders>
          </w:tcPr>
          <w:p w14:paraId="5F311FBB">
            <w:pPr>
              <w:autoSpaceDE w:val="0"/>
              <w:autoSpaceDN w:val="0"/>
              <w:jc w:val="left"/>
              <w:rPr>
                <w:sz w:val="20"/>
                <w:szCs w:val="20"/>
              </w:rPr>
            </w:pPr>
          </w:p>
        </w:tc>
        <w:tc>
          <w:tcPr>
            <w:tcW w:w="1345" w:type="pct"/>
            <w:tcBorders>
              <w:top w:val="single" w:color="000000" w:sz="6" w:space="0"/>
              <w:left w:val="single" w:color="000000" w:sz="6" w:space="0"/>
              <w:bottom w:val="single" w:color="000000" w:sz="6" w:space="0"/>
              <w:right w:val="single" w:color="000000" w:sz="6" w:space="0"/>
            </w:tcBorders>
            <w:vAlign w:val="center"/>
          </w:tcPr>
          <w:p w14:paraId="0F2342B2">
            <w:pPr>
              <w:pStyle w:val="37"/>
              <w:autoSpaceDE w:val="0"/>
              <w:autoSpaceDN w:val="0"/>
              <w:spacing w:before="0" w:after="0"/>
              <w:rPr>
                <w:kern w:val="2"/>
                <w:sz w:val="20"/>
                <w:szCs w:val="20"/>
              </w:rPr>
            </w:pPr>
            <w:r>
              <w:rPr>
                <w:rFonts w:hint="eastAsia"/>
                <w:kern w:val="2"/>
                <w:sz w:val="20"/>
                <w:szCs w:val="20"/>
                <w:lang w:bidi="ar"/>
              </w:rPr>
              <w:t>维护方式</w:t>
            </w:r>
          </w:p>
        </w:tc>
        <w:tc>
          <w:tcPr>
            <w:tcW w:w="2664" w:type="pct"/>
            <w:tcBorders>
              <w:top w:val="single" w:color="000000" w:sz="6" w:space="0"/>
              <w:left w:val="single" w:color="000000" w:sz="6" w:space="0"/>
              <w:bottom w:val="single" w:color="000000" w:sz="6" w:space="0"/>
              <w:right w:val="single" w:color="000000" w:sz="6" w:space="0"/>
            </w:tcBorders>
            <w:vAlign w:val="center"/>
          </w:tcPr>
          <w:p w14:paraId="500D0946">
            <w:pPr>
              <w:pStyle w:val="37"/>
              <w:autoSpaceDE w:val="0"/>
              <w:autoSpaceDN w:val="0"/>
              <w:spacing w:before="0" w:after="0"/>
              <w:rPr>
                <w:kern w:val="2"/>
                <w:sz w:val="20"/>
                <w:szCs w:val="20"/>
              </w:rPr>
            </w:pPr>
            <w:r>
              <w:rPr>
                <w:rFonts w:hint="eastAsia"/>
                <w:kern w:val="2"/>
                <w:sz w:val="20"/>
                <w:szCs w:val="20"/>
                <w:lang w:bidi="ar"/>
              </w:rPr>
              <w:t>前后维护均可</w:t>
            </w:r>
          </w:p>
        </w:tc>
      </w:tr>
      <w:tr w14:paraId="0D2FEF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c>
          <w:tcPr>
            <w:tcW w:w="990" w:type="pct"/>
            <w:vMerge w:val="continue"/>
            <w:tcBorders>
              <w:left w:val="single" w:color="000000" w:sz="6" w:space="0"/>
              <w:bottom w:val="single" w:color="000000" w:sz="6" w:space="0"/>
              <w:right w:val="single" w:color="000000" w:sz="6" w:space="0"/>
            </w:tcBorders>
          </w:tcPr>
          <w:p w14:paraId="72A6570D">
            <w:pPr>
              <w:autoSpaceDE w:val="0"/>
              <w:autoSpaceDN w:val="0"/>
              <w:jc w:val="left"/>
              <w:rPr>
                <w:sz w:val="20"/>
                <w:szCs w:val="20"/>
              </w:rPr>
            </w:pPr>
          </w:p>
        </w:tc>
        <w:tc>
          <w:tcPr>
            <w:tcW w:w="1345" w:type="pct"/>
            <w:tcBorders>
              <w:top w:val="single" w:color="000000" w:sz="6" w:space="0"/>
              <w:left w:val="single" w:color="000000" w:sz="6" w:space="0"/>
              <w:bottom w:val="single" w:color="000000" w:sz="6" w:space="0"/>
              <w:right w:val="single" w:color="000000" w:sz="6" w:space="0"/>
            </w:tcBorders>
            <w:vAlign w:val="center"/>
          </w:tcPr>
          <w:p w14:paraId="18ED9CD2">
            <w:pPr>
              <w:pStyle w:val="37"/>
              <w:autoSpaceDE w:val="0"/>
              <w:autoSpaceDN w:val="0"/>
              <w:spacing w:before="0" w:after="0"/>
              <w:rPr>
                <w:kern w:val="2"/>
                <w:sz w:val="20"/>
                <w:szCs w:val="20"/>
              </w:rPr>
            </w:pPr>
            <w:r>
              <w:rPr>
                <w:rFonts w:hint="eastAsia"/>
                <w:kern w:val="2"/>
                <w:sz w:val="20"/>
                <w:szCs w:val="20"/>
                <w:lang w:bidi="ar"/>
              </w:rPr>
              <w:t>防雷</w:t>
            </w:r>
          </w:p>
        </w:tc>
        <w:tc>
          <w:tcPr>
            <w:tcW w:w="2664" w:type="pct"/>
            <w:tcBorders>
              <w:top w:val="single" w:color="000000" w:sz="6" w:space="0"/>
              <w:left w:val="single" w:color="000000" w:sz="6" w:space="0"/>
              <w:bottom w:val="single" w:color="000000" w:sz="6" w:space="0"/>
              <w:right w:val="single" w:color="000000" w:sz="6" w:space="0"/>
            </w:tcBorders>
            <w:vAlign w:val="center"/>
          </w:tcPr>
          <w:p w14:paraId="797324A3">
            <w:pPr>
              <w:pStyle w:val="37"/>
              <w:autoSpaceDE w:val="0"/>
              <w:autoSpaceDN w:val="0"/>
              <w:spacing w:before="0" w:after="0"/>
              <w:rPr>
                <w:kern w:val="2"/>
                <w:sz w:val="20"/>
                <w:szCs w:val="20"/>
              </w:rPr>
            </w:pPr>
            <w:r>
              <w:rPr>
                <w:rFonts w:hint="eastAsia"/>
                <w:kern w:val="2"/>
                <w:sz w:val="20"/>
                <w:szCs w:val="20"/>
                <w:lang w:bidi="ar"/>
              </w:rPr>
              <w:t>配置 C 级防雷器</w:t>
            </w:r>
          </w:p>
        </w:tc>
      </w:tr>
    </w:tbl>
    <w:p w14:paraId="1529345E">
      <w:pPr>
        <w:numPr>
          <w:ilvl w:val="0"/>
          <w:numId w:val="4"/>
        </w:numPr>
        <w:spacing w:before="156" w:beforeLines="50" w:after="156" w:afterLines="50"/>
        <w:ind w:firstLine="480"/>
        <w:rPr>
          <w:sz w:val="28"/>
          <w:szCs w:val="28"/>
        </w:rPr>
      </w:pPr>
      <w:r>
        <w:rPr>
          <w:rFonts w:hint="eastAsia"/>
          <w:sz w:val="28"/>
          <w:szCs w:val="28"/>
        </w:rPr>
        <w:t>保护功能要求</w:t>
      </w:r>
    </w:p>
    <w:p w14:paraId="2D556C74">
      <w:pPr>
        <w:numPr>
          <w:ilvl w:val="0"/>
          <w:numId w:val="6"/>
        </w:numPr>
        <w:spacing w:before="156" w:beforeLines="50" w:after="156" w:afterLines="50"/>
        <w:ind w:left="0" w:firstLine="480"/>
        <w:rPr>
          <w:sz w:val="28"/>
          <w:szCs w:val="28"/>
        </w:rPr>
      </w:pPr>
      <w:r>
        <w:rPr>
          <w:rFonts w:hint="eastAsia"/>
          <w:sz w:val="28"/>
          <w:szCs w:val="28"/>
        </w:rPr>
        <w:t>交流输入过、欠电压保护。</w:t>
      </w:r>
    </w:p>
    <w:p w14:paraId="05C5F6DF">
      <w:pPr>
        <w:numPr>
          <w:ilvl w:val="0"/>
          <w:numId w:val="6"/>
        </w:numPr>
        <w:spacing w:before="156" w:beforeLines="50" w:after="156" w:afterLines="50"/>
        <w:ind w:left="0" w:firstLine="480"/>
        <w:rPr>
          <w:sz w:val="28"/>
          <w:szCs w:val="28"/>
        </w:rPr>
      </w:pPr>
      <w:r>
        <w:rPr>
          <w:rFonts w:hint="eastAsia"/>
          <w:sz w:val="28"/>
          <w:szCs w:val="28"/>
        </w:rPr>
        <w:t>输出短路保护：输出负载短路时，</w:t>
      </w:r>
      <w:r>
        <w:rPr>
          <w:sz w:val="28"/>
          <w:szCs w:val="28"/>
        </w:rPr>
        <w:t xml:space="preserve">UPS </w:t>
      </w:r>
      <w:r>
        <w:rPr>
          <w:rFonts w:hint="eastAsia"/>
          <w:sz w:val="28"/>
          <w:szCs w:val="28"/>
        </w:rPr>
        <w:t>系统应自动关闭输出，同时发出声光告警。</w:t>
      </w:r>
    </w:p>
    <w:p w14:paraId="7AB1119D">
      <w:pPr>
        <w:numPr>
          <w:ilvl w:val="0"/>
          <w:numId w:val="6"/>
        </w:numPr>
        <w:spacing w:before="156" w:beforeLines="50" w:after="156" w:afterLines="50"/>
        <w:ind w:left="0" w:firstLine="480"/>
        <w:rPr>
          <w:sz w:val="28"/>
          <w:szCs w:val="28"/>
        </w:rPr>
      </w:pPr>
      <w:r>
        <w:rPr>
          <w:rFonts w:hint="eastAsia"/>
          <w:sz w:val="28"/>
          <w:szCs w:val="28"/>
        </w:rPr>
        <w:t>过温度保护：功率模块内部温度达到保护设定值时，功率模块应能自动告警并保护而退出系统，当故障排除后应能自动恢复工作。</w:t>
      </w:r>
    </w:p>
    <w:p w14:paraId="2A29DF8B">
      <w:pPr>
        <w:numPr>
          <w:ilvl w:val="0"/>
          <w:numId w:val="6"/>
        </w:numPr>
        <w:spacing w:before="156" w:beforeLines="50" w:after="156" w:afterLines="50"/>
        <w:ind w:left="0" w:firstLine="480"/>
        <w:rPr>
          <w:sz w:val="28"/>
          <w:szCs w:val="28"/>
        </w:rPr>
      </w:pPr>
      <w:r>
        <w:rPr>
          <w:rFonts w:hint="eastAsia"/>
          <w:sz w:val="28"/>
          <w:szCs w:val="28"/>
        </w:rPr>
        <w:t xml:space="preserve">电池电压低保护：当 </w:t>
      </w:r>
      <w:r>
        <w:rPr>
          <w:sz w:val="28"/>
          <w:szCs w:val="28"/>
        </w:rPr>
        <w:t xml:space="preserve">UPS </w:t>
      </w:r>
      <w:r>
        <w:rPr>
          <w:rFonts w:hint="eastAsia"/>
          <w:sz w:val="28"/>
          <w:szCs w:val="28"/>
        </w:rPr>
        <w:t>系统在电池逆变工作方式时，电池电压降至保护点时，应发出声光告警，电池停止供电。当电池放电终止关机后市电恢复， 系统具备自动和手动重新启动功能。</w:t>
      </w:r>
    </w:p>
    <w:p w14:paraId="4207D505">
      <w:pPr>
        <w:numPr>
          <w:ilvl w:val="0"/>
          <w:numId w:val="6"/>
        </w:numPr>
        <w:spacing w:before="156" w:beforeLines="50" w:after="156" w:afterLines="50"/>
        <w:ind w:left="0" w:firstLine="480"/>
        <w:rPr>
          <w:sz w:val="28"/>
          <w:szCs w:val="28"/>
        </w:rPr>
      </w:pPr>
      <w:r>
        <w:rPr>
          <w:rFonts w:hint="eastAsia"/>
          <w:sz w:val="28"/>
          <w:szCs w:val="28"/>
        </w:rPr>
        <w:t>输出过欠压保护：</w:t>
      </w:r>
      <w:r>
        <w:rPr>
          <w:sz w:val="28"/>
          <w:szCs w:val="28"/>
        </w:rPr>
        <w:t xml:space="preserve">UPS </w:t>
      </w:r>
      <w:r>
        <w:rPr>
          <w:rFonts w:hint="eastAsia"/>
          <w:sz w:val="28"/>
          <w:szCs w:val="28"/>
        </w:rPr>
        <w:t>系统逆变输出电压超过设定过、欠电压值时， 应发出声光告警并转为旁路供电。</w:t>
      </w:r>
    </w:p>
    <w:p w14:paraId="4544D567">
      <w:pPr>
        <w:numPr>
          <w:ilvl w:val="0"/>
          <w:numId w:val="6"/>
        </w:numPr>
        <w:spacing w:before="156" w:beforeLines="50" w:after="156" w:afterLines="50"/>
        <w:ind w:left="0" w:firstLine="480"/>
        <w:rPr>
          <w:sz w:val="28"/>
          <w:szCs w:val="28"/>
        </w:rPr>
      </w:pPr>
      <w:r>
        <w:rPr>
          <w:rFonts w:hint="eastAsia"/>
          <w:sz w:val="28"/>
          <w:szCs w:val="28"/>
        </w:rPr>
        <w:t>模块熔断器（或断路器）保护：功率模块为限制某些故障进一步扩大， 模块内应设置输入输出熔断器（或断路器）等保护功能。</w:t>
      </w:r>
    </w:p>
    <w:p w14:paraId="378BF10D">
      <w:pPr>
        <w:numPr>
          <w:ilvl w:val="0"/>
          <w:numId w:val="6"/>
        </w:numPr>
        <w:spacing w:before="156" w:beforeLines="50" w:after="156" w:afterLines="50"/>
        <w:ind w:left="0" w:firstLine="480"/>
        <w:rPr>
          <w:sz w:val="28"/>
          <w:szCs w:val="28"/>
        </w:rPr>
      </w:pPr>
      <w:r>
        <w:rPr>
          <w:rFonts w:hint="eastAsia"/>
          <w:sz w:val="28"/>
          <w:szCs w:val="28"/>
        </w:rPr>
        <w:t>UPS功率模块支持故障模块自动退出功能，从而不影响UPS整机运行。</w:t>
      </w:r>
    </w:p>
    <w:p w14:paraId="0EFBA577">
      <w:pPr>
        <w:pStyle w:val="3"/>
        <w:spacing w:before="240"/>
        <w:rPr>
          <w:sz w:val="28"/>
          <w:szCs w:val="28"/>
        </w:rPr>
      </w:pPr>
      <w:r>
        <w:rPr>
          <w:rFonts w:hint="eastAsia"/>
          <w:sz w:val="28"/>
          <w:szCs w:val="28"/>
        </w:rPr>
        <w:t>电池的选择</w:t>
      </w:r>
    </w:p>
    <w:p w14:paraId="11551487">
      <w:pPr>
        <w:spacing w:line="560" w:lineRule="exact"/>
        <w:ind w:firstLine="480"/>
        <w:rPr>
          <w:sz w:val="28"/>
          <w:szCs w:val="28"/>
        </w:rPr>
      </w:pPr>
      <w:r>
        <w:rPr>
          <w:sz w:val="28"/>
          <w:szCs w:val="28"/>
        </w:rPr>
        <w:t xml:space="preserve">根据恒功率法对电池选型进行计算： </w:t>
      </w:r>
    </w:p>
    <w:p w14:paraId="605DE382">
      <w:pPr>
        <w:spacing w:line="560" w:lineRule="exact"/>
        <w:ind w:firstLine="480"/>
        <w:rPr>
          <w:sz w:val="28"/>
          <w:szCs w:val="28"/>
        </w:rPr>
      </w:pPr>
      <w:r>
        <w:rPr>
          <w:sz w:val="28"/>
          <w:szCs w:val="28"/>
        </w:rPr>
        <w:t>W=</w:t>
      </w:r>
      <w:r>
        <w:rPr>
          <w:rFonts w:hint="eastAsia"/>
          <w:sz w:val="28"/>
          <w:szCs w:val="28"/>
        </w:rPr>
        <w:t>(</w:t>
      </w:r>
      <w:r>
        <w:rPr>
          <w:sz w:val="28"/>
          <w:szCs w:val="28"/>
        </w:rPr>
        <w:t>PL</w:t>
      </w:r>
      <w:r>
        <w:rPr>
          <w:rFonts w:hint="eastAsia"/>
          <w:sz w:val="28"/>
          <w:szCs w:val="28"/>
        </w:rPr>
        <w:t>*0.9)</w:t>
      </w:r>
      <w:r>
        <w:rPr>
          <w:sz w:val="28"/>
          <w:szCs w:val="28"/>
        </w:rPr>
        <w:t>/</w:t>
      </w:r>
      <w:r>
        <w:rPr>
          <w:rFonts w:hint="eastAsia"/>
          <w:sz w:val="28"/>
          <w:szCs w:val="28"/>
        </w:rPr>
        <w:t>(</w:t>
      </w:r>
      <w:r>
        <w:rPr>
          <w:sz w:val="28"/>
          <w:szCs w:val="28"/>
        </w:rPr>
        <w:t>Vf*η</w:t>
      </w:r>
      <w:r>
        <w:rPr>
          <w:rFonts w:hint="eastAsia"/>
          <w:sz w:val="28"/>
          <w:szCs w:val="28"/>
        </w:rPr>
        <w:t>)</w:t>
      </w:r>
      <w:r>
        <w:rPr>
          <w:sz w:val="28"/>
          <w:szCs w:val="28"/>
        </w:rPr>
        <w:t xml:space="preserve"> </w:t>
      </w:r>
      <w:r>
        <w:rPr>
          <w:rFonts w:hint="eastAsia"/>
          <w:sz w:val="28"/>
          <w:szCs w:val="28"/>
        </w:rPr>
        <w:t>(</w:t>
      </w:r>
      <w:r>
        <w:rPr>
          <w:sz w:val="28"/>
          <w:szCs w:val="28"/>
        </w:rPr>
        <w:t>W/cell</w:t>
      </w:r>
      <w:r>
        <w:rPr>
          <w:rFonts w:hint="eastAsia"/>
          <w:sz w:val="28"/>
          <w:szCs w:val="28"/>
        </w:rPr>
        <w:t>)</w:t>
      </w:r>
      <w:r>
        <w:rPr>
          <w:sz w:val="28"/>
          <w:szCs w:val="28"/>
        </w:rPr>
        <w:t xml:space="preserve"> </w:t>
      </w:r>
    </w:p>
    <w:p w14:paraId="3A95BE1A">
      <w:pPr>
        <w:spacing w:line="560" w:lineRule="exact"/>
        <w:ind w:firstLine="480"/>
        <w:rPr>
          <w:sz w:val="28"/>
          <w:szCs w:val="28"/>
        </w:rPr>
      </w:pPr>
      <w:r>
        <w:rPr>
          <w:sz w:val="28"/>
          <w:szCs w:val="28"/>
        </w:rPr>
        <w:t>W为所需电池的每单格功率，单位W/cell；</w:t>
      </w:r>
    </w:p>
    <w:p w14:paraId="02D5C186">
      <w:pPr>
        <w:spacing w:line="560" w:lineRule="exact"/>
        <w:ind w:firstLine="480"/>
        <w:rPr>
          <w:sz w:val="28"/>
          <w:szCs w:val="28"/>
        </w:rPr>
      </w:pPr>
      <w:r>
        <w:rPr>
          <w:sz w:val="28"/>
          <w:szCs w:val="28"/>
        </w:rPr>
        <w:t>PL为目前实际负载功率，即</w:t>
      </w:r>
      <w:r>
        <w:rPr>
          <w:rFonts w:hint="eastAsia"/>
          <w:sz w:val="28"/>
          <w:szCs w:val="28"/>
        </w:rPr>
        <w:t>558.66</w:t>
      </w:r>
      <w:r>
        <w:rPr>
          <w:sz w:val="28"/>
          <w:szCs w:val="28"/>
        </w:rPr>
        <w:t>*</w:t>
      </w:r>
      <w:r>
        <w:rPr>
          <w:rFonts w:hint="eastAsia"/>
          <w:sz w:val="28"/>
          <w:szCs w:val="28"/>
        </w:rPr>
        <w:t>0.9*</w:t>
      </w:r>
      <w:r>
        <w:rPr>
          <w:sz w:val="28"/>
          <w:szCs w:val="28"/>
        </w:rPr>
        <w:t>1000=</w:t>
      </w:r>
      <w:r>
        <w:rPr>
          <w:rFonts w:hint="eastAsia"/>
          <w:sz w:val="28"/>
          <w:szCs w:val="28"/>
        </w:rPr>
        <w:t>502794</w:t>
      </w:r>
      <w:r>
        <w:rPr>
          <w:sz w:val="28"/>
          <w:szCs w:val="28"/>
        </w:rPr>
        <w:t xml:space="preserve">，单位W； </w:t>
      </w:r>
    </w:p>
    <w:p w14:paraId="4B12D29F">
      <w:pPr>
        <w:spacing w:line="560" w:lineRule="exact"/>
        <w:ind w:firstLine="480"/>
        <w:rPr>
          <w:sz w:val="28"/>
          <w:szCs w:val="28"/>
        </w:rPr>
      </w:pPr>
      <w:r>
        <w:rPr>
          <w:sz w:val="28"/>
          <w:szCs w:val="28"/>
        </w:rPr>
        <w:t xml:space="preserve">Vf为电池组额定电压，单位V；40节12V电池为480； </w:t>
      </w:r>
    </w:p>
    <w:p w14:paraId="44CF5259">
      <w:pPr>
        <w:spacing w:line="560" w:lineRule="exact"/>
        <w:ind w:firstLine="480"/>
        <w:rPr>
          <w:sz w:val="28"/>
          <w:szCs w:val="28"/>
        </w:rPr>
      </w:pPr>
      <w:r>
        <w:rPr>
          <w:sz w:val="28"/>
          <w:szCs w:val="28"/>
        </w:rPr>
        <w:t xml:space="preserve">η为逆变效率，取0.95； </w:t>
      </w:r>
    </w:p>
    <w:p w14:paraId="2FF80158">
      <w:pPr>
        <w:spacing w:line="560" w:lineRule="exact"/>
        <w:ind w:firstLine="480"/>
        <w:rPr>
          <w:sz w:val="28"/>
          <w:szCs w:val="28"/>
        </w:rPr>
      </w:pPr>
      <w:r>
        <w:rPr>
          <w:sz w:val="28"/>
          <w:szCs w:val="28"/>
        </w:rPr>
        <w:t>计算得：W=</w:t>
      </w:r>
      <w:r>
        <w:rPr>
          <w:rFonts w:hint="eastAsia"/>
          <w:sz w:val="28"/>
          <w:szCs w:val="28"/>
        </w:rPr>
        <w:t>1102.62</w:t>
      </w:r>
      <w:r>
        <w:rPr>
          <w:sz w:val="28"/>
          <w:szCs w:val="28"/>
        </w:rPr>
        <w:t>W；</w:t>
      </w:r>
    </w:p>
    <w:p w14:paraId="027892CB">
      <w:pPr>
        <w:spacing w:line="560" w:lineRule="exact"/>
        <w:ind w:firstLine="480"/>
        <w:rPr>
          <w:rFonts w:ascii="宋体" w:hAnsi="宋体"/>
          <w:sz w:val="28"/>
          <w:szCs w:val="28"/>
        </w:rPr>
      </w:pPr>
      <w:r>
        <w:rPr>
          <w:rFonts w:hint="eastAsia" w:ascii="宋体" w:hAnsi="宋体"/>
          <w:sz w:val="28"/>
          <w:szCs w:val="28"/>
        </w:rPr>
        <w:t xml:space="preserve">查电池规格表得： </w:t>
      </w:r>
    </w:p>
    <w:p w14:paraId="00CC2DBD">
      <w:r>
        <w:drawing>
          <wp:inline distT="0" distB="0" distL="114300" distR="114300">
            <wp:extent cx="5272405" cy="1250950"/>
            <wp:effectExtent l="0" t="0" r="10795" b="6350"/>
            <wp:docPr id="28" name="图片 16"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6" descr="表格&#10;&#10;描述已自动生成"/>
                    <pic:cNvPicPr>
                      <a:picLocks noChangeAspect="1"/>
                    </pic:cNvPicPr>
                  </pic:nvPicPr>
                  <pic:blipFill>
                    <a:blip r:embed="rId11"/>
                    <a:stretch>
                      <a:fillRect/>
                    </a:stretch>
                  </pic:blipFill>
                  <pic:spPr>
                    <a:xfrm>
                      <a:off x="0" y="0"/>
                      <a:ext cx="5272405" cy="1250950"/>
                    </a:xfrm>
                    <a:prstGeom prst="rect">
                      <a:avLst/>
                    </a:prstGeom>
                    <a:noFill/>
                    <a:ln>
                      <a:noFill/>
                    </a:ln>
                  </pic:spPr>
                </pic:pic>
              </a:graphicData>
            </a:graphic>
          </wp:inline>
        </w:drawing>
      </w:r>
    </w:p>
    <w:p w14:paraId="79DC627B">
      <w:pPr>
        <w:pStyle w:val="13"/>
        <w:spacing w:before="156" w:after="156"/>
      </w:pPr>
      <w:r>
        <w:t xml:space="preserve">图 </w:t>
      </w:r>
      <w:r>
        <w:fldChar w:fldCharType="begin"/>
      </w:r>
      <w:r>
        <w:instrText xml:space="preserve"> STYLEREF 1 \s </w:instrText>
      </w:r>
      <w:r>
        <w:fldChar w:fldCharType="separate"/>
      </w:r>
      <w:r>
        <w:t>5</w:t>
      </w:r>
      <w:r>
        <w:fldChar w:fldCharType="end"/>
      </w:r>
      <w:r>
        <w:rPr>
          <w:rFonts w:hint="eastAsia"/>
        </w:rPr>
        <w:t>-34 电池规格图</w:t>
      </w:r>
    </w:p>
    <w:p w14:paraId="0997D1BA">
      <w:pPr>
        <w:spacing w:line="560" w:lineRule="exact"/>
        <w:ind w:firstLine="480"/>
        <w:rPr>
          <w:sz w:val="28"/>
          <w:szCs w:val="28"/>
        </w:rPr>
      </w:pPr>
      <w:r>
        <w:rPr>
          <w:rFonts w:hint="eastAsia"/>
          <w:sz w:val="28"/>
          <w:szCs w:val="28"/>
        </w:rPr>
        <w:t>电池</w:t>
      </w:r>
      <w:r>
        <w:rPr>
          <w:sz w:val="28"/>
          <w:szCs w:val="28"/>
        </w:rPr>
        <w:t>系统显示时间30min，</w:t>
      </w:r>
      <w:r>
        <w:rPr>
          <w:rFonts w:hint="eastAsia"/>
          <w:sz w:val="28"/>
          <w:szCs w:val="28"/>
        </w:rPr>
        <w:t>20</w:t>
      </w:r>
      <w:r>
        <w:rPr>
          <w:sz w:val="28"/>
          <w:szCs w:val="28"/>
        </w:rPr>
        <w:t>0AH电池单格功率为</w:t>
      </w:r>
      <w:r>
        <w:rPr>
          <w:rFonts w:hint="eastAsia"/>
          <w:sz w:val="28"/>
          <w:szCs w:val="28"/>
        </w:rPr>
        <w:t>313</w:t>
      </w:r>
      <w:r>
        <w:rPr>
          <w:sz w:val="28"/>
          <w:szCs w:val="28"/>
        </w:rPr>
        <w:t>W，因此，每台UPS配置2组蓄电池，两台UPS共配置4组</w:t>
      </w:r>
      <w:r>
        <w:rPr>
          <w:rFonts w:hint="eastAsia"/>
          <w:sz w:val="28"/>
          <w:szCs w:val="28"/>
        </w:rPr>
        <w:t>12V20</w:t>
      </w:r>
      <w:r>
        <w:rPr>
          <w:sz w:val="28"/>
          <w:szCs w:val="28"/>
        </w:rPr>
        <w:t>0AH电池，可以满足系统备电</w:t>
      </w:r>
      <w:r>
        <w:rPr>
          <w:rFonts w:hint="eastAsia"/>
          <w:sz w:val="28"/>
          <w:szCs w:val="28"/>
        </w:rPr>
        <w:t>至少30</w:t>
      </w:r>
      <w:r>
        <w:rPr>
          <w:sz w:val="28"/>
          <w:szCs w:val="28"/>
        </w:rPr>
        <w:t>min的需求。</w:t>
      </w:r>
    </w:p>
    <w:p w14:paraId="3E300E52">
      <w:pPr>
        <w:pStyle w:val="4"/>
        <w:spacing w:before="240" w:after="120"/>
      </w:pPr>
      <w:bookmarkStart w:id="2" w:name="_Toc12677"/>
      <w:bookmarkStart w:id="3" w:name="_Toc11622592"/>
      <w:bookmarkStart w:id="4" w:name="_Toc10766"/>
      <w:bookmarkStart w:id="5" w:name="_Toc32465"/>
      <w:r>
        <w:rPr>
          <w:rFonts w:hint="eastAsia"/>
        </w:rPr>
        <w:t>机房消防系统设计</w:t>
      </w:r>
      <w:bookmarkEnd w:id="2"/>
      <w:bookmarkEnd w:id="3"/>
      <w:bookmarkEnd w:id="4"/>
      <w:bookmarkEnd w:id="5"/>
    </w:p>
    <w:p w14:paraId="57B17066">
      <w:pPr>
        <w:numPr>
          <w:ilvl w:val="0"/>
          <w:numId w:val="7"/>
        </w:numPr>
        <w:spacing w:before="156" w:beforeLines="50" w:after="156" w:afterLines="50"/>
        <w:ind w:firstLine="480"/>
        <w:rPr>
          <w:sz w:val="28"/>
          <w:szCs w:val="28"/>
        </w:rPr>
      </w:pPr>
      <w:bookmarkStart w:id="6" w:name="_Toc11622593"/>
      <w:r>
        <w:rPr>
          <w:rFonts w:hint="eastAsia"/>
          <w:sz w:val="28"/>
          <w:szCs w:val="28"/>
        </w:rPr>
        <w:t>消防概述</w:t>
      </w:r>
      <w:bookmarkEnd w:id="6"/>
      <w:r>
        <w:rPr>
          <w:rFonts w:hint="eastAsia"/>
          <w:sz w:val="28"/>
          <w:szCs w:val="28"/>
        </w:rPr>
        <w:t xml:space="preserve"> </w:t>
      </w:r>
    </w:p>
    <w:p w14:paraId="4650B959">
      <w:pPr>
        <w:spacing w:before="156" w:beforeLines="50" w:after="156" w:afterLines="50"/>
        <w:ind w:firstLine="480"/>
        <w:rPr>
          <w:sz w:val="28"/>
          <w:szCs w:val="28"/>
        </w:rPr>
      </w:pPr>
      <w:r>
        <w:rPr>
          <w:rFonts w:hint="eastAsia"/>
          <w:sz w:val="28"/>
          <w:szCs w:val="28"/>
        </w:rPr>
        <w:t>机房采用七氟丙烷气体灭火系统，拥有管网柜式自动气体消防系统，喷点均匀，灭火效果好，虽然初期投资较高，但未来扩展费用较低，适用于多个功能区的消防灭火。</w:t>
      </w:r>
    </w:p>
    <w:p w14:paraId="4E2E67D7">
      <w:pPr>
        <w:numPr>
          <w:ilvl w:val="0"/>
          <w:numId w:val="7"/>
        </w:numPr>
        <w:spacing w:before="156" w:beforeLines="50" w:after="156" w:afterLines="50"/>
        <w:ind w:firstLine="480"/>
        <w:rPr>
          <w:sz w:val="28"/>
          <w:szCs w:val="28"/>
        </w:rPr>
      </w:pPr>
      <w:bookmarkStart w:id="7" w:name="_Toc11622594"/>
      <w:r>
        <w:rPr>
          <w:rFonts w:hint="eastAsia"/>
          <w:sz w:val="28"/>
          <w:szCs w:val="28"/>
        </w:rPr>
        <w:t>设计灭火方式</w:t>
      </w:r>
      <w:bookmarkEnd w:id="7"/>
    </w:p>
    <w:p w14:paraId="74879850">
      <w:pPr>
        <w:spacing w:before="156" w:beforeLines="50" w:after="156" w:afterLines="50"/>
        <w:ind w:firstLine="480"/>
        <w:rPr>
          <w:sz w:val="28"/>
          <w:szCs w:val="28"/>
        </w:rPr>
      </w:pPr>
      <w:r>
        <w:rPr>
          <w:rFonts w:hint="eastAsia"/>
          <w:sz w:val="28"/>
          <w:szCs w:val="28"/>
        </w:rPr>
        <w:t>机房采用全淹没灭火方式。消防设计喷放设时间、设计浓度、气体浸渍时间见后表。</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76"/>
        <w:gridCol w:w="4978"/>
      </w:tblGrid>
      <w:tr w14:paraId="581AF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4" w:type="pct"/>
            <w:vAlign w:val="center"/>
          </w:tcPr>
          <w:p w14:paraId="183D40D6">
            <w:pPr>
              <w:pStyle w:val="142"/>
              <w:kinsoku w:val="0"/>
              <w:overflowPunct w:val="0"/>
              <w:spacing w:before="32" w:after="32" w:line="240" w:lineRule="exact"/>
              <w:ind w:firstLine="402"/>
              <w:jc w:val="center"/>
              <w:rPr>
                <w:rFonts w:hint="default" w:cs="楷体"/>
                <w:b/>
                <w:bCs/>
                <w:sz w:val="20"/>
              </w:rPr>
            </w:pPr>
            <w:bookmarkStart w:id="8" w:name="bookmark2"/>
            <w:bookmarkEnd w:id="8"/>
            <w:bookmarkStart w:id="9" w:name="bookmark1"/>
            <w:bookmarkEnd w:id="9"/>
            <w:bookmarkStart w:id="10" w:name="bookmark0"/>
            <w:bookmarkEnd w:id="10"/>
            <w:r>
              <w:rPr>
                <w:rFonts w:cs="楷体"/>
                <w:b/>
                <w:bCs/>
                <w:sz w:val="20"/>
              </w:rPr>
              <w:t>名称</w:t>
            </w:r>
          </w:p>
        </w:tc>
        <w:tc>
          <w:tcPr>
            <w:tcW w:w="2526" w:type="pct"/>
            <w:vAlign w:val="center"/>
          </w:tcPr>
          <w:p w14:paraId="463DF839">
            <w:pPr>
              <w:pStyle w:val="142"/>
              <w:kinsoku w:val="0"/>
              <w:overflowPunct w:val="0"/>
              <w:spacing w:before="32" w:after="32" w:line="240" w:lineRule="exact"/>
              <w:ind w:firstLine="402"/>
              <w:jc w:val="center"/>
              <w:rPr>
                <w:rFonts w:hint="default" w:cs="楷体"/>
                <w:b/>
                <w:bCs/>
                <w:sz w:val="20"/>
              </w:rPr>
            </w:pPr>
            <w:r>
              <w:rPr>
                <w:rFonts w:cs="楷体"/>
                <w:b/>
                <w:bCs/>
                <w:sz w:val="20"/>
              </w:rPr>
              <w:t>数据机房</w:t>
            </w:r>
          </w:p>
        </w:tc>
      </w:tr>
      <w:tr w14:paraId="4D841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4" w:type="pct"/>
            <w:vAlign w:val="center"/>
          </w:tcPr>
          <w:p w14:paraId="598A4B3D">
            <w:pPr>
              <w:pStyle w:val="142"/>
              <w:kinsoku w:val="0"/>
              <w:overflowPunct w:val="0"/>
              <w:spacing w:before="32" w:after="32" w:line="240" w:lineRule="exact"/>
              <w:ind w:firstLine="359"/>
              <w:jc w:val="center"/>
              <w:rPr>
                <w:rFonts w:hint="default" w:cs="楷体"/>
                <w:sz w:val="20"/>
              </w:rPr>
            </w:pPr>
            <w:r>
              <w:rPr>
                <w:rFonts w:cs="楷体"/>
                <w:w w:val="90"/>
                <w:sz w:val="20"/>
              </w:rPr>
              <w:t>喷放时间S</w:t>
            </w:r>
          </w:p>
        </w:tc>
        <w:tc>
          <w:tcPr>
            <w:tcW w:w="2526" w:type="pct"/>
            <w:vAlign w:val="center"/>
          </w:tcPr>
          <w:p w14:paraId="7D3AF17D">
            <w:pPr>
              <w:pStyle w:val="142"/>
              <w:kinsoku w:val="0"/>
              <w:overflowPunct w:val="0"/>
              <w:spacing w:before="32" w:after="32" w:line="240" w:lineRule="exact"/>
              <w:ind w:firstLine="338"/>
              <w:jc w:val="center"/>
              <w:rPr>
                <w:rFonts w:hint="default" w:cs="楷体"/>
                <w:sz w:val="20"/>
              </w:rPr>
            </w:pPr>
            <w:r>
              <w:rPr>
                <w:rFonts w:cs="楷体"/>
                <w:w w:val="85"/>
                <w:sz w:val="20"/>
              </w:rPr>
              <w:t>8</w:t>
            </w:r>
          </w:p>
        </w:tc>
      </w:tr>
      <w:tr w14:paraId="3202A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4" w:type="pct"/>
            <w:vAlign w:val="center"/>
          </w:tcPr>
          <w:p w14:paraId="322E68EA">
            <w:pPr>
              <w:pStyle w:val="142"/>
              <w:kinsoku w:val="0"/>
              <w:overflowPunct w:val="0"/>
              <w:spacing w:before="32" w:after="32" w:line="240" w:lineRule="exact"/>
              <w:ind w:firstLine="400"/>
              <w:jc w:val="center"/>
              <w:rPr>
                <w:rFonts w:hint="default" w:cs="楷体"/>
                <w:sz w:val="20"/>
              </w:rPr>
            </w:pPr>
            <w:r>
              <w:rPr>
                <w:rFonts w:cs="楷体"/>
                <w:sz w:val="20"/>
              </w:rPr>
              <w:t>气体浸渍时间〉min</w:t>
            </w:r>
          </w:p>
        </w:tc>
        <w:tc>
          <w:tcPr>
            <w:tcW w:w="2526" w:type="pct"/>
            <w:vAlign w:val="center"/>
          </w:tcPr>
          <w:p w14:paraId="02A4CD35">
            <w:pPr>
              <w:pStyle w:val="142"/>
              <w:kinsoku w:val="0"/>
              <w:overflowPunct w:val="0"/>
              <w:spacing w:before="32" w:after="32" w:line="240" w:lineRule="exact"/>
              <w:ind w:firstLine="338"/>
              <w:jc w:val="center"/>
              <w:rPr>
                <w:rFonts w:hint="default" w:cs="楷体"/>
                <w:sz w:val="20"/>
              </w:rPr>
            </w:pPr>
            <w:r>
              <w:rPr>
                <w:rFonts w:cs="楷体"/>
                <w:w w:val="85"/>
                <w:sz w:val="20"/>
              </w:rPr>
              <w:t>3</w:t>
            </w:r>
          </w:p>
        </w:tc>
      </w:tr>
      <w:tr w14:paraId="5148E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4" w:type="pct"/>
            <w:vAlign w:val="center"/>
          </w:tcPr>
          <w:p w14:paraId="055C5722">
            <w:pPr>
              <w:pStyle w:val="142"/>
              <w:kinsoku w:val="0"/>
              <w:overflowPunct w:val="0"/>
              <w:spacing w:before="32" w:after="32" w:line="240" w:lineRule="exact"/>
              <w:ind w:firstLine="400"/>
              <w:jc w:val="center"/>
              <w:rPr>
                <w:rFonts w:hint="default" w:cs="楷体"/>
                <w:sz w:val="20"/>
              </w:rPr>
            </w:pPr>
            <w:r>
              <w:rPr>
                <w:rFonts w:cs="楷体"/>
                <w:sz w:val="20"/>
              </w:rPr>
              <w:t>设计浓度%</w:t>
            </w:r>
          </w:p>
        </w:tc>
        <w:tc>
          <w:tcPr>
            <w:tcW w:w="2526" w:type="pct"/>
            <w:vAlign w:val="center"/>
          </w:tcPr>
          <w:p w14:paraId="5BEE5EC8">
            <w:pPr>
              <w:pStyle w:val="142"/>
              <w:kinsoku w:val="0"/>
              <w:overflowPunct w:val="0"/>
              <w:spacing w:before="32" w:after="32" w:line="240" w:lineRule="exact"/>
              <w:ind w:firstLine="338"/>
              <w:jc w:val="center"/>
              <w:rPr>
                <w:rFonts w:hint="default" w:cs="楷体"/>
                <w:sz w:val="20"/>
              </w:rPr>
            </w:pPr>
            <w:r>
              <w:rPr>
                <w:rFonts w:cs="楷体"/>
                <w:w w:val="85"/>
                <w:sz w:val="20"/>
              </w:rPr>
              <w:t>8</w:t>
            </w:r>
          </w:p>
        </w:tc>
      </w:tr>
    </w:tbl>
    <w:p w14:paraId="04205BD0">
      <w:pPr>
        <w:numPr>
          <w:ilvl w:val="0"/>
          <w:numId w:val="7"/>
        </w:numPr>
        <w:spacing w:before="156" w:beforeLines="50" w:after="156" w:afterLines="50"/>
        <w:ind w:firstLine="480"/>
        <w:rPr>
          <w:sz w:val="28"/>
          <w:szCs w:val="28"/>
        </w:rPr>
      </w:pPr>
      <w:bookmarkStart w:id="11" w:name="bookmark3"/>
      <w:bookmarkEnd w:id="11"/>
      <w:bookmarkStart w:id="12" w:name="_Toc11622596"/>
      <w:r>
        <w:rPr>
          <w:rFonts w:hint="eastAsia"/>
          <w:sz w:val="28"/>
          <w:szCs w:val="28"/>
        </w:rPr>
        <w:t>系统设计</w:t>
      </w:r>
      <w:bookmarkEnd w:id="12"/>
    </w:p>
    <w:p w14:paraId="71E7AC23">
      <w:pPr>
        <w:spacing w:before="156" w:beforeLines="50" w:after="156" w:afterLines="50"/>
        <w:ind w:firstLine="480"/>
        <w:rPr>
          <w:sz w:val="28"/>
          <w:szCs w:val="28"/>
        </w:rPr>
      </w:pPr>
      <w:r>
        <w:rPr>
          <w:rFonts w:hint="eastAsia"/>
          <w:sz w:val="28"/>
          <w:szCs w:val="28"/>
        </w:rPr>
        <w:t>系统由火灾报警系统、灭火控制系统及气体灭火装置三部分组成。</w:t>
      </w:r>
    </w:p>
    <w:p w14:paraId="30255456">
      <w:pPr>
        <w:numPr>
          <w:ilvl w:val="0"/>
          <w:numId w:val="8"/>
        </w:numPr>
        <w:spacing w:before="156" w:beforeLines="50" w:after="156" w:afterLines="50"/>
        <w:ind w:left="0" w:firstLine="480"/>
        <w:rPr>
          <w:sz w:val="28"/>
          <w:szCs w:val="28"/>
        </w:rPr>
      </w:pPr>
      <w:r>
        <w:rPr>
          <w:rFonts w:hint="eastAsia"/>
          <w:sz w:val="28"/>
          <w:szCs w:val="28"/>
        </w:rPr>
        <w:t>火灾自动报警系统包括火灾探测器、气体灭火控制器、消防警铃、声光报警器、紧急启停按钮、放气指示灯及系统布线；</w:t>
      </w:r>
    </w:p>
    <w:p w14:paraId="4FAE7BDC">
      <w:pPr>
        <w:numPr>
          <w:ilvl w:val="0"/>
          <w:numId w:val="8"/>
        </w:numPr>
        <w:spacing w:before="156" w:beforeLines="50" w:after="156" w:afterLines="50"/>
        <w:ind w:left="0" w:firstLine="480"/>
        <w:rPr>
          <w:sz w:val="28"/>
          <w:szCs w:val="28"/>
        </w:rPr>
      </w:pPr>
      <w:r>
        <w:rPr>
          <w:rFonts w:hint="eastAsia"/>
          <w:sz w:val="28"/>
          <w:szCs w:val="28"/>
        </w:rPr>
        <w:t>系统具有自动控制、手动控制和机械应急操作三种启动方式。</w:t>
      </w:r>
    </w:p>
    <w:p w14:paraId="61483E8C">
      <w:pPr>
        <w:spacing w:before="156" w:beforeLines="50" w:after="156" w:afterLines="50"/>
        <w:ind w:firstLine="480"/>
        <w:rPr>
          <w:sz w:val="28"/>
          <w:szCs w:val="28"/>
        </w:rPr>
      </w:pPr>
      <w:r>
        <w:rPr>
          <w:rFonts w:hint="eastAsia"/>
          <w:sz w:val="28"/>
          <w:szCs w:val="28"/>
        </w:rPr>
        <w:t>自动启动：灭火控制器设置在自动状态时，若某防护区发生有烟雾（或温度异常上升），该防护区的感烟（或感温）探测器动作并向灭火控制器送入一个火警信号，灭火控制器即进入单一火警状态，同时驱动消防警铃发出单一火灾警报信号，此时不会发出启动灭火系统的控制信号。随着该防护区火灾的蔓延，温度持续上升（或产生烟雾），另一回路的感温（或感烟）探测器动作，向灭火控制器送入另一个火警信号，灭火控制器立即确认发生火灾并发出复合火灾警报信号及联动信号（关闭送排风装置和防火阀、防火卷帘等）。经过设定时间的延时，灭火控制器输出信号启动灭火系统，灭火剂经输送管道释放到该防护区实施灭火。灭火控制器接收到压力信号器的反馈信号后显亮防护区门外的放气指示灯，避免人员误入。</w:t>
      </w:r>
    </w:p>
    <w:p w14:paraId="032C4D29">
      <w:pPr>
        <w:numPr>
          <w:ilvl w:val="0"/>
          <w:numId w:val="8"/>
        </w:numPr>
        <w:spacing w:before="156" w:beforeLines="50" w:after="156" w:afterLines="50"/>
        <w:ind w:left="0" w:firstLine="480"/>
        <w:rPr>
          <w:sz w:val="28"/>
          <w:szCs w:val="28"/>
        </w:rPr>
      </w:pPr>
      <w:r>
        <w:rPr>
          <w:rFonts w:hint="eastAsia"/>
          <w:sz w:val="28"/>
          <w:szCs w:val="28"/>
        </w:rPr>
        <w:t>气体灭火设计</w:t>
      </w:r>
    </w:p>
    <w:p w14:paraId="233084C4">
      <w:pPr>
        <w:pStyle w:val="143"/>
        <w:spacing w:before="31" w:after="31"/>
        <w:ind w:firstLine="480"/>
        <w:rPr>
          <w:rFonts w:hint="default"/>
          <w:sz w:val="28"/>
          <w:szCs w:val="28"/>
        </w:rPr>
      </w:pPr>
      <w:r>
        <w:rPr>
          <w:sz w:val="28"/>
          <w:szCs w:val="28"/>
        </w:rPr>
        <w:t>本工程在IT机房、接入间、配电室、电池室等场所采用气体灭火控制系统，对相应气体保护区进行火灾报警和控制,各气体保护区按独立分区进行设计。</w:t>
      </w:r>
    </w:p>
    <w:p w14:paraId="447AFC91">
      <w:pPr>
        <w:pStyle w:val="143"/>
        <w:spacing w:before="31" w:after="31"/>
        <w:ind w:firstLine="480"/>
        <w:rPr>
          <w:rFonts w:hint="default"/>
          <w:sz w:val="28"/>
          <w:szCs w:val="28"/>
        </w:rPr>
      </w:pPr>
      <w:r>
        <w:rPr>
          <w:sz w:val="28"/>
          <w:szCs w:val="28"/>
        </w:rPr>
        <w:t xml:space="preserve">本次气体灭火系统包括 2 个区域：机房和配电室，均采用管网式灭火装置。 </w:t>
      </w:r>
    </w:p>
    <w:p w14:paraId="451BB7EE">
      <w:pPr>
        <w:pStyle w:val="143"/>
        <w:spacing w:before="31" w:after="31"/>
        <w:ind w:firstLine="480"/>
        <w:rPr>
          <w:rFonts w:hint="default"/>
          <w:sz w:val="28"/>
          <w:szCs w:val="28"/>
        </w:rPr>
      </w:pPr>
      <w:r>
        <w:rPr>
          <w:sz w:val="28"/>
          <w:szCs w:val="28"/>
        </w:rPr>
        <w:t xml:space="preserve">设置6套 150L 的钢瓶。灭火剂喷射之后为气体，对电子设备和配电设备基本无影响。以机房为例，设计计算过程：  </w:t>
      </w:r>
    </w:p>
    <w:p w14:paraId="3DAF1925">
      <w:pPr>
        <w:pStyle w:val="143"/>
        <w:spacing w:before="31" w:after="31"/>
        <w:ind w:left="480"/>
        <w:rPr>
          <w:rFonts w:hint="default"/>
          <w:sz w:val="28"/>
          <w:szCs w:val="28"/>
        </w:rPr>
      </w:pPr>
      <w:r>
        <w:rPr>
          <w:sz w:val="28"/>
          <w:szCs w:val="28"/>
        </w:rPr>
        <w:t xml:space="preserve">1）灭火剂浓度确定 </w:t>
      </w:r>
    </w:p>
    <w:p w14:paraId="2CB85A28">
      <w:pPr>
        <w:pStyle w:val="143"/>
        <w:spacing w:before="31" w:after="31"/>
        <w:ind w:left="480"/>
        <w:rPr>
          <w:rFonts w:hint="default"/>
          <w:sz w:val="28"/>
          <w:szCs w:val="28"/>
        </w:rPr>
      </w:pPr>
      <w:r>
        <w:rPr>
          <w:sz w:val="28"/>
          <w:szCs w:val="28"/>
        </w:rPr>
        <w:t xml:space="preserve">确定防护区灭火设计浓度，依据《规范》，浓度取C=8%； </w:t>
      </w:r>
    </w:p>
    <w:p w14:paraId="5CAB4A1F">
      <w:pPr>
        <w:pStyle w:val="143"/>
        <w:spacing w:before="31" w:after="31"/>
        <w:ind w:left="480"/>
        <w:rPr>
          <w:rFonts w:hint="default"/>
          <w:sz w:val="28"/>
          <w:szCs w:val="28"/>
        </w:rPr>
      </w:pPr>
      <w:r>
        <w:rPr>
          <w:sz w:val="28"/>
          <w:szCs w:val="28"/>
        </w:rPr>
        <w:t>2）计算防护区的净空容积（m</w:t>
      </w:r>
      <w:r>
        <w:rPr>
          <w:sz w:val="28"/>
          <w:szCs w:val="28"/>
          <w:vertAlign w:val="superscript"/>
        </w:rPr>
        <w:t>3）</w:t>
      </w:r>
      <w:r>
        <w:rPr>
          <w:sz w:val="28"/>
          <w:szCs w:val="28"/>
        </w:rPr>
        <w:t xml:space="preserve"> </w:t>
      </w:r>
    </w:p>
    <w:p w14:paraId="3AAFFDB9">
      <w:pPr>
        <w:pStyle w:val="143"/>
        <w:spacing w:before="31" w:after="31"/>
        <w:ind w:left="480"/>
        <w:rPr>
          <w:rFonts w:hint="default"/>
          <w:sz w:val="28"/>
          <w:szCs w:val="28"/>
        </w:rPr>
      </w:pPr>
      <w:r>
        <w:rPr>
          <w:sz w:val="28"/>
          <w:szCs w:val="28"/>
        </w:rPr>
        <w:t xml:space="preserve"> V =Vv-Vg  </w:t>
      </w:r>
    </w:p>
    <w:p w14:paraId="4DE7948B">
      <w:pPr>
        <w:pStyle w:val="143"/>
        <w:spacing w:before="31" w:after="31"/>
        <w:ind w:left="480"/>
        <w:rPr>
          <w:rFonts w:hint="default"/>
          <w:sz w:val="28"/>
          <w:szCs w:val="28"/>
        </w:rPr>
      </w:pPr>
      <w:r>
        <w:rPr>
          <w:sz w:val="28"/>
          <w:szCs w:val="28"/>
        </w:rPr>
        <w:t>式中：V—防护区的净容积（m</w:t>
      </w:r>
      <w:r>
        <w:rPr>
          <w:sz w:val="28"/>
          <w:szCs w:val="28"/>
          <w:vertAlign w:val="superscript"/>
        </w:rPr>
        <w:t>3）</w:t>
      </w:r>
      <w:r>
        <w:rPr>
          <w:sz w:val="28"/>
          <w:szCs w:val="28"/>
        </w:rPr>
        <w:t xml:space="preserve">；  </w:t>
      </w:r>
    </w:p>
    <w:p w14:paraId="228E9027">
      <w:pPr>
        <w:pStyle w:val="143"/>
        <w:spacing w:before="31" w:after="31"/>
        <w:ind w:left="480"/>
        <w:rPr>
          <w:rFonts w:hint="default"/>
          <w:sz w:val="28"/>
          <w:szCs w:val="28"/>
        </w:rPr>
      </w:pPr>
      <w:r>
        <w:rPr>
          <w:sz w:val="28"/>
          <w:szCs w:val="28"/>
        </w:rPr>
        <w:t>Vv—防护区容积（m</w:t>
      </w:r>
      <w:r>
        <w:rPr>
          <w:sz w:val="28"/>
          <w:szCs w:val="28"/>
          <w:vertAlign w:val="superscript"/>
        </w:rPr>
        <w:t>3</w:t>
      </w:r>
      <w:r>
        <w:rPr>
          <w:sz w:val="28"/>
          <w:szCs w:val="28"/>
        </w:rPr>
        <w:t>)；容积=1525.5m</w:t>
      </w:r>
      <w:r>
        <w:rPr>
          <w:sz w:val="28"/>
          <w:szCs w:val="28"/>
          <w:vertAlign w:val="superscript"/>
        </w:rPr>
        <w:t>3</w:t>
      </w:r>
      <w:r>
        <w:rPr>
          <w:sz w:val="28"/>
          <w:szCs w:val="28"/>
        </w:rPr>
        <w:t xml:space="preserve"> </w:t>
      </w:r>
    </w:p>
    <w:p w14:paraId="3CEBA0F8">
      <w:pPr>
        <w:pStyle w:val="143"/>
        <w:spacing w:before="31" w:after="31"/>
        <w:ind w:left="480"/>
        <w:rPr>
          <w:rFonts w:hint="default"/>
          <w:sz w:val="28"/>
          <w:szCs w:val="28"/>
        </w:rPr>
      </w:pPr>
      <w:r>
        <w:rPr>
          <w:sz w:val="28"/>
          <w:szCs w:val="28"/>
        </w:rPr>
        <w:t>Vg—防护区内非燃烧和难燃烧的总容积（m</w:t>
      </w:r>
      <w:r>
        <w:rPr>
          <w:sz w:val="28"/>
          <w:szCs w:val="28"/>
          <w:vertAlign w:val="superscript"/>
        </w:rPr>
        <w:t>3</w:t>
      </w:r>
      <w:r>
        <w:rPr>
          <w:sz w:val="28"/>
          <w:szCs w:val="28"/>
        </w:rPr>
        <w:t xml:space="preserve">)；（取Vg =0）  </w:t>
      </w:r>
    </w:p>
    <w:p w14:paraId="124D4E26">
      <w:pPr>
        <w:pStyle w:val="143"/>
        <w:spacing w:before="31" w:after="31"/>
        <w:ind w:left="480"/>
        <w:rPr>
          <w:rFonts w:hint="default"/>
          <w:sz w:val="28"/>
          <w:szCs w:val="28"/>
        </w:rPr>
      </w:pPr>
      <w:r>
        <w:rPr>
          <w:sz w:val="28"/>
          <w:szCs w:val="28"/>
        </w:rPr>
        <w:t>净空容积：V =Vv－Vg=1525.5-0=1525.5m</w:t>
      </w:r>
      <w:r>
        <w:rPr>
          <w:sz w:val="28"/>
          <w:szCs w:val="28"/>
          <w:vertAlign w:val="superscript"/>
        </w:rPr>
        <w:t>3</w:t>
      </w:r>
      <w:r>
        <w:rPr>
          <w:sz w:val="28"/>
          <w:szCs w:val="28"/>
        </w:rPr>
        <w:t xml:space="preserve"> </w:t>
      </w:r>
    </w:p>
    <w:p w14:paraId="536627AD">
      <w:pPr>
        <w:pStyle w:val="143"/>
        <w:spacing w:before="31" w:after="31"/>
        <w:ind w:left="480"/>
        <w:rPr>
          <w:rFonts w:hint="default"/>
          <w:sz w:val="28"/>
          <w:szCs w:val="28"/>
        </w:rPr>
      </w:pPr>
      <w:r>
        <w:rPr>
          <w:sz w:val="28"/>
          <w:szCs w:val="28"/>
        </w:rPr>
        <w:t xml:space="preserve">3）灭火剂用量计算 </w:t>
      </w:r>
    </w:p>
    <w:p w14:paraId="062089B3">
      <w:pPr>
        <w:pStyle w:val="143"/>
        <w:spacing w:before="31" w:after="31"/>
        <w:ind w:left="480"/>
        <w:rPr>
          <w:rFonts w:hint="default"/>
          <w:sz w:val="28"/>
          <w:szCs w:val="28"/>
        </w:rPr>
      </w:pPr>
      <w:r>
        <w:rPr>
          <w:sz w:val="28"/>
          <w:szCs w:val="28"/>
        </w:rPr>
        <w:t xml:space="preserve">根据GB50370-2005《规范》中七氟丙烷设计用量的计算公式： </w:t>
      </w:r>
    </w:p>
    <w:p w14:paraId="3C5AF9CA">
      <w:pPr>
        <w:pStyle w:val="143"/>
        <w:spacing w:before="31" w:after="31"/>
        <w:ind w:left="480"/>
        <w:rPr>
          <w:rFonts w:hint="default"/>
          <w:sz w:val="28"/>
          <w:szCs w:val="28"/>
        </w:rPr>
      </w:pPr>
      <w:r>
        <w:rPr>
          <w:sz w:val="28"/>
          <w:szCs w:val="28"/>
        </w:rPr>
        <w:t xml:space="preserve">          W=K×(V/Ｓ）×[C/(100-C)]  </w:t>
      </w:r>
    </w:p>
    <w:p w14:paraId="31D8BA66">
      <w:pPr>
        <w:pStyle w:val="143"/>
        <w:spacing w:before="31" w:after="31"/>
        <w:ind w:left="480"/>
        <w:rPr>
          <w:rFonts w:hint="default"/>
          <w:sz w:val="28"/>
          <w:szCs w:val="28"/>
        </w:rPr>
      </w:pPr>
      <w:r>
        <w:rPr>
          <w:sz w:val="28"/>
          <w:szCs w:val="28"/>
        </w:rPr>
        <w:t xml:space="preserve">式中 ：W-七氟丙烷的灭火设计用量（kg）； </w:t>
      </w:r>
    </w:p>
    <w:p w14:paraId="48DAAE38">
      <w:pPr>
        <w:pStyle w:val="143"/>
        <w:spacing w:before="31" w:after="31"/>
        <w:ind w:left="480" w:firstLine="840" w:firstLineChars="300"/>
        <w:rPr>
          <w:rFonts w:hint="default"/>
          <w:sz w:val="28"/>
          <w:szCs w:val="28"/>
        </w:rPr>
      </w:pPr>
      <w:r>
        <w:rPr>
          <w:sz w:val="28"/>
          <w:szCs w:val="28"/>
        </w:rPr>
        <w:t xml:space="preserve">K-海拔高度修正系数；（取 K=1）  </w:t>
      </w:r>
    </w:p>
    <w:p w14:paraId="667400FB">
      <w:pPr>
        <w:pStyle w:val="143"/>
        <w:spacing w:before="31" w:after="31"/>
        <w:ind w:left="480" w:firstLine="840" w:firstLineChars="300"/>
        <w:rPr>
          <w:rFonts w:hint="default"/>
          <w:sz w:val="28"/>
          <w:szCs w:val="28"/>
        </w:rPr>
      </w:pPr>
      <w:r>
        <w:rPr>
          <w:sz w:val="28"/>
          <w:szCs w:val="28"/>
        </w:rPr>
        <w:t xml:space="preserve">C-七氟丙烷灭火设计浓度（%）；  </w:t>
      </w:r>
    </w:p>
    <w:p w14:paraId="429CEBEA">
      <w:pPr>
        <w:pStyle w:val="143"/>
        <w:spacing w:before="31" w:after="31"/>
        <w:ind w:left="480" w:firstLine="840" w:firstLineChars="300"/>
        <w:rPr>
          <w:rFonts w:hint="default"/>
          <w:sz w:val="28"/>
          <w:szCs w:val="28"/>
        </w:rPr>
      </w:pPr>
      <w:r>
        <w:rPr>
          <w:sz w:val="28"/>
          <w:szCs w:val="28"/>
        </w:rPr>
        <w:t>S-七氟丙烷过热蒸汽在 101Kpa和防护区最低环境温度下的比容（m</w:t>
      </w:r>
      <w:r>
        <w:rPr>
          <w:sz w:val="28"/>
          <w:szCs w:val="28"/>
          <w:vertAlign w:val="superscript"/>
        </w:rPr>
        <w:t>3</w:t>
      </w:r>
      <w:r>
        <w:rPr>
          <w:sz w:val="28"/>
          <w:szCs w:val="28"/>
        </w:rPr>
        <w:t xml:space="preserve">/kg），  </w:t>
      </w:r>
    </w:p>
    <w:p w14:paraId="20D8A643">
      <w:pPr>
        <w:pStyle w:val="143"/>
        <w:spacing w:before="31" w:after="31"/>
        <w:ind w:left="480" w:firstLine="840" w:firstLineChars="300"/>
        <w:rPr>
          <w:rFonts w:hint="default"/>
          <w:sz w:val="28"/>
          <w:szCs w:val="28"/>
        </w:rPr>
      </w:pPr>
      <w:r>
        <w:rPr>
          <w:sz w:val="28"/>
          <w:szCs w:val="28"/>
        </w:rPr>
        <w:t xml:space="preserve">V-防护区的净容积（m3）； </w:t>
      </w:r>
    </w:p>
    <w:p w14:paraId="2E73DBF8">
      <w:pPr>
        <w:pStyle w:val="143"/>
        <w:spacing w:before="31" w:after="31"/>
        <w:ind w:left="480"/>
        <w:rPr>
          <w:rFonts w:hint="default"/>
          <w:sz w:val="28"/>
          <w:szCs w:val="28"/>
        </w:rPr>
      </w:pPr>
      <w:r>
        <w:rPr>
          <w:sz w:val="28"/>
          <w:szCs w:val="28"/>
        </w:rPr>
        <w:t xml:space="preserve">其中 S = K1+ K2T  </w:t>
      </w:r>
    </w:p>
    <w:p w14:paraId="56132687">
      <w:pPr>
        <w:pStyle w:val="143"/>
        <w:spacing w:before="31" w:after="31"/>
        <w:ind w:left="480"/>
        <w:rPr>
          <w:rFonts w:hint="default"/>
          <w:sz w:val="28"/>
          <w:szCs w:val="28"/>
        </w:rPr>
      </w:pPr>
      <w:r>
        <w:rPr>
          <w:sz w:val="28"/>
          <w:szCs w:val="28"/>
        </w:rPr>
        <w:t xml:space="preserve">式中 ：T-温度（℃）  </w:t>
      </w:r>
    </w:p>
    <w:p w14:paraId="2DE6C11A">
      <w:pPr>
        <w:pStyle w:val="143"/>
        <w:spacing w:before="31" w:after="31"/>
        <w:ind w:left="480" w:firstLine="840" w:firstLineChars="300"/>
        <w:rPr>
          <w:rFonts w:hint="default"/>
          <w:sz w:val="28"/>
          <w:szCs w:val="28"/>
        </w:rPr>
      </w:pPr>
      <w:r>
        <w:rPr>
          <w:sz w:val="28"/>
          <w:szCs w:val="28"/>
        </w:rPr>
        <w:t xml:space="preserve">K1-0.1269  </w:t>
      </w:r>
    </w:p>
    <w:p w14:paraId="7A006821">
      <w:pPr>
        <w:pStyle w:val="143"/>
        <w:spacing w:before="31" w:after="31"/>
        <w:ind w:left="480" w:firstLine="840" w:firstLineChars="300"/>
        <w:rPr>
          <w:rFonts w:hint="default"/>
          <w:sz w:val="28"/>
          <w:szCs w:val="28"/>
        </w:rPr>
      </w:pPr>
      <w:r>
        <w:rPr>
          <w:sz w:val="28"/>
          <w:szCs w:val="28"/>
        </w:rPr>
        <w:t xml:space="preserve">K2-0.0005130 20℃时，S=0.13716； </w:t>
      </w:r>
    </w:p>
    <w:p w14:paraId="286EF3A5">
      <w:pPr>
        <w:pStyle w:val="143"/>
        <w:spacing w:before="31" w:after="31"/>
        <w:ind w:left="480"/>
        <w:rPr>
          <w:rFonts w:hint="default"/>
          <w:sz w:val="28"/>
          <w:szCs w:val="28"/>
        </w:rPr>
      </w:pPr>
      <w:r>
        <w:rPr>
          <w:sz w:val="28"/>
          <w:szCs w:val="28"/>
        </w:rPr>
        <w:t xml:space="preserve">（3）灭火剂设计用量：  </w:t>
      </w:r>
    </w:p>
    <w:p w14:paraId="04498A28">
      <w:pPr>
        <w:pStyle w:val="143"/>
        <w:spacing w:before="31" w:after="31"/>
        <w:ind w:left="480"/>
        <w:rPr>
          <w:rFonts w:hint="default"/>
          <w:sz w:val="28"/>
          <w:szCs w:val="28"/>
        </w:rPr>
      </w:pPr>
      <w:r>
        <w:rPr>
          <w:sz w:val="28"/>
          <w:szCs w:val="28"/>
        </w:rPr>
        <w:t>机房：</w:t>
      </w:r>
    </w:p>
    <w:p w14:paraId="40D67B80">
      <w:pPr>
        <w:pStyle w:val="143"/>
        <w:spacing w:before="31" w:after="31"/>
        <w:ind w:left="480"/>
        <w:rPr>
          <w:rFonts w:hint="default"/>
          <w:sz w:val="28"/>
          <w:szCs w:val="28"/>
        </w:rPr>
      </w:pPr>
      <w:r>
        <w:rPr>
          <w:sz w:val="28"/>
          <w:szCs w:val="28"/>
        </w:rPr>
        <w:t xml:space="preserve">W（机房） = K×（V／Ｓ）×[C／（100－C）]  </w:t>
      </w:r>
    </w:p>
    <w:p w14:paraId="3B1BCD37">
      <w:pPr>
        <w:pStyle w:val="143"/>
        <w:spacing w:before="31" w:after="31"/>
        <w:ind w:left="480"/>
        <w:rPr>
          <w:rFonts w:hint="default"/>
          <w:sz w:val="28"/>
          <w:szCs w:val="28"/>
        </w:rPr>
      </w:pPr>
      <w:r>
        <w:rPr>
          <w:sz w:val="28"/>
          <w:szCs w:val="28"/>
        </w:rPr>
        <w:t>=1×(1165.5/0.13716)×[8/(100-8)] =738.90KG</w:t>
      </w:r>
    </w:p>
    <w:p w14:paraId="109C677B">
      <w:pPr>
        <w:pStyle w:val="143"/>
        <w:spacing w:before="31" w:after="31"/>
        <w:ind w:left="480"/>
        <w:rPr>
          <w:rFonts w:hint="default"/>
          <w:sz w:val="28"/>
          <w:szCs w:val="28"/>
        </w:rPr>
      </w:pPr>
      <w:r>
        <w:rPr>
          <w:sz w:val="28"/>
          <w:szCs w:val="28"/>
        </w:rPr>
        <w:t>配电室：</w:t>
      </w:r>
    </w:p>
    <w:p w14:paraId="744790AF">
      <w:pPr>
        <w:pStyle w:val="143"/>
        <w:spacing w:before="31" w:after="31"/>
        <w:ind w:left="480"/>
        <w:rPr>
          <w:rFonts w:hint="default"/>
          <w:sz w:val="28"/>
          <w:szCs w:val="28"/>
        </w:rPr>
      </w:pPr>
      <w:r>
        <w:rPr>
          <w:sz w:val="28"/>
          <w:szCs w:val="28"/>
        </w:rPr>
        <w:t>W（配电室）=1×（407／0.13716）×[8／(100-8)]=258.03KG</w:t>
      </w:r>
    </w:p>
    <w:p w14:paraId="7C132244">
      <w:pPr>
        <w:pStyle w:val="143"/>
        <w:spacing w:before="31" w:after="31"/>
        <w:ind w:left="480"/>
        <w:rPr>
          <w:rFonts w:hint="default"/>
          <w:sz w:val="28"/>
          <w:szCs w:val="28"/>
        </w:rPr>
      </w:pPr>
      <w:r>
        <w:rPr>
          <w:sz w:val="28"/>
          <w:szCs w:val="28"/>
        </w:rPr>
        <w:t>W（机房）+ W（配电室）=996.93KG</w:t>
      </w:r>
    </w:p>
    <w:p w14:paraId="0FB436FC">
      <w:pPr>
        <w:pStyle w:val="143"/>
        <w:spacing w:before="31" w:after="31"/>
        <w:ind w:left="480"/>
        <w:rPr>
          <w:rFonts w:hint="default"/>
          <w:sz w:val="28"/>
          <w:szCs w:val="28"/>
        </w:rPr>
      </w:pPr>
      <w:r>
        <w:rPr>
          <w:sz w:val="28"/>
          <w:szCs w:val="28"/>
        </w:rPr>
        <w:t>本项目拟配置1000KG。</w:t>
      </w:r>
    </w:p>
    <w:p w14:paraId="37BD8189">
      <w:pPr>
        <w:spacing w:before="156" w:beforeLines="50" w:after="156" w:afterLines="50"/>
        <w:ind w:firstLine="480"/>
        <w:rPr>
          <w:rFonts w:ascii="宋体" w:hAnsi="宋体" w:cs="宋体"/>
          <w:sz w:val="28"/>
          <w:szCs w:val="28"/>
        </w:rPr>
      </w:pPr>
    </w:p>
    <w:p w14:paraId="04C1DA31">
      <w:pPr>
        <w:spacing w:before="156" w:beforeLines="50" w:after="156" w:afterLines="50"/>
        <w:ind w:firstLine="480"/>
      </w:pPr>
      <w:r>
        <w:rPr>
          <w:rFonts w:hint="eastAsia" w:ascii="宋体" w:hAnsi="宋体" w:cs="宋体"/>
          <w:sz w:val="28"/>
          <w:szCs w:val="28"/>
        </w:rPr>
        <w:t>本项目机房未来作为全院的核心机房，规划承载所有的科研数据与医疗数据；规划建设 6 套科研大数据/防治/项目平台，数据量存储达到 2PB 以上；医院一期大楼 600 床位，机房共 21 个机柜目前已用满，二期大楼承担国家国家重点实验室南方实验室、国家心血管疾病临床研究中心•深圳的重点科研任务， 未来三期建成后全院共 1600 床位，根据一期机房承载量与此业务规划测算得出本次项目需建设 54个机柜</w:t>
      </w:r>
      <w:r>
        <w:rPr>
          <w:rFonts w:hint="eastAsia"/>
        </w:rPr>
        <w:t>。</w:t>
      </w:r>
    </w:p>
    <w:p w14:paraId="2D0691D7">
      <w:pPr>
        <w:pStyle w:val="3"/>
        <w:spacing w:before="240"/>
      </w:pPr>
      <w:r>
        <w:rPr>
          <w:rFonts w:hint="eastAsia"/>
        </w:rPr>
        <w:t>选型要求</w:t>
      </w:r>
    </w:p>
    <w:p w14:paraId="3279CFED">
      <w:pPr>
        <w:spacing w:before="156" w:beforeLines="50" w:after="156" w:afterLines="50"/>
        <w:ind w:firstLine="480"/>
        <w:rPr>
          <w:rFonts w:ascii="宋体" w:hAnsi="宋体" w:cs="宋体"/>
          <w:sz w:val="28"/>
          <w:szCs w:val="28"/>
        </w:rPr>
      </w:pPr>
      <w:r>
        <w:rPr>
          <w:rFonts w:hint="eastAsia" w:ascii="宋体" w:hAnsi="宋体" w:cs="宋体"/>
          <w:sz w:val="28"/>
          <w:szCs w:val="28"/>
        </w:rPr>
        <w:t>机柜系统是整个 IT 系统的基础，用户的 IT 设备都是安装在机柜里面的。</w:t>
      </w:r>
    </w:p>
    <w:p w14:paraId="506F7BFB">
      <w:pPr>
        <w:spacing w:before="156" w:beforeLines="50" w:after="156" w:afterLines="50"/>
        <w:ind w:firstLine="480"/>
        <w:rPr>
          <w:rFonts w:ascii="宋体" w:hAnsi="宋体" w:cs="宋体"/>
          <w:sz w:val="28"/>
          <w:szCs w:val="28"/>
        </w:rPr>
      </w:pPr>
      <w:r>
        <w:rPr>
          <w:rFonts w:hint="eastAsia" w:ascii="宋体" w:hAnsi="宋体" w:cs="宋体"/>
          <w:sz w:val="28"/>
          <w:szCs w:val="28"/>
        </w:rPr>
        <w:t>IT 系统能否正常安装、连接、运行、扩容与管理，都与机柜系统有直接的关系。机柜系统必须符合 EIA － 310 － D 国际机柜标准， 服务器机柜为 19 英寸（600mm 宽），而不能是其他非标准宽度。</w:t>
      </w:r>
    </w:p>
    <w:p w14:paraId="60B16550">
      <w:pPr>
        <w:spacing w:before="156" w:beforeLines="50" w:after="156" w:afterLines="50"/>
        <w:ind w:firstLine="480"/>
        <w:rPr>
          <w:rFonts w:ascii="宋体" w:hAnsi="宋体" w:cs="宋体"/>
          <w:sz w:val="28"/>
          <w:szCs w:val="28"/>
        </w:rPr>
      </w:pPr>
      <w:r>
        <w:rPr>
          <w:rFonts w:hint="eastAsia" w:ascii="宋体" w:hAnsi="宋体" w:cs="宋体"/>
          <w:sz w:val="28"/>
          <w:szCs w:val="28"/>
        </w:rPr>
        <w:t>随着多核 CPU 的普及，刀片服务器的大量应用、云计算和虚拟化技术的应用以及高密度核心交换机和以太网供电技术的不断发展，新一代机房基础设施的建设越来越重视关键设备产品和新技术应用。机房的发展也从关注“机房空间”升级到“关注机柜空间”，倡导“机柜就是数据中心”的最新理念。</w:t>
      </w:r>
    </w:p>
    <w:p w14:paraId="79FA4FC7">
      <w:pPr>
        <w:spacing w:before="156" w:beforeLines="50" w:after="156" w:afterLines="50"/>
        <w:ind w:firstLine="480"/>
        <w:rPr>
          <w:rFonts w:ascii="宋体" w:hAnsi="宋体" w:cs="宋体"/>
          <w:sz w:val="28"/>
          <w:szCs w:val="28"/>
        </w:rPr>
      </w:pPr>
      <w:r>
        <w:rPr>
          <w:rFonts w:hint="eastAsia" w:ascii="宋体" w:hAnsi="宋体" w:cs="宋体"/>
          <w:sz w:val="28"/>
          <w:szCs w:val="28"/>
        </w:rPr>
        <w:t xml:space="preserve">现代机房对机柜的要求提出了新的要求： </w:t>
      </w:r>
    </w:p>
    <w:p w14:paraId="7CF0BD09">
      <w:pPr>
        <w:spacing w:before="156" w:beforeLines="50" w:after="156" w:afterLines="50"/>
        <w:ind w:firstLine="480"/>
        <w:rPr>
          <w:rFonts w:ascii="宋体" w:hAnsi="宋体" w:cs="宋体"/>
          <w:sz w:val="28"/>
          <w:szCs w:val="28"/>
        </w:rPr>
      </w:pPr>
      <w:r>
        <w:rPr>
          <w:rFonts w:hint="eastAsia" w:ascii="宋体" w:hAnsi="宋体" w:cs="宋体"/>
          <w:sz w:val="28"/>
          <w:szCs w:val="28"/>
        </w:rPr>
        <w:t>兼容性要求</w:t>
      </w:r>
    </w:p>
    <w:p w14:paraId="6E85D957">
      <w:pPr>
        <w:spacing w:before="156" w:beforeLines="50" w:after="156" w:afterLines="50"/>
        <w:ind w:firstLine="480"/>
        <w:rPr>
          <w:rFonts w:ascii="宋体" w:hAnsi="宋体" w:cs="宋体"/>
          <w:sz w:val="28"/>
          <w:szCs w:val="28"/>
        </w:rPr>
      </w:pPr>
      <w:r>
        <w:rPr>
          <w:rFonts w:hint="eastAsia" w:ascii="宋体" w:hAnsi="宋体" w:cs="宋体"/>
          <w:sz w:val="28"/>
          <w:szCs w:val="28"/>
        </w:rPr>
        <w:t>现代机房所安装的机柜必须能够安装主流的服务器设备。机柜不仅要满足EIA-310-D 国际标准，而且随着 IT 技术的不断发展，机柜的深度也越来越长， 还得匹配未来增加冷通道组件。</w:t>
      </w:r>
    </w:p>
    <w:p w14:paraId="44B3F1A8">
      <w:pPr>
        <w:spacing w:before="156" w:beforeLines="50" w:after="156" w:afterLines="50"/>
        <w:ind w:firstLine="480"/>
        <w:rPr>
          <w:rFonts w:ascii="宋体" w:hAnsi="宋体" w:cs="宋体"/>
          <w:sz w:val="28"/>
          <w:szCs w:val="28"/>
        </w:rPr>
      </w:pPr>
      <w:r>
        <w:rPr>
          <w:rFonts w:hint="eastAsia" w:ascii="宋体" w:hAnsi="宋体" w:cs="宋体"/>
          <w:sz w:val="28"/>
          <w:szCs w:val="28"/>
        </w:rPr>
        <w:t>承重及使用方便性要求</w:t>
      </w:r>
    </w:p>
    <w:p w14:paraId="0694CC5C">
      <w:pPr>
        <w:spacing w:before="156" w:beforeLines="50" w:after="156" w:afterLines="50"/>
        <w:ind w:firstLine="480"/>
        <w:rPr>
          <w:rFonts w:ascii="宋体" w:hAnsi="宋体" w:cs="宋体"/>
          <w:sz w:val="28"/>
          <w:szCs w:val="28"/>
        </w:rPr>
      </w:pPr>
      <w:r>
        <w:rPr>
          <w:rFonts w:hint="eastAsia" w:ascii="宋体" w:hAnsi="宋体" w:cs="宋体"/>
          <w:sz w:val="28"/>
          <w:szCs w:val="28"/>
        </w:rPr>
        <w:t>服务器机架化、刀片化的趋势使得机柜内可以存放更多的 IT 设备，机房的生命周期内，从初期低密度（只有少量服务器设备）到后期中高密度（服务器设备越来越多），这就对机柜的承重提出了更高的要求。同时，还需要安装方便，维护简单。</w:t>
      </w:r>
    </w:p>
    <w:p w14:paraId="78D6488A">
      <w:pPr>
        <w:spacing w:before="156" w:beforeLines="50" w:after="156" w:afterLines="50"/>
        <w:ind w:firstLine="480"/>
        <w:rPr>
          <w:rFonts w:ascii="宋体" w:hAnsi="宋体" w:cs="宋体"/>
          <w:sz w:val="28"/>
          <w:szCs w:val="28"/>
        </w:rPr>
      </w:pPr>
      <w:r>
        <w:rPr>
          <w:rFonts w:hint="eastAsia" w:ascii="宋体" w:hAnsi="宋体" w:cs="宋体"/>
          <w:sz w:val="28"/>
          <w:szCs w:val="28"/>
        </w:rPr>
        <w:t>高密度散热要求</w:t>
      </w:r>
    </w:p>
    <w:p w14:paraId="1C9C0714">
      <w:pPr>
        <w:spacing w:before="156" w:beforeLines="50" w:after="156" w:afterLines="50"/>
        <w:ind w:firstLine="480"/>
        <w:rPr>
          <w:rFonts w:ascii="宋体" w:hAnsi="宋体" w:cs="宋体"/>
          <w:sz w:val="28"/>
          <w:szCs w:val="28"/>
        </w:rPr>
      </w:pPr>
      <w:r>
        <w:rPr>
          <w:rFonts w:hint="eastAsia" w:ascii="宋体" w:hAnsi="宋体" w:cs="宋体"/>
          <w:sz w:val="28"/>
          <w:szCs w:val="28"/>
        </w:rPr>
        <w:t>机房采用刀片式服务器、虚拟化技术和云计算技术的应用是 IT 技术发展的新趋势。服务器越来越薄，越来越长，单个机柜存放的服务器数量越来越多。</w:t>
      </w:r>
    </w:p>
    <w:p w14:paraId="5ECBE1E6">
      <w:pPr>
        <w:spacing w:before="156" w:beforeLines="50" w:after="156" w:afterLines="50"/>
        <w:ind w:firstLine="480"/>
        <w:rPr>
          <w:rFonts w:ascii="宋体" w:hAnsi="宋体" w:cs="宋体"/>
          <w:sz w:val="28"/>
          <w:szCs w:val="28"/>
        </w:rPr>
      </w:pPr>
      <w:r>
        <w:rPr>
          <w:rFonts w:hint="eastAsia" w:ascii="宋体" w:hAnsi="宋体" w:cs="宋体"/>
          <w:sz w:val="28"/>
          <w:szCs w:val="28"/>
        </w:rPr>
        <w:t>原先 42U 的机柜可以存放的服务器高达可达 30U，这样就使得服务器机柜的功率密度越来越大，单个机柜的功率密度最高可达 7kW，机柜内部就容易形成“局部热点”。而且虚拟化技术还会使得不同的服务器在不同的时间段时运行效率提高，产生的热点也会随着时间而漂移。如何解决机柜内部的热点和热点漂移问题，保证机柜内的关键设备在正常的环境下运行问题也就成为了现代机房对机柜的新要求。</w:t>
      </w:r>
    </w:p>
    <w:p w14:paraId="760AA661">
      <w:pPr>
        <w:spacing w:before="156" w:beforeLines="50" w:after="156" w:afterLines="50"/>
        <w:ind w:firstLine="480"/>
        <w:rPr>
          <w:rFonts w:ascii="宋体" w:hAnsi="宋体" w:cs="宋体"/>
          <w:sz w:val="28"/>
          <w:szCs w:val="28"/>
        </w:rPr>
      </w:pPr>
      <w:r>
        <w:rPr>
          <w:rFonts w:hint="eastAsia" w:ascii="宋体" w:hAnsi="宋体" w:cs="宋体"/>
          <w:sz w:val="28"/>
          <w:szCs w:val="28"/>
        </w:rPr>
        <w:t>机柜内的关键设备的配电要求</w:t>
      </w:r>
    </w:p>
    <w:p w14:paraId="3B9025E4">
      <w:pPr>
        <w:spacing w:before="156" w:beforeLines="50" w:after="156" w:afterLines="50"/>
        <w:ind w:firstLine="480"/>
        <w:rPr>
          <w:rFonts w:ascii="宋体" w:hAnsi="宋体" w:cs="宋体"/>
          <w:sz w:val="28"/>
          <w:szCs w:val="28"/>
        </w:rPr>
      </w:pPr>
      <w:r>
        <w:rPr>
          <w:rFonts w:hint="eastAsia" w:ascii="宋体" w:hAnsi="宋体" w:cs="宋体"/>
          <w:sz w:val="28"/>
          <w:szCs w:val="28"/>
        </w:rPr>
        <w:t>现在，服务器设备己经越来越多地使用双电源，甚至是三电源，机柜内的服务器设备也越来越多，单个机柜的电源线可达 30-50 条，单个机柜的功率可达 5-7kW。如何保证机柜的配电，也是新一代机房对机柜提出的要求。</w:t>
      </w:r>
    </w:p>
    <w:p w14:paraId="3938129B">
      <w:pPr>
        <w:pStyle w:val="3"/>
        <w:spacing w:before="240"/>
      </w:pPr>
      <w:r>
        <w:rPr>
          <w:rFonts w:hint="eastAsia"/>
        </w:rPr>
        <w:t xml:space="preserve">机柜及 </w:t>
      </w:r>
      <w:r>
        <w:t xml:space="preserve">PDU </w:t>
      </w:r>
      <w:r>
        <w:rPr>
          <w:rFonts w:hint="eastAsia"/>
        </w:rPr>
        <w:t>配置</w:t>
      </w:r>
    </w:p>
    <w:p w14:paraId="7C413BFC">
      <w:pPr>
        <w:spacing w:before="156" w:beforeLines="50" w:after="156" w:afterLines="50"/>
        <w:ind w:firstLine="480"/>
        <w:rPr>
          <w:sz w:val="28"/>
          <w:szCs w:val="28"/>
        </w:rPr>
      </w:pPr>
      <w:r>
        <w:rPr>
          <w:rFonts w:hint="eastAsia"/>
          <w:sz w:val="28"/>
          <w:szCs w:val="28"/>
        </w:rPr>
        <w:t>数据机房：根据二期项目机房规划，本项目计划安装</w:t>
      </w:r>
      <w:r>
        <w:rPr>
          <w:rFonts w:hint="eastAsia"/>
          <w:sz w:val="28"/>
          <w:szCs w:val="28"/>
          <w:lang w:val="en-US" w:eastAsia="zh-CN"/>
        </w:rPr>
        <w:t>54</w:t>
      </w:r>
      <w:r>
        <w:rPr>
          <w:rFonts w:hint="eastAsia"/>
          <w:sz w:val="28"/>
          <w:szCs w:val="28"/>
        </w:rPr>
        <w:t>个机柜，且保证机柜在未来机房使用能够与冷通道系统相匹配，机柜规格要求：</w:t>
      </w:r>
      <w:r>
        <w:rPr>
          <w:sz w:val="28"/>
          <w:szCs w:val="28"/>
        </w:rPr>
        <w:t>600mm</w:t>
      </w:r>
      <w:r>
        <w:rPr>
          <w:rFonts w:hint="eastAsia"/>
          <w:sz w:val="28"/>
          <w:szCs w:val="28"/>
        </w:rPr>
        <w:t>×</w:t>
      </w:r>
      <w:r>
        <w:rPr>
          <w:sz w:val="28"/>
          <w:szCs w:val="28"/>
        </w:rPr>
        <w:t>1200mm</w:t>
      </w:r>
      <w:r>
        <w:rPr>
          <w:rFonts w:hint="eastAsia"/>
          <w:sz w:val="28"/>
          <w:szCs w:val="28"/>
        </w:rPr>
        <w:t>×</w:t>
      </w:r>
      <w:r>
        <w:rPr>
          <w:sz w:val="28"/>
          <w:szCs w:val="28"/>
        </w:rPr>
        <w:t>2000mm</w:t>
      </w:r>
      <w:r>
        <w:rPr>
          <w:rFonts w:hint="eastAsia"/>
          <w:sz w:val="28"/>
          <w:szCs w:val="28"/>
        </w:rPr>
        <w:t>；</w:t>
      </w:r>
    </w:p>
    <w:p w14:paraId="612E70AA">
      <w:pPr>
        <w:spacing w:before="156" w:beforeLines="50" w:after="156" w:afterLines="50"/>
        <w:ind w:firstLine="480"/>
        <w:rPr>
          <w:sz w:val="28"/>
          <w:szCs w:val="28"/>
        </w:rPr>
      </w:pPr>
      <w:r>
        <w:rPr>
          <w:rFonts w:hint="eastAsia"/>
          <w:sz w:val="28"/>
          <w:szCs w:val="28"/>
        </w:rPr>
        <w:t>PDU 配置：数据机房每个机柜配置 2 条 PDU。技术要求：32A 输入，GB 接口电源插座，10A 的 20 个口，16A 的 4 个口；</w:t>
      </w:r>
    </w:p>
    <w:p w14:paraId="52A7F8A9">
      <w:pPr>
        <w:spacing w:before="156" w:beforeLines="50" w:after="156" w:afterLines="50"/>
        <w:ind w:firstLine="480"/>
        <w:rPr>
          <w:sz w:val="28"/>
          <w:szCs w:val="28"/>
        </w:rPr>
      </w:pPr>
      <w:r>
        <w:rPr>
          <w:rFonts w:hint="eastAsia"/>
          <w:sz w:val="28"/>
          <w:szCs w:val="28"/>
        </w:rPr>
        <w:t>机柜基本结构：</w:t>
      </w:r>
    </w:p>
    <w:p w14:paraId="41D75C0D">
      <w:pPr>
        <w:numPr>
          <w:ilvl w:val="0"/>
          <w:numId w:val="9"/>
        </w:numPr>
        <w:spacing w:before="156" w:beforeLines="50" w:after="156" w:afterLines="50"/>
        <w:ind w:firstLine="480"/>
        <w:rPr>
          <w:sz w:val="28"/>
          <w:szCs w:val="28"/>
        </w:rPr>
      </w:pPr>
      <w:r>
        <w:rPr>
          <w:rFonts w:hint="eastAsia"/>
          <w:sz w:val="28"/>
          <w:szCs w:val="28"/>
        </w:rPr>
        <w:t>符合国内标准。</w:t>
      </w:r>
    </w:p>
    <w:p w14:paraId="4449B455">
      <w:pPr>
        <w:numPr>
          <w:ilvl w:val="0"/>
          <w:numId w:val="9"/>
        </w:numPr>
        <w:spacing w:before="156" w:beforeLines="50" w:after="156" w:afterLines="50"/>
        <w:ind w:firstLine="480"/>
        <w:rPr>
          <w:sz w:val="28"/>
          <w:szCs w:val="28"/>
        </w:rPr>
      </w:pPr>
      <w:r>
        <w:rPr>
          <w:rFonts w:hint="eastAsia"/>
          <w:sz w:val="28"/>
          <w:szCs w:val="28"/>
        </w:rPr>
        <w:t>机柜颜色为黑色。</w:t>
      </w:r>
    </w:p>
    <w:p w14:paraId="636AF5C9">
      <w:pPr>
        <w:numPr>
          <w:ilvl w:val="0"/>
          <w:numId w:val="9"/>
        </w:numPr>
        <w:spacing w:before="156" w:beforeLines="50" w:after="156" w:afterLines="50"/>
        <w:ind w:firstLine="480"/>
        <w:rPr>
          <w:sz w:val="28"/>
          <w:szCs w:val="28"/>
        </w:rPr>
      </w:pPr>
      <w:r>
        <w:rPr>
          <w:rFonts w:hint="eastAsia"/>
          <w:sz w:val="28"/>
          <w:szCs w:val="28"/>
        </w:rPr>
        <w:t xml:space="preserve">采用高强度 </w:t>
      </w:r>
      <w:r>
        <w:rPr>
          <w:sz w:val="28"/>
          <w:szCs w:val="28"/>
        </w:rPr>
        <w:t xml:space="preserve">A </w:t>
      </w:r>
      <w:r>
        <w:rPr>
          <w:rFonts w:hint="eastAsia"/>
          <w:sz w:val="28"/>
          <w:szCs w:val="28"/>
        </w:rPr>
        <w:t xml:space="preserve">级优质碳素冷轧钢板和镀锌板。机柜表面喷涂喷粉厚度应不小于 </w:t>
      </w:r>
      <w:r>
        <w:rPr>
          <w:sz w:val="28"/>
          <w:szCs w:val="28"/>
        </w:rPr>
        <w:t>60</w:t>
      </w:r>
      <w:r>
        <w:rPr>
          <w:rFonts w:hint="eastAsia"/>
          <w:sz w:val="28"/>
          <w:szCs w:val="28"/>
        </w:rPr>
        <w:t>μ</w:t>
      </w:r>
      <w:r>
        <w:rPr>
          <w:sz w:val="28"/>
          <w:szCs w:val="28"/>
        </w:rPr>
        <w:t>m</w:t>
      </w:r>
      <w:r>
        <w:rPr>
          <w:rFonts w:hint="eastAsia"/>
          <w:sz w:val="28"/>
          <w:szCs w:val="28"/>
        </w:rPr>
        <w:t>，采用黑色砂纹工艺，满足防腐、防锈、光洁、色泽均匀、无流挂、不露底、无起泡、无裂纹、金属件无毛刺锈蚀要求。</w:t>
      </w:r>
    </w:p>
    <w:p w14:paraId="7BDD2298">
      <w:pPr>
        <w:numPr>
          <w:ilvl w:val="0"/>
          <w:numId w:val="9"/>
        </w:numPr>
        <w:spacing w:before="156" w:beforeLines="50" w:after="156" w:afterLines="50"/>
        <w:ind w:firstLine="480"/>
        <w:rPr>
          <w:sz w:val="28"/>
          <w:szCs w:val="28"/>
        </w:rPr>
      </w:pPr>
      <w:r>
        <w:rPr>
          <w:rFonts w:hint="eastAsia"/>
          <w:sz w:val="28"/>
          <w:szCs w:val="28"/>
        </w:rPr>
        <w:t>机柜龙门框，可支持膨胀螺拴（地面）或螺栓（底座）固定安装。</w:t>
      </w:r>
    </w:p>
    <w:p w14:paraId="26C1E3F0">
      <w:pPr>
        <w:numPr>
          <w:ilvl w:val="0"/>
          <w:numId w:val="9"/>
        </w:numPr>
        <w:spacing w:before="156" w:beforeLines="50" w:after="156" w:afterLines="50"/>
        <w:ind w:firstLine="480"/>
        <w:rPr>
          <w:sz w:val="28"/>
          <w:szCs w:val="28"/>
        </w:rPr>
      </w:pPr>
      <w:r>
        <w:rPr>
          <w:rFonts w:hint="eastAsia"/>
          <w:sz w:val="28"/>
          <w:szCs w:val="28"/>
        </w:rPr>
        <w:t xml:space="preserve">机柜内部不少于 </w:t>
      </w:r>
      <w:r>
        <w:rPr>
          <w:sz w:val="28"/>
          <w:szCs w:val="28"/>
        </w:rPr>
        <w:t xml:space="preserve">4 </w:t>
      </w:r>
      <w:r>
        <w:rPr>
          <w:rFonts w:hint="eastAsia"/>
          <w:sz w:val="28"/>
          <w:szCs w:val="28"/>
        </w:rPr>
        <w:t xml:space="preserve">根方孔条，用于安装设备和固定层板。前后方孔条之间距离可支持按照 </w:t>
      </w:r>
      <w:r>
        <w:rPr>
          <w:sz w:val="28"/>
          <w:szCs w:val="28"/>
        </w:rPr>
        <w:t xml:space="preserve">25mm </w:t>
      </w:r>
      <w:r>
        <w:rPr>
          <w:rFonts w:hint="eastAsia"/>
          <w:sz w:val="28"/>
          <w:szCs w:val="28"/>
        </w:rPr>
        <w:t xml:space="preserve">步距灵活调节，有具体 </w:t>
      </w:r>
      <w:r>
        <w:rPr>
          <w:sz w:val="28"/>
          <w:szCs w:val="28"/>
        </w:rPr>
        <w:t xml:space="preserve">U </w:t>
      </w:r>
      <w:r>
        <w:rPr>
          <w:rFonts w:hint="eastAsia"/>
          <w:sz w:val="28"/>
          <w:szCs w:val="28"/>
        </w:rPr>
        <w:t>数标示。</w:t>
      </w:r>
    </w:p>
    <w:p w14:paraId="6C8C083C">
      <w:pPr>
        <w:numPr>
          <w:ilvl w:val="0"/>
          <w:numId w:val="9"/>
        </w:numPr>
        <w:spacing w:before="156" w:beforeLines="50" w:after="156" w:afterLines="50"/>
        <w:ind w:firstLine="480"/>
        <w:rPr>
          <w:sz w:val="28"/>
          <w:szCs w:val="28"/>
        </w:rPr>
      </w:pPr>
      <w:r>
        <w:rPr>
          <w:rFonts w:hint="eastAsia"/>
          <w:sz w:val="28"/>
          <w:szCs w:val="28"/>
        </w:rPr>
        <w:t xml:space="preserve">机柜非承重部件板厚度不小于 </w:t>
      </w:r>
      <w:r>
        <w:rPr>
          <w:sz w:val="28"/>
          <w:szCs w:val="28"/>
        </w:rPr>
        <w:t>1.0mm</w:t>
      </w:r>
      <w:r>
        <w:rPr>
          <w:rFonts w:hint="eastAsia"/>
          <w:sz w:val="28"/>
          <w:szCs w:val="28"/>
        </w:rPr>
        <w:t xml:space="preserve">，承重部件板厚度不小于 </w:t>
      </w:r>
      <w:r>
        <w:rPr>
          <w:sz w:val="28"/>
          <w:szCs w:val="28"/>
        </w:rPr>
        <w:t>1.5mm</w:t>
      </w:r>
      <w:r>
        <w:rPr>
          <w:rFonts w:hint="eastAsia"/>
          <w:sz w:val="28"/>
          <w:szCs w:val="28"/>
        </w:rPr>
        <w:t>。</w:t>
      </w:r>
    </w:p>
    <w:p w14:paraId="4229D580">
      <w:pPr>
        <w:numPr>
          <w:ilvl w:val="0"/>
          <w:numId w:val="9"/>
        </w:numPr>
        <w:spacing w:before="156" w:beforeLines="50" w:after="156" w:afterLines="50"/>
        <w:ind w:firstLine="480"/>
        <w:rPr>
          <w:sz w:val="28"/>
          <w:szCs w:val="28"/>
        </w:rPr>
      </w:pPr>
      <w:r>
        <w:rPr>
          <w:rFonts w:hint="eastAsia"/>
          <w:sz w:val="28"/>
          <w:szCs w:val="28"/>
        </w:rPr>
        <w:t xml:space="preserve">要求静态承载能力不小于 </w:t>
      </w:r>
      <w:r>
        <w:rPr>
          <w:sz w:val="28"/>
          <w:szCs w:val="28"/>
        </w:rPr>
        <w:t>1800kg</w:t>
      </w:r>
      <w:r>
        <w:rPr>
          <w:rFonts w:hint="eastAsia"/>
          <w:sz w:val="28"/>
          <w:szCs w:val="28"/>
        </w:rPr>
        <w:t>。</w:t>
      </w:r>
    </w:p>
    <w:p w14:paraId="7C78C38C">
      <w:pPr>
        <w:numPr>
          <w:ilvl w:val="0"/>
          <w:numId w:val="9"/>
        </w:numPr>
        <w:spacing w:before="156" w:beforeLines="50" w:after="156" w:afterLines="50"/>
        <w:ind w:firstLine="480"/>
        <w:rPr>
          <w:sz w:val="28"/>
          <w:szCs w:val="28"/>
        </w:rPr>
      </w:pPr>
      <w:r>
        <w:rPr>
          <w:rFonts w:hint="eastAsia"/>
          <w:sz w:val="28"/>
          <w:szCs w:val="28"/>
        </w:rPr>
        <w:t xml:space="preserve">机柜前后门均为通风网孔门，通风率 </w:t>
      </w:r>
      <w:r>
        <w:rPr>
          <w:sz w:val="28"/>
          <w:szCs w:val="28"/>
        </w:rPr>
        <w:t>70%</w:t>
      </w:r>
      <w:r>
        <w:rPr>
          <w:rFonts w:hint="eastAsia"/>
          <w:sz w:val="28"/>
          <w:szCs w:val="28"/>
        </w:rPr>
        <w:t>。</w:t>
      </w:r>
    </w:p>
    <w:p w14:paraId="113AC4A3">
      <w:pPr>
        <w:numPr>
          <w:ilvl w:val="0"/>
          <w:numId w:val="9"/>
        </w:numPr>
        <w:spacing w:before="156" w:beforeLines="50" w:after="156" w:afterLines="50"/>
        <w:ind w:firstLine="480"/>
        <w:rPr>
          <w:sz w:val="28"/>
          <w:szCs w:val="28"/>
        </w:rPr>
      </w:pPr>
      <w:r>
        <w:rPr>
          <w:rFonts w:hint="eastAsia"/>
          <w:sz w:val="28"/>
          <w:szCs w:val="28"/>
        </w:rPr>
        <w:t xml:space="preserve">按照标准 </w:t>
      </w:r>
      <w:r>
        <w:rPr>
          <w:sz w:val="28"/>
          <w:szCs w:val="28"/>
        </w:rPr>
        <w:t>YD5083-2005</w:t>
      </w:r>
      <w:r>
        <w:rPr>
          <w:rFonts w:hint="eastAsia"/>
          <w:sz w:val="28"/>
          <w:szCs w:val="28"/>
        </w:rPr>
        <w:t>《电信设备抗地震性能检测规范》要求，带载</w:t>
      </w:r>
    </w:p>
    <w:p w14:paraId="53981663">
      <w:pPr>
        <w:numPr>
          <w:ilvl w:val="0"/>
          <w:numId w:val="9"/>
        </w:numPr>
        <w:spacing w:before="156" w:beforeLines="50" w:after="156" w:afterLines="50"/>
        <w:ind w:firstLine="480"/>
        <w:rPr>
          <w:sz w:val="28"/>
          <w:szCs w:val="28"/>
        </w:rPr>
      </w:pPr>
      <w:r>
        <w:rPr>
          <w:sz w:val="28"/>
          <w:szCs w:val="28"/>
        </w:rPr>
        <w:t xml:space="preserve">500kg </w:t>
      </w:r>
      <w:r>
        <w:rPr>
          <w:rFonts w:hint="eastAsia"/>
          <w:sz w:val="28"/>
          <w:szCs w:val="28"/>
        </w:rPr>
        <w:t xml:space="preserve">测试连续通过 </w:t>
      </w:r>
      <w:r>
        <w:rPr>
          <w:sz w:val="28"/>
          <w:szCs w:val="28"/>
        </w:rPr>
        <w:t>8</w:t>
      </w:r>
      <w:r>
        <w:rPr>
          <w:rFonts w:hint="eastAsia"/>
          <w:sz w:val="28"/>
          <w:szCs w:val="28"/>
        </w:rPr>
        <w:t>、</w:t>
      </w:r>
      <w:r>
        <w:rPr>
          <w:sz w:val="28"/>
          <w:szCs w:val="28"/>
        </w:rPr>
        <w:t xml:space="preserve">9 </w:t>
      </w:r>
      <w:r>
        <w:rPr>
          <w:rFonts w:hint="eastAsia"/>
          <w:sz w:val="28"/>
          <w:szCs w:val="28"/>
        </w:rPr>
        <w:t>级烈度结构抗地震考核。</w:t>
      </w:r>
    </w:p>
    <w:p w14:paraId="32105649">
      <w:pPr>
        <w:numPr>
          <w:ilvl w:val="0"/>
          <w:numId w:val="9"/>
        </w:numPr>
        <w:spacing w:before="156" w:beforeLines="50" w:after="156" w:afterLines="50"/>
        <w:ind w:firstLine="480"/>
        <w:rPr>
          <w:sz w:val="28"/>
          <w:szCs w:val="28"/>
        </w:rPr>
      </w:pPr>
      <w:r>
        <w:rPr>
          <w:rFonts w:hint="eastAsia"/>
          <w:sz w:val="28"/>
          <w:szCs w:val="28"/>
        </w:rPr>
        <w:t xml:space="preserve">整体防护等级应不小于 </w:t>
      </w:r>
      <w:r>
        <w:rPr>
          <w:sz w:val="28"/>
          <w:szCs w:val="28"/>
        </w:rPr>
        <w:t>IP20</w:t>
      </w:r>
      <w:r>
        <w:rPr>
          <w:rFonts w:hint="eastAsia"/>
          <w:sz w:val="28"/>
          <w:szCs w:val="28"/>
        </w:rPr>
        <w:t>。</w:t>
      </w:r>
    </w:p>
    <w:p w14:paraId="16468180">
      <w:pPr>
        <w:numPr>
          <w:ilvl w:val="0"/>
          <w:numId w:val="9"/>
        </w:numPr>
        <w:spacing w:before="156" w:beforeLines="50" w:after="156" w:afterLines="50"/>
        <w:ind w:firstLine="480"/>
        <w:rPr>
          <w:sz w:val="28"/>
          <w:szCs w:val="28"/>
        </w:rPr>
      </w:pPr>
      <w:r>
        <w:rPr>
          <w:rFonts w:hint="eastAsia"/>
          <w:sz w:val="28"/>
          <w:szCs w:val="28"/>
        </w:rPr>
        <w:t>所有面板及附件（除工程安装支架）应支持单独拆卸和拼装功能。</w:t>
      </w:r>
    </w:p>
    <w:p w14:paraId="21FEE981">
      <w:pPr>
        <w:numPr>
          <w:ilvl w:val="0"/>
          <w:numId w:val="9"/>
        </w:numPr>
        <w:spacing w:before="156" w:beforeLines="50" w:after="156" w:afterLines="50"/>
        <w:ind w:firstLine="480"/>
        <w:rPr>
          <w:sz w:val="28"/>
          <w:szCs w:val="28"/>
        </w:rPr>
      </w:pPr>
      <w:r>
        <w:rPr>
          <w:rFonts w:hint="eastAsia"/>
          <w:sz w:val="28"/>
          <w:szCs w:val="28"/>
        </w:rPr>
        <w:t>采用专用的机柜并柜连接件，并柜点设置在机柜门框上，可支持无需拆卸机柜门的情况下实现机柜快速并柜功能。</w:t>
      </w:r>
    </w:p>
    <w:p w14:paraId="2B8F027F">
      <w:pPr>
        <w:numPr>
          <w:ilvl w:val="0"/>
          <w:numId w:val="9"/>
        </w:numPr>
        <w:spacing w:before="156" w:beforeLines="50" w:after="156" w:afterLines="50"/>
        <w:ind w:firstLine="480"/>
        <w:rPr>
          <w:sz w:val="28"/>
          <w:szCs w:val="28"/>
        </w:rPr>
      </w:pPr>
      <w:r>
        <w:rPr>
          <w:rFonts w:hint="eastAsia"/>
          <w:sz w:val="28"/>
          <w:szCs w:val="28"/>
        </w:rPr>
        <w:t>机柜可支持带底座安装、水泥地板安装，防静电地板安装。</w:t>
      </w:r>
    </w:p>
    <w:p w14:paraId="779C9DC6">
      <w:pPr>
        <w:numPr>
          <w:ilvl w:val="0"/>
          <w:numId w:val="9"/>
        </w:numPr>
        <w:spacing w:before="156" w:beforeLines="50" w:after="156" w:afterLines="50"/>
        <w:ind w:firstLine="480"/>
        <w:rPr>
          <w:sz w:val="28"/>
          <w:szCs w:val="28"/>
        </w:rPr>
      </w:pPr>
      <w:r>
        <w:rPr>
          <w:rFonts w:hint="eastAsia"/>
          <w:sz w:val="28"/>
          <w:szCs w:val="28"/>
        </w:rPr>
        <w:t>机柜接地位于立柱下部或上部，提供全方位接地保护。</w:t>
      </w:r>
    </w:p>
    <w:p w14:paraId="09D26270">
      <w:pPr>
        <w:numPr>
          <w:ilvl w:val="0"/>
          <w:numId w:val="9"/>
        </w:numPr>
        <w:spacing w:before="156" w:beforeLines="50" w:after="156" w:afterLines="50"/>
        <w:ind w:firstLine="480"/>
        <w:rPr>
          <w:sz w:val="28"/>
          <w:szCs w:val="28"/>
        </w:rPr>
      </w:pPr>
      <w:r>
        <w:rPr>
          <w:rFonts w:hint="eastAsia"/>
          <w:sz w:val="28"/>
          <w:szCs w:val="28"/>
        </w:rPr>
        <w:t xml:space="preserve">机柜单独为 </w:t>
      </w:r>
      <w:r>
        <w:rPr>
          <w:sz w:val="28"/>
          <w:szCs w:val="28"/>
        </w:rPr>
        <w:t xml:space="preserve">PDU </w:t>
      </w:r>
      <w:r>
        <w:rPr>
          <w:rFonts w:hint="eastAsia"/>
          <w:sz w:val="28"/>
          <w:szCs w:val="28"/>
        </w:rPr>
        <w:t>或者配电单元设置接地点。</w:t>
      </w:r>
    </w:p>
    <w:p w14:paraId="5C3EAF78">
      <w:pPr>
        <w:numPr>
          <w:ilvl w:val="0"/>
          <w:numId w:val="9"/>
        </w:numPr>
        <w:spacing w:before="156" w:beforeLines="50" w:after="156" w:afterLines="50"/>
        <w:ind w:firstLine="480"/>
        <w:rPr>
          <w:sz w:val="28"/>
          <w:szCs w:val="28"/>
        </w:rPr>
      </w:pPr>
      <w:r>
        <w:rPr>
          <w:rFonts w:hint="eastAsia"/>
          <w:sz w:val="28"/>
          <w:szCs w:val="28"/>
        </w:rPr>
        <w:t>机柜可以并列安装，随机应配有并柜连接件。</w:t>
      </w:r>
    </w:p>
    <w:p w14:paraId="4E7F0BB2">
      <w:pPr>
        <w:numPr>
          <w:ilvl w:val="0"/>
          <w:numId w:val="9"/>
        </w:numPr>
        <w:spacing w:before="156" w:beforeLines="50" w:after="156" w:afterLines="50"/>
        <w:ind w:firstLine="480"/>
        <w:rPr>
          <w:sz w:val="28"/>
          <w:szCs w:val="28"/>
        </w:rPr>
      </w:pPr>
      <w:r>
        <w:rPr>
          <w:rFonts w:hint="eastAsia"/>
          <w:sz w:val="28"/>
          <w:szCs w:val="28"/>
        </w:rPr>
        <w:t>机柜底部留有固定孔，实现与地面或者底座连接</w:t>
      </w:r>
    </w:p>
    <w:p w14:paraId="389AE0BA">
      <w:pPr>
        <w:pStyle w:val="37"/>
        <w:tabs>
          <w:tab w:val="left" w:pos="1815"/>
        </w:tabs>
        <w:autoSpaceDE w:val="0"/>
        <w:autoSpaceDN w:val="0"/>
        <w:spacing w:before="31" w:after="31" w:line="436" w:lineRule="auto"/>
        <w:ind w:left="35" w:leftChars="-51" w:hanging="142" w:hangingChars="51"/>
        <w:jc w:val="center"/>
        <w:rPr>
          <w:spacing w:val="-11"/>
          <w:sz w:val="28"/>
          <w:szCs w:val="28"/>
        </w:rPr>
      </w:pPr>
      <w:r>
        <w:rPr>
          <w:rFonts w:hint="eastAsia"/>
          <w:sz w:val="28"/>
          <w:szCs w:val="28"/>
        </w:rPr>
        <w:drawing>
          <wp:inline distT="0" distB="0" distL="114300" distR="114300">
            <wp:extent cx="1752600" cy="2781300"/>
            <wp:effectExtent l="0" t="0" r="0" b="0"/>
            <wp:docPr id="30" name="图片 22" descr="https://p1.ssl.qhimg.com/t01f659be7ed9098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2" descr="https://p1.ssl.qhimg.com/t01f659be7ed9098004.jpg"/>
                    <pic:cNvPicPr>
                      <a:picLocks noChangeAspect="1"/>
                    </pic:cNvPicPr>
                  </pic:nvPicPr>
                  <pic:blipFill>
                    <a:blip r:embed="rId12"/>
                    <a:stretch>
                      <a:fillRect/>
                    </a:stretch>
                  </pic:blipFill>
                  <pic:spPr>
                    <a:xfrm>
                      <a:off x="0" y="0"/>
                      <a:ext cx="1752600" cy="2781300"/>
                    </a:xfrm>
                    <a:prstGeom prst="rect">
                      <a:avLst/>
                    </a:prstGeom>
                    <a:noFill/>
                    <a:ln>
                      <a:noFill/>
                    </a:ln>
                  </pic:spPr>
                </pic:pic>
              </a:graphicData>
            </a:graphic>
          </wp:inline>
        </w:drawing>
      </w:r>
    </w:p>
    <w:p w14:paraId="597892A5">
      <w:pPr>
        <w:autoSpaceDE w:val="0"/>
        <w:autoSpaceDN w:val="0"/>
        <w:spacing w:before="77" w:line="436" w:lineRule="auto"/>
        <w:ind w:left="969" w:right="733" w:firstLine="420"/>
        <w:jc w:val="center"/>
        <w:rPr>
          <w:sz w:val="28"/>
          <w:szCs w:val="28"/>
        </w:rPr>
      </w:pPr>
      <w:r>
        <w:rPr>
          <w:rFonts w:hint="eastAsia" w:ascii="宋体" w:hAnsi="宋体"/>
          <w:sz w:val="28"/>
          <w:szCs w:val="28"/>
          <w:lang w:bidi="ar"/>
        </w:rPr>
        <w:t>微模块机柜图</w:t>
      </w:r>
    </w:p>
    <w:p w14:paraId="75DDE97E">
      <w:pPr>
        <w:pStyle w:val="37"/>
        <w:tabs>
          <w:tab w:val="left" w:pos="1815"/>
        </w:tabs>
        <w:autoSpaceDE w:val="0"/>
        <w:autoSpaceDN w:val="0"/>
        <w:spacing w:before="31" w:after="31" w:line="436" w:lineRule="auto"/>
        <w:ind w:left="1814" w:firstLine="436"/>
        <w:jc w:val="center"/>
        <w:rPr>
          <w:spacing w:val="-11"/>
          <w:szCs w:val="22"/>
        </w:rPr>
      </w:pPr>
    </w:p>
    <w:p w14:paraId="0BDB2B36">
      <w:pPr>
        <w:pStyle w:val="3"/>
        <w:spacing w:before="240"/>
      </w:pPr>
      <w:r>
        <w:rPr>
          <w:rFonts w:hint="eastAsia"/>
        </w:rPr>
        <w:t>冷通道密闭系统</w:t>
      </w:r>
    </w:p>
    <w:p w14:paraId="1FF7E686">
      <w:pPr>
        <w:spacing w:before="156" w:beforeLines="50" w:after="156" w:afterLines="50"/>
        <w:ind w:firstLine="480"/>
        <w:rPr>
          <w:sz w:val="28"/>
          <w:szCs w:val="28"/>
        </w:rPr>
      </w:pPr>
      <w:r>
        <w:rPr>
          <w:rFonts w:hint="eastAsia"/>
          <w:sz w:val="28"/>
          <w:szCs w:val="28"/>
        </w:rPr>
        <w:t>密封通道包括</w:t>
      </w:r>
      <w:r>
        <w:rPr>
          <w:sz w:val="28"/>
          <w:szCs w:val="28"/>
        </w:rPr>
        <w:t xml:space="preserve">IT </w:t>
      </w:r>
      <w:r>
        <w:rPr>
          <w:rFonts w:hint="eastAsia"/>
          <w:sz w:val="28"/>
          <w:szCs w:val="28"/>
        </w:rPr>
        <w:t>柜、配电柜、列间空调、天窗、自动平移端门、走线槽等部件组成。</w:t>
      </w:r>
    </w:p>
    <w:p w14:paraId="4BB5AD73">
      <w:pPr>
        <w:spacing w:before="156" w:beforeLines="50" w:after="156" w:afterLines="50"/>
        <w:ind w:firstLine="480"/>
        <w:rPr>
          <w:sz w:val="28"/>
          <w:szCs w:val="28"/>
        </w:rPr>
      </w:pPr>
      <w:r>
        <w:rPr>
          <w:rFonts w:hint="eastAsia"/>
          <w:sz w:val="28"/>
          <w:szCs w:val="28"/>
        </w:rPr>
        <w:t>含电动天窗、模块两端的端门及附属钣金件组成的冷通道密闭组件，具备机柜顶部的走线槽组件，强弱电分离，配置两个跨接两排机柜的走线架。</w:t>
      </w:r>
    </w:p>
    <w:p w14:paraId="7D928975">
      <w:pPr>
        <w:spacing w:before="156" w:beforeLines="50" w:after="156" w:afterLines="50"/>
        <w:ind w:firstLine="480"/>
        <w:rPr>
          <w:sz w:val="28"/>
          <w:szCs w:val="28"/>
        </w:rPr>
      </w:pPr>
      <w:r>
        <w:rPr>
          <w:rFonts w:hint="eastAsia"/>
          <w:sz w:val="28"/>
          <w:szCs w:val="28"/>
        </w:rPr>
        <w:t>天窗采用平顶方案，天窗可旋转活动，且以单个机柜为扩展模块单元。旋转天窗采用电磁锁控制，工作状态下天窗处于水平状态，消防状态下电磁锁打开，天窗在重力作用下可自动打开，以保证机房消防系统的灭火气体进入模块内；</w:t>
      </w:r>
    </w:p>
    <w:p w14:paraId="47CAFDF5">
      <w:pPr>
        <w:numPr>
          <w:ilvl w:val="0"/>
          <w:numId w:val="10"/>
        </w:numPr>
        <w:spacing w:before="156" w:beforeLines="50" w:after="156" w:afterLines="50"/>
        <w:ind w:firstLine="480"/>
        <w:rPr>
          <w:sz w:val="28"/>
          <w:szCs w:val="28"/>
        </w:rPr>
      </w:pPr>
      <w:r>
        <w:rPr>
          <w:rFonts w:hint="eastAsia"/>
          <w:sz w:val="28"/>
          <w:szCs w:val="28"/>
        </w:rPr>
        <w:t>天窗</w:t>
      </w:r>
    </w:p>
    <w:p w14:paraId="03CDBBB4">
      <w:pPr>
        <w:spacing w:before="156" w:beforeLines="50" w:after="156" w:afterLines="50"/>
        <w:ind w:firstLine="480"/>
        <w:rPr>
          <w:sz w:val="28"/>
          <w:szCs w:val="28"/>
        </w:rPr>
      </w:pPr>
      <w:r>
        <w:rPr>
          <w:rFonts w:hint="eastAsia"/>
          <w:sz w:val="28"/>
          <w:szCs w:val="28"/>
        </w:rPr>
        <w:t>天窗主要用于模块通道的密封。天窗分控制天窗、翻转天窗、平顶天窗三种，天窗的各类技术参数与机柜的匹配关系如图所示：</w:t>
      </w:r>
    </w:p>
    <w:tbl>
      <w:tblPr>
        <w:tblStyle w:val="41"/>
        <w:tblW w:w="4999"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3643"/>
        <w:gridCol w:w="3869"/>
        <w:gridCol w:w="2340"/>
      </w:tblGrid>
      <w:tr w14:paraId="5923CE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50" w:hRule="atLeast"/>
          <w:tblHeader/>
        </w:trPr>
        <w:tc>
          <w:tcPr>
            <w:tcW w:w="1848" w:type="pct"/>
            <w:tcBorders>
              <w:top w:val="single" w:color="000000" w:sz="6" w:space="0"/>
              <w:left w:val="single" w:color="000000" w:sz="6" w:space="0"/>
              <w:bottom w:val="single" w:color="000000" w:sz="6" w:space="0"/>
              <w:right w:val="single" w:color="000000" w:sz="6" w:space="0"/>
            </w:tcBorders>
          </w:tcPr>
          <w:p w14:paraId="0F4812AA">
            <w:pPr>
              <w:autoSpaceDE w:val="0"/>
              <w:autoSpaceDN w:val="0"/>
              <w:jc w:val="center"/>
              <w:rPr>
                <w:b/>
                <w:sz w:val="20"/>
                <w:szCs w:val="20"/>
              </w:rPr>
            </w:pPr>
            <w:r>
              <w:rPr>
                <w:rFonts w:hint="eastAsia" w:ascii="宋体" w:hAnsi="宋体"/>
                <w:b/>
                <w:sz w:val="20"/>
                <w:szCs w:val="20"/>
                <w:lang w:bidi="ar"/>
              </w:rPr>
              <w:t>名称</w:t>
            </w:r>
          </w:p>
        </w:tc>
        <w:tc>
          <w:tcPr>
            <w:tcW w:w="1963" w:type="pct"/>
            <w:tcBorders>
              <w:top w:val="single" w:color="000000" w:sz="6" w:space="0"/>
              <w:left w:val="single" w:color="000000" w:sz="6" w:space="0"/>
              <w:bottom w:val="single" w:color="000000" w:sz="6" w:space="0"/>
              <w:right w:val="single" w:color="000000" w:sz="6" w:space="0"/>
            </w:tcBorders>
          </w:tcPr>
          <w:p w14:paraId="22BBB35D">
            <w:pPr>
              <w:autoSpaceDE w:val="0"/>
              <w:autoSpaceDN w:val="0"/>
              <w:jc w:val="center"/>
              <w:rPr>
                <w:b/>
                <w:sz w:val="20"/>
                <w:szCs w:val="20"/>
              </w:rPr>
            </w:pPr>
            <w:r>
              <w:rPr>
                <w:rFonts w:hint="eastAsia" w:ascii="宋体" w:hAnsi="宋体"/>
                <w:b/>
                <w:sz w:val="20"/>
                <w:szCs w:val="20"/>
                <w:lang w:bidi="ar"/>
              </w:rPr>
              <w:t>尺寸（高×宽×深）</w:t>
            </w:r>
          </w:p>
        </w:tc>
        <w:tc>
          <w:tcPr>
            <w:tcW w:w="1187" w:type="pct"/>
            <w:tcBorders>
              <w:top w:val="single" w:color="000000" w:sz="6" w:space="0"/>
              <w:left w:val="single" w:color="000000" w:sz="6" w:space="0"/>
              <w:bottom w:val="single" w:color="000000" w:sz="6" w:space="0"/>
              <w:right w:val="single" w:color="000000" w:sz="6" w:space="0"/>
            </w:tcBorders>
          </w:tcPr>
          <w:p w14:paraId="3DAF9AE4">
            <w:pPr>
              <w:autoSpaceDE w:val="0"/>
              <w:autoSpaceDN w:val="0"/>
              <w:jc w:val="center"/>
              <w:rPr>
                <w:b/>
                <w:sz w:val="20"/>
                <w:szCs w:val="20"/>
              </w:rPr>
            </w:pPr>
            <w:r>
              <w:rPr>
                <w:rFonts w:hint="eastAsia" w:ascii="宋体" w:hAnsi="宋体"/>
                <w:b/>
                <w:sz w:val="20"/>
                <w:szCs w:val="20"/>
                <w:lang w:bidi="ar"/>
              </w:rPr>
              <w:t>适用机柜</w:t>
            </w:r>
          </w:p>
        </w:tc>
      </w:tr>
      <w:tr w14:paraId="5F860B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848" w:type="pct"/>
            <w:tcBorders>
              <w:top w:val="single" w:color="000000" w:sz="6" w:space="0"/>
              <w:left w:val="single" w:color="000000" w:sz="6" w:space="0"/>
              <w:bottom w:val="single" w:color="000000" w:sz="6" w:space="0"/>
              <w:right w:val="single" w:color="000000" w:sz="6" w:space="0"/>
            </w:tcBorders>
          </w:tcPr>
          <w:p w14:paraId="080745C4">
            <w:pPr>
              <w:topLinePunct/>
              <w:autoSpaceDE w:val="0"/>
              <w:autoSpaceDN w:val="0"/>
              <w:jc w:val="left"/>
              <w:rPr>
                <w:snapToGrid w:val="0"/>
                <w:sz w:val="20"/>
                <w:szCs w:val="20"/>
              </w:rPr>
            </w:pPr>
            <w:r>
              <w:rPr>
                <w:rFonts w:hint="eastAsia" w:ascii="宋体" w:hAnsi="宋体"/>
                <w:snapToGrid w:val="0"/>
                <w:sz w:val="20"/>
                <w:szCs w:val="20"/>
                <w:lang w:bidi="ar"/>
              </w:rPr>
              <w:t>600mm宽控制天窗</w:t>
            </w:r>
          </w:p>
        </w:tc>
        <w:tc>
          <w:tcPr>
            <w:tcW w:w="1963" w:type="pct"/>
            <w:tcBorders>
              <w:top w:val="single" w:color="000000" w:sz="6" w:space="0"/>
              <w:left w:val="single" w:color="000000" w:sz="6" w:space="0"/>
              <w:bottom w:val="single" w:color="000000" w:sz="6" w:space="0"/>
              <w:right w:val="single" w:color="000000" w:sz="6" w:space="0"/>
            </w:tcBorders>
          </w:tcPr>
          <w:p w14:paraId="37F81C50">
            <w:pPr>
              <w:topLinePunct/>
              <w:autoSpaceDE w:val="0"/>
              <w:autoSpaceDN w:val="0"/>
              <w:jc w:val="left"/>
              <w:rPr>
                <w:snapToGrid w:val="0"/>
                <w:sz w:val="20"/>
                <w:szCs w:val="20"/>
              </w:rPr>
            </w:pPr>
            <w:r>
              <w:rPr>
                <w:rFonts w:hint="eastAsia" w:ascii="宋体" w:hAnsi="宋体"/>
                <w:snapToGrid w:val="0"/>
                <w:sz w:val="20"/>
                <w:szCs w:val="20"/>
                <w:lang w:bidi="ar"/>
              </w:rPr>
              <w:t>341mm×605mm×1334mm</w:t>
            </w:r>
          </w:p>
        </w:tc>
        <w:tc>
          <w:tcPr>
            <w:tcW w:w="1187" w:type="pct"/>
            <w:tcBorders>
              <w:top w:val="single" w:color="000000" w:sz="6" w:space="0"/>
              <w:left w:val="single" w:color="000000" w:sz="6" w:space="0"/>
              <w:bottom w:val="single" w:color="000000" w:sz="6" w:space="0"/>
              <w:right w:val="single" w:color="000000" w:sz="6" w:space="0"/>
            </w:tcBorders>
          </w:tcPr>
          <w:p w14:paraId="763D03C8">
            <w:pPr>
              <w:topLinePunct/>
              <w:autoSpaceDE w:val="0"/>
              <w:autoSpaceDN w:val="0"/>
              <w:jc w:val="left"/>
              <w:rPr>
                <w:snapToGrid w:val="0"/>
                <w:sz w:val="20"/>
                <w:szCs w:val="20"/>
              </w:rPr>
            </w:pPr>
            <w:r>
              <w:rPr>
                <w:rFonts w:hint="eastAsia" w:ascii="宋体" w:hAnsi="宋体"/>
                <w:snapToGrid w:val="0"/>
                <w:sz w:val="20"/>
                <w:szCs w:val="20"/>
                <w:lang w:bidi="ar"/>
              </w:rPr>
              <w:t>600mm宽</w:t>
            </w:r>
          </w:p>
        </w:tc>
      </w:tr>
      <w:tr w14:paraId="6CAFC7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848" w:type="pct"/>
            <w:tcBorders>
              <w:top w:val="single" w:color="000000" w:sz="6" w:space="0"/>
              <w:left w:val="single" w:color="000000" w:sz="6" w:space="0"/>
              <w:bottom w:val="single" w:color="000000" w:sz="6" w:space="0"/>
              <w:right w:val="single" w:color="000000" w:sz="6" w:space="0"/>
            </w:tcBorders>
          </w:tcPr>
          <w:p w14:paraId="4BC37E27">
            <w:pPr>
              <w:topLinePunct/>
              <w:autoSpaceDE w:val="0"/>
              <w:autoSpaceDN w:val="0"/>
              <w:jc w:val="left"/>
              <w:rPr>
                <w:snapToGrid w:val="0"/>
                <w:sz w:val="20"/>
                <w:szCs w:val="20"/>
              </w:rPr>
            </w:pPr>
            <w:r>
              <w:rPr>
                <w:rFonts w:hint="eastAsia" w:ascii="宋体" w:hAnsi="宋体"/>
                <w:snapToGrid w:val="0"/>
                <w:sz w:val="20"/>
                <w:szCs w:val="20"/>
                <w:lang w:bidi="ar"/>
              </w:rPr>
              <w:t>600mm宽平顶/翻转天窗</w:t>
            </w:r>
          </w:p>
        </w:tc>
        <w:tc>
          <w:tcPr>
            <w:tcW w:w="1963" w:type="pct"/>
            <w:tcBorders>
              <w:top w:val="single" w:color="000000" w:sz="6" w:space="0"/>
              <w:left w:val="single" w:color="000000" w:sz="6" w:space="0"/>
              <w:bottom w:val="single" w:color="000000" w:sz="6" w:space="0"/>
              <w:right w:val="single" w:color="000000" w:sz="6" w:space="0"/>
            </w:tcBorders>
          </w:tcPr>
          <w:p w14:paraId="0C9A250A">
            <w:pPr>
              <w:topLinePunct/>
              <w:autoSpaceDE w:val="0"/>
              <w:autoSpaceDN w:val="0"/>
              <w:jc w:val="left"/>
              <w:rPr>
                <w:snapToGrid w:val="0"/>
                <w:sz w:val="20"/>
                <w:szCs w:val="20"/>
              </w:rPr>
            </w:pPr>
            <w:r>
              <w:rPr>
                <w:rFonts w:hint="eastAsia" w:ascii="宋体" w:hAnsi="宋体"/>
                <w:snapToGrid w:val="0"/>
                <w:sz w:val="20"/>
                <w:szCs w:val="20"/>
                <w:lang w:bidi="ar"/>
              </w:rPr>
              <w:t>341mm×605mm×1334mm</w:t>
            </w:r>
          </w:p>
        </w:tc>
        <w:tc>
          <w:tcPr>
            <w:tcW w:w="1187" w:type="pct"/>
            <w:tcBorders>
              <w:top w:val="single" w:color="000000" w:sz="6" w:space="0"/>
              <w:left w:val="single" w:color="000000" w:sz="6" w:space="0"/>
              <w:bottom w:val="single" w:color="000000" w:sz="6" w:space="0"/>
              <w:right w:val="single" w:color="000000" w:sz="6" w:space="0"/>
            </w:tcBorders>
          </w:tcPr>
          <w:p w14:paraId="713D5959">
            <w:pPr>
              <w:topLinePunct/>
              <w:autoSpaceDE w:val="0"/>
              <w:autoSpaceDN w:val="0"/>
              <w:jc w:val="left"/>
              <w:rPr>
                <w:snapToGrid w:val="0"/>
                <w:sz w:val="20"/>
                <w:szCs w:val="20"/>
              </w:rPr>
            </w:pPr>
            <w:r>
              <w:rPr>
                <w:rFonts w:hint="eastAsia" w:ascii="宋体" w:hAnsi="宋体"/>
                <w:snapToGrid w:val="0"/>
                <w:sz w:val="20"/>
                <w:szCs w:val="20"/>
                <w:lang w:bidi="ar"/>
              </w:rPr>
              <w:t>600mm宽</w:t>
            </w:r>
          </w:p>
        </w:tc>
      </w:tr>
    </w:tbl>
    <w:p w14:paraId="2A3B76F1">
      <w:pPr>
        <w:pStyle w:val="37"/>
        <w:autoSpaceDE w:val="0"/>
        <w:autoSpaceDN w:val="0"/>
        <w:spacing w:before="31" w:after="31" w:line="436" w:lineRule="auto"/>
        <w:ind w:left="533" w:leftChars="254" w:right="256" w:rightChars="122" w:firstLine="480"/>
      </w:pPr>
      <w:r>
        <w:rPr>
          <w:rFonts w:hint="eastAsia"/>
        </w:rPr>
        <w:t>天窗外观如</w:t>
      </w:r>
      <w:bookmarkStart w:id="13" w:name="_fig64996913111648"/>
      <w:bookmarkEnd w:id="13"/>
      <w:r>
        <w:rPr>
          <w:rFonts w:hint="eastAsia"/>
        </w:rPr>
        <w:t>图所示</w:t>
      </w:r>
      <w:r>
        <w:rPr>
          <w:rFonts w:hint="eastAsia"/>
          <w:lang w:bidi="ar"/>
        </w:rPr>
        <w:t>：</w:t>
      </w:r>
    </w:p>
    <w:p w14:paraId="7C75D674">
      <w:pPr>
        <w:autoSpaceDE w:val="0"/>
        <w:autoSpaceDN w:val="0"/>
        <w:spacing w:before="120" w:after="120"/>
        <w:ind w:left="482" w:firstLine="420"/>
        <w:jc w:val="center"/>
        <w:rPr>
          <w:spacing w:val="-4"/>
          <w:szCs w:val="21"/>
        </w:rPr>
      </w:pPr>
      <w:r>
        <w:rPr>
          <w:rFonts w:hint="eastAsia" w:ascii="宋体" w:hAnsi="宋体"/>
          <w:spacing w:val="-4"/>
          <w:szCs w:val="21"/>
        </w:rPr>
        <w:drawing>
          <wp:inline distT="0" distB="0" distL="114300" distR="114300">
            <wp:extent cx="3308350" cy="2203450"/>
            <wp:effectExtent l="0" t="0" r="0" b="0"/>
            <wp:docPr id="3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3"/>
                    <pic:cNvPicPr>
                      <a:picLocks noChangeAspect="1"/>
                    </pic:cNvPicPr>
                  </pic:nvPicPr>
                  <pic:blipFill>
                    <a:blip r:embed="rId13"/>
                    <a:stretch>
                      <a:fillRect/>
                    </a:stretch>
                  </pic:blipFill>
                  <pic:spPr>
                    <a:xfrm>
                      <a:off x="0" y="0"/>
                      <a:ext cx="3308350" cy="2203450"/>
                    </a:xfrm>
                    <a:prstGeom prst="rect">
                      <a:avLst/>
                    </a:prstGeom>
                    <a:noFill/>
                    <a:ln>
                      <a:noFill/>
                    </a:ln>
                  </pic:spPr>
                </pic:pic>
              </a:graphicData>
            </a:graphic>
          </wp:inline>
        </w:drawing>
      </w:r>
    </w:p>
    <w:p w14:paraId="2885F81B">
      <w:pPr>
        <w:autoSpaceDE w:val="0"/>
        <w:autoSpaceDN w:val="0"/>
        <w:spacing w:before="77" w:line="436" w:lineRule="auto"/>
        <w:ind w:left="969" w:right="733" w:firstLine="420"/>
        <w:jc w:val="center"/>
        <w:rPr>
          <w:szCs w:val="21"/>
        </w:rPr>
      </w:pPr>
      <w:r>
        <w:rPr>
          <w:rFonts w:hint="eastAsia" w:ascii="宋体" w:hAnsi="宋体"/>
          <w:szCs w:val="21"/>
          <w:lang w:bidi="ar"/>
        </w:rPr>
        <w:t>天窗外观图</w:t>
      </w:r>
    </w:p>
    <w:p w14:paraId="0C66ED33">
      <w:pPr>
        <w:numPr>
          <w:ilvl w:val="0"/>
          <w:numId w:val="10"/>
        </w:numPr>
        <w:spacing w:before="156" w:beforeLines="50" w:after="156" w:afterLines="50"/>
        <w:ind w:firstLine="480"/>
        <w:rPr>
          <w:sz w:val="28"/>
          <w:szCs w:val="28"/>
        </w:rPr>
      </w:pPr>
      <w:bookmarkStart w:id="14" w:name="_Toc475720896"/>
      <w:bookmarkStart w:id="15" w:name="_ZH-CN_TOPIC_0018205001-chtext"/>
      <w:r>
        <w:rPr>
          <w:rFonts w:hint="eastAsia"/>
          <w:sz w:val="28"/>
          <w:szCs w:val="28"/>
        </w:rPr>
        <w:t>通道端门</w:t>
      </w:r>
      <w:bookmarkEnd w:id="14"/>
      <w:bookmarkEnd w:id="15"/>
    </w:p>
    <w:p w14:paraId="1E4EE535">
      <w:pPr>
        <w:spacing w:before="156" w:beforeLines="50" w:after="156" w:afterLines="50"/>
        <w:ind w:firstLine="480"/>
        <w:rPr>
          <w:sz w:val="28"/>
          <w:szCs w:val="28"/>
        </w:rPr>
      </w:pPr>
      <w:r>
        <w:rPr>
          <w:rFonts w:hint="eastAsia"/>
          <w:sz w:val="28"/>
          <w:szCs w:val="28"/>
        </w:rPr>
        <w:t>在密封通道的两端安装端门，使得整个模块形成一个独立的整体，实现冷热气流隔离，提升设备工作效率的同时，保证工作人员或设备进出。推拉门外观示意图：</w:t>
      </w:r>
    </w:p>
    <w:p w14:paraId="6F0913B7">
      <w:pPr>
        <w:autoSpaceDE w:val="0"/>
        <w:autoSpaceDN w:val="0"/>
        <w:spacing w:before="120" w:after="120"/>
        <w:ind w:firstLine="440"/>
        <w:jc w:val="center"/>
        <w:rPr>
          <w:spacing w:val="-4"/>
          <w:szCs w:val="21"/>
        </w:rPr>
      </w:pPr>
      <w:bookmarkStart w:id="16" w:name="_ZH-CN_TOPIC_0019595361-chtext"/>
      <w:bookmarkStart w:id="17" w:name="_Toc475720897"/>
      <w:r>
        <w:rPr>
          <w:rFonts w:hint="eastAsia" w:ascii="宋体" w:hAnsi="宋体"/>
          <w:spacing w:val="-4"/>
          <w:sz w:val="22"/>
          <w:szCs w:val="21"/>
        </w:rPr>
        <w:drawing>
          <wp:inline distT="0" distB="0" distL="114300" distR="114300">
            <wp:extent cx="4692650" cy="3486150"/>
            <wp:effectExtent l="0" t="0" r="6350" b="6350"/>
            <wp:docPr id="1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4"/>
                    <pic:cNvPicPr>
                      <a:picLocks noChangeAspect="1"/>
                    </pic:cNvPicPr>
                  </pic:nvPicPr>
                  <pic:blipFill>
                    <a:blip r:embed="rId14"/>
                    <a:stretch>
                      <a:fillRect/>
                    </a:stretch>
                  </pic:blipFill>
                  <pic:spPr>
                    <a:xfrm>
                      <a:off x="0" y="0"/>
                      <a:ext cx="4692650" cy="3486150"/>
                    </a:xfrm>
                    <a:prstGeom prst="rect">
                      <a:avLst/>
                    </a:prstGeom>
                    <a:noFill/>
                    <a:ln>
                      <a:noFill/>
                    </a:ln>
                  </pic:spPr>
                </pic:pic>
              </a:graphicData>
            </a:graphic>
          </wp:inline>
        </w:drawing>
      </w:r>
    </w:p>
    <w:p w14:paraId="3CA2DDBB">
      <w:pPr>
        <w:autoSpaceDE w:val="0"/>
        <w:autoSpaceDN w:val="0"/>
        <w:spacing w:before="77" w:line="436" w:lineRule="auto"/>
        <w:ind w:left="969" w:right="733" w:firstLine="420"/>
        <w:jc w:val="center"/>
        <w:rPr>
          <w:szCs w:val="21"/>
        </w:rPr>
      </w:pPr>
      <w:r>
        <w:rPr>
          <w:rFonts w:hint="eastAsia" w:ascii="宋体" w:hAnsi="宋体"/>
          <w:szCs w:val="21"/>
          <w:lang w:bidi="ar"/>
        </w:rPr>
        <w:t>通道端门外观图</w:t>
      </w:r>
    </w:p>
    <w:p w14:paraId="3B336C16">
      <w:pPr>
        <w:numPr>
          <w:ilvl w:val="0"/>
          <w:numId w:val="10"/>
        </w:numPr>
        <w:spacing w:before="156" w:beforeLines="50" w:after="156" w:afterLines="50"/>
        <w:ind w:firstLine="480"/>
        <w:rPr>
          <w:sz w:val="28"/>
          <w:szCs w:val="28"/>
        </w:rPr>
      </w:pPr>
      <w:r>
        <w:rPr>
          <w:rFonts w:hint="eastAsia"/>
          <w:sz w:val="28"/>
          <w:szCs w:val="28"/>
        </w:rPr>
        <w:t>走线槽</w:t>
      </w:r>
    </w:p>
    <w:p w14:paraId="0719D7B6">
      <w:pPr>
        <w:spacing w:before="156" w:beforeLines="50" w:after="156" w:afterLines="50"/>
        <w:ind w:firstLine="480"/>
        <w:rPr>
          <w:sz w:val="28"/>
          <w:szCs w:val="28"/>
        </w:rPr>
      </w:pPr>
      <w:r>
        <w:rPr>
          <w:rFonts w:hint="eastAsia"/>
          <w:sz w:val="28"/>
          <w:szCs w:val="28"/>
        </w:rPr>
        <w:t>机柜线槽分为信号线线槽和电源线线槽，分别用于信号线和电源线的走线，实现强弱电线缆的分离布置。线槽采用分体结构进行卡接安装。走线槽主要由两个立板、托板、隔板（可选配，实现弱电的光纤、网线分离，强电A、B路分离）完全卡接组装而成。如图所示：</w:t>
      </w:r>
    </w:p>
    <w:bookmarkEnd w:id="16"/>
    <w:bookmarkEnd w:id="17"/>
    <w:p w14:paraId="6C0E2BAC">
      <w:pPr>
        <w:autoSpaceDE w:val="0"/>
        <w:autoSpaceDN w:val="0"/>
        <w:spacing w:before="120" w:after="120"/>
        <w:ind w:left="482" w:firstLine="420"/>
        <w:jc w:val="center"/>
        <w:rPr>
          <w:szCs w:val="21"/>
        </w:rPr>
      </w:pPr>
      <w:bookmarkStart w:id="18" w:name="_d0e1469"/>
      <w:bookmarkEnd w:id="18"/>
      <w:r>
        <w:rPr>
          <w:rFonts w:hint="eastAsia" w:ascii="宋体" w:hAnsi="宋体"/>
          <w:szCs w:val="21"/>
        </w:rPr>
        <w:drawing>
          <wp:inline distT="0" distB="0" distL="114300" distR="114300">
            <wp:extent cx="3682365" cy="1974850"/>
            <wp:effectExtent l="0" t="0" r="635" b="6350"/>
            <wp:docPr id="1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5"/>
                    <pic:cNvPicPr>
                      <a:picLocks noChangeAspect="1"/>
                    </pic:cNvPicPr>
                  </pic:nvPicPr>
                  <pic:blipFill>
                    <a:blip r:embed="rId15"/>
                    <a:stretch>
                      <a:fillRect/>
                    </a:stretch>
                  </pic:blipFill>
                  <pic:spPr>
                    <a:xfrm>
                      <a:off x="0" y="0"/>
                      <a:ext cx="3682365" cy="1974850"/>
                    </a:xfrm>
                    <a:prstGeom prst="rect">
                      <a:avLst/>
                    </a:prstGeom>
                    <a:noFill/>
                    <a:ln>
                      <a:noFill/>
                    </a:ln>
                  </pic:spPr>
                </pic:pic>
              </a:graphicData>
            </a:graphic>
          </wp:inline>
        </w:drawing>
      </w:r>
    </w:p>
    <w:p w14:paraId="43C25829">
      <w:pPr>
        <w:autoSpaceDE w:val="0"/>
        <w:autoSpaceDN w:val="0"/>
        <w:spacing w:before="77" w:line="436" w:lineRule="auto"/>
        <w:ind w:left="969" w:right="733" w:firstLine="420"/>
        <w:jc w:val="center"/>
        <w:rPr>
          <w:szCs w:val="21"/>
        </w:rPr>
      </w:pPr>
      <w:r>
        <w:rPr>
          <w:rFonts w:hint="eastAsia" w:ascii="宋体" w:hAnsi="宋体"/>
          <w:szCs w:val="21"/>
          <w:lang w:bidi="ar"/>
        </w:rPr>
        <w:t>走线槽外观图</w:t>
      </w:r>
    </w:p>
    <w:p w14:paraId="630A8A2F">
      <w:pPr>
        <w:autoSpaceDE w:val="0"/>
        <w:autoSpaceDN w:val="0"/>
        <w:spacing w:before="120" w:after="120"/>
        <w:ind w:firstLine="420"/>
        <w:jc w:val="center"/>
        <w:rPr>
          <w:szCs w:val="21"/>
        </w:rPr>
      </w:pPr>
      <w:r>
        <w:rPr>
          <w:rFonts w:hint="eastAsia" w:ascii="宋体" w:hAnsi="宋体"/>
          <w:szCs w:val="21"/>
        </w:rPr>
        <w:drawing>
          <wp:inline distT="0" distB="0" distL="114300" distR="114300">
            <wp:extent cx="3045460" cy="2956560"/>
            <wp:effectExtent l="0" t="0" r="2540" b="2540"/>
            <wp:docPr id="1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6"/>
                    <pic:cNvPicPr>
                      <a:picLocks noChangeAspect="1"/>
                    </pic:cNvPicPr>
                  </pic:nvPicPr>
                  <pic:blipFill>
                    <a:blip r:embed="rId16"/>
                    <a:srcRect b="3195"/>
                    <a:stretch>
                      <a:fillRect/>
                    </a:stretch>
                  </pic:blipFill>
                  <pic:spPr>
                    <a:xfrm>
                      <a:off x="0" y="0"/>
                      <a:ext cx="3045460" cy="2956560"/>
                    </a:xfrm>
                    <a:prstGeom prst="rect">
                      <a:avLst/>
                    </a:prstGeom>
                    <a:noFill/>
                    <a:ln>
                      <a:noFill/>
                    </a:ln>
                  </pic:spPr>
                </pic:pic>
              </a:graphicData>
            </a:graphic>
          </wp:inline>
        </w:drawing>
      </w:r>
    </w:p>
    <w:tbl>
      <w:tblPr>
        <w:tblStyle w:val="41"/>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15"/>
        <w:gridCol w:w="3342"/>
        <w:gridCol w:w="2695"/>
      </w:tblGrid>
      <w:tr w14:paraId="02760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6" w:type="pct"/>
            <w:tcBorders>
              <w:top w:val="single" w:color="auto" w:sz="4" w:space="0"/>
              <w:left w:val="single" w:color="auto" w:sz="4" w:space="0"/>
              <w:bottom w:val="single" w:color="auto" w:sz="4" w:space="0"/>
              <w:right w:val="single" w:color="auto" w:sz="4" w:space="0"/>
            </w:tcBorders>
          </w:tcPr>
          <w:p w14:paraId="645804FF">
            <w:pPr>
              <w:autoSpaceDE w:val="0"/>
              <w:autoSpaceDN w:val="0"/>
              <w:spacing w:before="120" w:after="120"/>
              <w:jc w:val="left"/>
              <w:rPr>
                <w:sz w:val="20"/>
                <w:szCs w:val="20"/>
              </w:rPr>
            </w:pPr>
            <w:r>
              <w:rPr>
                <w:rFonts w:hint="eastAsia" w:ascii="宋体" w:hAnsi="宋体"/>
                <w:sz w:val="20"/>
                <w:szCs w:val="20"/>
                <w:lang w:bidi="ar"/>
              </w:rPr>
              <w:t>（1）网络柜</w:t>
            </w:r>
          </w:p>
        </w:tc>
        <w:tc>
          <w:tcPr>
            <w:tcW w:w="1696" w:type="pct"/>
            <w:tcBorders>
              <w:top w:val="single" w:color="auto" w:sz="4" w:space="0"/>
              <w:left w:val="single" w:color="auto" w:sz="4" w:space="0"/>
              <w:bottom w:val="single" w:color="auto" w:sz="4" w:space="0"/>
              <w:right w:val="single" w:color="auto" w:sz="4" w:space="0"/>
            </w:tcBorders>
          </w:tcPr>
          <w:p w14:paraId="77CEE092">
            <w:pPr>
              <w:autoSpaceDE w:val="0"/>
              <w:autoSpaceDN w:val="0"/>
              <w:spacing w:before="120" w:after="120"/>
              <w:jc w:val="left"/>
              <w:rPr>
                <w:sz w:val="20"/>
                <w:szCs w:val="20"/>
              </w:rPr>
            </w:pPr>
            <w:r>
              <w:rPr>
                <w:rFonts w:hint="eastAsia" w:ascii="宋体" w:hAnsi="宋体"/>
                <w:sz w:val="20"/>
                <w:szCs w:val="20"/>
                <w:lang w:bidi="ar"/>
              </w:rPr>
              <w:t>（2）光纤</w:t>
            </w:r>
          </w:p>
        </w:tc>
        <w:tc>
          <w:tcPr>
            <w:tcW w:w="1367" w:type="pct"/>
            <w:tcBorders>
              <w:top w:val="single" w:color="auto" w:sz="4" w:space="0"/>
              <w:left w:val="single" w:color="auto" w:sz="4" w:space="0"/>
              <w:bottom w:val="single" w:color="auto" w:sz="4" w:space="0"/>
              <w:right w:val="single" w:color="auto" w:sz="4" w:space="0"/>
            </w:tcBorders>
          </w:tcPr>
          <w:p w14:paraId="71EDE9E6">
            <w:pPr>
              <w:autoSpaceDE w:val="0"/>
              <w:autoSpaceDN w:val="0"/>
              <w:spacing w:before="120" w:after="120"/>
              <w:jc w:val="left"/>
              <w:rPr>
                <w:sz w:val="20"/>
                <w:szCs w:val="20"/>
              </w:rPr>
            </w:pPr>
            <w:r>
              <w:rPr>
                <w:rFonts w:hint="eastAsia" w:ascii="宋体" w:hAnsi="宋体"/>
                <w:sz w:val="20"/>
                <w:szCs w:val="20"/>
                <w:lang w:bidi="ar"/>
              </w:rPr>
              <w:t>（3）信号线</w:t>
            </w:r>
          </w:p>
        </w:tc>
      </w:tr>
      <w:tr w14:paraId="223DD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6" w:type="pct"/>
            <w:tcBorders>
              <w:top w:val="single" w:color="auto" w:sz="4" w:space="0"/>
              <w:left w:val="single" w:color="auto" w:sz="4" w:space="0"/>
              <w:bottom w:val="single" w:color="auto" w:sz="4" w:space="0"/>
              <w:right w:val="single" w:color="auto" w:sz="4" w:space="0"/>
            </w:tcBorders>
          </w:tcPr>
          <w:p w14:paraId="57684FD1">
            <w:pPr>
              <w:autoSpaceDE w:val="0"/>
              <w:autoSpaceDN w:val="0"/>
              <w:spacing w:before="120" w:after="120"/>
              <w:jc w:val="left"/>
              <w:rPr>
                <w:sz w:val="20"/>
                <w:szCs w:val="20"/>
              </w:rPr>
            </w:pPr>
            <w:r>
              <w:rPr>
                <w:rFonts w:hint="eastAsia" w:ascii="宋体" w:hAnsi="宋体"/>
                <w:sz w:val="20"/>
                <w:szCs w:val="20"/>
                <w:lang w:bidi="ar"/>
              </w:rPr>
              <w:t>（4）智能ETH插座</w:t>
            </w:r>
          </w:p>
        </w:tc>
        <w:tc>
          <w:tcPr>
            <w:tcW w:w="1696" w:type="pct"/>
            <w:tcBorders>
              <w:top w:val="single" w:color="auto" w:sz="4" w:space="0"/>
              <w:left w:val="single" w:color="auto" w:sz="4" w:space="0"/>
              <w:bottom w:val="single" w:color="auto" w:sz="4" w:space="0"/>
              <w:right w:val="single" w:color="auto" w:sz="4" w:space="0"/>
            </w:tcBorders>
          </w:tcPr>
          <w:p w14:paraId="423CEDA8">
            <w:pPr>
              <w:autoSpaceDE w:val="0"/>
              <w:autoSpaceDN w:val="0"/>
              <w:spacing w:before="120" w:after="120"/>
              <w:jc w:val="left"/>
              <w:rPr>
                <w:sz w:val="20"/>
                <w:szCs w:val="20"/>
              </w:rPr>
            </w:pPr>
            <w:r>
              <w:rPr>
                <w:rFonts w:hint="eastAsia" w:ascii="宋体" w:hAnsi="宋体"/>
                <w:sz w:val="20"/>
                <w:szCs w:val="20"/>
                <w:lang w:bidi="ar"/>
              </w:rPr>
              <w:t>（5）配电柜</w:t>
            </w:r>
          </w:p>
        </w:tc>
        <w:tc>
          <w:tcPr>
            <w:tcW w:w="1367" w:type="pct"/>
            <w:tcBorders>
              <w:top w:val="single" w:color="auto" w:sz="4" w:space="0"/>
              <w:left w:val="single" w:color="auto" w:sz="4" w:space="0"/>
              <w:bottom w:val="single" w:color="auto" w:sz="4" w:space="0"/>
              <w:right w:val="single" w:color="auto" w:sz="4" w:space="0"/>
            </w:tcBorders>
          </w:tcPr>
          <w:p w14:paraId="7F1636CF">
            <w:pPr>
              <w:autoSpaceDE w:val="0"/>
              <w:autoSpaceDN w:val="0"/>
              <w:spacing w:before="120" w:after="120"/>
              <w:jc w:val="left"/>
              <w:rPr>
                <w:sz w:val="20"/>
                <w:szCs w:val="20"/>
              </w:rPr>
            </w:pPr>
            <w:r>
              <w:rPr>
                <w:rFonts w:hint="eastAsia" w:ascii="宋体" w:hAnsi="宋体"/>
                <w:sz w:val="20"/>
                <w:szCs w:val="20"/>
                <w:lang w:bidi="ar"/>
              </w:rPr>
              <w:t>（6）电源线</w:t>
            </w:r>
          </w:p>
        </w:tc>
      </w:tr>
    </w:tbl>
    <w:p w14:paraId="467E1801">
      <w:pPr>
        <w:pStyle w:val="37"/>
        <w:autoSpaceDE w:val="0"/>
        <w:autoSpaceDN w:val="0"/>
        <w:spacing w:before="31" w:after="31" w:line="436" w:lineRule="auto"/>
        <w:ind w:left="533" w:leftChars="254" w:right="256" w:rightChars="122" w:firstLine="420"/>
        <w:jc w:val="center"/>
        <w:rPr>
          <w:sz w:val="21"/>
          <w:szCs w:val="21"/>
        </w:rPr>
      </w:pPr>
      <w:r>
        <w:rPr>
          <w:rFonts w:hint="eastAsia"/>
          <w:sz w:val="21"/>
          <w:szCs w:val="21"/>
          <w:lang w:bidi="ar"/>
        </w:rPr>
        <w:t>微模块走线槽走线示意图</w:t>
      </w:r>
    </w:p>
    <w:p w14:paraId="7E236639">
      <w:pPr>
        <w:numPr>
          <w:ilvl w:val="0"/>
          <w:numId w:val="10"/>
        </w:numPr>
        <w:spacing w:before="156" w:beforeLines="50" w:after="156" w:afterLines="50"/>
        <w:ind w:firstLine="480"/>
        <w:rPr>
          <w:sz w:val="28"/>
          <w:szCs w:val="28"/>
        </w:rPr>
      </w:pPr>
      <w:r>
        <w:rPr>
          <w:rFonts w:hint="eastAsia"/>
          <w:sz w:val="28"/>
          <w:szCs w:val="28"/>
        </w:rPr>
        <w:t>冷通道整体效果</w:t>
      </w:r>
    </w:p>
    <w:p w14:paraId="7EF2A2BE">
      <w:pPr>
        <w:pStyle w:val="37"/>
        <w:autoSpaceDE w:val="0"/>
        <w:autoSpaceDN w:val="0"/>
        <w:spacing w:before="31" w:after="31" w:line="436" w:lineRule="auto"/>
        <w:ind w:left="533" w:leftChars="254" w:right="256" w:rightChars="122" w:firstLine="420"/>
        <w:jc w:val="center"/>
        <w:rPr>
          <w:sz w:val="21"/>
          <w:szCs w:val="21"/>
        </w:rPr>
      </w:pPr>
      <w:r>
        <w:rPr>
          <w:rFonts w:hint="eastAsia"/>
          <w:sz w:val="21"/>
          <w:szCs w:val="21"/>
        </w:rPr>
        <w:drawing>
          <wp:inline distT="0" distB="0" distL="114300" distR="114300">
            <wp:extent cx="5403850" cy="3956050"/>
            <wp:effectExtent l="0" t="0" r="6350" b="6350"/>
            <wp:docPr id="2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7"/>
                    <pic:cNvPicPr>
                      <a:picLocks noChangeAspect="1"/>
                    </pic:cNvPicPr>
                  </pic:nvPicPr>
                  <pic:blipFill>
                    <a:blip r:embed="rId17"/>
                    <a:stretch>
                      <a:fillRect/>
                    </a:stretch>
                  </pic:blipFill>
                  <pic:spPr>
                    <a:xfrm>
                      <a:off x="0" y="0"/>
                      <a:ext cx="5403850" cy="3956050"/>
                    </a:xfrm>
                    <a:prstGeom prst="rect">
                      <a:avLst/>
                    </a:prstGeom>
                    <a:noFill/>
                    <a:ln>
                      <a:noFill/>
                    </a:ln>
                  </pic:spPr>
                </pic:pic>
              </a:graphicData>
            </a:graphic>
          </wp:inline>
        </w:drawing>
      </w:r>
    </w:p>
    <w:p w14:paraId="132F75A3">
      <w:pPr>
        <w:pStyle w:val="37"/>
        <w:autoSpaceDE w:val="0"/>
        <w:autoSpaceDN w:val="0"/>
        <w:spacing w:before="31" w:after="31" w:line="436" w:lineRule="auto"/>
        <w:ind w:left="533" w:leftChars="254" w:right="256" w:rightChars="122" w:firstLine="420"/>
        <w:jc w:val="center"/>
        <w:rPr>
          <w:sz w:val="21"/>
          <w:szCs w:val="21"/>
        </w:rPr>
      </w:pPr>
      <w:r>
        <w:rPr>
          <w:rFonts w:hint="eastAsia"/>
          <w:sz w:val="21"/>
          <w:szCs w:val="21"/>
          <w:lang w:bidi="ar"/>
        </w:rPr>
        <w:t>微模块整体效果示意图</w:t>
      </w:r>
    </w:p>
    <w:p w14:paraId="415BEF00">
      <w:pPr>
        <w:pStyle w:val="37"/>
        <w:autoSpaceDE w:val="0"/>
        <w:autoSpaceDN w:val="0"/>
        <w:spacing w:before="31" w:after="31" w:line="436" w:lineRule="auto"/>
        <w:ind w:left="533" w:leftChars="254" w:right="256" w:rightChars="122" w:firstLine="480"/>
        <w:jc w:val="center"/>
      </w:pPr>
    </w:p>
    <w:p w14:paraId="28909201">
      <w:pPr>
        <w:pStyle w:val="4"/>
        <w:spacing w:before="240" w:after="120"/>
      </w:pPr>
      <w:bookmarkStart w:id="19" w:name="_Toc14063"/>
      <w:bookmarkStart w:id="20" w:name="_Toc29079"/>
      <w:r>
        <w:rPr>
          <w:rFonts w:hint="eastAsia"/>
        </w:rPr>
        <w:t>综合布线系统</w:t>
      </w:r>
      <w:bookmarkEnd w:id="19"/>
      <w:bookmarkEnd w:id="20"/>
    </w:p>
    <w:p w14:paraId="760B920B">
      <w:pPr>
        <w:pStyle w:val="3"/>
        <w:spacing w:before="240"/>
      </w:pPr>
      <w:r>
        <w:rPr>
          <w:rFonts w:hint="eastAsia"/>
        </w:rPr>
        <w:t>布线规划要点</w:t>
      </w:r>
    </w:p>
    <w:p w14:paraId="24BD7526">
      <w:pPr>
        <w:spacing w:before="156" w:beforeLines="50" w:after="156" w:afterLines="50"/>
        <w:ind w:firstLine="480"/>
        <w:rPr>
          <w:sz w:val="28"/>
          <w:szCs w:val="28"/>
        </w:rPr>
      </w:pPr>
      <w:r>
        <w:rPr>
          <w:rFonts w:hint="eastAsia"/>
          <w:sz w:val="28"/>
          <w:szCs w:val="28"/>
        </w:rPr>
        <w:t>机房微模块的布线设计目的是实现系统的简单性、灵活性、可伸缩性、模块化和实用性。所有这些准则使机房运营能够随着时间变化，仍然使设施适合于业务发展的需求。经验表明，具有足够的扩充空间对后期附加设备和服务设施的安装至关重要。当前技术应提供可通过简单的“即插即用”连接来添加或替代的模块化配线设备，使其对运营商更实用，并减少宕机时间和人工成本。因此我们在选择布线系统时应力求采用先进、高性能的布线系统，从而保证网络传输的经济性、可靠性。综合布线系统是连接各个网络设备及服务器之间的信息通道，应保证足够带宽及稳定性，本次双绞线布线部分选用六类双绞线，机房光纤部分，建议选用预连接光缆。</w:t>
      </w:r>
    </w:p>
    <w:p w14:paraId="61F4EB28">
      <w:pPr>
        <w:pStyle w:val="37"/>
        <w:autoSpaceDE w:val="0"/>
        <w:autoSpaceDN w:val="0"/>
        <w:spacing w:before="31" w:after="31" w:line="436" w:lineRule="auto"/>
        <w:ind w:left="533" w:leftChars="254" w:right="256" w:rightChars="122" w:firstLine="400"/>
        <w:jc w:val="center"/>
        <w:rPr>
          <w:sz w:val="20"/>
        </w:rPr>
      </w:pPr>
      <w:r>
        <w:rPr>
          <w:rFonts w:hint="eastAsia"/>
          <w:sz w:val="20"/>
        </w:rPr>
        <w:drawing>
          <wp:inline distT="0" distB="0" distL="114300" distR="114300">
            <wp:extent cx="4324350" cy="4006850"/>
            <wp:effectExtent l="0" t="0" r="6350" b="6350"/>
            <wp:docPr id="1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8"/>
                    <pic:cNvPicPr>
                      <a:picLocks noChangeAspect="1"/>
                    </pic:cNvPicPr>
                  </pic:nvPicPr>
                  <pic:blipFill>
                    <a:blip r:embed="rId18"/>
                    <a:stretch>
                      <a:fillRect/>
                    </a:stretch>
                  </pic:blipFill>
                  <pic:spPr>
                    <a:xfrm>
                      <a:off x="0" y="0"/>
                      <a:ext cx="4324350" cy="4006850"/>
                    </a:xfrm>
                    <a:prstGeom prst="rect">
                      <a:avLst/>
                    </a:prstGeom>
                    <a:noFill/>
                    <a:ln>
                      <a:noFill/>
                    </a:ln>
                  </pic:spPr>
                </pic:pic>
              </a:graphicData>
            </a:graphic>
          </wp:inline>
        </w:drawing>
      </w:r>
    </w:p>
    <w:p w14:paraId="4BCE6F36">
      <w:pPr>
        <w:autoSpaceDE w:val="0"/>
        <w:autoSpaceDN w:val="0"/>
        <w:spacing w:before="35" w:line="436" w:lineRule="auto"/>
        <w:ind w:left="3187" w:firstLine="420"/>
        <w:jc w:val="left"/>
        <w:rPr>
          <w:szCs w:val="22"/>
        </w:rPr>
      </w:pPr>
      <w:r>
        <w:rPr>
          <w:rFonts w:hint="eastAsia" w:ascii="宋体" w:hAnsi="宋体"/>
          <w:szCs w:val="22"/>
          <w:lang w:bidi="ar"/>
        </w:rPr>
        <w:t>模块化机房内部线示意图</w:t>
      </w:r>
    </w:p>
    <w:p w14:paraId="55E89E0C">
      <w:pPr>
        <w:pStyle w:val="4"/>
        <w:spacing w:before="240" w:after="120"/>
      </w:pPr>
      <w:bookmarkStart w:id="21" w:name="_Toc13285"/>
      <w:bookmarkStart w:id="22" w:name="_Toc9086"/>
      <w:r>
        <w:rPr>
          <w:rFonts w:hint="eastAsia"/>
        </w:rPr>
        <w:t>综合监控系统</w:t>
      </w:r>
      <w:bookmarkEnd w:id="21"/>
      <w:bookmarkEnd w:id="22"/>
    </w:p>
    <w:p w14:paraId="37235501">
      <w:pPr>
        <w:spacing w:before="156" w:beforeLines="50" w:after="156" w:afterLines="50"/>
        <w:ind w:firstLine="480"/>
        <w:rPr>
          <w:sz w:val="28"/>
          <w:szCs w:val="28"/>
        </w:rPr>
      </w:pPr>
      <w:r>
        <w:rPr>
          <w:rFonts w:hint="eastAsia"/>
          <w:sz w:val="28"/>
          <w:szCs w:val="28"/>
        </w:rPr>
        <w:t>机房综合监控系统：是机房智能化管理的一个重要手段。机房控制应具有高度自动化， 它要求以最少的维护人员，最优化的运营维护手段，来实时监控每一个机房中设备所处的物理环境。同时，集成安防系统的各个子系统，使管理高度集中化，智能化，优化资源配置。</w:t>
      </w:r>
    </w:p>
    <w:p w14:paraId="7170C101">
      <w:pPr>
        <w:pStyle w:val="3"/>
        <w:spacing w:before="240"/>
      </w:pPr>
      <w:r>
        <w:rPr>
          <w:rFonts w:hint="eastAsia"/>
        </w:rPr>
        <w:t>动环监控</w:t>
      </w:r>
    </w:p>
    <w:p w14:paraId="145CFD1B">
      <w:pPr>
        <w:spacing w:before="156" w:beforeLines="50" w:after="156" w:afterLines="50"/>
        <w:ind w:firstLine="480"/>
      </w:pPr>
      <w:r>
        <w:rPr>
          <w:rFonts w:hint="eastAsia"/>
          <w:sz w:val="28"/>
          <w:szCs w:val="28"/>
        </w:rPr>
        <w:t>微模块均具备一个独立的、整体的环境和动力监控接口。实现对模块内供配电、智能温控产品、温湿度、漏水检测、烟雾、视频等设备的不间断监控。发现部件故障或参数异常，即时采取指示灯光、E-mail、短信告警等多种报警方式，记录历史数据和报警事件，所有监控信息提供给管理平台集成接入。动环监控系统图如下：</w:t>
      </w:r>
    </w:p>
    <w:p w14:paraId="3AB366A9">
      <w:pPr>
        <w:autoSpaceDE w:val="0"/>
        <w:autoSpaceDN w:val="0"/>
        <w:ind w:firstLine="440"/>
        <w:jc w:val="center"/>
      </w:pPr>
      <w:r>
        <w:rPr>
          <w:rFonts w:hint="eastAsia" w:ascii="宋体" w:hAnsi="宋体"/>
          <w:sz w:val="22"/>
          <w:szCs w:val="22"/>
        </w:rPr>
        <w:drawing>
          <wp:inline distT="0" distB="0" distL="114300" distR="114300">
            <wp:extent cx="5245100" cy="2667000"/>
            <wp:effectExtent l="0" t="0" r="0" b="0"/>
            <wp:docPr id="2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9"/>
                    <pic:cNvPicPr>
                      <a:picLocks noChangeAspect="1"/>
                    </pic:cNvPicPr>
                  </pic:nvPicPr>
                  <pic:blipFill>
                    <a:blip r:embed="rId19"/>
                    <a:srcRect b="4190"/>
                    <a:stretch>
                      <a:fillRect/>
                    </a:stretch>
                  </pic:blipFill>
                  <pic:spPr>
                    <a:xfrm>
                      <a:off x="0" y="0"/>
                      <a:ext cx="5245100" cy="2667000"/>
                    </a:xfrm>
                    <a:prstGeom prst="rect">
                      <a:avLst/>
                    </a:prstGeom>
                    <a:noFill/>
                    <a:ln>
                      <a:noFill/>
                    </a:ln>
                  </pic:spPr>
                </pic:pic>
              </a:graphicData>
            </a:graphic>
          </wp:inline>
        </w:drawing>
      </w:r>
    </w:p>
    <w:p w14:paraId="07244AB3">
      <w:pPr>
        <w:autoSpaceDE w:val="0"/>
        <w:autoSpaceDN w:val="0"/>
        <w:spacing w:before="35" w:line="436" w:lineRule="auto"/>
        <w:ind w:left="3187" w:firstLine="420"/>
        <w:jc w:val="left"/>
        <w:rPr>
          <w:szCs w:val="22"/>
        </w:rPr>
      </w:pPr>
      <w:r>
        <w:rPr>
          <w:rFonts w:hint="eastAsia" w:ascii="宋体" w:hAnsi="宋体"/>
          <w:szCs w:val="22"/>
          <w:lang w:bidi="ar"/>
        </w:rPr>
        <w:t>动环监控系统图</w:t>
      </w:r>
    </w:p>
    <w:p w14:paraId="4B193C8E">
      <w:pPr>
        <w:autoSpaceDE w:val="0"/>
        <w:autoSpaceDN w:val="0"/>
        <w:ind w:firstLine="480"/>
        <w:jc w:val="left"/>
      </w:pPr>
    </w:p>
    <w:p w14:paraId="13B21308">
      <w:pPr>
        <w:numPr>
          <w:ilvl w:val="0"/>
          <w:numId w:val="11"/>
        </w:numPr>
        <w:spacing w:before="156" w:beforeLines="50" w:after="156" w:afterLines="50"/>
        <w:ind w:firstLine="480"/>
        <w:rPr>
          <w:sz w:val="28"/>
          <w:szCs w:val="28"/>
        </w:rPr>
      </w:pPr>
      <w:r>
        <w:rPr>
          <w:rFonts w:hint="eastAsia"/>
          <w:sz w:val="28"/>
          <w:szCs w:val="28"/>
        </w:rPr>
        <w:t>设备监控子系统（配电柜、</w:t>
      </w:r>
      <w:r>
        <w:rPr>
          <w:sz w:val="28"/>
          <w:szCs w:val="28"/>
        </w:rPr>
        <w:t xml:space="preserve">UPS </w:t>
      </w:r>
      <w:r>
        <w:rPr>
          <w:rFonts w:hint="eastAsia"/>
          <w:sz w:val="28"/>
          <w:szCs w:val="28"/>
        </w:rPr>
        <w:t>主机、空调）</w:t>
      </w:r>
    </w:p>
    <w:p w14:paraId="5A2CF722">
      <w:pPr>
        <w:numPr>
          <w:ilvl w:val="0"/>
          <w:numId w:val="11"/>
        </w:numPr>
        <w:spacing w:before="156" w:beforeLines="50" w:after="156" w:afterLines="50"/>
        <w:ind w:firstLine="480"/>
        <w:rPr>
          <w:sz w:val="28"/>
          <w:szCs w:val="28"/>
        </w:rPr>
      </w:pPr>
      <w:r>
        <w:rPr>
          <w:rFonts w:hint="eastAsia"/>
          <w:sz w:val="28"/>
          <w:szCs w:val="28"/>
        </w:rPr>
        <w:t>环境监控子系统（温湿度、漏水、烟感）</w:t>
      </w:r>
    </w:p>
    <w:p w14:paraId="2193C549">
      <w:pPr>
        <w:numPr>
          <w:ilvl w:val="0"/>
          <w:numId w:val="11"/>
        </w:numPr>
        <w:spacing w:before="156" w:beforeLines="50" w:after="156" w:afterLines="50"/>
        <w:ind w:firstLine="480"/>
        <w:rPr>
          <w:sz w:val="28"/>
          <w:szCs w:val="28"/>
        </w:rPr>
      </w:pPr>
      <w:r>
        <w:rPr>
          <w:rFonts w:hint="eastAsia"/>
          <w:sz w:val="28"/>
          <w:szCs w:val="28"/>
        </w:rPr>
        <w:t>消防联动与控制子系统</w:t>
      </w:r>
    </w:p>
    <w:p w14:paraId="2B392938">
      <w:pPr>
        <w:numPr>
          <w:ilvl w:val="0"/>
          <w:numId w:val="11"/>
        </w:numPr>
        <w:spacing w:before="156" w:beforeLines="50" w:after="156" w:afterLines="50"/>
        <w:ind w:firstLine="480"/>
        <w:rPr>
          <w:sz w:val="28"/>
          <w:szCs w:val="28"/>
        </w:rPr>
      </w:pPr>
      <w:r>
        <w:rPr>
          <w:rFonts w:hint="eastAsia"/>
          <w:sz w:val="28"/>
          <w:szCs w:val="28"/>
        </w:rPr>
        <w:t>故障报警系统（声光、短信、邮件、</w:t>
      </w:r>
      <w:r>
        <w:rPr>
          <w:sz w:val="28"/>
          <w:szCs w:val="28"/>
        </w:rPr>
        <w:t>IE</w:t>
      </w:r>
      <w:r>
        <w:rPr>
          <w:rFonts w:hint="eastAsia"/>
          <w:sz w:val="28"/>
          <w:szCs w:val="28"/>
        </w:rPr>
        <w:t>）</w:t>
      </w:r>
    </w:p>
    <w:p w14:paraId="5F570C2C">
      <w:pPr>
        <w:pStyle w:val="3"/>
        <w:spacing w:before="240"/>
      </w:pPr>
      <w:r>
        <w:rPr>
          <w:rFonts w:hint="eastAsia"/>
        </w:rPr>
        <w:t>视频监控（国密要求）</w:t>
      </w:r>
    </w:p>
    <w:p w14:paraId="45BE7EDB">
      <w:pPr>
        <w:spacing w:before="156" w:beforeLines="50" w:after="156" w:afterLines="50"/>
        <w:ind w:firstLine="480"/>
        <w:rPr>
          <w:sz w:val="28"/>
          <w:szCs w:val="28"/>
        </w:rPr>
      </w:pPr>
      <w:r>
        <w:rPr>
          <w:rFonts w:hint="eastAsia"/>
          <w:sz w:val="28"/>
          <w:szCs w:val="28"/>
        </w:rPr>
        <w:t xml:space="preserve">根据现场环境需求配置不同类型的摄像机前端，包含多台摄像机。视频信号到视频服务器经过 </w:t>
      </w:r>
      <w:r>
        <w:rPr>
          <w:sz w:val="28"/>
          <w:szCs w:val="28"/>
        </w:rPr>
        <w:t xml:space="preserve">TCP/IP </w:t>
      </w:r>
      <w:r>
        <w:rPr>
          <w:rFonts w:hint="eastAsia"/>
          <w:sz w:val="28"/>
          <w:szCs w:val="28"/>
        </w:rPr>
        <w:t>网络，集中汇聚至机房内的硬盘录像进行存储， 通过管理服务器进行管理。</w:t>
      </w:r>
    </w:p>
    <w:p w14:paraId="5E826310">
      <w:pPr>
        <w:spacing w:before="156" w:beforeLines="50" w:after="156" w:afterLines="50"/>
        <w:ind w:firstLine="480"/>
        <w:rPr>
          <w:sz w:val="28"/>
          <w:szCs w:val="28"/>
        </w:rPr>
      </w:pPr>
      <w:r>
        <w:rPr>
          <w:rFonts w:hint="eastAsia"/>
          <w:sz w:val="28"/>
          <w:szCs w:val="28"/>
        </w:rPr>
        <w:t>根据机房监控要求，采用38台400万像素半球型网络摄像机作为机房环境监控，摄像机按照4M码流计算。数据需要存储90天，存储容量计算如下：</w:t>
      </w:r>
    </w:p>
    <w:p w14:paraId="74447526">
      <w:pPr>
        <w:numPr>
          <w:ilvl w:val="0"/>
          <w:numId w:val="12"/>
        </w:numPr>
        <w:spacing w:before="156" w:beforeLines="50" w:after="156" w:afterLines="50"/>
        <w:ind w:firstLine="480"/>
        <w:rPr>
          <w:sz w:val="28"/>
          <w:szCs w:val="28"/>
        </w:rPr>
      </w:pPr>
      <w:r>
        <w:rPr>
          <w:rFonts w:hint="eastAsia"/>
          <w:sz w:val="28"/>
          <w:szCs w:val="28"/>
        </w:rPr>
        <w:t>1路视频存储90天所需存储裸空间=4Mbps×3600秒×24时×90天÷1024÷1024÷8=3.7TB；</w:t>
      </w:r>
    </w:p>
    <w:p w14:paraId="509FC052">
      <w:pPr>
        <w:numPr>
          <w:ilvl w:val="0"/>
          <w:numId w:val="12"/>
        </w:numPr>
        <w:spacing w:before="156" w:beforeLines="50" w:after="156" w:afterLines="50"/>
        <w:ind w:firstLine="480"/>
        <w:rPr>
          <w:sz w:val="28"/>
          <w:szCs w:val="28"/>
        </w:rPr>
      </w:pPr>
      <w:r>
        <w:rPr>
          <w:rFonts w:hint="eastAsia"/>
          <w:sz w:val="28"/>
          <w:szCs w:val="28"/>
        </w:rPr>
        <w:t>38路视频存储90天所需存储裸空间=3.7TB*38=140.6TB。</w:t>
      </w:r>
    </w:p>
    <w:p w14:paraId="77E04F89">
      <w:pPr>
        <w:spacing w:before="156" w:beforeLines="50" w:after="156" w:afterLines="50"/>
        <w:ind w:firstLine="480"/>
        <w:rPr>
          <w:sz w:val="28"/>
          <w:szCs w:val="28"/>
        </w:rPr>
      </w:pPr>
      <w:r>
        <w:rPr>
          <w:rFonts w:hint="eastAsia"/>
          <w:sz w:val="28"/>
          <w:szCs w:val="28"/>
        </w:rPr>
        <w:t>采用1台24路NVR，考虑一定的冗余，采用20块8T监控级硬盘。</w:t>
      </w:r>
    </w:p>
    <w:p w14:paraId="3CD0629A">
      <w:pPr>
        <w:spacing w:before="156" w:beforeLines="50" w:after="156" w:afterLines="50"/>
        <w:ind w:firstLine="480"/>
        <w:rPr>
          <w:sz w:val="28"/>
          <w:szCs w:val="28"/>
        </w:rPr>
      </w:pPr>
      <w:r>
        <w:rPr>
          <w:rFonts w:hint="eastAsia"/>
          <w:sz w:val="28"/>
          <w:szCs w:val="28"/>
        </w:rPr>
        <w:t>摄像机采用POE供电，摄像机采用超五类或以上非屏蔽网线，增加2台24口POE千兆交换机。</w:t>
      </w:r>
    </w:p>
    <w:p w14:paraId="3E6BD1D4">
      <w:pPr>
        <w:pStyle w:val="3"/>
        <w:spacing w:before="240"/>
      </w:pPr>
      <w:r>
        <w:rPr>
          <w:rFonts w:hint="eastAsia"/>
        </w:rPr>
        <w:t>监控室大屏</w:t>
      </w:r>
    </w:p>
    <w:p w14:paraId="05EFB190">
      <w:pPr>
        <w:spacing w:before="156" w:beforeLines="50" w:after="156" w:afterLines="50"/>
        <w:ind w:firstLine="480"/>
        <w:rPr>
          <w:rFonts w:hint="eastAsia"/>
          <w:sz w:val="28"/>
          <w:szCs w:val="28"/>
        </w:rPr>
      </w:pPr>
      <w:r>
        <w:rPr>
          <w:rFonts w:hint="eastAsia"/>
          <w:sz w:val="28"/>
          <w:szCs w:val="28"/>
        </w:rPr>
        <w:t>在信息机房辅房定制包含监控室办公桌椅，3×55英寸显示大屏系统等。</w:t>
      </w:r>
    </w:p>
    <w:p w14:paraId="51B894DF">
      <w:pPr>
        <w:spacing w:before="156" w:beforeLines="50" w:after="156" w:afterLines="50"/>
        <w:ind w:left="0" w:leftChars="0" w:firstLine="0" w:firstLineChars="0"/>
        <w:rPr>
          <w:rFonts w:hint="eastAsia" w:ascii="Times New Roman" w:hAnsi="Times New Roman" w:eastAsia="宋体" w:cs="Times New Roman"/>
          <w:b/>
          <w:bCs/>
          <w:kern w:val="2"/>
          <w:sz w:val="32"/>
          <w:szCs w:val="32"/>
          <w:lang w:val="en-US" w:eastAsia="zh-CN" w:bidi="ar-SA"/>
        </w:rPr>
      </w:pPr>
      <w:r>
        <w:rPr>
          <w:rFonts w:hint="eastAsia" w:ascii="Times New Roman" w:hAnsi="Times New Roman" w:eastAsia="宋体" w:cs="Times New Roman"/>
          <w:b/>
          <w:bCs/>
          <w:kern w:val="2"/>
          <w:sz w:val="32"/>
          <w:szCs w:val="32"/>
          <w:lang w:val="en-US" w:eastAsia="zh-CN" w:bidi="ar-SA"/>
        </w:rPr>
        <w:t>其他要求：</w:t>
      </w:r>
    </w:p>
    <w:p w14:paraId="7CC77A23">
      <w:pPr>
        <w:numPr>
          <w:ilvl w:val="0"/>
          <w:numId w:val="13"/>
        </w:numPr>
        <w:spacing w:before="156" w:beforeLines="50" w:after="156" w:afterLines="50"/>
        <w:ind w:firstLine="480"/>
        <w:rPr>
          <w:rFonts w:hint="eastAsia"/>
          <w:sz w:val="28"/>
          <w:szCs w:val="28"/>
          <w:lang w:val="en-US" w:eastAsia="zh-CN"/>
        </w:rPr>
      </w:pPr>
      <w:r>
        <w:rPr>
          <w:rFonts w:hint="eastAsia"/>
          <w:sz w:val="28"/>
          <w:szCs w:val="28"/>
          <w:lang w:val="en-US" w:eastAsia="zh-CN"/>
        </w:rPr>
        <w:t>结算机房基础设施工程建设同时需兼顾到电子病历评级、互联网医院建设、智慧服务评级、三级等保测评的需求。</w:t>
      </w:r>
    </w:p>
    <w:p w14:paraId="21958ACD">
      <w:pPr>
        <w:numPr>
          <w:ilvl w:val="0"/>
          <w:numId w:val="13"/>
        </w:numPr>
        <w:spacing w:before="156" w:beforeLines="50" w:after="156" w:afterLines="50"/>
        <w:ind w:firstLine="480"/>
        <w:rPr>
          <w:rFonts w:hint="default"/>
          <w:sz w:val="28"/>
          <w:szCs w:val="28"/>
          <w:lang w:val="en-US" w:eastAsia="zh-CN"/>
        </w:rPr>
      </w:pPr>
      <w:r>
        <w:rPr>
          <w:rFonts w:hint="eastAsia"/>
          <w:sz w:val="28"/>
          <w:szCs w:val="28"/>
          <w:lang w:val="en-US" w:eastAsia="zh-CN"/>
        </w:rPr>
        <w:t>结算机房基础设施工程建设需统筹规划，一体化管理。</w:t>
      </w:r>
    </w:p>
    <w:p w14:paraId="4C5A2007">
      <w:pPr>
        <w:numPr>
          <w:ilvl w:val="0"/>
          <w:numId w:val="13"/>
        </w:numPr>
        <w:spacing w:before="156" w:beforeLines="50" w:after="156" w:afterLines="50"/>
        <w:ind w:firstLine="480"/>
        <w:rPr>
          <w:rFonts w:hint="default"/>
          <w:sz w:val="28"/>
          <w:szCs w:val="28"/>
          <w:lang w:val="en-US" w:eastAsia="zh-CN"/>
        </w:rPr>
      </w:pPr>
      <w:r>
        <w:rPr>
          <w:rFonts w:hint="default"/>
          <w:sz w:val="28"/>
          <w:szCs w:val="28"/>
          <w:lang w:val="en-US" w:eastAsia="zh-CN"/>
        </w:rPr>
        <w:t>至少提供</w:t>
      </w:r>
      <w:r>
        <w:rPr>
          <w:rFonts w:hint="eastAsia"/>
          <w:sz w:val="28"/>
          <w:szCs w:val="28"/>
          <w:lang w:val="en-US" w:eastAsia="zh-CN"/>
        </w:rPr>
        <w:t>5</w:t>
      </w:r>
      <w:r>
        <w:rPr>
          <w:rFonts w:hint="default"/>
          <w:sz w:val="28"/>
          <w:szCs w:val="28"/>
          <w:lang w:val="en-US" w:eastAsia="zh-CN"/>
        </w:rPr>
        <w:t>年的免费</w:t>
      </w:r>
      <w:r>
        <w:rPr>
          <w:rFonts w:hint="eastAsia"/>
          <w:sz w:val="28"/>
          <w:szCs w:val="28"/>
          <w:lang w:val="en-US" w:eastAsia="zh-CN"/>
        </w:rPr>
        <w:t>维保</w:t>
      </w:r>
      <w:r>
        <w:rPr>
          <w:rFonts w:hint="default"/>
          <w:sz w:val="28"/>
          <w:szCs w:val="28"/>
          <w:lang w:val="en-US" w:eastAsia="zh-CN"/>
        </w:rPr>
        <w:t>服务</w:t>
      </w:r>
      <w:r>
        <w:rPr>
          <w:rFonts w:hint="eastAsia"/>
          <w:sz w:val="28"/>
          <w:szCs w:val="28"/>
          <w:lang w:val="en-US" w:eastAsia="zh-CN"/>
        </w:rPr>
        <w:t>。</w:t>
      </w:r>
    </w:p>
    <w:p w14:paraId="3BE70C4A">
      <w:pPr>
        <w:numPr>
          <w:ilvl w:val="0"/>
          <w:numId w:val="13"/>
        </w:numPr>
        <w:spacing w:before="156" w:beforeLines="50" w:after="156" w:afterLines="50"/>
        <w:ind w:firstLine="480"/>
        <w:rPr>
          <w:rFonts w:hint="default"/>
          <w:sz w:val="28"/>
          <w:szCs w:val="28"/>
          <w:lang w:val="en-US" w:eastAsia="zh-CN"/>
        </w:rPr>
      </w:pPr>
      <w:r>
        <w:rPr>
          <w:rFonts w:hint="default"/>
          <w:sz w:val="28"/>
          <w:szCs w:val="28"/>
          <w:lang w:val="en-US" w:eastAsia="zh-CN"/>
        </w:rPr>
        <w:t>按</w:t>
      </w:r>
      <w:r>
        <w:rPr>
          <w:rFonts w:hint="eastAsia"/>
          <w:sz w:val="28"/>
          <w:szCs w:val="28"/>
          <w:lang w:val="en-US" w:eastAsia="zh-CN"/>
        </w:rPr>
        <w:t>院</w:t>
      </w:r>
      <w:r>
        <w:rPr>
          <w:rFonts w:hint="default"/>
          <w:sz w:val="28"/>
          <w:szCs w:val="28"/>
          <w:lang w:val="en-US" w:eastAsia="zh-CN"/>
        </w:rPr>
        <w:t>方要求落地机房隔板</w:t>
      </w:r>
      <w:r>
        <w:rPr>
          <w:rFonts w:hint="eastAsia"/>
          <w:sz w:val="28"/>
          <w:szCs w:val="28"/>
          <w:lang w:val="en-US" w:eastAsia="zh-CN"/>
        </w:rPr>
        <w:t>。</w:t>
      </w:r>
    </w:p>
    <w:p w14:paraId="00256E66">
      <w:pPr>
        <w:numPr>
          <w:ilvl w:val="0"/>
          <w:numId w:val="13"/>
        </w:numPr>
        <w:spacing w:before="156" w:beforeLines="50" w:after="156" w:afterLines="50"/>
        <w:ind w:firstLine="480"/>
        <w:rPr>
          <w:rFonts w:hint="default"/>
          <w:sz w:val="28"/>
          <w:szCs w:val="28"/>
          <w:lang w:val="en-US" w:eastAsia="zh-CN"/>
        </w:rPr>
      </w:pPr>
      <w:r>
        <w:rPr>
          <w:rFonts w:hint="default"/>
          <w:sz w:val="28"/>
          <w:szCs w:val="28"/>
          <w:lang w:val="en-US" w:eastAsia="zh-CN"/>
        </w:rPr>
        <w:t>涉及与工务署收边收口项融合的，需补全建设</w:t>
      </w:r>
      <w:r>
        <w:rPr>
          <w:rFonts w:hint="eastAsia"/>
          <w:sz w:val="28"/>
          <w:szCs w:val="28"/>
          <w:lang w:val="en-US" w:eastAsia="zh-CN"/>
        </w:rPr>
        <w:t>。</w:t>
      </w:r>
    </w:p>
    <w:p w14:paraId="525064AE">
      <w:bookmarkStart w:id="23" w:name="_GoBack"/>
      <w:bookmarkEnd w:id="23"/>
    </w:p>
    <w:sectPr>
      <w:footerReference r:id="rId3" w:type="default"/>
      <w:pgSz w:w="11906" w:h="16838"/>
      <w:pgMar w:top="1134" w:right="1134" w:bottom="1134" w:left="1134" w:header="851" w:footer="992" w:gutter="0"/>
      <w:pgNumType w:start="1"/>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隶书">
    <w:panose1 w:val="0201050906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长城仿宋">
    <w:altName w:val="仿宋"/>
    <w:panose1 w:val="00000000000000000000"/>
    <w:charset w:val="86"/>
    <w:family w:val="modern"/>
    <w:pitch w:val="default"/>
    <w:sig w:usb0="00000000" w:usb1="00000000" w:usb2="00000010" w:usb3="00000000" w:csb0="00040000" w:csb1="00000000"/>
  </w:font>
  <w:font w:name="楷体_GB2312">
    <w:panose1 w:val="02010609030101010101"/>
    <w:charset w:val="86"/>
    <w:family w:val="modern"/>
    <w:pitch w:val="default"/>
    <w:sig w:usb0="00000001" w:usb1="080E0000" w:usb2="00000000" w:usb3="00000000" w:csb0="00040000" w:csb1="00000000"/>
  </w:font>
  <w:font w:name="Helvetica">
    <w:altName w:val="Arial"/>
    <w:panose1 w:val="020B0604020202020204"/>
    <w:charset w:val="00"/>
    <w:family w:val="swiss"/>
    <w:pitch w:val="default"/>
    <w:sig w:usb0="00000000" w:usb1="00000000" w:usb2="00000000" w:usb3="00000000" w:csb0="2000019F" w:csb1="4F010000"/>
  </w:font>
  <w:font w:name="文鼎粗黑">
    <w:altName w:val="黑体"/>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5D261B">
    <w:pPr>
      <w:pStyle w:val="2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14:paraId="3125F57D">
                          <w:pPr>
                            <w:pStyle w:val="27"/>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IRcEAPLAQAAmQMAAA4AAAAAAAAAAQAgAAAAHgEAAGRycy9lMm9E&#10;b2MueG1sUEsFBgAAAAAGAAYAWQEAAFsFAAAAAA==&#10;">
              <v:fill on="f" focussize="0,0"/>
              <v:stroke on="f"/>
              <v:imagedata o:title=""/>
              <o:lock v:ext="edit" aspectratio="f"/>
              <v:textbox inset="0mm,0mm,0mm,0mm" style="mso-fit-shape-to-text:t;">
                <w:txbxContent>
                  <w:p w14:paraId="3125F57D">
                    <w:pPr>
                      <w:pStyle w:val="27"/>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0CBAD4"/>
    <w:multiLevelType w:val="singleLevel"/>
    <w:tmpl w:val="A90CBAD4"/>
    <w:lvl w:ilvl="0" w:tentative="0">
      <w:start w:val="1"/>
      <w:numFmt w:val="decimal"/>
      <w:suff w:val="nothing"/>
      <w:lvlText w:val="%1．"/>
      <w:lvlJc w:val="left"/>
      <w:pPr>
        <w:ind w:left="0" w:firstLine="400"/>
      </w:pPr>
      <w:rPr>
        <w:rFonts w:hint="default"/>
      </w:rPr>
    </w:lvl>
  </w:abstractNum>
  <w:abstractNum w:abstractNumId="1">
    <w:nsid w:val="BAA3CF36"/>
    <w:multiLevelType w:val="singleLevel"/>
    <w:tmpl w:val="BAA3CF36"/>
    <w:lvl w:ilvl="0" w:tentative="0">
      <w:start w:val="1"/>
      <w:numFmt w:val="decimal"/>
      <w:suff w:val="nothing"/>
      <w:lvlText w:val="%1．"/>
      <w:lvlJc w:val="left"/>
      <w:pPr>
        <w:ind w:left="0" w:firstLine="400"/>
      </w:pPr>
      <w:rPr>
        <w:rFonts w:hint="default"/>
      </w:rPr>
    </w:lvl>
  </w:abstractNum>
  <w:abstractNum w:abstractNumId="2">
    <w:nsid w:val="D7A8378C"/>
    <w:multiLevelType w:val="singleLevel"/>
    <w:tmpl w:val="D7A8378C"/>
    <w:lvl w:ilvl="0" w:tentative="0">
      <w:start w:val="1"/>
      <w:numFmt w:val="decimal"/>
      <w:lvlText w:val="(%1)"/>
      <w:lvlJc w:val="left"/>
      <w:pPr>
        <w:ind w:left="425" w:hanging="425"/>
      </w:pPr>
      <w:rPr>
        <w:rFonts w:hint="default"/>
      </w:rPr>
    </w:lvl>
  </w:abstractNum>
  <w:abstractNum w:abstractNumId="3">
    <w:nsid w:val="FFD851F6"/>
    <w:multiLevelType w:val="singleLevel"/>
    <w:tmpl w:val="FFD851F6"/>
    <w:lvl w:ilvl="0" w:tentative="0">
      <w:start w:val="1"/>
      <w:numFmt w:val="decimal"/>
      <w:suff w:val="nothing"/>
      <w:lvlText w:val="%1．"/>
      <w:lvlJc w:val="left"/>
      <w:pPr>
        <w:ind w:left="0" w:firstLine="400"/>
      </w:pPr>
      <w:rPr>
        <w:rFonts w:hint="default"/>
      </w:rPr>
    </w:lvl>
  </w:abstractNum>
  <w:abstractNum w:abstractNumId="4">
    <w:nsid w:val="0B6F8154"/>
    <w:multiLevelType w:val="singleLevel"/>
    <w:tmpl w:val="0B6F8154"/>
    <w:lvl w:ilvl="0" w:tentative="0">
      <w:start w:val="1"/>
      <w:numFmt w:val="decimal"/>
      <w:suff w:val="nothing"/>
      <w:lvlText w:val="%1．"/>
      <w:lvlJc w:val="left"/>
      <w:pPr>
        <w:ind w:left="0" w:firstLine="400"/>
      </w:pPr>
      <w:rPr>
        <w:rFonts w:hint="default"/>
      </w:rPr>
    </w:lvl>
  </w:abstractNum>
  <w:abstractNum w:abstractNumId="5">
    <w:nsid w:val="10DD1146"/>
    <w:multiLevelType w:val="multilevel"/>
    <w:tmpl w:val="10DD1146"/>
    <w:lvl w:ilvl="0" w:tentative="0">
      <w:start w:val="0"/>
      <w:numFmt w:val="bullet"/>
      <w:lvlText w:val=""/>
      <w:lvlJc w:val="left"/>
      <w:pPr>
        <w:ind w:left="276" w:hanging="168"/>
      </w:pPr>
      <w:rPr>
        <w:rFonts w:hint="default" w:ascii="Wingdings" w:hAnsi="Wingdings" w:eastAsia="Wingdings" w:cs="Wingdings"/>
        <w:w w:val="100"/>
        <w:position w:val="3"/>
        <w:sz w:val="13"/>
        <w:szCs w:val="13"/>
      </w:rPr>
    </w:lvl>
    <w:lvl w:ilvl="1" w:tentative="0">
      <w:start w:val="0"/>
      <w:numFmt w:val="bullet"/>
      <w:lvlText w:val="•"/>
      <w:lvlJc w:val="left"/>
      <w:pPr>
        <w:ind w:left="702" w:hanging="168"/>
      </w:pPr>
    </w:lvl>
    <w:lvl w:ilvl="2" w:tentative="0">
      <w:start w:val="0"/>
      <w:numFmt w:val="bullet"/>
      <w:lvlText w:val="•"/>
      <w:lvlJc w:val="left"/>
      <w:pPr>
        <w:ind w:left="1125" w:hanging="168"/>
      </w:pPr>
    </w:lvl>
    <w:lvl w:ilvl="3" w:tentative="0">
      <w:start w:val="0"/>
      <w:numFmt w:val="bullet"/>
      <w:lvlText w:val="•"/>
      <w:lvlJc w:val="left"/>
      <w:pPr>
        <w:ind w:left="1548" w:hanging="168"/>
      </w:pPr>
    </w:lvl>
    <w:lvl w:ilvl="4" w:tentative="0">
      <w:start w:val="0"/>
      <w:numFmt w:val="bullet"/>
      <w:lvlText w:val="•"/>
      <w:lvlJc w:val="left"/>
      <w:pPr>
        <w:ind w:left="1971" w:hanging="168"/>
      </w:pPr>
    </w:lvl>
    <w:lvl w:ilvl="5" w:tentative="0">
      <w:start w:val="0"/>
      <w:numFmt w:val="bullet"/>
      <w:lvlText w:val="•"/>
      <w:lvlJc w:val="left"/>
      <w:pPr>
        <w:ind w:left="2394" w:hanging="168"/>
      </w:pPr>
    </w:lvl>
    <w:lvl w:ilvl="6" w:tentative="0">
      <w:start w:val="0"/>
      <w:numFmt w:val="bullet"/>
      <w:lvlText w:val="•"/>
      <w:lvlJc w:val="left"/>
      <w:pPr>
        <w:ind w:left="2817" w:hanging="168"/>
      </w:pPr>
    </w:lvl>
    <w:lvl w:ilvl="7" w:tentative="0">
      <w:start w:val="0"/>
      <w:numFmt w:val="bullet"/>
      <w:lvlText w:val="•"/>
      <w:lvlJc w:val="left"/>
      <w:pPr>
        <w:ind w:left="3240" w:hanging="168"/>
      </w:pPr>
    </w:lvl>
    <w:lvl w:ilvl="8" w:tentative="0">
      <w:start w:val="0"/>
      <w:numFmt w:val="bullet"/>
      <w:lvlText w:val="•"/>
      <w:lvlJc w:val="left"/>
      <w:pPr>
        <w:ind w:left="3663" w:hanging="168"/>
      </w:pPr>
    </w:lvl>
  </w:abstractNum>
  <w:abstractNum w:abstractNumId="6">
    <w:nsid w:val="1CB16ABA"/>
    <w:multiLevelType w:val="singleLevel"/>
    <w:tmpl w:val="1CB16ABA"/>
    <w:lvl w:ilvl="0" w:tentative="0">
      <w:start w:val="1"/>
      <w:numFmt w:val="decimal"/>
      <w:suff w:val="nothing"/>
      <w:lvlText w:val="%1．"/>
      <w:lvlJc w:val="left"/>
      <w:pPr>
        <w:ind w:left="0" w:firstLine="400"/>
      </w:pPr>
      <w:rPr>
        <w:rFonts w:hint="default"/>
      </w:rPr>
    </w:lvl>
  </w:abstractNum>
  <w:abstractNum w:abstractNumId="7">
    <w:nsid w:val="1D5755D3"/>
    <w:multiLevelType w:val="multilevel"/>
    <w:tmpl w:val="1D5755D3"/>
    <w:lvl w:ilvl="0" w:tentative="0">
      <w:start w:val="1"/>
      <w:numFmt w:val="bullet"/>
      <w:pStyle w:val="57"/>
      <w:lvlText w:val=""/>
      <w:lvlJc w:val="left"/>
      <w:pPr>
        <w:tabs>
          <w:tab w:val="left" w:pos="2126"/>
        </w:tabs>
        <w:ind w:left="2126" w:hanging="425"/>
      </w:pPr>
      <w:rPr>
        <w:rFonts w:hint="default" w:ascii="Wingdings" w:hAnsi="Wingdings" w:cs="Wingdings"/>
        <w:b w:val="0"/>
        <w:bCs w:val="0"/>
        <w:i w:val="0"/>
        <w:iCs w:val="0"/>
        <w:caps w:val="0"/>
        <w:strike w:val="0"/>
        <w:dstrike w:val="0"/>
        <w:vanish w:val="0"/>
        <w:color w:val="000000"/>
        <w:spacing w:val="0"/>
        <w:w w:val="100"/>
        <w:position w:val="2"/>
        <w:sz w:val="16"/>
        <w:szCs w:val="16"/>
        <w:vertAlign w:val="baseline"/>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23C15085"/>
    <w:multiLevelType w:val="singleLevel"/>
    <w:tmpl w:val="23C15085"/>
    <w:lvl w:ilvl="0" w:tentative="0">
      <w:start w:val="1"/>
      <w:numFmt w:val="decimal"/>
      <w:suff w:val="nothing"/>
      <w:lvlText w:val="%1．"/>
      <w:lvlJc w:val="left"/>
      <w:pPr>
        <w:ind w:left="0" w:firstLine="400"/>
      </w:pPr>
      <w:rPr>
        <w:rFonts w:hint="default"/>
      </w:rPr>
    </w:lvl>
  </w:abstractNum>
  <w:abstractNum w:abstractNumId="9">
    <w:nsid w:val="37F6E500"/>
    <w:multiLevelType w:val="singleLevel"/>
    <w:tmpl w:val="37F6E500"/>
    <w:lvl w:ilvl="0" w:tentative="0">
      <w:start w:val="1"/>
      <w:numFmt w:val="decimal"/>
      <w:suff w:val="nothing"/>
      <w:lvlText w:val="%1、"/>
      <w:lvlJc w:val="left"/>
    </w:lvl>
  </w:abstractNum>
  <w:abstractNum w:abstractNumId="10">
    <w:nsid w:val="47436C3F"/>
    <w:multiLevelType w:val="singleLevel"/>
    <w:tmpl w:val="47436C3F"/>
    <w:lvl w:ilvl="0" w:tentative="0">
      <w:start w:val="1"/>
      <w:numFmt w:val="decimal"/>
      <w:suff w:val="nothing"/>
      <w:lvlText w:val="%1．"/>
      <w:lvlJc w:val="left"/>
      <w:pPr>
        <w:ind w:left="0" w:firstLine="400"/>
      </w:pPr>
      <w:rPr>
        <w:rFonts w:hint="default"/>
      </w:rPr>
    </w:lvl>
  </w:abstractNum>
  <w:abstractNum w:abstractNumId="11">
    <w:nsid w:val="49599A70"/>
    <w:multiLevelType w:val="singleLevel"/>
    <w:tmpl w:val="49599A70"/>
    <w:lvl w:ilvl="0" w:tentative="0">
      <w:start w:val="1"/>
      <w:numFmt w:val="decimal"/>
      <w:lvlText w:val="(%1)"/>
      <w:lvlJc w:val="left"/>
      <w:pPr>
        <w:ind w:left="425" w:hanging="425"/>
      </w:pPr>
      <w:rPr>
        <w:rFonts w:hint="default"/>
      </w:rPr>
    </w:lvl>
  </w:abstractNum>
  <w:abstractNum w:abstractNumId="12">
    <w:nsid w:val="55A203EC"/>
    <w:multiLevelType w:val="singleLevel"/>
    <w:tmpl w:val="55A203EC"/>
    <w:lvl w:ilvl="0" w:tentative="0">
      <w:start w:val="1"/>
      <w:numFmt w:val="decimal"/>
      <w:suff w:val="nothing"/>
      <w:lvlText w:val="%1、"/>
      <w:lvlJc w:val="left"/>
    </w:lvl>
  </w:abstractNum>
  <w:num w:numId="1">
    <w:abstractNumId w:val="7"/>
  </w:num>
  <w:num w:numId="2">
    <w:abstractNumId w:val="9"/>
  </w:num>
  <w:num w:numId="3">
    <w:abstractNumId w:val="8"/>
  </w:num>
  <w:num w:numId="4">
    <w:abstractNumId w:val="0"/>
  </w:num>
  <w:num w:numId="5">
    <w:abstractNumId w:val="5"/>
  </w:num>
  <w:num w:numId="6">
    <w:abstractNumId w:val="2"/>
  </w:num>
  <w:num w:numId="7">
    <w:abstractNumId w:val="1"/>
  </w:num>
  <w:num w:numId="8">
    <w:abstractNumId w:val="11"/>
  </w:num>
  <w:num w:numId="9">
    <w:abstractNumId w:val="6"/>
  </w:num>
  <w:num w:numId="10">
    <w:abstractNumId w:val="4"/>
  </w:num>
  <w:num w:numId="11">
    <w:abstractNumId w:val="3"/>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FjOTc1N2I2MGNjZjhmYTM4YmEwNmNkYWU0YzdjYjUifQ=="/>
    <w:docVar w:name="KSO_WPS_MARK_KEY" w:val="cff3d603-1dde-410c-9daa-d940138b5d86"/>
  </w:docVars>
  <w:rsids>
    <w:rsidRoot w:val="00465DED"/>
    <w:rsid w:val="0000131F"/>
    <w:rsid w:val="0000259D"/>
    <w:rsid w:val="000036D6"/>
    <w:rsid w:val="00004906"/>
    <w:rsid w:val="00005429"/>
    <w:rsid w:val="00005C27"/>
    <w:rsid w:val="0000670A"/>
    <w:rsid w:val="00006E2A"/>
    <w:rsid w:val="00010B8D"/>
    <w:rsid w:val="00010DC3"/>
    <w:rsid w:val="00011A45"/>
    <w:rsid w:val="00011AAF"/>
    <w:rsid w:val="00012BC4"/>
    <w:rsid w:val="00012F81"/>
    <w:rsid w:val="00013364"/>
    <w:rsid w:val="000137C2"/>
    <w:rsid w:val="00014625"/>
    <w:rsid w:val="00014823"/>
    <w:rsid w:val="00016458"/>
    <w:rsid w:val="000165EF"/>
    <w:rsid w:val="0001731B"/>
    <w:rsid w:val="000208F8"/>
    <w:rsid w:val="00021304"/>
    <w:rsid w:val="0002162A"/>
    <w:rsid w:val="00022C27"/>
    <w:rsid w:val="00022F4F"/>
    <w:rsid w:val="00022FA9"/>
    <w:rsid w:val="00023C3C"/>
    <w:rsid w:val="00025B21"/>
    <w:rsid w:val="00026CF4"/>
    <w:rsid w:val="00027415"/>
    <w:rsid w:val="000274F7"/>
    <w:rsid w:val="00027523"/>
    <w:rsid w:val="000307C5"/>
    <w:rsid w:val="00030D77"/>
    <w:rsid w:val="000312E0"/>
    <w:rsid w:val="00031692"/>
    <w:rsid w:val="00031887"/>
    <w:rsid w:val="000319D1"/>
    <w:rsid w:val="00034043"/>
    <w:rsid w:val="0003479B"/>
    <w:rsid w:val="00034D9B"/>
    <w:rsid w:val="00034E88"/>
    <w:rsid w:val="0003524E"/>
    <w:rsid w:val="000367ED"/>
    <w:rsid w:val="000372E9"/>
    <w:rsid w:val="0003762A"/>
    <w:rsid w:val="0003795A"/>
    <w:rsid w:val="00040861"/>
    <w:rsid w:val="000428FC"/>
    <w:rsid w:val="00043D2B"/>
    <w:rsid w:val="000447F6"/>
    <w:rsid w:val="00045923"/>
    <w:rsid w:val="00045EB5"/>
    <w:rsid w:val="00046595"/>
    <w:rsid w:val="00047612"/>
    <w:rsid w:val="00047852"/>
    <w:rsid w:val="00050F73"/>
    <w:rsid w:val="00051378"/>
    <w:rsid w:val="00052132"/>
    <w:rsid w:val="0005223D"/>
    <w:rsid w:val="000545F7"/>
    <w:rsid w:val="0005526E"/>
    <w:rsid w:val="000553E6"/>
    <w:rsid w:val="00056374"/>
    <w:rsid w:val="00056617"/>
    <w:rsid w:val="00057655"/>
    <w:rsid w:val="00060526"/>
    <w:rsid w:val="0006264D"/>
    <w:rsid w:val="00062FC5"/>
    <w:rsid w:val="0006301D"/>
    <w:rsid w:val="00063F2E"/>
    <w:rsid w:val="00066813"/>
    <w:rsid w:val="0006745C"/>
    <w:rsid w:val="00070384"/>
    <w:rsid w:val="0007211D"/>
    <w:rsid w:val="0007246F"/>
    <w:rsid w:val="000730F3"/>
    <w:rsid w:val="00073B23"/>
    <w:rsid w:val="0007421E"/>
    <w:rsid w:val="00074554"/>
    <w:rsid w:val="00074BEF"/>
    <w:rsid w:val="00075AD5"/>
    <w:rsid w:val="00076C09"/>
    <w:rsid w:val="00077388"/>
    <w:rsid w:val="00080168"/>
    <w:rsid w:val="00080A90"/>
    <w:rsid w:val="00081B06"/>
    <w:rsid w:val="00081D3E"/>
    <w:rsid w:val="000820E6"/>
    <w:rsid w:val="000825F6"/>
    <w:rsid w:val="00082956"/>
    <w:rsid w:val="00082ABE"/>
    <w:rsid w:val="00083D3F"/>
    <w:rsid w:val="00083E84"/>
    <w:rsid w:val="00085134"/>
    <w:rsid w:val="00085317"/>
    <w:rsid w:val="00085419"/>
    <w:rsid w:val="000855C1"/>
    <w:rsid w:val="0008596C"/>
    <w:rsid w:val="00085FFE"/>
    <w:rsid w:val="000866A3"/>
    <w:rsid w:val="00086F62"/>
    <w:rsid w:val="00087AE2"/>
    <w:rsid w:val="00091201"/>
    <w:rsid w:val="0009127F"/>
    <w:rsid w:val="0009133A"/>
    <w:rsid w:val="0009145A"/>
    <w:rsid w:val="00091526"/>
    <w:rsid w:val="00092BD5"/>
    <w:rsid w:val="00094818"/>
    <w:rsid w:val="00095198"/>
    <w:rsid w:val="00095806"/>
    <w:rsid w:val="00095F61"/>
    <w:rsid w:val="000962FB"/>
    <w:rsid w:val="00097B04"/>
    <w:rsid w:val="000A0776"/>
    <w:rsid w:val="000A0ABE"/>
    <w:rsid w:val="000A2326"/>
    <w:rsid w:val="000A2D79"/>
    <w:rsid w:val="000A584E"/>
    <w:rsid w:val="000A5A8E"/>
    <w:rsid w:val="000A5CD4"/>
    <w:rsid w:val="000A7478"/>
    <w:rsid w:val="000A7A6C"/>
    <w:rsid w:val="000B0205"/>
    <w:rsid w:val="000B0817"/>
    <w:rsid w:val="000B10D9"/>
    <w:rsid w:val="000B1772"/>
    <w:rsid w:val="000B20FC"/>
    <w:rsid w:val="000B2D4D"/>
    <w:rsid w:val="000B2EE3"/>
    <w:rsid w:val="000B4F60"/>
    <w:rsid w:val="000B5CC8"/>
    <w:rsid w:val="000B5DFC"/>
    <w:rsid w:val="000B669E"/>
    <w:rsid w:val="000C1B95"/>
    <w:rsid w:val="000C22E2"/>
    <w:rsid w:val="000C299D"/>
    <w:rsid w:val="000C2F40"/>
    <w:rsid w:val="000C3B21"/>
    <w:rsid w:val="000C428C"/>
    <w:rsid w:val="000C48DA"/>
    <w:rsid w:val="000C7685"/>
    <w:rsid w:val="000D11C5"/>
    <w:rsid w:val="000D2CA8"/>
    <w:rsid w:val="000D48D5"/>
    <w:rsid w:val="000D6088"/>
    <w:rsid w:val="000D6F21"/>
    <w:rsid w:val="000D73B9"/>
    <w:rsid w:val="000D7803"/>
    <w:rsid w:val="000D7DC6"/>
    <w:rsid w:val="000E133D"/>
    <w:rsid w:val="000E18B0"/>
    <w:rsid w:val="000E1BD5"/>
    <w:rsid w:val="000E2823"/>
    <w:rsid w:val="000E3219"/>
    <w:rsid w:val="000E37C6"/>
    <w:rsid w:val="000E3B71"/>
    <w:rsid w:val="000E3D76"/>
    <w:rsid w:val="000E52FA"/>
    <w:rsid w:val="000E5644"/>
    <w:rsid w:val="000E6437"/>
    <w:rsid w:val="000E7691"/>
    <w:rsid w:val="000F0D6F"/>
    <w:rsid w:val="000F1EDD"/>
    <w:rsid w:val="000F3580"/>
    <w:rsid w:val="000F3CAF"/>
    <w:rsid w:val="000F3F04"/>
    <w:rsid w:val="000F420E"/>
    <w:rsid w:val="000F454C"/>
    <w:rsid w:val="000F4924"/>
    <w:rsid w:val="000F4EE2"/>
    <w:rsid w:val="000F527A"/>
    <w:rsid w:val="000F5A22"/>
    <w:rsid w:val="000F5C16"/>
    <w:rsid w:val="000F7241"/>
    <w:rsid w:val="000F7836"/>
    <w:rsid w:val="000F7F62"/>
    <w:rsid w:val="001001FD"/>
    <w:rsid w:val="00100DA7"/>
    <w:rsid w:val="00101CD4"/>
    <w:rsid w:val="00101DFC"/>
    <w:rsid w:val="00101FE8"/>
    <w:rsid w:val="00102A12"/>
    <w:rsid w:val="00102CC6"/>
    <w:rsid w:val="00102F0D"/>
    <w:rsid w:val="001048BE"/>
    <w:rsid w:val="0010658C"/>
    <w:rsid w:val="001072EB"/>
    <w:rsid w:val="00107924"/>
    <w:rsid w:val="0011014B"/>
    <w:rsid w:val="00111274"/>
    <w:rsid w:val="001117B9"/>
    <w:rsid w:val="001134EF"/>
    <w:rsid w:val="0011504B"/>
    <w:rsid w:val="001151A9"/>
    <w:rsid w:val="00116B2A"/>
    <w:rsid w:val="00116FD1"/>
    <w:rsid w:val="0012030F"/>
    <w:rsid w:val="00120AB4"/>
    <w:rsid w:val="00120BE1"/>
    <w:rsid w:val="00121200"/>
    <w:rsid w:val="00121AE1"/>
    <w:rsid w:val="00121C20"/>
    <w:rsid w:val="00123EA6"/>
    <w:rsid w:val="0012400B"/>
    <w:rsid w:val="0012537B"/>
    <w:rsid w:val="00126703"/>
    <w:rsid w:val="0012714F"/>
    <w:rsid w:val="00127401"/>
    <w:rsid w:val="00127915"/>
    <w:rsid w:val="00130801"/>
    <w:rsid w:val="00130A8C"/>
    <w:rsid w:val="001310AA"/>
    <w:rsid w:val="00132670"/>
    <w:rsid w:val="0013280E"/>
    <w:rsid w:val="001328E9"/>
    <w:rsid w:val="0013318E"/>
    <w:rsid w:val="00136615"/>
    <w:rsid w:val="00136BA5"/>
    <w:rsid w:val="001372AB"/>
    <w:rsid w:val="00137B1E"/>
    <w:rsid w:val="001403D0"/>
    <w:rsid w:val="00143392"/>
    <w:rsid w:val="001438E5"/>
    <w:rsid w:val="00143AB1"/>
    <w:rsid w:val="00143D73"/>
    <w:rsid w:val="00146964"/>
    <w:rsid w:val="00146E88"/>
    <w:rsid w:val="00147B19"/>
    <w:rsid w:val="00150618"/>
    <w:rsid w:val="00150E64"/>
    <w:rsid w:val="00151766"/>
    <w:rsid w:val="00151C13"/>
    <w:rsid w:val="00152F39"/>
    <w:rsid w:val="00153918"/>
    <w:rsid w:val="001547E1"/>
    <w:rsid w:val="00154F74"/>
    <w:rsid w:val="0015538D"/>
    <w:rsid w:val="00155AB0"/>
    <w:rsid w:val="001571E8"/>
    <w:rsid w:val="001573E3"/>
    <w:rsid w:val="00160375"/>
    <w:rsid w:val="00161337"/>
    <w:rsid w:val="00161522"/>
    <w:rsid w:val="001617AE"/>
    <w:rsid w:val="00161E4F"/>
    <w:rsid w:val="0016263C"/>
    <w:rsid w:val="00162AE8"/>
    <w:rsid w:val="00162C56"/>
    <w:rsid w:val="00162DB2"/>
    <w:rsid w:val="001636FF"/>
    <w:rsid w:val="00164924"/>
    <w:rsid w:val="001657B1"/>
    <w:rsid w:val="00167927"/>
    <w:rsid w:val="00170C17"/>
    <w:rsid w:val="001715A5"/>
    <w:rsid w:val="0017173E"/>
    <w:rsid w:val="00171CA3"/>
    <w:rsid w:val="00173149"/>
    <w:rsid w:val="00173759"/>
    <w:rsid w:val="00174207"/>
    <w:rsid w:val="00174CE3"/>
    <w:rsid w:val="00177549"/>
    <w:rsid w:val="001778BE"/>
    <w:rsid w:val="00181FEA"/>
    <w:rsid w:val="0018284B"/>
    <w:rsid w:val="00182B41"/>
    <w:rsid w:val="00182F35"/>
    <w:rsid w:val="001845E9"/>
    <w:rsid w:val="001864FF"/>
    <w:rsid w:val="0019153B"/>
    <w:rsid w:val="00191856"/>
    <w:rsid w:val="001918A2"/>
    <w:rsid w:val="001919EB"/>
    <w:rsid w:val="00191B94"/>
    <w:rsid w:val="0019227B"/>
    <w:rsid w:val="00192D08"/>
    <w:rsid w:val="00193835"/>
    <w:rsid w:val="001941C8"/>
    <w:rsid w:val="00194565"/>
    <w:rsid w:val="00195B8B"/>
    <w:rsid w:val="00195DCB"/>
    <w:rsid w:val="00195F14"/>
    <w:rsid w:val="001961A2"/>
    <w:rsid w:val="00196787"/>
    <w:rsid w:val="00196B4C"/>
    <w:rsid w:val="001970AD"/>
    <w:rsid w:val="00197204"/>
    <w:rsid w:val="00197395"/>
    <w:rsid w:val="001A0E88"/>
    <w:rsid w:val="001A173C"/>
    <w:rsid w:val="001A1844"/>
    <w:rsid w:val="001A193D"/>
    <w:rsid w:val="001A1998"/>
    <w:rsid w:val="001A1BE9"/>
    <w:rsid w:val="001A20CA"/>
    <w:rsid w:val="001A3900"/>
    <w:rsid w:val="001A3B13"/>
    <w:rsid w:val="001A3CF6"/>
    <w:rsid w:val="001A3EE7"/>
    <w:rsid w:val="001A5511"/>
    <w:rsid w:val="001A563D"/>
    <w:rsid w:val="001A63BA"/>
    <w:rsid w:val="001A6C49"/>
    <w:rsid w:val="001B0220"/>
    <w:rsid w:val="001B0850"/>
    <w:rsid w:val="001B2A31"/>
    <w:rsid w:val="001B2D49"/>
    <w:rsid w:val="001B5B42"/>
    <w:rsid w:val="001B6DDB"/>
    <w:rsid w:val="001B7078"/>
    <w:rsid w:val="001B7491"/>
    <w:rsid w:val="001B7BE5"/>
    <w:rsid w:val="001B7EBE"/>
    <w:rsid w:val="001C06C0"/>
    <w:rsid w:val="001C10E5"/>
    <w:rsid w:val="001C1A12"/>
    <w:rsid w:val="001C1F6C"/>
    <w:rsid w:val="001C226C"/>
    <w:rsid w:val="001C30D1"/>
    <w:rsid w:val="001C35B7"/>
    <w:rsid w:val="001C3AE0"/>
    <w:rsid w:val="001D0702"/>
    <w:rsid w:val="001D0A25"/>
    <w:rsid w:val="001D20A5"/>
    <w:rsid w:val="001D296C"/>
    <w:rsid w:val="001D2F3D"/>
    <w:rsid w:val="001D33C3"/>
    <w:rsid w:val="001D3DED"/>
    <w:rsid w:val="001D3DF8"/>
    <w:rsid w:val="001D3E38"/>
    <w:rsid w:val="001D4E6F"/>
    <w:rsid w:val="001D54C6"/>
    <w:rsid w:val="001D5573"/>
    <w:rsid w:val="001D6356"/>
    <w:rsid w:val="001D6EC3"/>
    <w:rsid w:val="001D710C"/>
    <w:rsid w:val="001E084A"/>
    <w:rsid w:val="001E11B1"/>
    <w:rsid w:val="001E208F"/>
    <w:rsid w:val="001E233C"/>
    <w:rsid w:val="001E630A"/>
    <w:rsid w:val="001E7838"/>
    <w:rsid w:val="001E7A3D"/>
    <w:rsid w:val="001F178E"/>
    <w:rsid w:val="001F1F7F"/>
    <w:rsid w:val="001F2E14"/>
    <w:rsid w:val="001F37E0"/>
    <w:rsid w:val="001F401A"/>
    <w:rsid w:val="001F41F7"/>
    <w:rsid w:val="001F4A76"/>
    <w:rsid w:val="001F4F4A"/>
    <w:rsid w:val="001F5989"/>
    <w:rsid w:val="001F6190"/>
    <w:rsid w:val="001F7281"/>
    <w:rsid w:val="002035A2"/>
    <w:rsid w:val="00203887"/>
    <w:rsid w:val="00203964"/>
    <w:rsid w:val="00204688"/>
    <w:rsid w:val="002046D6"/>
    <w:rsid w:val="00205C71"/>
    <w:rsid w:val="00206BD9"/>
    <w:rsid w:val="0020717B"/>
    <w:rsid w:val="00210436"/>
    <w:rsid w:val="0021043B"/>
    <w:rsid w:val="00210E7E"/>
    <w:rsid w:val="00211084"/>
    <w:rsid w:val="00211254"/>
    <w:rsid w:val="002122AD"/>
    <w:rsid w:val="002139CD"/>
    <w:rsid w:val="00213E88"/>
    <w:rsid w:val="00214C22"/>
    <w:rsid w:val="0021781A"/>
    <w:rsid w:val="00217CD4"/>
    <w:rsid w:val="002201AC"/>
    <w:rsid w:val="0022067E"/>
    <w:rsid w:val="00220BEC"/>
    <w:rsid w:val="00221029"/>
    <w:rsid w:val="002216BD"/>
    <w:rsid w:val="00221FE8"/>
    <w:rsid w:val="00222F08"/>
    <w:rsid w:val="002237FD"/>
    <w:rsid w:val="0022442C"/>
    <w:rsid w:val="00224A1D"/>
    <w:rsid w:val="00225340"/>
    <w:rsid w:val="00225A7C"/>
    <w:rsid w:val="00225F51"/>
    <w:rsid w:val="002269FF"/>
    <w:rsid w:val="002274F2"/>
    <w:rsid w:val="00227BE4"/>
    <w:rsid w:val="00227C1E"/>
    <w:rsid w:val="00230D0C"/>
    <w:rsid w:val="00230EA4"/>
    <w:rsid w:val="00231DF4"/>
    <w:rsid w:val="00231E9A"/>
    <w:rsid w:val="002332DD"/>
    <w:rsid w:val="00233EA8"/>
    <w:rsid w:val="00233EE9"/>
    <w:rsid w:val="00235CCD"/>
    <w:rsid w:val="0023602F"/>
    <w:rsid w:val="002362A8"/>
    <w:rsid w:val="002362ED"/>
    <w:rsid w:val="00236B8E"/>
    <w:rsid w:val="00237036"/>
    <w:rsid w:val="002372AC"/>
    <w:rsid w:val="00237A33"/>
    <w:rsid w:val="00240134"/>
    <w:rsid w:val="00240B0F"/>
    <w:rsid w:val="00240E54"/>
    <w:rsid w:val="00241BD9"/>
    <w:rsid w:val="00242B67"/>
    <w:rsid w:val="00243A5F"/>
    <w:rsid w:val="002442A5"/>
    <w:rsid w:val="00244AF3"/>
    <w:rsid w:val="00244EFB"/>
    <w:rsid w:val="002451ED"/>
    <w:rsid w:val="002458E4"/>
    <w:rsid w:val="00245DD8"/>
    <w:rsid w:val="00246184"/>
    <w:rsid w:val="002506EE"/>
    <w:rsid w:val="00251528"/>
    <w:rsid w:val="00252D49"/>
    <w:rsid w:val="00253C51"/>
    <w:rsid w:val="002548D3"/>
    <w:rsid w:val="0025568B"/>
    <w:rsid w:val="002561B7"/>
    <w:rsid w:val="00257131"/>
    <w:rsid w:val="0025733E"/>
    <w:rsid w:val="00257551"/>
    <w:rsid w:val="00257F6B"/>
    <w:rsid w:val="00261066"/>
    <w:rsid w:val="0026109E"/>
    <w:rsid w:val="00261C50"/>
    <w:rsid w:val="00261E06"/>
    <w:rsid w:val="00263090"/>
    <w:rsid w:val="00264D98"/>
    <w:rsid w:val="00264E11"/>
    <w:rsid w:val="00265054"/>
    <w:rsid w:val="0026523F"/>
    <w:rsid w:val="00266BE6"/>
    <w:rsid w:val="00267935"/>
    <w:rsid w:val="00270B8F"/>
    <w:rsid w:val="00271B39"/>
    <w:rsid w:val="00272D67"/>
    <w:rsid w:val="0027313B"/>
    <w:rsid w:val="00273AFD"/>
    <w:rsid w:val="00273CF6"/>
    <w:rsid w:val="00274203"/>
    <w:rsid w:val="0027423D"/>
    <w:rsid w:val="00274F13"/>
    <w:rsid w:val="00275567"/>
    <w:rsid w:val="00275D52"/>
    <w:rsid w:val="00276BC6"/>
    <w:rsid w:val="0027714E"/>
    <w:rsid w:val="0027723E"/>
    <w:rsid w:val="002772D9"/>
    <w:rsid w:val="0028028C"/>
    <w:rsid w:val="0028072C"/>
    <w:rsid w:val="00280915"/>
    <w:rsid w:val="00281083"/>
    <w:rsid w:val="00281DA0"/>
    <w:rsid w:val="002821AF"/>
    <w:rsid w:val="00282D45"/>
    <w:rsid w:val="00283253"/>
    <w:rsid w:val="00283A96"/>
    <w:rsid w:val="00283C84"/>
    <w:rsid w:val="002846FD"/>
    <w:rsid w:val="00285350"/>
    <w:rsid w:val="0028535D"/>
    <w:rsid w:val="00285D2A"/>
    <w:rsid w:val="00285F50"/>
    <w:rsid w:val="00287102"/>
    <w:rsid w:val="00290655"/>
    <w:rsid w:val="00293DA4"/>
    <w:rsid w:val="002943C7"/>
    <w:rsid w:val="00294966"/>
    <w:rsid w:val="00296304"/>
    <w:rsid w:val="002965D8"/>
    <w:rsid w:val="002A0381"/>
    <w:rsid w:val="002A0425"/>
    <w:rsid w:val="002A0651"/>
    <w:rsid w:val="002A06BD"/>
    <w:rsid w:val="002A11FB"/>
    <w:rsid w:val="002A120C"/>
    <w:rsid w:val="002A1996"/>
    <w:rsid w:val="002A1F00"/>
    <w:rsid w:val="002A2185"/>
    <w:rsid w:val="002A21D9"/>
    <w:rsid w:val="002A334F"/>
    <w:rsid w:val="002A52CC"/>
    <w:rsid w:val="002A55AD"/>
    <w:rsid w:val="002A58FF"/>
    <w:rsid w:val="002A5FBD"/>
    <w:rsid w:val="002A6C04"/>
    <w:rsid w:val="002A6E4D"/>
    <w:rsid w:val="002A7153"/>
    <w:rsid w:val="002A728A"/>
    <w:rsid w:val="002A72AE"/>
    <w:rsid w:val="002A73C5"/>
    <w:rsid w:val="002A7D4F"/>
    <w:rsid w:val="002B011D"/>
    <w:rsid w:val="002B021E"/>
    <w:rsid w:val="002B2E09"/>
    <w:rsid w:val="002B32C8"/>
    <w:rsid w:val="002B3640"/>
    <w:rsid w:val="002B3C7C"/>
    <w:rsid w:val="002B6528"/>
    <w:rsid w:val="002B6DB3"/>
    <w:rsid w:val="002C0747"/>
    <w:rsid w:val="002C08AB"/>
    <w:rsid w:val="002C10D4"/>
    <w:rsid w:val="002C1287"/>
    <w:rsid w:val="002C183E"/>
    <w:rsid w:val="002C1AA0"/>
    <w:rsid w:val="002C24DC"/>
    <w:rsid w:val="002C3057"/>
    <w:rsid w:val="002C44A2"/>
    <w:rsid w:val="002C44D3"/>
    <w:rsid w:val="002C467A"/>
    <w:rsid w:val="002C47E7"/>
    <w:rsid w:val="002C526F"/>
    <w:rsid w:val="002C6637"/>
    <w:rsid w:val="002D13DF"/>
    <w:rsid w:val="002D3B6B"/>
    <w:rsid w:val="002D41A4"/>
    <w:rsid w:val="002D5609"/>
    <w:rsid w:val="002D5A80"/>
    <w:rsid w:val="002D603D"/>
    <w:rsid w:val="002D6306"/>
    <w:rsid w:val="002D769E"/>
    <w:rsid w:val="002D7718"/>
    <w:rsid w:val="002D7F73"/>
    <w:rsid w:val="002E00AD"/>
    <w:rsid w:val="002E075F"/>
    <w:rsid w:val="002E08C1"/>
    <w:rsid w:val="002E0B56"/>
    <w:rsid w:val="002E0B5D"/>
    <w:rsid w:val="002E1650"/>
    <w:rsid w:val="002E214F"/>
    <w:rsid w:val="002E29A5"/>
    <w:rsid w:val="002E3859"/>
    <w:rsid w:val="002E3C98"/>
    <w:rsid w:val="002E57C9"/>
    <w:rsid w:val="002E5C86"/>
    <w:rsid w:val="002E6A58"/>
    <w:rsid w:val="002E7881"/>
    <w:rsid w:val="002F01F2"/>
    <w:rsid w:val="002F11D5"/>
    <w:rsid w:val="002F3765"/>
    <w:rsid w:val="002F3BD4"/>
    <w:rsid w:val="002F45CA"/>
    <w:rsid w:val="002F4F44"/>
    <w:rsid w:val="002F50DA"/>
    <w:rsid w:val="002F574C"/>
    <w:rsid w:val="002F584B"/>
    <w:rsid w:val="002F5FC3"/>
    <w:rsid w:val="002F6EF2"/>
    <w:rsid w:val="002F7D39"/>
    <w:rsid w:val="002F7E8D"/>
    <w:rsid w:val="00301633"/>
    <w:rsid w:val="00302124"/>
    <w:rsid w:val="003022E5"/>
    <w:rsid w:val="003033D9"/>
    <w:rsid w:val="00303F98"/>
    <w:rsid w:val="00304298"/>
    <w:rsid w:val="00304338"/>
    <w:rsid w:val="003044F5"/>
    <w:rsid w:val="003051C9"/>
    <w:rsid w:val="00305D1D"/>
    <w:rsid w:val="0030700E"/>
    <w:rsid w:val="00307766"/>
    <w:rsid w:val="00307A2D"/>
    <w:rsid w:val="00307F5A"/>
    <w:rsid w:val="00307FC5"/>
    <w:rsid w:val="00310D4B"/>
    <w:rsid w:val="00311A7F"/>
    <w:rsid w:val="00312C17"/>
    <w:rsid w:val="003132C3"/>
    <w:rsid w:val="00313A3B"/>
    <w:rsid w:val="00314C92"/>
    <w:rsid w:val="00315243"/>
    <w:rsid w:val="00317240"/>
    <w:rsid w:val="0031737C"/>
    <w:rsid w:val="003201A8"/>
    <w:rsid w:val="003203BF"/>
    <w:rsid w:val="0032108A"/>
    <w:rsid w:val="00321358"/>
    <w:rsid w:val="003214D6"/>
    <w:rsid w:val="0032244E"/>
    <w:rsid w:val="0032274E"/>
    <w:rsid w:val="003242E5"/>
    <w:rsid w:val="00324402"/>
    <w:rsid w:val="0032456E"/>
    <w:rsid w:val="00324DD8"/>
    <w:rsid w:val="00325650"/>
    <w:rsid w:val="003256E0"/>
    <w:rsid w:val="00327114"/>
    <w:rsid w:val="00327B3E"/>
    <w:rsid w:val="00327EA3"/>
    <w:rsid w:val="00330883"/>
    <w:rsid w:val="003310E8"/>
    <w:rsid w:val="0033321A"/>
    <w:rsid w:val="00333676"/>
    <w:rsid w:val="003337D6"/>
    <w:rsid w:val="00333A02"/>
    <w:rsid w:val="00333E4C"/>
    <w:rsid w:val="00334224"/>
    <w:rsid w:val="0033425B"/>
    <w:rsid w:val="00334680"/>
    <w:rsid w:val="003350A3"/>
    <w:rsid w:val="0033586C"/>
    <w:rsid w:val="00335E90"/>
    <w:rsid w:val="00340397"/>
    <w:rsid w:val="00340445"/>
    <w:rsid w:val="00342BAE"/>
    <w:rsid w:val="00343125"/>
    <w:rsid w:val="003431F0"/>
    <w:rsid w:val="00344388"/>
    <w:rsid w:val="003456A4"/>
    <w:rsid w:val="00345AD6"/>
    <w:rsid w:val="00345E2A"/>
    <w:rsid w:val="00345E64"/>
    <w:rsid w:val="00346772"/>
    <w:rsid w:val="00346A25"/>
    <w:rsid w:val="00346E05"/>
    <w:rsid w:val="00350F6A"/>
    <w:rsid w:val="00351288"/>
    <w:rsid w:val="00352BC1"/>
    <w:rsid w:val="00354FA4"/>
    <w:rsid w:val="00355855"/>
    <w:rsid w:val="003571E8"/>
    <w:rsid w:val="003602AF"/>
    <w:rsid w:val="0036114E"/>
    <w:rsid w:val="0036184D"/>
    <w:rsid w:val="003619E8"/>
    <w:rsid w:val="003646C5"/>
    <w:rsid w:val="00365ABE"/>
    <w:rsid w:val="00366FA8"/>
    <w:rsid w:val="003703D0"/>
    <w:rsid w:val="003709F9"/>
    <w:rsid w:val="00372522"/>
    <w:rsid w:val="003727D2"/>
    <w:rsid w:val="003728C9"/>
    <w:rsid w:val="00373923"/>
    <w:rsid w:val="00374211"/>
    <w:rsid w:val="003744B5"/>
    <w:rsid w:val="003756AA"/>
    <w:rsid w:val="0037572F"/>
    <w:rsid w:val="00376009"/>
    <w:rsid w:val="00376309"/>
    <w:rsid w:val="00376B62"/>
    <w:rsid w:val="003773D2"/>
    <w:rsid w:val="00377962"/>
    <w:rsid w:val="00377B2A"/>
    <w:rsid w:val="00381308"/>
    <w:rsid w:val="003814E4"/>
    <w:rsid w:val="00381578"/>
    <w:rsid w:val="0038217A"/>
    <w:rsid w:val="003824ED"/>
    <w:rsid w:val="00382561"/>
    <w:rsid w:val="00382B9E"/>
    <w:rsid w:val="00382C17"/>
    <w:rsid w:val="00382C49"/>
    <w:rsid w:val="0038318E"/>
    <w:rsid w:val="0038336E"/>
    <w:rsid w:val="00383746"/>
    <w:rsid w:val="00383D32"/>
    <w:rsid w:val="003843EC"/>
    <w:rsid w:val="003846AA"/>
    <w:rsid w:val="003847A5"/>
    <w:rsid w:val="00387F66"/>
    <w:rsid w:val="00390368"/>
    <w:rsid w:val="003909DB"/>
    <w:rsid w:val="00393028"/>
    <w:rsid w:val="0039306C"/>
    <w:rsid w:val="0039313E"/>
    <w:rsid w:val="00393BEF"/>
    <w:rsid w:val="00394848"/>
    <w:rsid w:val="00394D1B"/>
    <w:rsid w:val="00394EA1"/>
    <w:rsid w:val="00395AE1"/>
    <w:rsid w:val="003960EC"/>
    <w:rsid w:val="0039729C"/>
    <w:rsid w:val="00397BFA"/>
    <w:rsid w:val="003A0BE4"/>
    <w:rsid w:val="003A1771"/>
    <w:rsid w:val="003A1D06"/>
    <w:rsid w:val="003A268D"/>
    <w:rsid w:val="003A2908"/>
    <w:rsid w:val="003A3218"/>
    <w:rsid w:val="003A407A"/>
    <w:rsid w:val="003A449B"/>
    <w:rsid w:val="003A44F3"/>
    <w:rsid w:val="003A4E62"/>
    <w:rsid w:val="003A52FE"/>
    <w:rsid w:val="003A574F"/>
    <w:rsid w:val="003A58D0"/>
    <w:rsid w:val="003A6F5E"/>
    <w:rsid w:val="003A6FDB"/>
    <w:rsid w:val="003A75DD"/>
    <w:rsid w:val="003B01FA"/>
    <w:rsid w:val="003B0A1B"/>
    <w:rsid w:val="003B0E2C"/>
    <w:rsid w:val="003B1B85"/>
    <w:rsid w:val="003B2926"/>
    <w:rsid w:val="003B2E4E"/>
    <w:rsid w:val="003B3713"/>
    <w:rsid w:val="003B3AA5"/>
    <w:rsid w:val="003B4982"/>
    <w:rsid w:val="003B4B46"/>
    <w:rsid w:val="003B643C"/>
    <w:rsid w:val="003B65AB"/>
    <w:rsid w:val="003B67DA"/>
    <w:rsid w:val="003B6CFD"/>
    <w:rsid w:val="003B7740"/>
    <w:rsid w:val="003C01A4"/>
    <w:rsid w:val="003C10D6"/>
    <w:rsid w:val="003C1A50"/>
    <w:rsid w:val="003C1F0B"/>
    <w:rsid w:val="003C2E11"/>
    <w:rsid w:val="003C3323"/>
    <w:rsid w:val="003C3359"/>
    <w:rsid w:val="003C44A5"/>
    <w:rsid w:val="003C488F"/>
    <w:rsid w:val="003C4D8D"/>
    <w:rsid w:val="003C4DA4"/>
    <w:rsid w:val="003C5286"/>
    <w:rsid w:val="003C63D8"/>
    <w:rsid w:val="003C6F9B"/>
    <w:rsid w:val="003D0AC3"/>
    <w:rsid w:val="003D16D0"/>
    <w:rsid w:val="003D3FDB"/>
    <w:rsid w:val="003D53DC"/>
    <w:rsid w:val="003D589A"/>
    <w:rsid w:val="003D6E2F"/>
    <w:rsid w:val="003D7BA8"/>
    <w:rsid w:val="003E0E08"/>
    <w:rsid w:val="003E0F1D"/>
    <w:rsid w:val="003E1C2F"/>
    <w:rsid w:val="003E2286"/>
    <w:rsid w:val="003E27AC"/>
    <w:rsid w:val="003E2B37"/>
    <w:rsid w:val="003E3074"/>
    <w:rsid w:val="003E3167"/>
    <w:rsid w:val="003E3726"/>
    <w:rsid w:val="003E3CAE"/>
    <w:rsid w:val="003E43CB"/>
    <w:rsid w:val="003E4428"/>
    <w:rsid w:val="003E4571"/>
    <w:rsid w:val="003E45C2"/>
    <w:rsid w:val="003E56AA"/>
    <w:rsid w:val="003E5894"/>
    <w:rsid w:val="003E5AD8"/>
    <w:rsid w:val="003E69D8"/>
    <w:rsid w:val="003E6B1E"/>
    <w:rsid w:val="003E6EAB"/>
    <w:rsid w:val="003E6EB1"/>
    <w:rsid w:val="003E7E77"/>
    <w:rsid w:val="003F1F28"/>
    <w:rsid w:val="003F2183"/>
    <w:rsid w:val="003F2B64"/>
    <w:rsid w:val="003F3ED0"/>
    <w:rsid w:val="003F447B"/>
    <w:rsid w:val="003F50A1"/>
    <w:rsid w:val="003F5132"/>
    <w:rsid w:val="003F65B3"/>
    <w:rsid w:val="003F6B1B"/>
    <w:rsid w:val="003F6BA8"/>
    <w:rsid w:val="00400133"/>
    <w:rsid w:val="004009A7"/>
    <w:rsid w:val="00400A0B"/>
    <w:rsid w:val="00400D1B"/>
    <w:rsid w:val="00401E65"/>
    <w:rsid w:val="004025F3"/>
    <w:rsid w:val="00402AB6"/>
    <w:rsid w:val="004035B9"/>
    <w:rsid w:val="00404F25"/>
    <w:rsid w:val="00405A2A"/>
    <w:rsid w:val="00405AF2"/>
    <w:rsid w:val="00405C91"/>
    <w:rsid w:val="00405E73"/>
    <w:rsid w:val="004061A4"/>
    <w:rsid w:val="0040632D"/>
    <w:rsid w:val="004065CC"/>
    <w:rsid w:val="0040683D"/>
    <w:rsid w:val="00407BC7"/>
    <w:rsid w:val="00407F8F"/>
    <w:rsid w:val="00410BE7"/>
    <w:rsid w:val="00410E50"/>
    <w:rsid w:val="00411860"/>
    <w:rsid w:val="004128BC"/>
    <w:rsid w:val="00413D28"/>
    <w:rsid w:val="00415B9C"/>
    <w:rsid w:val="004161FB"/>
    <w:rsid w:val="004168DB"/>
    <w:rsid w:val="00416A9F"/>
    <w:rsid w:val="004170BB"/>
    <w:rsid w:val="00417A93"/>
    <w:rsid w:val="00417D63"/>
    <w:rsid w:val="00417DD4"/>
    <w:rsid w:val="00420693"/>
    <w:rsid w:val="00421FC0"/>
    <w:rsid w:val="00422B01"/>
    <w:rsid w:val="00422CD7"/>
    <w:rsid w:val="00422FAF"/>
    <w:rsid w:val="00423668"/>
    <w:rsid w:val="00424697"/>
    <w:rsid w:val="004256D1"/>
    <w:rsid w:val="00427BF1"/>
    <w:rsid w:val="004304D3"/>
    <w:rsid w:val="00430E30"/>
    <w:rsid w:val="00431D64"/>
    <w:rsid w:val="004342A5"/>
    <w:rsid w:val="004355F6"/>
    <w:rsid w:val="0043621F"/>
    <w:rsid w:val="00436AF4"/>
    <w:rsid w:val="00436D58"/>
    <w:rsid w:val="004406D0"/>
    <w:rsid w:val="00441873"/>
    <w:rsid w:val="00442241"/>
    <w:rsid w:val="00442CD4"/>
    <w:rsid w:val="00442D09"/>
    <w:rsid w:val="004434AB"/>
    <w:rsid w:val="0044493B"/>
    <w:rsid w:val="00444C0A"/>
    <w:rsid w:val="00444CD2"/>
    <w:rsid w:val="00444E58"/>
    <w:rsid w:val="00446573"/>
    <w:rsid w:val="0044696A"/>
    <w:rsid w:val="004503FD"/>
    <w:rsid w:val="00450BA1"/>
    <w:rsid w:val="00450E38"/>
    <w:rsid w:val="00451AE9"/>
    <w:rsid w:val="00451D0A"/>
    <w:rsid w:val="00451DFC"/>
    <w:rsid w:val="00453895"/>
    <w:rsid w:val="00454B0F"/>
    <w:rsid w:val="004553EB"/>
    <w:rsid w:val="00455615"/>
    <w:rsid w:val="00455D28"/>
    <w:rsid w:val="004562F1"/>
    <w:rsid w:val="004569A6"/>
    <w:rsid w:val="0045708B"/>
    <w:rsid w:val="00460A31"/>
    <w:rsid w:val="004619CC"/>
    <w:rsid w:val="00461E36"/>
    <w:rsid w:val="0046392A"/>
    <w:rsid w:val="004640EF"/>
    <w:rsid w:val="004649D6"/>
    <w:rsid w:val="00464A3F"/>
    <w:rsid w:val="004652F8"/>
    <w:rsid w:val="00465DED"/>
    <w:rsid w:val="00467388"/>
    <w:rsid w:val="00470367"/>
    <w:rsid w:val="004705C5"/>
    <w:rsid w:val="00470633"/>
    <w:rsid w:val="00470934"/>
    <w:rsid w:val="0047124D"/>
    <w:rsid w:val="00471CC8"/>
    <w:rsid w:val="004730CF"/>
    <w:rsid w:val="0047365F"/>
    <w:rsid w:val="004743D1"/>
    <w:rsid w:val="00474CD6"/>
    <w:rsid w:val="00475AC0"/>
    <w:rsid w:val="00475D1D"/>
    <w:rsid w:val="00476E28"/>
    <w:rsid w:val="004776B9"/>
    <w:rsid w:val="00481250"/>
    <w:rsid w:val="004813C6"/>
    <w:rsid w:val="0048203F"/>
    <w:rsid w:val="00482CF4"/>
    <w:rsid w:val="00482DF6"/>
    <w:rsid w:val="00484FD4"/>
    <w:rsid w:val="00485872"/>
    <w:rsid w:val="00486C08"/>
    <w:rsid w:val="00487C54"/>
    <w:rsid w:val="00487E11"/>
    <w:rsid w:val="0049059F"/>
    <w:rsid w:val="004925B6"/>
    <w:rsid w:val="004932D3"/>
    <w:rsid w:val="00493EFE"/>
    <w:rsid w:val="004940C3"/>
    <w:rsid w:val="004945B1"/>
    <w:rsid w:val="00494C12"/>
    <w:rsid w:val="0049523D"/>
    <w:rsid w:val="00495625"/>
    <w:rsid w:val="00496420"/>
    <w:rsid w:val="00496C58"/>
    <w:rsid w:val="0049702A"/>
    <w:rsid w:val="004977A8"/>
    <w:rsid w:val="00497E2B"/>
    <w:rsid w:val="004A0160"/>
    <w:rsid w:val="004A0F14"/>
    <w:rsid w:val="004A1D55"/>
    <w:rsid w:val="004A2B58"/>
    <w:rsid w:val="004A2E82"/>
    <w:rsid w:val="004A3080"/>
    <w:rsid w:val="004A4E10"/>
    <w:rsid w:val="004A5070"/>
    <w:rsid w:val="004A59A4"/>
    <w:rsid w:val="004A73C9"/>
    <w:rsid w:val="004A7475"/>
    <w:rsid w:val="004A7B78"/>
    <w:rsid w:val="004A7F95"/>
    <w:rsid w:val="004B35DD"/>
    <w:rsid w:val="004B5122"/>
    <w:rsid w:val="004B7353"/>
    <w:rsid w:val="004B7DD8"/>
    <w:rsid w:val="004C1447"/>
    <w:rsid w:val="004C1864"/>
    <w:rsid w:val="004C262D"/>
    <w:rsid w:val="004C29CC"/>
    <w:rsid w:val="004C57D7"/>
    <w:rsid w:val="004C6F5B"/>
    <w:rsid w:val="004C7132"/>
    <w:rsid w:val="004C725E"/>
    <w:rsid w:val="004C77BC"/>
    <w:rsid w:val="004D0729"/>
    <w:rsid w:val="004D10AE"/>
    <w:rsid w:val="004D1418"/>
    <w:rsid w:val="004D1FD9"/>
    <w:rsid w:val="004D241E"/>
    <w:rsid w:val="004D4414"/>
    <w:rsid w:val="004D4B81"/>
    <w:rsid w:val="004D591C"/>
    <w:rsid w:val="004D5B92"/>
    <w:rsid w:val="004D5BC7"/>
    <w:rsid w:val="004D5ED0"/>
    <w:rsid w:val="004D67A9"/>
    <w:rsid w:val="004D6A22"/>
    <w:rsid w:val="004D7070"/>
    <w:rsid w:val="004D7151"/>
    <w:rsid w:val="004E019A"/>
    <w:rsid w:val="004E05BE"/>
    <w:rsid w:val="004E0BF6"/>
    <w:rsid w:val="004E0D9C"/>
    <w:rsid w:val="004E0E8D"/>
    <w:rsid w:val="004E10C4"/>
    <w:rsid w:val="004E1BC0"/>
    <w:rsid w:val="004E345A"/>
    <w:rsid w:val="004E3979"/>
    <w:rsid w:val="004E4394"/>
    <w:rsid w:val="004E59C7"/>
    <w:rsid w:val="004E67CC"/>
    <w:rsid w:val="004E6BED"/>
    <w:rsid w:val="004E7D1D"/>
    <w:rsid w:val="004F0094"/>
    <w:rsid w:val="004F091C"/>
    <w:rsid w:val="004F1232"/>
    <w:rsid w:val="004F1BC2"/>
    <w:rsid w:val="004F1DD7"/>
    <w:rsid w:val="004F266B"/>
    <w:rsid w:val="004F2C3E"/>
    <w:rsid w:val="004F2CF9"/>
    <w:rsid w:val="004F3163"/>
    <w:rsid w:val="004F3E76"/>
    <w:rsid w:val="004F644E"/>
    <w:rsid w:val="004F70C2"/>
    <w:rsid w:val="004F7529"/>
    <w:rsid w:val="004F797F"/>
    <w:rsid w:val="00500875"/>
    <w:rsid w:val="0050193A"/>
    <w:rsid w:val="00501E03"/>
    <w:rsid w:val="00501E5A"/>
    <w:rsid w:val="0050276C"/>
    <w:rsid w:val="005027F7"/>
    <w:rsid w:val="0050367F"/>
    <w:rsid w:val="00503A10"/>
    <w:rsid w:val="00504068"/>
    <w:rsid w:val="00504889"/>
    <w:rsid w:val="00504F17"/>
    <w:rsid w:val="00505297"/>
    <w:rsid w:val="00505975"/>
    <w:rsid w:val="00506972"/>
    <w:rsid w:val="00506D22"/>
    <w:rsid w:val="00507045"/>
    <w:rsid w:val="00507643"/>
    <w:rsid w:val="00507FA4"/>
    <w:rsid w:val="00510424"/>
    <w:rsid w:val="00510D49"/>
    <w:rsid w:val="00512B7A"/>
    <w:rsid w:val="00512CCA"/>
    <w:rsid w:val="0051319A"/>
    <w:rsid w:val="005134DC"/>
    <w:rsid w:val="0051352C"/>
    <w:rsid w:val="00513896"/>
    <w:rsid w:val="00514E08"/>
    <w:rsid w:val="005157EF"/>
    <w:rsid w:val="00515AF4"/>
    <w:rsid w:val="00515B9B"/>
    <w:rsid w:val="00516294"/>
    <w:rsid w:val="00516640"/>
    <w:rsid w:val="00517097"/>
    <w:rsid w:val="00517439"/>
    <w:rsid w:val="005174DF"/>
    <w:rsid w:val="005174ED"/>
    <w:rsid w:val="005202AA"/>
    <w:rsid w:val="00520A35"/>
    <w:rsid w:val="00521B62"/>
    <w:rsid w:val="005225DD"/>
    <w:rsid w:val="00523BBD"/>
    <w:rsid w:val="00525027"/>
    <w:rsid w:val="00525445"/>
    <w:rsid w:val="005266E1"/>
    <w:rsid w:val="00526AFF"/>
    <w:rsid w:val="00527307"/>
    <w:rsid w:val="00527637"/>
    <w:rsid w:val="00527E4A"/>
    <w:rsid w:val="00530202"/>
    <w:rsid w:val="00530617"/>
    <w:rsid w:val="00531C5E"/>
    <w:rsid w:val="00532A52"/>
    <w:rsid w:val="00535772"/>
    <w:rsid w:val="00535BAE"/>
    <w:rsid w:val="005360B6"/>
    <w:rsid w:val="00536AB7"/>
    <w:rsid w:val="0053786C"/>
    <w:rsid w:val="0054070B"/>
    <w:rsid w:val="00540796"/>
    <w:rsid w:val="005408EA"/>
    <w:rsid w:val="00540C56"/>
    <w:rsid w:val="0054105A"/>
    <w:rsid w:val="005411DF"/>
    <w:rsid w:val="00541735"/>
    <w:rsid w:val="005418F9"/>
    <w:rsid w:val="00541F2C"/>
    <w:rsid w:val="005426BA"/>
    <w:rsid w:val="0054330F"/>
    <w:rsid w:val="00543616"/>
    <w:rsid w:val="005439CF"/>
    <w:rsid w:val="00543AB5"/>
    <w:rsid w:val="005448D4"/>
    <w:rsid w:val="0054498F"/>
    <w:rsid w:val="005459D3"/>
    <w:rsid w:val="00545D4C"/>
    <w:rsid w:val="00545FC1"/>
    <w:rsid w:val="00546C0C"/>
    <w:rsid w:val="00547260"/>
    <w:rsid w:val="00547A02"/>
    <w:rsid w:val="00547A8E"/>
    <w:rsid w:val="00550163"/>
    <w:rsid w:val="0055048E"/>
    <w:rsid w:val="00550FF4"/>
    <w:rsid w:val="005511B5"/>
    <w:rsid w:val="00551A35"/>
    <w:rsid w:val="0055614F"/>
    <w:rsid w:val="00556B38"/>
    <w:rsid w:val="00557BE8"/>
    <w:rsid w:val="00560452"/>
    <w:rsid w:val="0056097F"/>
    <w:rsid w:val="00560E39"/>
    <w:rsid w:val="00561832"/>
    <w:rsid w:val="00561EC4"/>
    <w:rsid w:val="005622D6"/>
    <w:rsid w:val="00563583"/>
    <w:rsid w:val="005635DB"/>
    <w:rsid w:val="005636AB"/>
    <w:rsid w:val="00563722"/>
    <w:rsid w:val="00563ED8"/>
    <w:rsid w:val="00565126"/>
    <w:rsid w:val="00565A19"/>
    <w:rsid w:val="0056605B"/>
    <w:rsid w:val="005709EF"/>
    <w:rsid w:val="00570DC6"/>
    <w:rsid w:val="0057109F"/>
    <w:rsid w:val="0057114D"/>
    <w:rsid w:val="005721D9"/>
    <w:rsid w:val="00572A16"/>
    <w:rsid w:val="00573836"/>
    <w:rsid w:val="00573D4C"/>
    <w:rsid w:val="00574200"/>
    <w:rsid w:val="00574776"/>
    <w:rsid w:val="00575FD0"/>
    <w:rsid w:val="005766D7"/>
    <w:rsid w:val="00576ED0"/>
    <w:rsid w:val="00581F5A"/>
    <w:rsid w:val="0058217C"/>
    <w:rsid w:val="00582EF6"/>
    <w:rsid w:val="00583464"/>
    <w:rsid w:val="00583A5A"/>
    <w:rsid w:val="00583A9B"/>
    <w:rsid w:val="00584ACA"/>
    <w:rsid w:val="0058553F"/>
    <w:rsid w:val="00585D80"/>
    <w:rsid w:val="00586AB6"/>
    <w:rsid w:val="00586DD6"/>
    <w:rsid w:val="005872A3"/>
    <w:rsid w:val="00587847"/>
    <w:rsid w:val="00587868"/>
    <w:rsid w:val="00587E0C"/>
    <w:rsid w:val="005900FB"/>
    <w:rsid w:val="00590B16"/>
    <w:rsid w:val="00591025"/>
    <w:rsid w:val="00591555"/>
    <w:rsid w:val="00592E85"/>
    <w:rsid w:val="00593557"/>
    <w:rsid w:val="005935DB"/>
    <w:rsid w:val="0059385F"/>
    <w:rsid w:val="00593994"/>
    <w:rsid w:val="00595B0C"/>
    <w:rsid w:val="00595F70"/>
    <w:rsid w:val="00597E2F"/>
    <w:rsid w:val="005A0018"/>
    <w:rsid w:val="005A02B7"/>
    <w:rsid w:val="005A07C9"/>
    <w:rsid w:val="005A10EF"/>
    <w:rsid w:val="005A12C1"/>
    <w:rsid w:val="005A1307"/>
    <w:rsid w:val="005A1548"/>
    <w:rsid w:val="005A4642"/>
    <w:rsid w:val="005A4B6B"/>
    <w:rsid w:val="005A66D1"/>
    <w:rsid w:val="005A708D"/>
    <w:rsid w:val="005A7559"/>
    <w:rsid w:val="005A7587"/>
    <w:rsid w:val="005B0152"/>
    <w:rsid w:val="005B1ADB"/>
    <w:rsid w:val="005B342A"/>
    <w:rsid w:val="005B37AA"/>
    <w:rsid w:val="005B4B65"/>
    <w:rsid w:val="005B5CA3"/>
    <w:rsid w:val="005B645D"/>
    <w:rsid w:val="005B663F"/>
    <w:rsid w:val="005B6B95"/>
    <w:rsid w:val="005B707A"/>
    <w:rsid w:val="005B7160"/>
    <w:rsid w:val="005B73A6"/>
    <w:rsid w:val="005B73CC"/>
    <w:rsid w:val="005C0EE2"/>
    <w:rsid w:val="005C33DE"/>
    <w:rsid w:val="005C3571"/>
    <w:rsid w:val="005C3DAD"/>
    <w:rsid w:val="005C57B9"/>
    <w:rsid w:val="005C5F23"/>
    <w:rsid w:val="005C5F97"/>
    <w:rsid w:val="005C7BFD"/>
    <w:rsid w:val="005D1900"/>
    <w:rsid w:val="005D1A6A"/>
    <w:rsid w:val="005D1F87"/>
    <w:rsid w:val="005D247E"/>
    <w:rsid w:val="005D2646"/>
    <w:rsid w:val="005D2797"/>
    <w:rsid w:val="005D2AD9"/>
    <w:rsid w:val="005D33FF"/>
    <w:rsid w:val="005D489C"/>
    <w:rsid w:val="005D4C7A"/>
    <w:rsid w:val="005D75A8"/>
    <w:rsid w:val="005D7F63"/>
    <w:rsid w:val="005D7FD7"/>
    <w:rsid w:val="005E01D6"/>
    <w:rsid w:val="005E0FBF"/>
    <w:rsid w:val="005E1A94"/>
    <w:rsid w:val="005E1E5E"/>
    <w:rsid w:val="005E2578"/>
    <w:rsid w:val="005E2ED3"/>
    <w:rsid w:val="005E3644"/>
    <w:rsid w:val="005E36B7"/>
    <w:rsid w:val="005E3C27"/>
    <w:rsid w:val="005E43D7"/>
    <w:rsid w:val="005E43D9"/>
    <w:rsid w:val="005E4583"/>
    <w:rsid w:val="005E5326"/>
    <w:rsid w:val="005E5E26"/>
    <w:rsid w:val="005E5F05"/>
    <w:rsid w:val="005E6202"/>
    <w:rsid w:val="005E63EB"/>
    <w:rsid w:val="005E6788"/>
    <w:rsid w:val="005E6FA2"/>
    <w:rsid w:val="005E74B1"/>
    <w:rsid w:val="005E78D5"/>
    <w:rsid w:val="005F0DF2"/>
    <w:rsid w:val="005F1684"/>
    <w:rsid w:val="005F26D0"/>
    <w:rsid w:val="005F7277"/>
    <w:rsid w:val="00601A4F"/>
    <w:rsid w:val="0060324A"/>
    <w:rsid w:val="006032AF"/>
    <w:rsid w:val="00603B00"/>
    <w:rsid w:val="00604586"/>
    <w:rsid w:val="0060486D"/>
    <w:rsid w:val="00604A3E"/>
    <w:rsid w:val="00604E98"/>
    <w:rsid w:val="00607D49"/>
    <w:rsid w:val="00607E9C"/>
    <w:rsid w:val="00610A0E"/>
    <w:rsid w:val="0061269B"/>
    <w:rsid w:val="00614D13"/>
    <w:rsid w:val="00615568"/>
    <w:rsid w:val="00616417"/>
    <w:rsid w:val="0061657A"/>
    <w:rsid w:val="0061667B"/>
    <w:rsid w:val="00616FFF"/>
    <w:rsid w:val="00617620"/>
    <w:rsid w:val="006177C3"/>
    <w:rsid w:val="006203C2"/>
    <w:rsid w:val="006203F8"/>
    <w:rsid w:val="006206BC"/>
    <w:rsid w:val="0062090B"/>
    <w:rsid w:val="00620DC2"/>
    <w:rsid w:val="0062138F"/>
    <w:rsid w:val="0062159C"/>
    <w:rsid w:val="00621C84"/>
    <w:rsid w:val="00622077"/>
    <w:rsid w:val="0062252D"/>
    <w:rsid w:val="00622A7B"/>
    <w:rsid w:val="00622F92"/>
    <w:rsid w:val="006232D3"/>
    <w:rsid w:val="00623D4B"/>
    <w:rsid w:val="006247C7"/>
    <w:rsid w:val="00624C5D"/>
    <w:rsid w:val="00625599"/>
    <w:rsid w:val="00626662"/>
    <w:rsid w:val="00627B99"/>
    <w:rsid w:val="00627E79"/>
    <w:rsid w:val="0063132B"/>
    <w:rsid w:val="00631AD0"/>
    <w:rsid w:val="00631EC7"/>
    <w:rsid w:val="006335B0"/>
    <w:rsid w:val="00633D19"/>
    <w:rsid w:val="00634056"/>
    <w:rsid w:val="006363FA"/>
    <w:rsid w:val="00636979"/>
    <w:rsid w:val="006372D5"/>
    <w:rsid w:val="00637EA1"/>
    <w:rsid w:val="00640237"/>
    <w:rsid w:val="00640606"/>
    <w:rsid w:val="00640C9C"/>
    <w:rsid w:val="00641AB6"/>
    <w:rsid w:val="00641B9A"/>
    <w:rsid w:val="00642173"/>
    <w:rsid w:val="00642997"/>
    <w:rsid w:val="00643F7D"/>
    <w:rsid w:val="00645DD3"/>
    <w:rsid w:val="00645FE5"/>
    <w:rsid w:val="0064650B"/>
    <w:rsid w:val="00646FF5"/>
    <w:rsid w:val="0064711B"/>
    <w:rsid w:val="0065022E"/>
    <w:rsid w:val="0065047A"/>
    <w:rsid w:val="006510E7"/>
    <w:rsid w:val="00651D1E"/>
    <w:rsid w:val="00652484"/>
    <w:rsid w:val="00654FB7"/>
    <w:rsid w:val="006556B0"/>
    <w:rsid w:val="0065588A"/>
    <w:rsid w:val="00655983"/>
    <w:rsid w:val="006571CF"/>
    <w:rsid w:val="0065748E"/>
    <w:rsid w:val="00657A63"/>
    <w:rsid w:val="006604AF"/>
    <w:rsid w:val="0066090A"/>
    <w:rsid w:val="00660B17"/>
    <w:rsid w:val="006612B7"/>
    <w:rsid w:val="00661497"/>
    <w:rsid w:val="00661503"/>
    <w:rsid w:val="00661674"/>
    <w:rsid w:val="00661EB0"/>
    <w:rsid w:val="0066235E"/>
    <w:rsid w:val="00662523"/>
    <w:rsid w:val="00663333"/>
    <w:rsid w:val="00663E53"/>
    <w:rsid w:val="00666308"/>
    <w:rsid w:val="00666C4C"/>
    <w:rsid w:val="00667518"/>
    <w:rsid w:val="0067056E"/>
    <w:rsid w:val="00670D33"/>
    <w:rsid w:val="00671378"/>
    <w:rsid w:val="00672543"/>
    <w:rsid w:val="006725F0"/>
    <w:rsid w:val="00672A00"/>
    <w:rsid w:val="00674DCE"/>
    <w:rsid w:val="00676955"/>
    <w:rsid w:val="00676FCF"/>
    <w:rsid w:val="00677048"/>
    <w:rsid w:val="0068046C"/>
    <w:rsid w:val="006828B7"/>
    <w:rsid w:val="00683085"/>
    <w:rsid w:val="00683ACE"/>
    <w:rsid w:val="00683E1A"/>
    <w:rsid w:val="006844A3"/>
    <w:rsid w:val="0068574F"/>
    <w:rsid w:val="00686222"/>
    <w:rsid w:val="00686C68"/>
    <w:rsid w:val="00686DDB"/>
    <w:rsid w:val="00686F62"/>
    <w:rsid w:val="00687043"/>
    <w:rsid w:val="0068785D"/>
    <w:rsid w:val="00690B64"/>
    <w:rsid w:val="006910B6"/>
    <w:rsid w:val="0069241A"/>
    <w:rsid w:val="006935B9"/>
    <w:rsid w:val="00693D78"/>
    <w:rsid w:val="00695224"/>
    <w:rsid w:val="00695AF5"/>
    <w:rsid w:val="00695E92"/>
    <w:rsid w:val="00696667"/>
    <w:rsid w:val="00696879"/>
    <w:rsid w:val="00696EA4"/>
    <w:rsid w:val="006974B5"/>
    <w:rsid w:val="00697C1D"/>
    <w:rsid w:val="006A037D"/>
    <w:rsid w:val="006A0902"/>
    <w:rsid w:val="006A0DC0"/>
    <w:rsid w:val="006A104A"/>
    <w:rsid w:val="006A1BD9"/>
    <w:rsid w:val="006A1D13"/>
    <w:rsid w:val="006A20E5"/>
    <w:rsid w:val="006A231D"/>
    <w:rsid w:val="006A256B"/>
    <w:rsid w:val="006A2E37"/>
    <w:rsid w:val="006A2F27"/>
    <w:rsid w:val="006A333F"/>
    <w:rsid w:val="006A4A68"/>
    <w:rsid w:val="006A5013"/>
    <w:rsid w:val="006A5427"/>
    <w:rsid w:val="006A5734"/>
    <w:rsid w:val="006A6598"/>
    <w:rsid w:val="006A7D84"/>
    <w:rsid w:val="006B09B1"/>
    <w:rsid w:val="006B1298"/>
    <w:rsid w:val="006B1CFA"/>
    <w:rsid w:val="006B260C"/>
    <w:rsid w:val="006B2E18"/>
    <w:rsid w:val="006B3D4C"/>
    <w:rsid w:val="006B445B"/>
    <w:rsid w:val="006B541F"/>
    <w:rsid w:val="006B66F8"/>
    <w:rsid w:val="006B6C8C"/>
    <w:rsid w:val="006B6CDF"/>
    <w:rsid w:val="006B77FE"/>
    <w:rsid w:val="006B7A32"/>
    <w:rsid w:val="006C0088"/>
    <w:rsid w:val="006C2237"/>
    <w:rsid w:val="006C33E8"/>
    <w:rsid w:val="006C3A05"/>
    <w:rsid w:val="006C3C53"/>
    <w:rsid w:val="006C3CBA"/>
    <w:rsid w:val="006C3E96"/>
    <w:rsid w:val="006C4815"/>
    <w:rsid w:val="006C4AC7"/>
    <w:rsid w:val="006C5F50"/>
    <w:rsid w:val="006C7261"/>
    <w:rsid w:val="006D0435"/>
    <w:rsid w:val="006D05EF"/>
    <w:rsid w:val="006D0BDD"/>
    <w:rsid w:val="006D0CDA"/>
    <w:rsid w:val="006D2762"/>
    <w:rsid w:val="006D32D2"/>
    <w:rsid w:val="006D3D99"/>
    <w:rsid w:val="006D41C9"/>
    <w:rsid w:val="006D5920"/>
    <w:rsid w:val="006D59CA"/>
    <w:rsid w:val="006D633E"/>
    <w:rsid w:val="006D6349"/>
    <w:rsid w:val="006D7DAF"/>
    <w:rsid w:val="006E004A"/>
    <w:rsid w:val="006E0848"/>
    <w:rsid w:val="006E1E05"/>
    <w:rsid w:val="006E28B4"/>
    <w:rsid w:val="006E2F7A"/>
    <w:rsid w:val="006E42A9"/>
    <w:rsid w:val="006E4C76"/>
    <w:rsid w:val="006E4E4D"/>
    <w:rsid w:val="006E5C0D"/>
    <w:rsid w:val="006E6FF8"/>
    <w:rsid w:val="006E73CE"/>
    <w:rsid w:val="006E7584"/>
    <w:rsid w:val="006F0B48"/>
    <w:rsid w:val="006F2601"/>
    <w:rsid w:val="006F2C93"/>
    <w:rsid w:val="006F32D7"/>
    <w:rsid w:val="006F4A03"/>
    <w:rsid w:val="006F4A3B"/>
    <w:rsid w:val="006F6278"/>
    <w:rsid w:val="006F7775"/>
    <w:rsid w:val="00700031"/>
    <w:rsid w:val="00700A17"/>
    <w:rsid w:val="00701022"/>
    <w:rsid w:val="0070184D"/>
    <w:rsid w:val="007019FB"/>
    <w:rsid w:val="00701DDF"/>
    <w:rsid w:val="00701E8C"/>
    <w:rsid w:val="00702247"/>
    <w:rsid w:val="00704CBD"/>
    <w:rsid w:val="00705052"/>
    <w:rsid w:val="007059E9"/>
    <w:rsid w:val="00705DC2"/>
    <w:rsid w:val="0070655B"/>
    <w:rsid w:val="007077C5"/>
    <w:rsid w:val="00707DE3"/>
    <w:rsid w:val="00710292"/>
    <w:rsid w:val="00710995"/>
    <w:rsid w:val="00714054"/>
    <w:rsid w:val="00714083"/>
    <w:rsid w:val="00716559"/>
    <w:rsid w:val="00717D8B"/>
    <w:rsid w:val="007205F0"/>
    <w:rsid w:val="0072086C"/>
    <w:rsid w:val="00721957"/>
    <w:rsid w:val="0072271B"/>
    <w:rsid w:val="00723C90"/>
    <w:rsid w:val="00724702"/>
    <w:rsid w:val="00724B09"/>
    <w:rsid w:val="007258FF"/>
    <w:rsid w:val="007262B2"/>
    <w:rsid w:val="007264FB"/>
    <w:rsid w:val="00727237"/>
    <w:rsid w:val="007279D9"/>
    <w:rsid w:val="00730533"/>
    <w:rsid w:val="00732411"/>
    <w:rsid w:val="00733153"/>
    <w:rsid w:val="00733A74"/>
    <w:rsid w:val="00733B22"/>
    <w:rsid w:val="007367CA"/>
    <w:rsid w:val="00736C6D"/>
    <w:rsid w:val="00737C0A"/>
    <w:rsid w:val="00740187"/>
    <w:rsid w:val="00741C58"/>
    <w:rsid w:val="00741C5E"/>
    <w:rsid w:val="0074248E"/>
    <w:rsid w:val="00742BDA"/>
    <w:rsid w:val="00743262"/>
    <w:rsid w:val="0074381A"/>
    <w:rsid w:val="007444BF"/>
    <w:rsid w:val="007444FA"/>
    <w:rsid w:val="0074519F"/>
    <w:rsid w:val="00746164"/>
    <w:rsid w:val="007463BC"/>
    <w:rsid w:val="00746F94"/>
    <w:rsid w:val="00747C97"/>
    <w:rsid w:val="00747CEF"/>
    <w:rsid w:val="0075028B"/>
    <w:rsid w:val="00750D85"/>
    <w:rsid w:val="00750D90"/>
    <w:rsid w:val="00750F52"/>
    <w:rsid w:val="00751041"/>
    <w:rsid w:val="0075104F"/>
    <w:rsid w:val="00751196"/>
    <w:rsid w:val="00751F62"/>
    <w:rsid w:val="007529C6"/>
    <w:rsid w:val="00752F75"/>
    <w:rsid w:val="00752FEA"/>
    <w:rsid w:val="00753B52"/>
    <w:rsid w:val="0075523F"/>
    <w:rsid w:val="00755E79"/>
    <w:rsid w:val="00756F86"/>
    <w:rsid w:val="0076013E"/>
    <w:rsid w:val="007645ED"/>
    <w:rsid w:val="00764A27"/>
    <w:rsid w:val="007652DA"/>
    <w:rsid w:val="007673E1"/>
    <w:rsid w:val="00770D4A"/>
    <w:rsid w:val="00772036"/>
    <w:rsid w:val="0077203D"/>
    <w:rsid w:val="00772114"/>
    <w:rsid w:val="00772150"/>
    <w:rsid w:val="007721E3"/>
    <w:rsid w:val="007729EB"/>
    <w:rsid w:val="00772E4A"/>
    <w:rsid w:val="007747EA"/>
    <w:rsid w:val="00775764"/>
    <w:rsid w:val="00775829"/>
    <w:rsid w:val="00775850"/>
    <w:rsid w:val="00775D75"/>
    <w:rsid w:val="00776534"/>
    <w:rsid w:val="007768AE"/>
    <w:rsid w:val="00777322"/>
    <w:rsid w:val="007774A8"/>
    <w:rsid w:val="00777C1D"/>
    <w:rsid w:val="00780D57"/>
    <w:rsid w:val="00780F67"/>
    <w:rsid w:val="007818C5"/>
    <w:rsid w:val="00781CAC"/>
    <w:rsid w:val="00781CC5"/>
    <w:rsid w:val="00782015"/>
    <w:rsid w:val="00782F5F"/>
    <w:rsid w:val="007833B4"/>
    <w:rsid w:val="00784306"/>
    <w:rsid w:val="00784450"/>
    <w:rsid w:val="007857B5"/>
    <w:rsid w:val="00785F9C"/>
    <w:rsid w:val="00786D03"/>
    <w:rsid w:val="007874E8"/>
    <w:rsid w:val="007914C4"/>
    <w:rsid w:val="00792EBA"/>
    <w:rsid w:val="00794DFD"/>
    <w:rsid w:val="0079543C"/>
    <w:rsid w:val="00795707"/>
    <w:rsid w:val="00795875"/>
    <w:rsid w:val="007958A2"/>
    <w:rsid w:val="00795A32"/>
    <w:rsid w:val="00795C4E"/>
    <w:rsid w:val="00796256"/>
    <w:rsid w:val="0079689B"/>
    <w:rsid w:val="00797438"/>
    <w:rsid w:val="00797A25"/>
    <w:rsid w:val="007A03B1"/>
    <w:rsid w:val="007A03F5"/>
    <w:rsid w:val="007A0520"/>
    <w:rsid w:val="007A10E6"/>
    <w:rsid w:val="007A1136"/>
    <w:rsid w:val="007A241F"/>
    <w:rsid w:val="007A26FB"/>
    <w:rsid w:val="007A303E"/>
    <w:rsid w:val="007A328F"/>
    <w:rsid w:val="007A4634"/>
    <w:rsid w:val="007A46C9"/>
    <w:rsid w:val="007A4E64"/>
    <w:rsid w:val="007A5219"/>
    <w:rsid w:val="007A530D"/>
    <w:rsid w:val="007A5CE6"/>
    <w:rsid w:val="007B0BA9"/>
    <w:rsid w:val="007B1796"/>
    <w:rsid w:val="007B1B07"/>
    <w:rsid w:val="007B3EEC"/>
    <w:rsid w:val="007B3F83"/>
    <w:rsid w:val="007B43E9"/>
    <w:rsid w:val="007B62F5"/>
    <w:rsid w:val="007B6C8B"/>
    <w:rsid w:val="007B78F3"/>
    <w:rsid w:val="007B7ACF"/>
    <w:rsid w:val="007B7BB5"/>
    <w:rsid w:val="007C07D2"/>
    <w:rsid w:val="007C0C41"/>
    <w:rsid w:val="007C0E51"/>
    <w:rsid w:val="007C0F7B"/>
    <w:rsid w:val="007C1677"/>
    <w:rsid w:val="007C1A56"/>
    <w:rsid w:val="007C1C98"/>
    <w:rsid w:val="007C22A2"/>
    <w:rsid w:val="007C2322"/>
    <w:rsid w:val="007C2370"/>
    <w:rsid w:val="007C4634"/>
    <w:rsid w:val="007C4B16"/>
    <w:rsid w:val="007C573D"/>
    <w:rsid w:val="007C5825"/>
    <w:rsid w:val="007C5EB7"/>
    <w:rsid w:val="007C6886"/>
    <w:rsid w:val="007C6FCC"/>
    <w:rsid w:val="007D0447"/>
    <w:rsid w:val="007D04E6"/>
    <w:rsid w:val="007D06EE"/>
    <w:rsid w:val="007D0D57"/>
    <w:rsid w:val="007D2656"/>
    <w:rsid w:val="007D3796"/>
    <w:rsid w:val="007D3ABD"/>
    <w:rsid w:val="007D4BBF"/>
    <w:rsid w:val="007D7965"/>
    <w:rsid w:val="007E03E4"/>
    <w:rsid w:val="007E0EDD"/>
    <w:rsid w:val="007E0F1F"/>
    <w:rsid w:val="007E1165"/>
    <w:rsid w:val="007E24F9"/>
    <w:rsid w:val="007E27E1"/>
    <w:rsid w:val="007E2D10"/>
    <w:rsid w:val="007E4431"/>
    <w:rsid w:val="007E479E"/>
    <w:rsid w:val="007E5691"/>
    <w:rsid w:val="007E56DD"/>
    <w:rsid w:val="007E614B"/>
    <w:rsid w:val="007E76E3"/>
    <w:rsid w:val="007E776B"/>
    <w:rsid w:val="007E7BB8"/>
    <w:rsid w:val="007E7BEA"/>
    <w:rsid w:val="007F0400"/>
    <w:rsid w:val="007F040C"/>
    <w:rsid w:val="007F0A9F"/>
    <w:rsid w:val="007F0CCA"/>
    <w:rsid w:val="007F268D"/>
    <w:rsid w:val="007F2AD8"/>
    <w:rsid w:val="007F2BEA"/>
    <w:rsid w:val="007F36BA"/>
    <w:rsid w:val="007F3930"/>
    <w:rsid w:val="007F497F"/>
    <w:rsid w:val="007F5124"/>
    <w:rsid w:val="007F53C0"/>
    <w:rsid w:val="007F6AC2"/>
    <w:rsid w:val="007F7B1F"/>
    <w:rsid w:val="00801463"/>
    <w:rsid w:val="00801AB1"/>
    <w:rsid w:val="008033B8"/>
    <w:rsid w:val="00803689"/>
    <w:rsid w:val="00803EBA"/>
    <w:rsid w:val="00803FA9"/>
    <w:rsid w:val="0080498C"/>
    <w:rsid w:val="008049DB"/>
    <w:rsid w:val="00805A8F"/>
    <w:rsid w:val="00805B7B"/>
    <w:rsid w:val="00805C62"/>
    <w:rsid w:val="00805D34"/>
    <w:rsid w:val="00806393"/>
    <w:rsid w:val="0081333D"/>
    <w:rsid w:val="00813405"/>
    <w:rsid w:val="0081357E"/>
    <w:rsid w:val="0081380E"/>
    <w:rsid w:val="00813C9D"/>
    <w:rsid w:val="008146B4"/>
    <w:rsid w:val="00816BEF"/>
    <w:rsid w:val="008179EA"/>
    <w:rsid w:val="0082025A"/>
    <w:rsid w:val="00820DEF"/>
    <w:rsid w:val="00821B46"/>
    <w:rsid w:val="008222AD"/>
    <w:rsid w:val="00822561"/>
    <w:rsid w:val="008225F9"/>
    <w:rsid w:val="00822E74"/>
    <w:rsid w:val="00822FFE"/>
    <w:rsid w:val="00823691"/>
    <w:rsid w:val="00823D0D"/>
    <w:rsid w:val="008248FE"/>
    <w:rsid w:val="00827773"/>
    <w:rsid w:val="00830AF2"/>
    <w:rsid w:val="00830EAB"/>
    <w:rsid w:val="00830F29"/>
    <w:rsid w:val="008310D2"/>
    <w:rsid w:val="00831F24"/>
    <w:rsid w:val="00832458"/>
    <w:rsid w:val="00832601"/>
    <w:rsid w:val="00832DD9"/>
    <w:rsid w:val="0083423F"/>
    <w:rsid w:val="00835DBB"/>
    <w:rsid w:val="00835F9B"/>
    <w:rsid w:val="0083687A"/>
    <w:rsid w:val="00837229"/>
    <w:rsid w:val="00841487"/>
    <w:rsid w:val="00842ACC"/>
    <w:rsid w:val="00843CCF"/>
    <w:rsid w:val="00844AC8"/>
    <w:rsid w:val="0084510F"/>
    <w:rsid w:val="008454E1"/>
    <w:rsid w:val="00845746"/>
    <w:rsid w:val="00845E68"/>
    <w:rsid w:val="008460C4"/>
    <w:rsid w:val="008469B2"/>
    <w:rsid w:val="008472DB"/>
    <w:rsid w:val="008476CA"/>
    <w:rsid w:val="00847C04"/>
    <w:rsid w:val="0085048F"/>
    <w:rsid w:val="00850E57"/>
    <w:rsid w:val="0085101E"/>
    <w:rsid w:val="00852470"/>
    <w:rsid w:val="00852846"/>
    <w:rsid w:val="0085320F"/>
    <w:rsid w:val="00853835"/>
    <w:rsid w:val="008538E8"/>
    <w:rsid w:val="00854CBF"/>
    <w:rsid w:val="00855CB8"/>
    <w:rsid w:val="008566CA"/>
    <w:rsid w:val="008568C5"/>
    <w:rsid w:val="00860650"/>
    <w:rsid w:val="0086252D"/>
    <w:rsid w:val="00862675"/>
    <w:rsid w:val="00862D18"/>
    <w:rsid w:val="00862DF6"/>
    <w:rsid w:val="008632E4"/>
    <w:rsid w:val="00863A74"/>
    <w:rsid w:val="00864BA7"/>
    <w:rsid w:val="00864FA0"/>
    <w:rsid w:val="00864FD5"/>
    <w:rsid w:val="00867216"/>
    <w:rsid w:val="0086743B"/>
    <w:rsid w:val="0087154B"/>
    <w:rsid w:val="00871579"/>
    <w:rsid w:val="00871B86"/>
    <w:rsid w:val="00872962"/>
    <w:rsid w:val="008731BF"/>
    <w:rsid w:val="00873A05"/>
    <w:rsid w:val="00873C79"/>
    <w:rsid w:val="00873F1F"/>
    <w:rsid w:val="008742B8"/>
    <w:rsid w:val="008743CE"/>
    <w:rsid w:val="00874AFA"/>
    <w:rsid w:val="00874BE6"/>
    <w:rsid w:val="00874C43"/>
    <w:rsid w:val="00874E07"/>
    <w:rsid w:val="00875044"/>
    <w:rsid w:val="008752CF"/>
    <w:rsid w:val="00876093"/>
    <w:rsid w:val="008774B2"/>
    <w:rsid w:val="008815C0"/>
    <w:rsid w:val="0088250C"/>
    <w:rsid w:val="00882D25"/>
    <w:rsid w:val="008832BB"/>
    <w:rsid w:val="008835AA"/>
    <w:rsid w:val="0088499B"/>
    <w:rsid w:val="00884DE8"/>
    <w:rsid w:val="008864C3"/>
    <w:rsid w:val="00886B83"/>
    <w:rsid w:val="00886D73"/>
    <w:rsid w:val="00887AA2"/>
    <w:rsid w:val="00887D3E"/>
    <w:rsid w:val="008900AB"/>
    <w:rsid w:val="008916E6"/>
    <w:rsid w:val="00891840"/>
    <w:rsid w:val="00891B0F"/>
    <w:rsid w:val="008926B9"/>
    <w:rsid w:val="00892B5E"/>
    <w:rsid w:val="00892BD6"/>
    <w:rsid w:val="008937DC"/>
    <w:rsid w:val="0089400B"/>
    <w:rsid w:val="00894579"/>
    <w:rsid w:val="00895C6B"/>
    <w:rsid w:val="008A0126"/>
    <w:rsid w:val="008A0954"/>
    <w:rsid w:val="008A0D61"/>
    <w:rsid w:val="008A23CB"/>
    <w:rsid w:val="008A241B"/>
    <w:rsid w:val="008A2A96"/>
    <w:rsid w:val="008A4CBA"/>
    <w:rsid w:val="008A531F"/>
    <w:rsid w:val="008A596A"/>
    <w:rsid w:val="008A636F"/>
    <w:rsid w:val="008A6F31"/>
    <w:rsid w:val="008A79F4"/>
    <w:rsid w:val="008A7EC2"/>
    <w:rsid w:val="008B0641"/>
    <w:rsid w:val="008B08C7"/>
    <w:rsid w:val="008B0DE5"/>
    <w:rsid w:val="008B23C5"/>
    <w:rsid w:val="008B2637"/>
    <w:rsid w:val="008B4273"/>
    <w:rsid w:val="008B5768"/>
    <w:rsid w:val="008B5B1F"/>
    <w:rsid w:val="008B5F93"/>
    <w:rsid w:val="008B5FD5"/>
    <w:rsid w:val="008B6411"/>
    <w:rsid w:val="008B6948"/>
    <w:rsid w:val="008B6DA0"/>
    <w:rsid w:val="008B6E0E"/>
    <w:rsid w:val="008C0190"/>
    <w:rsid w:val="008C01FF"/>
    <w:rsid w:val="008C17E1"/>
    <w:rsid w:val="008C1A5E"/>
    <w:rsid w:val="008C2007"/>
    <w:rsid w:val="008C3036"/>
    <w:rsid w:val="008C32C7"/>
    <w:rsid w:val="008C455A"/>
    <w:rsid w:val="008C4839"/>
    <w:rsid w:val="008C4EDA"/>
    <w:rsid w:val="008C5128"/>
    <w:rsid w:val="008C5566"/>
    <w:rsid w:val="008C562A"/>
    <w:rsid w:val="008C5863"/>
    <w:rsid w:val="008C64A1"/>
    <w:rsid w:val="008C6986"/>
    <w:rsid w:val="008C6D7A"/>
    <w:rsid w:val="008C7124"/>
    <w:rsid w:val="008C713E"/>
    <w:rsid w:val="008C7B9B"/>
    <w:rsid w:val="008C7CE9"/>
    <w:rsid w:val="008D0BAF"/>
    <w:rsid w:val="008D0D6B"/>
    <w:rsid w:val="008D0E73"/>
    <w:rsid w:val="008D14B9"/>
    <w:rsid w:val="008D1648"/>
    <w:rsid w:val="008D2745"/>
    <w:rsid w:val="008D2B4A"/>
    <w:rsid w:val="008E00F8"/>
    <w:rsid w:val="008E1922"/>
    <w:rsid w:val="008E1DAF"/>
    <w:rsid w:val="008E1DB7"/>
    <w:rsid w:val="008E1F25"/>
    <w:rsid w:val="008E20DF"/>
    <w:rsid w:val="008E27CB"/>
    <w:rsid w:val="008E2AE3"/>
    <w:rsid w:val="008E449D"/>
    <w:rsid w:val="008E47C3"/>
    <w:rsid w:val="008E54FF"/>
    <w:rsid w:val="008E57B4"/>
    <w:rsid w:val="008E66CD"/>
    <w:rsid w:val="008E6791"/>
    <w:rsid w:val="008E7C43"/>
    <w:rsid w:val="008F06E3"/>
    <w:rsid w:val="008F2C96"/>
    <w:rsid w:val="008F3767"/>
    <w:rsid w:val="008F3AB4"/>
    <w:rsid w:val="008F432B"/>
    <w:rsid w:val="008F43F9"/>
    <w:rsid w:val="008F4452"/>
    <w:rsid w:val="008F4FFD"/>
    <w:rsid w:val="008F6E39"/>
    <w:rsid w:val="008F75CE"/>
    <w:rsid w:val="00900473"/>
    <w:rsid w:val="009011CB"/>
    <w:rsid w:val="009013F6"/>
    <w:rsid w:val="00901880"/>
    <w:rsid w:val="00901E5B"/>
    <w:rsid w:val="00901EB2"/>
    <w:rsid w:val="00902AA5"/>
    <w:rsid w:val="0090438C"/>
    <w:rsid w:val="00905A66"/>
    <w:rsid w:val="00905DB4"/>
    <w:rsid w:val="00906C94"/>
    <w:rsid w:val="00907E6E"/>
    <w:rsid w:val="009124AC"/>
    <w:rsid w:val="00912695"/>
    <w:rsid w:val="009130F8"/>
    <w:rsid w:val="00913494"/>
    <w:rsid w:val="00913C46"/>
    <w:rsid w:val="00913F80"/>
    <w:rsid w:val="009144AB"/>
    <w:rsid w:val="00914654"/>
    <w:rsid w:val="00914F50"/>
    <w:rsid w:val="009152A9"/>
    <w:rsid w:val="00916292"/>
    <w:rsid w:val="00917D64"/>
    <w:rsid w:val="00921EF6"/>
    <w:rsid w:val="0092251C"/>
    <w:rsid w:val="009229C9"/>
    <w:rsid w:val="0092357A"/>
    <w:rsid w:val="00923FED"/>
    <w:rsid w:val="0092402B"/>
    <w:rsid w:val="00925C0E"/>
    <w:rsid w:val="00925DF4"/>
    <w:rsid w:val="00930B44"/>
    <w:rsid w:val="00931225"/>
    <w:rsid w:val="0093126B"/>
    <w:rsid w:val="00932288"/>
    <w:rsid w:val="00932774"/>
    <w:rsid w:val="00934220"/>
    <w:rsid w:val="009350DA"/>
    <w:rsid w:val="009357E4"/>
    <w:rsid w:val="0093791B"/>
    <w:rsid w:val="00940D6C"/>
    <w:rsid w:val="00941303"/>
    <w:rsid w:val="0094165E"/>
    <w:rsid w:val="00941DAA"/>
    <w:rsid w:val="00941FD2"/>
    <w:rsid w:val="00943CA5"/>
    <w:rsid w:val="00944146"/>
    <w:rsid w:val="0094427C"/>
    <w:rsid w:val="009443AE"/>
    <w:rsid w:val="00944BA6"/>
    <w:rsid w:val="009457AA"/>
    <w:rsid w:val="00946797"/>
    <w:rsid w:val="00946822"/>
    <w:rsid w:val="00946E91"/>
    <w:rsid w:val="00947C03"/>
    <w:rsid w:val="009511EB"/>
    <w:rsid w:val="009544B7"/>
    <w:rsid w:val="009549CD"/>
    <w:rsid w:val="00956153"/>
    <w:rsid w:val="009561B4"/>
    <w:rsid w:val="0095684C"/>
    <w:rsid w:val="00956AA3"/>
    <w:rsid w:val="009574B7"/>
    <w:rsid w:val="009611D3"/>
    <w:rsid w:val="00962193"/>
    <w:rsid w:val="009627CF"/>
    <w:rsid w:val="0096469D"/>
    <w:rsid w:val="00964D10"/>
    <w:rsid w:val="00965371"/>
    <w:rsid w:val="00965468"/>
    <w:rsid w:val="00965E71"/>
    <w:rsid w:val="009667F1"/>
    <w:rsid w:val="009668D3"/>
    <w:rsid w:val="009670C2"/>
    <w:rsid w:val="00967A49"/>
    <w:rsid w:val="00967FA4"/>
    <w:rsid w:val="00970100"/>
    <w:rsid w:val="0097040B"/>
    <w:rsid w:val="00971DCA"/>
    <w:rsid w:val="00972177"/>
    <w:rsid w:val="009737DD"/>
    <w:rsid w:val="00973DF4"/>
    <w:rsid w:val="00974624"/>
    <w:rsid w:val="00976AA6"/>
    <w:rsid w:val="009773D6"/>
    <w:rsid w:val="00977C0C"/>
    <w:rsid w:val="00983210"/>
    <w:rsid w:val="0098376A"/>
    <w:rsid w:val="0098402E"/>
    <w:rsid w:val="0098413C"/>
    <w:rsid w:val="0098560B"/>
    <w:rsid w:val="009872EB"/>
    <w:rsid w:val="00987CEE"/>
    <w:rsid w:val="00991EA5"/>
    <w:rsid w:val="00992B33"/>
    <w:rsid w:val="009945E8"/>
    <w:rsid w:val="0099482C"/>
    <w:rsid w:val="00994CD0"/>
    <w:rsid w:val="00997309"/>
    <w:rsid w:val="00997DE4"/>
    <w:rsid w:val="009A0557"/>
    <w:rsid w:val="009A0F7D"/>
    <w:rsid w:val="009A1344"/>
    <w:rsid w:val="009A1365"/>
    <w:rsid w:val="009A20BC"/>
    <w:rsid w:val="009A24FB"/>
    <w:rsid w:val="009A26E1"/>
    <w:rsid w:val="009A3C08"/>
    <w:rsid w:val="009A485F"/>
    <w:rsid w:val="009A55FF"/>
    <w:rsid w:val="009A57CD"/>
    <w:rsid w:val="009A5DEE"/>
    <w:rsid w:val="009A6783"/>
    <w:rsid w:val="009A76A1"/>
    <w:rsid w:val="009A7AFF"/>
    <w:rsid w:val="009A7D13"/>
    <w:rsid w:val="009B0DA6"/>
    <w:rsid w:val="009B1391"/>
    <w:rsid w:val="009B1A87"/>
    <w:rsid w:val="009B2576"/>
    <w:rsid w:val="009B297F"/>
    <w:rsid w:val="009B31C1"/>
    <w:rsid w:val="009B3D52"/>
    <w:rsid w:val="009B4548"/>
    <w:rsid w:val="009B4699"/>
    <w:rsid w:val="009B4E55"/>
    <w:rsid w:val="009B55EE"/>
    <w:rsid w:val="009B5882"/>
    <w:rsid w:val="009B5CCC"/>
    <w:rsid w:val="009B6485"/>
    <w:rsid w:val="009B7097"/>
    <w:rsid w:val="009B72D7"/>
    <w:rsid w:val="009C0631"/>
    <w:rsid w:val="009C1008"/>
    <w:rsid w:val="009C1AFF"/>
    <w:rsid w:val="009C218C"/>
    <w:rsid w:val="009C26CD"/>
    <w:rsid w:val="009C2C60"/>
    <w:rsid w:val="009C3B12"/>
    <w:rsid w:val="009C3EC8"/>
    <w:rsid w:val="009C47F5"/>
    <w:rsid w:val="009C4FD6"/>
    <w:rsid w:val="009C59C1"/>
    <w:rsid w:val="009C602C"/>
    <w:rsid w:val="009C7ACB"/>
    <w:rsid w:val="009C7EED"/>
    <w:rsid w:val="009C7EF2"/>
    <w:rsid w:val="009D1A15"/>
    <w:rsid w:val="009D2F15"/>
    <w:rsid w:val="009D321C"/>
    <w:rsid w:val="009D3F25"/>
    <w:rsid w:val="009D4B3F"/>
    <w:rsid w:val="009D5899"/>
    <w:rsid w:val="009D648F"/>
    <w:rsid w:val="009D6D0A"/>
    <w:rsid w:val="009D737C"/>
    <w:rsid w:val="009D7EC6"/>
    <w:rsid w:val="009E4179"/>
    <w:rsid w:val="009E4732"/>
    <w:rsid w:val="009E59F4"/>
    <w:rsid w:val="009E5D79"/>
    <w:rsid w:val="009E7266"/>
    <w:rsid w:val="009E7D74"/>
    <w:rsid w:val="009F0190"/>
    <w:rsid w:val="009F0F0E"/>
    <w:rsid w:val="009F1217"/>
    <w:rsid w:val="009F1D5A"/>
    <w:rsid w:val="009F1DEF"/>
    <w:rsid w:val="009F2418"/>
    <w:rsid w:val="009F2588"/>
    <w:rsid w:val="009F2BD9"/>
    <w:rsid w:val="009F36F6"/>
    <w:rsid w:val="009F3D5F"/>
    <w:rsid w:val="009F5F4C"/>
    <w:rsid w:val="009F7480"/>
    <w:rsid w:val="00A00170"/>
    <w:rsid w:val="00A00A9B"/>
    <w:rsid w:val="00A01E51"/>
    <w:rsid w:val="00A04736"/>
    <w:rsid w:val="00A0551C"/>
    <w:rsid w:val="00A05BB8"/>
    <w:rsid w:val="00A05BE3"/>
    <w:rsid w:val="00A06427"/>
    <w:rsid w:val="00A0758E"/>
    <w:rsid w:val="00A076BA"/>
    <w:rsid w:val="00A121A7"/>
    <w:rsid w:val="00A12416"/>
    <w:rsid w:val="00A136C6"/>
    <w:rsid w:val="00A136CE"/>
    <w:rsid w:val="00A13755"/>
    <w:rsid w:val="00A1398C"/>
    <w:rsid w:val="00A13A89"/>
    <w:rsid w:val="00A14256"/>
    <w:rsid w:val="00A14BAC"/>
    <w:rsid w:val="00A14D5C"/>
    <w:rsid w:val="00A14FAE"/>
    <w:rsid w:val="00A154F9"/>
    <w:rsid w:val="00A1666B"/>
    <w:rsid w:val="00A17BA4"/>
    <w:rsid w:val="00A207DC"/>
    <w:rsid w:val="00A20D25"/>
    <w:rsid w:val="00A21118"/>
    <w:rsid w:val="00A21717"/>
    <w:rsid w:val="00A22628"/>
    <w:rsid w:val="00A22977"/>
    <w:rsid w:val="00A2391D"/>
    <w:rsid w:val="00A23A82"/>
    <w:rsid w:val="00A241F9"/>
    <w:rsid w:val="00A252B6"/>
    <w:rsid w:val="00A27A38"/>
    <w:rsid w:val="00A27C3C"/>
    <w:rsid w:val="00A27D03"/>
    <w:rsid w:val="00A27DB4"/>
    <w:rsid w:val="00A30E89"/>
    <w:rsid w:val="00A314A0"/>
    <w:rsid w:val="00A31ADE"/>
    <w:rsid w:val="00A320DB"/>
    <w:rsid w:val="00A32479"/>
    <w:rsid w:val="00A3249C"/>
    <w:rsid w:val="00A340C7"/>
    <w:rsid w:val="00A3410E"/>
    <w:rsid w:val="00A34D78"/>
    <w:rsid w:val="00A35ACD"/>
    <w:rsid w:val="00A35AFF"/>
    <w:rsid w:val="00A36A84"/>
    <w:rsid w:val="00A370B4"/>
    <w:rsid w:val="00A37836"/>
    <w:rsid w:val="00A402E2"/>
    <w:rsid w:val="00A41B8E"/>
    <w:rsid w:val="00A4292D"/>
    <w:rsid w:val="00A4334A"/>
    <w:rsid w:val="00A43B3A"/>
    <w:rsid w:val="00A4649C"/>
    <w:rsid w:val="00A50E22"/>
    <w:rsid w:val="00A532E3"/>
    <w:rsid w:val="00A533E8"/>
    <w:rsid w:val="00A53746"/>
    <w:rsid w:val="00A54141"/>
    <w:rsid w:val="00A541FD"/>
    <w:rsid w:val="00A54811"/>
    <w:rsid w:val="00A54BD8"/>
    <w:rsid w:val="00A54CB9"/>
    <w:rsid w:val="00A56340"/>
    <w:rsid w:val="00A56E78"/>
    <w:rsid w:val="00A57A69"/>
    <w:rsid w:val="00A57F82"/>
    <w:rsid w:val="00A60749"/>
    <w:rsid w:val="00A60FE1"/>
    <w:rsid w:val="00A61853"/>
    <w:rsid w:val="00A618C6"/>
    <w:rsid w:val="00A6317B"/>
    <w:rsid w:val="00A63184"/>
    <w:rsid w:val="00A63DF1"/>
    <w:rsid w:val="00A647CD"/>
    <w:rsid w:val="00A64E5F"/>
    <w:rsid w:val="00A6560B"/>
    <w:rsid w:val="00A65C42"/>
    <w:rsid w:val="00A66396"/>
    <w:rsid w:val="00A671D1"/>
    <w:rsid w:val="00A6741B"/>
    <w:rsid w:val="00A7234D"/>
    <w:rsid w:val="00A72490"/>
    <w:rsid w:val="00A754DD"/>
    <w:rsid w:val="00A75510"/>
    <w:rsid w:val="00A75723"/>
    <w:rsid w:val="00A75E47"/>
    <w:rsid w:val="00A768CE"/>
    <w:rsid w:val="00A76961"/>
    <w:rsid w:val="00A76BFB"/>
    <w:rsid w:val="00A80B23"/>
    <w:rsid w:val="00A80C32"/>
    <w:rsid w:val="00A81A20"/>
    <w:rsid w:val="00A82EDC"/>
    <w:rsid w:val="00A83DDC"/>
    <w:rsid w:val="00A83F37"/>
    <w:rsid w:val="00A84BED"/>
    <w:rsid w:val="00A84CF8"/>
    <w:rsid w:val="00A8536F"/>
    <w:rsid w:val="00A85791"/>
    <w:rsid w:val="00A857C4"/>
    <w:rsid w:val="00A85CD9"/>
    <w:rsid w:val="00A85E27"/>
    <w:rsid w:val="00A85F2F"/>
    <w:rsid w:val="00A86D6F"/>
    <w:rsid w:val="00A86E3E"/>
    <w:rsid w:val="00A87BAE"/>
    <w:rsid w:val="00A90976"/>
    <w:rsid w:val="00A925DB"/>
    <w:rsid w:val="00A94012"/>
    <w:rsid w:val="00A94354"/>
    <w:rsid w:val="00A94796"/>
    <w:rsid w:val="00A94CEF"/>
    <w:rsid w:val="00A951AC"/>
    <w:rsid w:val="00A96EF6"/>
    <w:rsid w:val="00A97E8F"/>
    <w:rsid w:val="00AA119A"/>
    <w:rsid w:val="00AA1424"/>
    <w:rsid w:val="00AA14C3"/>
    <w:rsid w:val="00AA3EDF"/>
    <w:rsid w:val="00AA4239"/>
    <w:rsid w:val="00AA4D46"/>
    <w:rsid w:val="00AA56D7"/>
    <w:rsid w:val="00AA6816"/>
    <w:rsid w:val="00AA71A4"/>
    <w:rsid w:val="00AB06B8"/>
    <w:rsid w:val="00AB0ADE"/>
    <w:rsid w:val="00AB0C51"/>
    <w:rsid w:val="00AB1B38"/>
    <w:rsid w:val="00AB1EBA"/>
    <w:rsid w:val="00AB217D"/>
    <w:rsid w:val="00AB2581"/>
    <w:rsid w:val="00AB2643"/>
    <w:rsid w:val="00AB27C6"/>
    <w:rsid w:val="00AB3031"/>
    <w:rsid w:val="00AB3AAC"/>
    <w:rsid w:val="00AB3E2F"/>
    <w:rsid w:val="00AB4013"/>
    <w:rsid w:val="00AB462F"/>
    <w:rsid w:val="00AB4C0D"/>
    <w:rsid w:val="00AB557D"/>
    <w:rsid w:val="00AB6533"/>
    <w:rsid w:val="00AB689D"/>
    <w:rsid w:val="00AB6EB6"/>
    <w:rsid w:val="00AB7675"/>
    <w:rsid w:val="00AC070D"/>
    <w:rsid w:val="00AC2A94"/>
    <w:rsid w:val="00AC322C"/>
    <w:rsid w:val="00AC33E2"/>
    <w:rsid w:val="00AC3674"/>
    <w:rsid w:val="00AC4A20"/>
    <w:rsid w:val="00AC4FEA"/>
    <w:rsid w:val="00AC5213"/>
    <w:rsid w:val="00AC53F3"/>
    <w:rsid w:val="00AC584E"/>
    <w:rsid w:val="00AC5B6E"/>
    <w:rsid w:val="00AC607A"/>
    <w:rsid w:val="00AC69E2"/>
    <w:rsid w:val="00AC7B80"/>
    <w:rsid w:val="00AD0A32"/>
    <w:rsid w:val="00AD0D7B"/>
    <w:rsid w:val="00AD1442"/>
    <w:rsid w:val="00AD14AB"/>
    <w:rsid w:val="00AD1B73"/>
    <w:rsid w:val="00AD20ED"/>
    <w:rsid w:val="00AD2FE7"/>
    <w:rsid w:val="00AD30DD"/>
    <w:rsid w:val="00AD3804"/>
    <w:rsid w:val="00AD3BC2"/>
    <w:rsid w:val="00AD4434"/>
    <w:rsid w:val="00AD4D18"/>
    <w:rsid w:val="00AD53AA"/>
    <w:rsid w:val="00AD6A5E"/>
    <w:rsid w:val="00AD79BF"/>
    <w:rsid w:val="00AE1D52"/>
    <w:rsid w:val="00AE2133"/>
    <w:rsid w:val="00AE43F4"/>
    <w:rsid w:val="00AE5099"/>
    <w:rsid w:val="00AE50D3"/>
    <w:rsid w:val="00AE606A"/>
    <w:rsid w:val="00AE61BF"/>
    <w:rsid w:val="00AE64C2"/>
    <w:rsid w:val="00AE7D92"/>
    <w:rsid w:val="00AF0A66"/>
    <w:rsid w:val="00AF0CF8"/>
    <w:rsid w:val="00AF262C"/>
    <w:rsid w:val="00AF415A"/>
    <w:rsid w:val="00AF44F2"/>
    <w:rsid w:val="00AF53AB"/>
    <w:rsid w:val="00AF53BA"/>
    <w:rsid w:val="00AF69B4"/>
    <w:rsid w:val="00AF717B"/>
    <w:rsid w:val="00AF7D95"/>
    <w:rsid w:val="00B00D77"/>
    <w:rsid w:val="00B01283"/>
    <w:rsid w:val="00B0153C"/>
    <w:rsid w:val="00B02A46"/>
    <w:rsid w:val="00B035B9"/>
    <w:rsid w:val="00B045ED"/>
    <w:rsid w:val="00B04B03"/>
    <w:rsid w:val="00B05993"/>
    <w:rsid w:val="00B060CD"/>
    <w:rsid w:val="00B0686C"/>
    <w:rsid w:val="00B06E97"/>
    <w:rsid w:val="00B07E41"/>
    <w:rsid w:val="00B11168"/>
    <w:rsid w:val="00B134E7"/>
    <w:rsid w:val="00B14FC0"/>
    <w:rsid w:val="00B159F7"/>
    <w:rsid w:val="00B165E7"/>
    <w:rsid w:val="00B16649"/>
    <w:rsid w:val="00B16796"/>
    <w:rsid w:val="00B16E86"/>
    <w:rsid w:val="00B1748E"/>
    <w:rsid w:val="00B20364"/>
    <w:rsid w:val="00B21050"/>
    <w:rsid w:val="00B21145"/>
    <w:rsid w:val="00B2130C"/>
    <w:rsid w:val="00B21609"/>
    <w:rsid w:val="00B22081"/>
    <w:rsid w:val="00B2300D"/>
    <w:rsid w:val="00B230F6"/>
    <w:rsid w:val="00B23139"/>
    <w:rsid w:val="00B23551"/>
    <w:rsid w:val="00B25335"/>
    <w:rsid w:val="00B26391"/>
    <w:rsid w:val="00B26A06"/>
    <w:rsid w:val="00B26B5A"/>
    <w:rsid w:val="00B27F3D"/>
    <w:rsid w:val="00B30066"/>
    <w:rsid w:val="00B3108F"/>
    <w:rsid w:val="00B3114E"/>
    <w:rsid w:val="00B3148D"/>
    <w:rsid w:val="00B34DAE"/>
    <w:rsid w:val="00B35B1B"/>
    <w:rsid w:val="00B36CA1"/>
    <w:rsid w:val="00B37791"/>
    <w:rsid w:val="00B4039D"/>
    <w:rsid w:val="00B40514"/>
    <w:rsid w:val="00B40964"/>
    <w:rsid w:val="00B40E2E"/>
    <w:rsid w:val="00B41534"/>
    <w:rsid w:val="00B4154B"/>
    <w:rsid w:val="00B41784"/>
    <w:rsid w:val="00B42E68"/>
    <w:rsid w:val="00B4311D"/>
    <w:rsid w:val="00B4420E"/>
    <w:rsid w:val="00B44C71"/>
    <w:rsid w:val="00B45669"/>
    <w:rsid w:val="00B466F0"/>
    <w:rsid w:val="00B467BB"/>
    <w:rsid w:val="00B47E3B"/>
    <w:rsid w:val="00B50700"/>
    <w:rsid w:val="00B511ED"/>
    <w:rsid w:val="00B51602"/>
    <w:rsid w:val="00B52540"/>
    <w:rsid w:val="00B53C34"/>
    <w:rsid w:val="00B54100"/>
    <w:rsid w:val="00B5454B"/>
    <w:rsid w:val="00B545F7"/>
    <w:rsid w:val="00B54A1B"/>
    <w:rsid w:val="00B5657A"/>
    <w:rsid w:val="00B57961"/>
    <w:rsid w:val="00B60F48"/>
    <w:rsid w:val="00B61614"/>
    <w:rsid w:val="00B618F9"/>
    <w:rsid w:val="00B61B8F"/>
    <w:rsid w:val="00B62488"/>
    <w:rsid w:val="00B628A4"/>
    <w:rsid w:val="00B64774"/>
    <w:rsid w:val="00B64E06"/>
    <w:rsid w:val="00B65029"/>
    <w:rsid w:val="00B65CB5"/>
    <w:rsid w:val="00B65D4A"/>
    <w:rsid w:val="00B661F1"/>
    <w:rsid w:val="00B669F1"/>
    <w:rsid w:val="00B66B65"/>
    <w:rsid w:val="00B6746E"/>
    <w:rsid w:val="00B674D1"/>
    <w:rsid w:val="00B706E2"/>
    <w:rsid w:val="00B7145B"/>
    <w:rsid w:val="00B71881"/>
    <w:rsid w:val="00B72FA4"/>
    <w:rsid w:val="00B73359"/>
    <w:rsid w:val="00B7374F"/>
    <w:rsid w:val="00B73D5A"/>
    <w:rsid w:val="00B74472"/>
    <w:rsid w:val="00B74500"/>
    <w:rsid w:val="00B74AFB"/>
    <w:rsid w:val="00B74E39"/>
    <w:rsid w:val="00B754EA"/>
    <w:rsid w:val="00B75B34"/>
    <w:rsid w:val="00B762DB"/>
    <w:rsid w:val="00B768AD"/>
    <w:rsid w:val="00B76D77"/>
    <w:rsid w:val="00B7761D"/>
    <w:rsid w:val="00B77BCD"/>
    <w:rsid w:val="00B77E2A"/>
    <w:rsid w:val="00B81393"/>
    <w:rsid w:val="00B8326F"/>
    <w:rsid w:val="00B83638"/>
    <w:rsid w:val="00B839BC"/>
    <w:rsid w:val="00B84738"/>
    <w:rsid w:val="00B84B83"/>
    <w:rsid w:val="00B853F9"/>
    <w:rsid w:val="00B9028B"/>
    <w:rsid w:val="00B92342"/>
    <w:rsid w:val="00B93445"/>
    <w:rsid w:val="00B939A1"/>
    <w:rsid w:val="00B93B87"/>
    <w:rsid w:val="00B9465D"/>
    <w:rsid w:val="00B94881"/>
    <w:rsid w:val="00B95517"/>
    <w:rsid w:val="00B95C12"/>
    <w:rsid w:val="00B961F1"/>
    <w:rsid w:val="00B96885"/>
    <w:rsid w:val="00B969C6"/>
    <w:rsid w:val="00B96C4E"/>
    <w:rsid w:val="00B97C50"/>
    <w:rsid w:val="00BA1434"/>
    <w:rsid w:val="00BA1758"/>
    <w:rsid w:val="00BA3212"/>
    <w:rsid w:val="00BA371A"/>
    <w:rsid w:val="00BA3B4B"/>
    <w:rsid w:val="00BA40BE"/>
    <w:rsid w:val="00BA4D41"/>
    <w:rsid w:val="00BA52F7"/>
    <w:rsid w:val="00BA67FC"/>
    <w:rsid w:val="00BA6B8E"/>
    <w:rsid w:val="00BA6C04"/>
    <w:rsid w:val="00BA7165"/>
    <w:rsid w:val="00BA7285"/>
    <w:rsid w:val="00BA76F2"/>
    <w:rsid w:val="00BA7BE8"/>
    <w:rsid w:val="00BB08F7"/>
    <w:rsid w:val="00BB0CA1"/>
    <w:rsid w:val="00BB0E91"/>
    <w:rsid w:val="00BB133D"/>
    <w:rsid w:val="00BB1924"/>
    <w:rsid w:val="00BB26EB"/>
    <w:rsid w:val="00BB2C15"/>
    <w:rsid w:val="00BB3C8A"/>
    <w:rsid w:val="00BB4049"/>
    <w:rsid w:val="00BB6A56"/>
    <w:rsid w:val="00BB7094"/>
    <w:rsid w:val="00BB76BB"/>
    <w:rsid w:val="00BB7AF7"/>
    <w:rsid w:val="00BC00C1"/>
    <w:rsid w:val="00BC0688"/>
    <w:rsid w:val="00BC1478"/>
    <w:rsid w:val="00BC1BFE"/>
    <w:rsid w:val="00BC2264"/>
    <w:rsid w:val="00BC2C3A"/>
    <w:rsid w:val="00BC3CE2"/>
    <w:rsid w:val="00BC3E3B"/>
    <w:rsid w:val="00BC41DD"/>
    <w:rsid w:val="00BC7956"/>
    <w:rsid w:val="00BD02E6"/>
    <w:rsid w:val="00BD065D"/>
    <w:rsid w:val="00BD0DDA"/>
    <w:rsid w:val="00BD1469"/>
    <w:rsid w:val="00BD154C"/>
    <w:rsid w:val="00BD154F"/>
    <w:rsid w:val="00BD1DBD"/>
    <w:rsid w:val="00BD24B6"/>
    <w:rsid w:val="00BD3080"/>
    <w:rsid w:val="00BD3124"/>
    <w:rsid w:val="00BD316A"/>
    <w:rsid w:val="00BD3A94"/>
    <w:rsid w:val="00BD3DE0"/>
    <w:rsid w:val="00BD4CF5"/>
    <w:rsid w:val="00BE09C7"/>
    <w:rsid w:val="00BE1BBB"/>
    <w:rsid w:val="00BE2ACB"/>
    <w:rsid w:val="00BE3013"/>
    <w:rsid w:val="00BE3CB6"/>
    <w:rsid w:val="00BE4035"/>
    <w:rsid w:val="00BE46DC"/>
    <w:rsid w:val="00BE4A58"/>
    <w:rsid w:val="00BE4B70"/>
    <w:rsid w:val="00BE5120"/>
    <w:rsid w:val="00BE5756"/>
    <w:rsid w:val="00BE5B3C"/>
    <w:rsid w:val="00BE64BF"/>
    <w:rsid w:val="00BE6653"/>
    <w:rsid w:val="00BF02D4"/>
    <w:rsid w:val="00BF0724"/>
    <w:rsid w:val="00BF1896"/>
    <w:rsid w:val="00BF2098"/>
    <w:rsid w:val="00BF2A1F"/>
    <w:rsid w:val="00BF324E"/>
    <w:rsid w:val="00BF329F"/>
    <w:rsid w:val="00BF4674"/>
    <w:rsid w:val="00BF47B7"/>
    <w:rsid w:val="00BF4DFE"/>
    <w:rsid w:val="00BF5020"/>
    <w:rsid w:val="00BF55BA"/>
    <w:rsid w:val="00BF58F2"/>
    <w:rsid w:val="00BF590D"/>
    <w:rsid w:val="00BF64A1"/>
    <w:rsid w:val="00C009B9"/>
    <w:rsid w:val="00C00F33"/>
    <w:rsid w:val="00C024DF"/>
    <w:rsid w:val="00C028F9"/>
    <w:rsid w:val="00C0308D"/>
    <w:rsid w:val="00C035A7"/>
    <w:rsid w:val="00C0387C"/>
    <w:rsid w:val="00C04A2A"/>
    <w:rsid w:val="00C04FA3"/>
    <w:rsid w:val="00C051F1"/>
    <w:rsid w:val="00C05754"/>
    <w:rsid w:val="00C0586E"/>
    <w:rsid w:val="00C06091"/>
    <w:rsid w:val="00C07721"/>
    <w:rsid w:val="00C077A9"/>
    <w:rsid w:val="00C10D34"/>
    <w:rsid w:val="00C11612"/>
    <w:rsid w:val="00C11B8C"/>
    <w:rsid w:val="00C12101"/>
    <w:rsid w:val="00C12216"/>
    <w:rsid w:val="00C1230F"/>
    <w:rsid w:val="00C1270B"/>
    <w:rsid w:val="00C12EC3"/>
    <w:rsid w:val="00C13810"/>
    <w:rsid w:val="00C13934"/>
    <w:rsid w:val="00C13B21"/>
    <w:rsid w:val="00C14234"/>
    <w:rsid w:val="00C14C9F"/>
    <w:rsid w:val="00C155CC"/>
    <w:rsid w:val="00C15941"/>
    <w:rsid w:val="00C160D1"/>
    <w:rsid w:val="00C168BD"/>
    <w:rsid w:val="00C16E20"/>
    <w:rsid w:val="00C170CD"/>
    <w:rsid w:val="00C2047B"/>
    <w:rsid w:val="00C21801"/>
    <w:rsid w:val="00C21C5C"/>
    <w:rsid w:val="00C22C50"/>
    <w:rsid w:val="00C236EB"/>
    <w:rsid w:val="00C24016"/>
    <w:rsid w:val="00C250D5"/>
    <w:rsid w:val="00C2541E"/>
    <w:rsid w:val="00C2649C"/>
    <w:rsid w:val="00C26623"/>
    <w:rsid w:val="00C26685"/>
    <w:rsid w:val="00C30F87"/>
    <w:rsid w:val="00C321D5"/>
    <w:rsid w:val="00C338CB"/>
    <w:rsid w:val="00C33B0D"/>
    <w:rsid w:val="00C348FF"/>
    <w:rsid w:val="00C34CC3"/>
    <w:rsid w:val="00C37345"/>
    <w:rsid w:val="00C3796D"/>
    <w:rsid w:val="00C400C1"/>
    <w:rsid w:val="00C4057F"/>
    <w:rsid w:val="00C40753"/>
    <w:rsid w:val="00C40815"/>
    <w:rsid w:val="00C40B89"/>
    <w:rsid w:val="00C40B90"/>
    <w:rsid w:val="00C41BEB"/>
    <w:rsid w:val="00C429BA"/>
    <w:rsid w:val="00C42ABF"/>
    <w:rsid w:val="00C42E64"/>
    <w:rsid w:val="00C43C61"/>
    <w:rsid w:val="00C50040"/>
    <w:rsid w:val="00C507A3"/>
    <w:rsid w:val="00C5183A"/>
    <w:rsid w:val="00C521AE"/>
    <w:rsid w:val="00C52E64"/>
    <w:rsid w:val="00C54A87"/>
    <w:rsid w:val="00C55428"/>
    <w:rsid w:val="00C57991"/>
    <w:rsid w:val="00C60B64"/>
    <w:rsid w:val="00C615B8"/>
    <w:rsid w:val="00C615D1"/>
    <w:rsid w:val="00C62D23"/>
    <w:rsid w:val="00C62D67"/>
    <w:rsid w:val="00C64DCC"/>
    <w:rsid w:val="00C652E2"/>
    <w:rsid w:val="00C667D0"/>
    <w:rsid w:val="00C66AD7"/>
    <w:rsid w:val="00C66E3C"/>
    <w:rsid w:val="00C70E36"/>
    <w:rsid w:val="00C71A08"/>
    <w:rsid w:val="00C71E02"/>
    <w:rsid w:val="00C72625"/>
    <w:rsid w:val="00C7271D"/>
    <w:rsid w:val="00C730F7"/>
    <w:rsid w:val="00C74CF6"/>
    <w:rsid w:val="00C75BCA"/>
    <w:rsid w:val="00C75C66"/>
    <w:rsid w:val="00C77531"/>
    <w:rsid w:val="00C81278"/>
    <w:rsid w:val="00C81A2C"/>
    <w:rsid w:val="00C81D0A"/>
    <w:rsid w:val="00C821AC"/>
    <w:rsid w:val="00C82489"/>
    <w:rsid w:val="00C8285E"/>
    <w:rsid w:val="00C82F2D"/>
    <w:rsid w:val="00C84318"/>
    <w:rsid w:val="00C84C3A"/>
    <w:rsid w:val="00C856BE"/>
    <w:rsid w:val="00C87A9E"/>
    <w:rsid w:val="00C87AE1"/>
    <w:rsid w:val="00C90F2C"/>
    <w:rsid w:val="00C91633"/>
    <w:rsid w:val="00C92EEE"/>
    <w:rsid w:val="00C9311D"/>
    <w:rsid w:val="00C94583"/>
    <w:rsid w:val="00C94AA2"/>
    <w:rsid w:val="00C94B97"/>
    <w:rsid w:val="00C94F15"/>
    <w:rsid w:val="00C954BD"/>
    <w:rsid w:val="00C95615"/>
    <w:rsid w:val="00C96D60"/>
    <w:rsid w:val="00C97CC0"/>
    <w:rsid w:val="00C97D75"/>
    <w:rsid w:val="00CA0261"/>
    <w:rsid w:val="00CA04BA"/>
    <w:rsid w:val="00CA136D"/>
    <w:rsid w:val="00CA147B"/>
    <w:rsid w:val="00CA2400"/>
    <w:rsid w:val="00CA24A1"/>
    <w:rsid w:val="00CA2998"/>
    <w:rsid w:val="00CA2D7A"/>
    <w:rsid w:val="00CA451A"/>
    <w:rsid w:val="00CA47F5"/>
    <w:rsid w:val="00CA5368"/>
    <w:rsid w:val="00CA6310"/>
    <w:rsid w:val="00CA68BC"/>
    <w:rsid w:val="00CB0113"/>
    <w:rsid w:val="00CB058C"/>
    <w:rsid w:val="00CB0C58"/>
    <w:rsid w:val="00CB14A4"/>
    <w:rsid w:val="00CB30D0"/>
    <w:rsid w:val="00CB37A5"/>
    <w:rsid w:val="00CB3B29"/>
    <w:rsid w:val="00CB3C01"/>
    <w:rsid w:val="00CB3EBC"/>
    <w:rsid w:val="00CB494B"/>
    <w:rsid w:val="00CB4EC9"/>
    <w:rsid w:val="00CB570A"/>
    <w:rsid w:val="00CB679C"/>
    <w:rsid w:val="00CB6A84"/>
    <w:rsid w:val="00CB6A85"/>
    <w:rsid w:val="00CB7121"/>
    <w:rsid w:val="00CB7364"/>
    <w:rsid w:val="00CB7C4A"/>
    <w:rsid w:val="00CB7ECC"/>
    <w:rsid w:val="00CC09FE"/>
    <w:rsid w:val="00CC0B1E"/>
    <w:rsid w:val="00CC1475"/>
    <w:rsid w:val="00CC319E"/>
    <w:rsid w:val="00CC340A"/>
    <w:rsid w:val="00CC3C61"/>
    <w:rsid w:val="00CC5AA0"/>
    <w:rsid w:val="00CC75B6"/>
    <w:rsid w:val="00CC7607"/>
    <w:rsid w:val="00CC779B"/>
    <w:rsid w:val="00CD0F87"/>
    <w:rsid w:val="00CD2DD0"/>
    <w:rsid w:val="00CD3776"/>
    <w:rsid w:val="00CD381A"/>
    <w:rsid w:val="00CD424B"/>
    <w:rsid w:val="00CD4D65"/>
    <w:rsid w:val="00CD5A1B"/>
    <w:rsid w:val="00CD5D11"/>
    <w:rsid w:val="00CD648D"/>
    <w:rsid w:val="00CD6DEB"/>
    <w:rsid w:val="00CD7616"/>
    <w:rsid w:val="00CD775A"/>
    <w:rsid w:val="00CD7C90"/>
    <w:rsid w:val="00CE01B5"/>
    <w:rsid w:val="00CE021F"/>
    <w:rsid w:val="00CE0817"/>
    <w:rsid w:val="00CE0B98"/>
    <w:rsid w:val="00CE2312"/>
    <w:rsid w:val="00CE3490"/>
    <w:rsid w:val="00CE384F"/>
    <w:rsid w:val="00CE3CDF"/>
    <w:rsid w:val="00CE3E07"/>
    <w:rsid w:val="00CE79A8"/>
    <w:rsid w:val="00CF14A0"/>
    <w:rsid w:val="00CF19DF"/>
    <w:rsid w:val="00CF1F8D"/>
    <w:rsid w:val="00CF1F97"/>
    <w:rsid w:val="00CF2172"/>
    <w:rsid w:val="00CF2BBB"/>
    <w:rsid w:val="00CF3B6C"/>
    <w:rsid w:val="00CF4F47"/>
    <w:rsid w:val="00CF5030"/>
    <w:rsid w:val="00CF6E4D"/>
    <w:rsid w:val="00CF75E2"/>
    <w:rsid w:val="00CF7CC4"/>
    <w:rsid w:val="00D01AD1"/>
    <w:rsid w:val="00D02277"/>
    <w:rsid w:val="00D02BB4"/>
    <w:rsid w:val="00D033C8"/>
    <w:rsid w:val="00D03B43"/>
    <w:rsid w:val="00D03C14"/>
    <w:rsid w:val="00D04B2D"/>
    <w:rsid w:val="00D050B6"/>
    <w:rsid w:val="00D058FD"/>
    <w:rsid w:val="00D06433"/>
    <w:rsid w:val="00D07169"/>
    <w:rsid w:val="00D072E8"/>
    <w:rsid w:val="00D07614"/>
    <w:rsid w:val="00D1045F"/>
    <w:rsid w:val="00D109FA"/>
    <w:rsid w:val="00D11EC0"/>
    <w:rsid w:val="00D13294"/>
    <w:rsid w:val="00D13CB3"/>
    <w:rsid w:val="00D14D12"/>
    <w:rsid w:val="00D17B5F"/>
    <w:rsid w:val="00D20031"/>
    <w:rsid w:val="00D20137"/>
    <w:rsid w:val="00D208E6"/>
    <w:rsid w:val="00D209D9"/>
    <w:rsid w:val="00D20A15"/>
    <w:rsid w:val="00D21396"/>
    <w:rsid w:val="00D21A55"/>
    <w:rsid w:val="00D21D4E"/>
    <w:rsid w:val="00D21F0B"/>
    <w:rsid w:val="00D23AD0"/>
    <w:rsid w:val="00D23B0A"/>
    <w:rsid w:val="00D24089"/>
    <w:rsid w:val="00D24239"/>
    <w:rsid w:val="00D24C26"/>
    <w:rsid w:val="00D255C6"/>
    <w:rsid w:val="00D302B2"/>
    <w:rsid w:val="00D309DD"/>
    <w:rsid w:val="00D31163"/>
    <w:rsid w:val="00D31D60"/>
    <w:rsid w:val="00D3330C"/>
    <w:rsid w:val="00D3349D"/>
    <w:rsid w:val="00D33682"/>
    <w:rsid w:val="00D3386A"/>
    <w:rsid w:val="00D3432A"/>
    <w:rsid w:val="00D34598"/>
    <w:rsid w:val="00D3511A"/>
    <w:rsid w:val="00D35D06"/>
    <w:rsid w:val="00D35F28"/>
    <w:rsid w:val="00D368FF"/>
    <w:rsid w:val="00D37596"/>
    <w:rsid w:val="00D40238"/>
    <w:rsid w:val="00D40524"/>
    <w:rsid w:val="00D43430"/>
    <w:rsid w:val="00D439C3"/>
    <w:rsid w:val="00D449C6"/>
    <w:rsid w:val="00D44A3B"/>
    <w:rsid w:val="00D451A0"/>
    <w:rsid w:val="00D45C34"/>
    <w:rsid w:val="00D476D1"/>
    <w:rsid w:val="00D4777F"/>
    <w:rsid w:val="00D478D3"/>
    <w:rsid w:val="00D50B46"/>
    <w:rsid w:val="00D52DA7"/>
    <w:rsid w:val="00D54E87"/>
    <w:rsid w:val="00D55828"/>
    <w:rsid w:val="00D55C1D"/>
    <w:rsid w:val="00D566F1"/>
    <w:rsid w:val="00D57388"/>
    <w:rsid w:val="00D61A0D"/>
    <w:rsid w:val="00D63F45"/>
    <w:rsid w:val="00D645BF"/>
    <w:rsid w:val="00D64E9D"/>
    <w:rsid w:val="00D65A11"/>
    <w:rsid w:val="00D65B91"/>
    <w:rsid w:val="00D66CD5"/>
    <w:rsid w:val="00D67145"/>
    <w:rsid w:val="00D713D8"/>
    <w:rsid w:val="00D7160F"/>
    <w:rsid w:val="00D71AF6"/>
    <w:rsid w:val="00D71DF9"/>
    <w:rsid w:val="00D72C26"/>
    <w:rsid w:val="00D72C68"/>
    <w:rsid w:val="00D73288"/>
    <w:rsid w:val="00D7371E"/>
    <w:rsid w:val="00D741DB"/>
    <w:rsid w:val="00D746EF"/>
    <w:rsid w:val="00D74750"/>
    <w:rsid w:val="00D74E88"/>
    <w:rsid w:val="00D7502F"/>
    <w:rsid w:val="00D75216"/>
    <w:rsid w:val="00D75D33"/>
    <w:rsid w:val="00D75E56"/>
    <w:rsid w:val="00D763AE"/>
    <w:rsid w:val="00D7672C"/>
    <w:rsid w:val="00D76FF2"/>
    <w:rsid w:val="00D77919"/>
    <w:rsid w:val="00D8047F"/>
    <w:rsid w:val="00D8158C"/>
    <w:rsid w:val="00D83088"/>
    <w:rsid w:val="00D8359E"/>
    <w:rsid w:val="00D857FE"/>
    <w:rsid w:val="00D87458"/>
    <w:rsid w:val="00D900EC"/>
    <w:rsid w:val="00D907F2"/>
    <w:rsid w:val="00D92BBF"/>
    <w:rsid w:val="00D933F6"/>
    <w:rsid w:val="00D93B75"/>
    <w:rsid w:val="00D94010"/>
    <w:rsid w:val="00D948C4"/>
    <w:rsid w:val="00D94E85"/>
    <w:rsid w:val="00D952F8"/>
    <w:rsid w:val="00D96531"/>
    <w:rsid w:val="00D97233"/>
    <w:rsid w:val="00DA1111"/>
    <w:rsid w:val="00DA18C2"/>
    <w:rsid w:val="00DA26B3"/>
    <w:rsid w:val="00DA2FCF"/>
    <w:rsid w:val="00DA465F"/>
    <w:rsid w:val="00DA518C"/>
    <w:rsid w:val="00DA5B15"/>
    <w:rsid w:val="00DA5B16"/>
    <w:rsid w:val="00DA77DE"/>
    <w:rsid w:val="00DB078B"/>
    <w:rsid w:val="00DB1C75"/>
    <w:rsid w:val="00DB2AEF"/>
    <w:rsid w:val="00DB2B51"/>
    <w:rsid w:val="00DB305D"/>
    <w:rsid w:val="00DB4490"/>
    <w:rsid w:val="00DB47A5"/>
    <w:rsid w:val="00DB4D17"/>
    <w:rsid w:val="00DB72FC"/>
    <w:rsid w:val="00DB74B6"/>
    <w:rsid w:val="00DB7CED"/>
    <w:rsid w:val="00DC0296"/>
    <w:rsid w:val="00DC09FC"/>
    <w:rsid w:val="00DC1CE3"/>
    <w:rsid w:val="00DC385E"/>
    <w:rsid w:val="00DC4145"/>
    <w:rsid w:val="00DC493B"/>
    <w:rsid w:val="00DC6826"/>
    <w:rsid w:val="00DD0B51"/>
    <w:rsid w:val="00DD0BE6"/>
    <w:rsid w:val="00DD1707"/>
    <w:rsid w:val="00DD1C59"/>
    <w:rsid w:val="00DD1F91"/>
    <w:rsid w:val="00DD24A7"/>
    <w:rsid w:val="00DD3467"/>
    <w:rsid w:val="00DD3A54"/>
    <w:rsid w:val="00DD45B5"/>
    <w:rsid w:val="00DD474F"/>
    <w:rsid w:val="00DD4A1A"/>
    <w:rsid w:val="00DD52FC"/>
    <w:rsid w:val="00DD5C3A"/>
    <w:rsid w:val="00DD674D"/>
    <w:rsid w:val="00DD701C"/>
    <w:rsid w:val="00DD79F6"/>
    <w:rsid w:val="00DE0656"/>
    <w:rsid w:val="00DE0CC3"/>
    <w:rsid w:val="00DE3136"/>
    <w:rsid w:val="00DE39F4"/>
    <w:rsid w:val="00DE3A27"/>
    <w:rsid w:val="00DE5085"/>
    <w:rsid w:val="00DE587D"/>
    <w:rsid w:val="00DE5F16"/>
    <w:rsid w:val="00DE6805"/>
    <w:rsid w:val="00DE7807"/>
    <w:rsid w:val="00DF0D0A"/>
    <w:rsid w:val="00DF1FB9"/>
    <w:rsid w:val="00DF2469"/>
    <w:rsid w:val="00DF2657"/>
    <w:rsid w:val="00DF299A"/>
    <w:rsid w:val="00DF3014"/>
    <w:rsid w:val="00DF45B9"/>
    <w:rsid w:val="00DF54CF"/>
    <w:rsid w:val="00DF58E5"/>
    <w:rsid w:val="00DF79E1"/>
    <w:rsid w:val="00E000D0"/>
    <w:rsid w:val="00E00784"/>
    <w:rsid w:val="00E00F2E"/>
    <w:rsid w:val="00E01525"/>
    <w:rsid w:val="00E0186E"/>
    <w:rsid w:val="00E01FE1"/>
    <w:rsid w:val="00E024B2"/>
    <w:rsid w:val="00E03063"/>
    <w:rsid w:val="00E057EA"/>
    <w:rsid w:val="00E06971"/>
    <w:rsid w:val="00E07AA2"/>
    <w:rsid w:val="00E1015B"/>
    <w:rsid w:val="00E106AE"/>
    <w:rsid w:val="00E10723"/>
    <w:rsid w:val="00E11A5C"/>
    <w:rsid w:val="00E1223A"/>
    <w:rsid w:val="00E122A9"/>
    <w:rsid w:val="00E12ABE"/>
    <w:rsid w:val="00E12DA4"/>
    <w:rsid w:val="00E13DAF"/>
    <w:rsid w:val="00E1415F"/>
    <w:rsid w:val="00E15683"/>
    <w:rsid w:val="00E1603D"/>
    <w:rsid w:val="00E16872"/>
    <w:rsid w:val="00E1784D"/>
    <w:rsid w:val="00E20E02"/>
    <w:rsid w:val="00E2282E"/>
    <w:rsid w:val="00E229C1"/>
    <w:rsid w:val="00E22C09"/>
    <w:rsid w:val="00E239E9"/>
    <w:rsid w:val="00E26A96"/>
    <w:rsid w:val="00E30003"/>
    <w:rsid w:val="00E313CE"/>
    <w:rsid w:val="00E31F09"/>
    <w:rsid w:val="00E320DB"/>
    <w:rsid w:val="00E32733"/>
    <w:rsid w:val="00E331D5"/>
    <w:rsid w:val="00E33AB2"/>
    <w:rsid w:val="00E33E69"/>
    <w:rsid w:val="00E3497F"/>
    <w:rsid w:val="00E34E6A"/>
    <w:rsid w:val="00E35ADF"/>
    <w:rsid w:val="00E35D26"/>
    <w:rsid w:val="00E35F0A"/>
    <w:rsid w:val="00E36D49"/>
    <w:rsid w:val="00E36E14"/>
    <w:rsid w:val="00E408E9"/>
    <w:rsid w:val="00E40A04"/>
    <w:rsid w:val="00E41003"/>
    <w:rsid w:val="00E414F8"/>
    <w:rsid w:val="00E418F1"/>
    <w:rsid w:val="00E4238A"/>
    <w:rsid w:val="00E4408E"/>
    <w:rsid w:val="00E44935"/>
    <w:rsid w:val="00E44C7E"/>
    <w:rsid w:val="00E4579A"/>
    <w:rsid w:val="00E46E0B"/>
    <w:rsid w:val="00E471C4"/>
    <w:rsid w:val="00E478DA"/>
    <w:rsid w:val="00E5076A"/>
    <w:rsid w:val="00E50E1F"/>
    <w:rsid w:val="00E528AD"/>
    <w:rsid w:val="00E52A22"/>
    <w:rsid w:val="00E53914"/>
    <w:rsid w:val="00E55390"/>
    <w:rsid w:val="00E5696B"/>
    <w:rsid w:val="00E578AA"/>
    <w:rsid w:val="00E60221"/>
    <w:rsid w:val="00E6098E"/>
    <w:rsid w:val="00E60A5A"/>
    <w:rsid w:val="00E61780"/>
    <w:rsid w:val="00E661DB"/>
    <w:rsid w:val="00E66C88"/>
    <w:rsid w:val="00E71086"/>
    <w:rsid w:val="00E7391F"/>
    <w:rsid w:val="00E745BB"/>
    <w:rsid w:val="00E77331"/>
    <w:rsid w:val="00E77E32"/>
    <w:rsid w:val="00E8173D"/>
    <w:rsid w:val="00E82D27"/>
    <w:rsid w:val="00E834BF"/>
    <w:rsid w:val="00E83987"/>
    <w:rsid w:val="00E87BD5"/>
    <w:rsid w:val="00E87C5D"/>
    <w:rsid w:val="00E87E94"/>
    <w:rsid w:val="00E90B12"/>
    <w:rsid w:val="00E91F0F"/>
    <w:rsid w:val="00E921EF"/>
    <w:rsid w:val="00E95DDA"/>
    <w:rsid w:val="00E972A2"/>
    <w:rsid w:val="00EA03AA"/>
    <w:rsid w:val="00EA12EA"/>
    <w:rsid w:val="00EA141E"/>
    <w:rsid w:val="00EA1B41"/>
    <w:rsid w:val="00EA1DF6"/>
    <w:rsid w:val="00EA2B29"/>
    <w:rsid w:val="00EA2C90"/>
    <w:rsid w:val="00EA2EC0"/>
    <w:rsid w:val="00EA35FC"/>
    <w:rsid w:val="00EA3942"/>
    <w:rsid w:val="00EA44A9"/>
    <w:rsid w:val="00EA5DE5"/>
    <w:rsid w:val="00EA6F49"/>
    <w:rsid w:val="00EA71D3"/>
    <w:rsid w:val="00EA7259"/>
    <w:rsid w:val="00EA7821"/>
    <w:rsid w:val="00EB0C40"/>
    <w:rsid w:val="00EB1A14"/>
    <w:rsid w:val="00EB2610"/>
    <w:rsid w:val="00EB2D92"/>
    <w:rsid w:val="00EB341F"/>
    <w:rsid w:val="00EB5A65"/>
    <w:rsid w:val="00EB5C2A"/>
    <w:rsid w:val="00EB686E"/>
    <w:rsid w:val="00EB6D6E"/>
    <w:rsid w:val="00EC05B4"/>
    <w:rsid w:val="00EC1EA8"/>
    <w:rsid w:val="00EC27C8"/>
    <w:rsid w:val="00EC2BE5"/>
    <w:rsid w:val="00EC2CCA"/>
    <w:rsid w:val="00EC2E71"/>
    <w:rsid w:val="00EC4D53"/>
    <w:rsid w:val="00EC4E19"/>
    <w:rsid w:val="00EC5347"/>
    <w:rsid w:val="00EC766D"/>
    <w:rsid w:val="00EC7835"/>
    <w:rsid w:val="00ED05EB"/>
    <w:rsid w:val="00ED09BF"/>
    <w:rsid w:val="00ED0D53"/>
    <w:rsid w:val="00ED0ED2"/>
    <w:rsid w:val="00ED14C6"/>
    <w:rsid w:val="00ED3605"/>
    <w:rsid w:val="00ED3CE8"/>
    <w:rsid w:val="00ED45B8"/>
    <w:rsid w:val="00ED47E4"/>
    <w:rsid w:val="00ED58AD"/>
    <w:rsid w:val="00ED5E13"/>
    <w:rsid w:val="00ED616D"/>
    <w:rsid w:val="00ED71AE"/>
    <w:rsid w:val="00ED73A4"/>
    <w:rsid w:val="00EE0342"/>
    <w:rsid w:val="00EE038F"/>
    <w:rsid w:val="00EE1C14"/>
    <w:rsid w:val="00EE22A7"/>
    <w:rsid w:val="00EE338A"/>
    <w:rsid w:val="00EE350E"/>
    <w:rsid w:val="00EE3627"/>
    <w:rsid w:val="00EE469A"/>
    <w:rsid w:val="00EE4D2B"/>
    <w:rsid w:val="00EE5770"/>
    <w:rsid w:val="00EE5D97"/>
    <w:rsid w:val="00EE6288"/>
    <w:rsid w:val="00EE6440"/>
    <w:rsid w:val="00EE66D4"/>
    <w:rsid w:val="00EE6C2D"/>
    <w:rsid w:val="00EE6D3D"/>
    <w:rsid w:val="00EE6F5D"/>
    <w:rsid w:val="00EE72D2"/>
    <w:rsid w:val="00EF0017"/>
    <w:rsid w:val="00EF0280"/>
    <w:rsid w:val="00EF12CC"/>
    <w:rsid w:val="00EF2355"/>
    <w:rsid w:val="00EF3011"/>
    <w:rsid w:val="00EF3BE1"/>
    <w:rsid w:val="00EF4351"/>
    <w:rsid w:val="00EF446C"/>
    <w:rsid w:val="00EF4927"/>
    <w:rsid w:val="00EF497B"/>
    <w:rsid w:val="00EF5363"/>
    <w:rsid w:val="00EF59F2"/>
    <w:rsid w:val="00EF66F3"/>
    <w:rsid w:val="00EF7B3E"/>
    <w:rsid w:val="00F000C4"/>
    <w:rsid w:val="00F0069B"/>
    <w:rsid w:val="00F01D44"/>
    <w:rsid w:val="00F02BF0"/>
    <w:rsid w:val="00F03C49"/>
    <w:rsid w:val="00F0432C"/>
    <w:rsid w:val="00F04516"/>
    <w:rsid w:val="00F04B09"/>
    <w:rsid w:val="00F07A6D"/>
    <w:rsid w:val="00F1097C"/>
    <w:rsid w:val="00F121F0"/>
    <w:rsid w:val="00F12F63"/>
    <w:rsid w:val="00F1310D"/>
    <w:rsid w:val="00F13971"/>
    <w:rsid w:val="00F13F1C"/>
    <w:rsid w:val="00F144D6"/>
    <w:rsid w:val="00F14FC4"/>
    <w:rsid w:val="00F1511E"/>
    <w:rsid w:val="00F152BC"/>
    <w:rsid w:val="00F15831"/>
    <w:rsid w:val="00F16108"/>
    <w:rsid w:val="00F16136"/>
    <w:rsid w:val="00F16D91"/>
    <w:rsid w:val="00F17B7B"/>
    <w:rsid w:val="00F201FD"/>
    <w:rsid w:val="00F21631"/>
    <w:rsid w:val="00F2227C"/>
    <w:rsid w:val="00F23548"/>
    <w:rsid w:val="00F2359A"/>
    <w:rsid w:val="00F2404C"/>
    <w:rsid w:val="00F2406B"/>
    <w:rsid w:val="00F2429E"/>
    <w:rsid w:val="00F25545"/>
    <w:rsid w:val="00F25983"/>
    <w:rsid w:val="00F265B9"/>
    <w:rsid w:val="00F266AA"/>
    <w:rsid w:val="00F27FFD"/>
    <w:rsid w:val="00F3079C"/>
    <w:rsid w:val="00F3223F"/>
    <w:rsid w:val="00F3261D"/>
    <w:rsid w:val="00F33B9C"/>
    <w:rsid w:val="00F340F6"/>
    <w:rsid w:val="00F3424C"/>
    <w:rsid w:val="00F37037"/>
    <w:rsid w:val="00F3771F"/>
    <w:rsid w:val="00F37BB9"/>
    <w:rsid w:val="00F4058C"/>
    <w:rsid w:val="00F40B80"/>
    <w:rsid w:val="00F41B49"/>
    <w:rsid w:val="00F42726"/>
    <w:rsid w:val="00F42C78"/>
    <w:rsid w:val="00F4367A"/>
    <w:rsid w:val="00F43B26"/>
    <w:rsid w:val="00F43C32"/>
    <w:rsid w:val="00F453B6"/>
    <w:rsid w:val="00F45854"/>
    <w:rsid w:val="00F461FC"/>
    <w:rsid w:val="00F468F2"/>
    <w:rsid w:val="00F46D54"/>
    <w:rsid w:val="00F50DC4"/>
    <w:rsid w:val="00F524C0"/>
    <w:rsid w:val="00F52A72"/>
    <w:rsid w:val="00F53548"/>
    <w:rsid w:val="00F5528F"/>
    <w:rsid w:val="00F568CD"/>
    <w:rsid w:val="00F569C2"/>
    <w:rsid w:val="00F57C62"/>
    <w:rsid w:val="00F6000C"/>
    <w:rsid w:val="00F61269"/>
    <w:rsid w:val="00F62DFC"/>
    <w:rsid w:val="00F6362F"/>
    <w:rsid w:val="00F6381A"/>
    <w:rsid w:val="00F658BB"/>
    <w:rsid w:val="00F6598F"/>
    <w:rsid w:val="00F66292"/>
    <w:rsid w:val="00F665F6"/>
    <w:rsid w:val="00F6694F"/>
    <w:rsid w:val="00F67026"/>
    <w:rsid w:val="00F702ED"/>
    <w:rsid w:val="00F706F1"/>
    <w:rsid w:val="00F717ED"/>
    <w:rsid w:val="00F72E23"/>
    <w:rsid w:val="00F72ED6"/>
    <w:rsid w:val="00F72EDE"/>
    <w:rsid w:val="00F7494B"/>
    <w:rsid w:val="00F75BD6"/>
    <w:rsid w:val="00F76B38"/>
    <w:rsid w:val="00F76DA5"/>
    <w:rsid w:val="00F76F1C"/>
    <w:rsid w:val="00F770EF"/>
    <w:rsid w:val="00F775E1"/>
    <w:rsid w:val="00F7791F"/>
    <w:rsid w:val="00F77B0B"/>
    <w:rsid w:val="00F77BDA"/>
    <w:rsid w:val="00F77EC2"/>
    <w:rsid w:val="00F808A8"/>
    <w:rsid w:val="00F81687"/>
    <w:rsid w:val="00F82060"/>
    <w:rsid w:val="00F82C4E"/>
    <w:rsid w:val="00F84289"/>
    <w:rsid w:val="00F84A4E"/>
    <w:rsid w:val="00F8663C"/>
    <w:rsid w:val="00F86FDF"/>
    <w:rsid w:val="00F8722D"/>
    <w:rsid w:val="00F902E6"/>
    <w:rsid w:val="00F9196A"/>
    <w:rsid w:val="00F92ACA"/>
    <w:rsid w:val="00F92EAB"/>
    <w:rsid w:val="00F92FAB"/>
    <w:rsid w:val="00F930D9"/>
    <w:rsid w:val="00F93EEE"/>
    <w:rsid w:val="00F954CA"/>
    <w:rsid w:val="00F96FBB"/>
    <w:rsid w:val="00FA2BD7"/>
    <w:rsid w:val="00FA30A9"/>
    <w:rsid w:val="00FA40A1"/>
    <w:rsid w:val="00FA5B03"/>
    <w:rsid w:val="00FA6579"/>
    <w:rsid w:val="00FA6F37"/>
    <w:rsid w:val="00FB119A"/>
    <w:rsid w:val="00FB1431"/>
    <w:rsid w:val="00FB181F"/>
    <w:rsid w:val="00FB1864"/>
    <w:rsid w:val="00FB1918"/>
    <w:rsid w:val="00FB1AE8"/>
    <w:rsid w:val="00FB1D7A"/>
    <w:rsid w:val="00FB24C0"/>
    <w:rsid w:val="00FB286E"/>
    <w:rsid w:val="00FB37DA"/>
    <w:rsid w:val="00FB526E"/>
    <w:rsid w:val="00FB5CF6"/>
    <w:rsid w:val="00FB6054"/>
    <w:rsid w:val="00FC024E"/>
    <w:rsid w:val="00FC05AB"/>
    <w:rsid w:val="00FC0EFA"/>
    <w:rsid w:val="00FC1327"/>
    <w:rsid w:val="00FC1D4B"/>
    <w:rsid w:val="00FC201C"/>
    <w:rsid w:val="00FC2213"/>
    <w:rsid w:val="00FC3AE8"/>
    <w:rsid w:val="00FC5E6F"/>
    <w:rsid w:val="00FC7615"/>
    <w:rsid w:val="00FD058E"/>
    <w:rsid w:val="00FD05BC"/>
    <w:rsid w:val="00FD0E60"/>
    <w:rsid w:val="00FD18F9"/>
    <w:rsid w:val="00FD2102"/>
    <w:rsid w:val="00FD2718"/>
    <w:rsid w:val="00FD3382"/>
    <w:rsid w:val="00FD3BFD"/>
    <w:rsid w:val="00FD4582"/>
    <w:rsid w:val="00FD45D6"/>
    <w:rsid w:val="00FD4ABF"/>
    <w:rsid w:val="00FD7771"/>
    <w:rsid w:val="00FE01B4"/>
    <w:rsid w:val="00FE0294"/>
    <w:rsid w:val="00FE0A78"/>
    <w:rsid w:val="00FE18B4"/>
    <w:rsid w:val="00FE1C21"/>
    <w:rsid w:val="00FE23AE"/>
    <w:rsid w:val="00FE260E"/>
    <w:rsid w:val="00FE2F0E"/>
    <w:rsid w:val="00FE2F48"/>
    <w:rsid w:val="00FE37C2"/>
    <w:rsid w:val="00FE37E3"/>
    <w:rsid w:val="00FE47B3"/>
    <w:rsid w:val="00FE5276"/>
    <w:rsid w:val="00FE54AF"/>
    <w:rsid w:val="00FE66FB"/>
    <w:rsid w:val="00FE7884"/>
    <w:rsid w:val="00FF1103"/>
    <w:rsid w:val="00FF3DBD"/>
    <w:rsid w:val="00FF4204"/>
    <w:rsid w:val="00FF4314"/>
    <w:rsid w:val="00FF456E"/>
    <w:rsid w:val="00FF4A19"/>
    <w:rsid w:val="00FF6345"/>
    <w:rsid w:val="00FF7533"/>
    <w:rsid w:val="016B5C0C"/>
    <w:rsid w:val="01B6279C"/>
    <w:rsid w:val="021B7EB0"/>
    <w:rsid w:val="024B5C50"/>
    <w:rsid w:val="024D7F96"/>
    <w:rsid w:val="02523317"/>
    <w:rsid w:val="02983D1E"/>
    <w:rsid w:val="02C65AF8"/>
    <w:rsid w:val="02F649FF"/>
    <w:rsid w:val="032C35BD"/>
    <w:rsid w:val="033D2742"/>
    <w:rsid w:val="037A7990"/>
    <w:rsid w:val="038F3A48"/>
    <w:rsid w:val="03965720"/>
    <w:rsid w:val="03A91880"/>
    <w:rsid w:val="03A956B8"/>
    <w:rsid w:val="03E57395"/>
    <w:rsid w:val="040C1ABE"/>
    <w:rsid w:val="042E050F"/>
    <w:rsid w:val="043221C0"/>
    <w:rsid w:val="047B0682"/>
    <w:rsid w:val="049C3A95"/>
    <w:rsid w:val="04EB3000"/>
    <w:rsid w:val="04F4323C"/>
    <w:rsid w:val="04FA63E5"/>
    <w:rsid w:val="055C132D"/>
    <w:rsid w:val="055E56D0"/>
    <w:rsid w:val="056A6417"/>
    <w:rsid w:val="05795135"/>
    <w:rsid w:val="064457AB"/>
    <w:rsid w:val="06595058"/>
    <w:rsid w:val="066C6471"/>
    <w:rsid w:val="06904D26"/>
    <w:rsid w:val="07174F63"/>
    <w:rsid w:val="078B5CC6"/>
    <w:rsid w:val="07B45197"/>
    <w:rsid w:val="07B611C8"/>
    <w:rsid w:val="07C312D5"/>
    <w:rsid w:val="07F21AE4"/>
    <w:rsid w:val="08157EBE"/>
    <w:rsid w:val="08432ECB"/>
    <w:rsid w:val="089862C5"/>
    <w:rsid w:val="08B63606"/>
    <w:rsid w:val="08C56A58"/>
    <w:rsid w:val="08CF6972"/>
    <w:rsid w:val="08E977B8"/>
    <w:rsid w:val="09541D9E"/>
    <w:rsid w:val="098934CB"/>
    <w:rsid w:val="09AB7D21"/>
    <w:rsid w:val="09F26E23"/>
    <w:rsid w:val="0A1B20CB"/>
    <w:rsid w:val="0A322333"/>
    <w:rsid w:val="0A515081"/>
    <w:rsid w:val="0ACE2B5A"/>
    <w:rsid w:val="0AD12438"/>
    <w:rsid w:val="0AD75AA6"/>
    <w:rsid w:val="0B0E2FB8"/>
    <w:rsid w:val="0B3B6F70"/>
    <w:rsid w:val="0B864297"/>
    <w:rsid w:val="0B962C51"/>
    <w:rsid w:val="0C0B561A"/>
    <w:rsid w:val="0C145737"/>
    <w:rsid w:val="0C523D23"/>
    <w:rsid w:val="0C5A6A0B"/>
    <w:rsid w:val="0CF049E3"/>
    <w:rsid w:val="0D1A446C"/>
    <w:rsid w:val="0D374B59"/>
    <w:rsid w:val="0D58526F"/>
    <w:rsid w:val="0DAF19EE"/>
    <w:rsid w:val="0DB251AE"/>
    <w:rsid w:val="0DB533CD"/>
    <w:rsid w:val="0DD768DB"/>
    <w:rsid w:val="0DFC3E76"/>
    <w:rsid w:val="0E514175"/>
    <w:rsid w:val="0E5444D3"/>
    <w:rsid w:val="0E705502"/>
    <w:rsid w:val="0E785CAD"/>
    <w:rsid w:val="0E787129"/>
    <w:rsid w:val="0E7F6625"/>
    <w:rsid w:val="0E805C83"/>
    <w:rsid w:val="0E9B78A3"/>
    <w:rsid w:val="0EB565B0"/>
    <w:rsid w:val="0ECA0F29"/>
    <w:rsid w:val="0ED222C6"/>
    <w:rsid w:val="0EDA1894"/>
    <w:rsid w:val="0F0030C3"/>
    <w:rsid w:val="0F052BC0"/>
    <w:rsid w:val="0F0C1DD2"/>
    <w:rsid w:val="0F11072B"/>
    <w:rsid w:val="0F1B6567"/>
    <w:rsid w:val="0F953969"/>
    <w:rsid w:val="0FA55170"/>
    <w:rsid w:val="0FD2556C"/>
    <w:rsid w:val="0FDD3864"/>
    <w:rsid w:val="10316EFA"/>
    <w:rsid w:val="107D481D"/>
    <w:rsid w:val="10801DE1"/>
    <w:rsid w:val="109B6FDB"/>
    <w:rsid w:val="10B23D31"/>
    <w:rsid w:val="10F87E16"/>
    <w:rsid w:val="10FF7EB1"/>
    <w:rsid w:val="110E3618"/>
    <w:rsid w:val="11533504"/>
    <w:rsid w:val="11656653"/>
    <w:rsid w:val="1197178C"/>
    <w:rsid w:val="119B544A"/>
    <w:rsid w:val="11AD747B"/>
    <w:rsid w:val="11AF4BC5"/>
    <w:rsid w:val="11EB152E"/>
    <w:rsid w:val="12242485"/>
    <w:rsid w:val="123F6A69"/>
    <w:rsid w:val="12691EF7"/>
    <w:rsid w:val="12691F00"/>
    <w:rsid w:val="12810D18"/>
    <w:rsid w:val="129F1F94"/>
    <w:rsid w:val="12AE55E7"/>
    <w:rsid w:val="12D851A4"/>
    <w:rsid w:val="12EF6993"/>
    <w:rsid w:val="135A72DC"/>
    <w:rsid w:val="13965914"/>
    <w:rsid w:val="13DA02A4"/>
    <w:rsid w:val="140838E1"/>
    <w:rsid w:val="148B2B0C"/>
    <w:rsid w:val="14970F61"/>
    <w:rsid w:val="14DF0DA1"/>
    <w:rsid w:val="14EF2EE0"/>
    <w:rsid w:val="14F37D05"/>
    <w:rsid w:val="14F453F1"/>
    <w:rsid w:val="151C3AC0"/>
    <w:rsid w:val="152236E0"/>
    <w:rsid w:val="153C54B5"/>
    <w:rsid w:val="15472B4A"/>
    <w:rsid w:val="157C388F"/>
    <w:rsid w:val="1589410E"/>
    <w:rsid w:val="15943E61"/>
    <w:rsid w:val="159822E7"/>
    <w:rsid w:val="15BA74DF"/>
    <w:rsid w:val="161C5453"/>
    <w:rsid w:val="161F1140"/>
    <w:rsid w:val="16765683"/>
    <w:rsid w:val="16963909"/>
    <w:rsid w:val="16A06CF0"/>
    <w:rsid w:val="16B804B5"/>
    <w:rsid w:val="16B96B9D"/>
    <w:rsid w:val="171A527E"/>
    <w:rsid w:val="176C0DDB"/>
    <w:rsid w:val="17B876AC"/>
    <w:rsid w:val="17BE7723"/>
    <w:rsid w:val="17E53644"/>
    <w:rsid w:val="17F673BF"/>
    <w:rsid w:val="17FF65AC"/>
    <w:rsid w:val="18795CD6"/>
    <w:rsid w:val="188808AE"/>
    <w:rsid w:val="18C17F84"/>
    <w:rsid w:val="18D53478"/>
    <w:rsid w:val="18EA4BB9"/>
    <w:rsid w:val="18FD5AAA"/>
    <w:rsid w:val="19156EA0"/>
    <w:rsid w:val="19177236"/>
    <w:rsid w:val="194763BD"/>
    <w:rsid w:val="199457D9"/>
    <w:rsid w:val="19A2006B"/>
    <w:rsid w:val="19C93A3B"/>
    <w:rsid w:val="19D87F0A"/>
    <w:rsid w:val="1A271E2D"/>
    <w:rsid w:val="1A29271C"/>
    <w:rsid w:val="1A326A3B"/>
    <w:rsid w:val="1A4E7FB6"/>
    <w:rsid w:val="1A7B036E"/>
    <w:rsid w:val="1AA52EE1"/>
    <w:rsid w:val="1AD338EF"/>
    <w:rsid w:val="1AE845A5"/>
    <w:rsid w:val="1AEA075F"/>
    <w:rsid w:val="1AF94B23"/>
    <w:rsid w:val="1B2809E3"/>
    <w:rsid w:val="1B39179C"/>
    <w:rsid w:val="1B490420"/>
    <w:rsid w:val="1B7B2F06"/>
    <w:rsid w:val="1B804369"/>
    <w:rsid w:val="1BA11DBE"/>
    <w:rsid w:val="1BA96CA2"/>
    <w:rsid w:val="1BFC59A7"/>
    <w:rsid w:val="1BFF57F3"/>
    <w:rsid w:val="1C4065A1"/>
    <w:rsid w:val="1C68263C"/>
    <w:rsid w:val="1C875799"/>
    <w:rsid w:val="1C9A6A71"/>
    <w:rsid w:val="1CCB2115"/>
    <w:rsid w:val="1CE83F9D"/>
    <w:rsid w:val="1CEB1D73"/>
    <w:rsid w:val="1CEF02B3"/>
    <w:rsid w:val="1CF34657"/>
    <w:rsid w:val="1D5B6BC8"/>
    <w:rsid w:val="1D60556B"/>
    <w:rsid w:val="1D8559D1"/>
    <w:rsid w:val="1D880855"/>
    <w:rsid w:val="1DB25925"/>
    <w:rsid w:val="1DB73863"/>
    <w:rsid w:val="1DBB4253"/>
    <w:rsid w:val="1DBE2573"/>
    <w:rsid w:val="1DE0713B"/>
    <w:rsid w:val="1E1C0C48"/>
    <w:rsid w:val="1E41277F"/>
    <w:rsid w:val="1E9F67BC"/>
    <w:rsid w:val="1EC17A0F"/>
    <w:rsid w:val="1F0D41A5"/>
    <w:rsid w:val="1F2970B0"/>
    <w:rsid w:val="1F453547"/>
    <w:rsid w:val="1F65019F"/>
    <w:rsid w:val="1F6E60AE"/>
    <w:rsid w:val="1F866B16"/>
    <w:rsid w:val="1FD20E0C"/>
    <w:rsid w:val="20117815"/>
    <w:rsid w:val="203706D3"/>
    <w:rsid w:val="2051128C"/>
    <w:rsid w:val="20547B8C"/>
    <w:rsid w:val="209259B9"/>
    <w:rsid w:val="20B15CEE"/>
    <w:rsid w:val="20D35123"/>
    <w:rsid w:val="20D443A6"/>
    <w:rsid w:val="20F11723"/>
    <w:rsid w:val="20F51774"/>
    <w:rsid w:val="21015C13"/>
    <w:rsid w:val="211A36BC"/>
    <w:rsid w:val="21BE571D"/>
    <w:rsid w:val="21E134D5"/>
    <w:rsid w:val="2205202C"/>
    <w:rsid w:val="221F697A"/>
    <w:rsid w:val="226D5699"/>
    <w:rsid w:val="22B67B9E"/>
    <w:rsid w:val="22ED7F40"/>
    <w:rsid w:val="23142D32"/>
    <w:rsid w:val="23265D27"/>
    <w:rsid w:val="23487B0D"/>
    <w:rsid w:val="23771723"/>
    <w:rsid w:val="237E4E3D"/>
    <w:rsid w:val="246F5F3C"/>
    <w:rsid w:val="247D06D8"/>
    <w:rsid w:val="24AC349B"/>
    <w:rsid w:val="24BD70B5"/>
    <w:rsid w:val="24C61A34"/>
    <w:rsid w:val="24E96078"/>
    <w:rsid w:val="25282D5C"/>
    <w:rsid w:val="25487A2C"/>
    <w:rsid w:val="255B4E16"/>
    <w:rsid w:val="25AB3ABE"/>
    <w:rsid w:val="2632593A"/>
    <w:rsid w:val="26B41DC9"/>
    <w:rsid w:val="26C54A3F"/>
    <w:rsid w:val="26F62F37"/>
    <w:rsid w:val="26F65DF1"/>
    <w:rsid w:val="270524D2"/>
    <w:rsid w:val="27401858"/>
    <w:rsid w:val="276B6453"/>
    <w:rsid w:val="27C0721C"/>
    <w:rsid w:val="27C57EB1"/>
    <w:rsid w:val="27E504FD"/>
    <w:rsid w:val="27E92461"/>
    <w:rsid w:val="2811247C"/>
    <w:rsid w:val="281251A6"/>
    <w:rsid w:val="28555B14"/>
    <w:rsid w:val="2898628C"/>
    <w:rsid w:val="28D75DCF"/>
    <w:rsid w:val="291B6877"/>
    <w:rsid w:val="29234400"/>
    <w:rsid w:val="29460653"/>
    <w:rsid w:val="29745825"/>
    <w:rsid w:val="29875891"/>
    <w:rsid w:val="29A47D25"/>
    <w:rsid w:val="29B16347"/>
    <w:rsid w:val="2A9A007E"/>
    <w:rsid w:val="2AA007BD"/>
    <w:rsid w:val="2AA9439E"/>
    <w:rsid w:val="2AC376C1"/>
    <w:rsid w:val="2AD01BA5"/>
    <w:rsid w:val="2B015213"/>
    <w:rsid w:val="2B1E4F51"/>
    <w:rsid w:val="2B2010E4"/>
    <w:rsid w:val="2B243DEB"/>
    <w:rsid w:val="2B582C1D"/>
    <w:rsid w:val="2B834E3C"/>
    <w:rsid w:val="2B9203B3"/>
    <w:rsid w:val="2BDB09EB"/>
    <w:rsid w:val="2D1C2309"/>
    <w:rsid w:val="2D2B2C00"/>
    <w:rsid w:val="2D6C1D5B"/>
    <w:rsid w:val="2D85342A"/>
    <w:rsid w:val="2DAF30BD"/>
    <w:rsid w:val="2DC71E12"/>
    <w:rsid w:val="2DDC6D2D"/>
    <w:rsid w:val="2E0B231A"/>
    <w:rsid w:val="2E0C1C5F"/>
    <w:rsid w:val="2E57262A"/>
    <w:rsid w:val="2E6800AA"/>
    <w:rsid w:val="2EA276CD"/>
    <w:rsid w:val="2EBF4ADC"/>
    <w:rsid w:val="2ED07FD6"/>
    <w:rsid w:val="2F334571"/>
    <w:rsid w:val="2F3C14C0"/>
    <w:rsid w:val="2F4D4623"/>
    <w:rsid w:val="2F515FBF"/>
    <w:rsid w:val="2F7351E5"/>
    <w:rsid w:val="2FB467FF"/>
    <w:rsid w:val="2FDE7250"/>
    <w:rsid w:val="3002170D"/>
    <w:rsid w:val="30053EB2"/>
    <w:rsid w:val="300541EB"/>
    <w:rsid w:val="3015619E"/>
    <w:rsid w:val="301F6AC5"/>
    <w:rsid w:val="309B4BA5"/>
    <w:rsid w:val="30D13425"/>
    <w:rsid w:val="30D72B2C"/>
    <w:rsid w:val="30E67608"/>
    <w:rsid w:val="30EF1593"/>
    <w:rsid w:val="30F55F26"/>
    <w:rsid w:val="310D559B"/>
    <w:rsid w:val="31B74F65"/>
    <w:rsid w:val="31E0180F"/>
    <w:rsid w:val="32C0357C"/>
    <w:rsid w:val="331F7826"/>
    <w:rsid w:val="333B2147"/>
    <w:rsid w:val="33F700DB"/>
    <w:rsid w:val="33F96400"/>
    <w:rsid w:val="34BC3DD4"/>
    <w:rsid w:val="34C736F0"/>
    <w:rsid w:val="34FA5733"/>
    <w:rsid w:val="35724E1E"/>
    <w:rsid w:val="35D20C0D"/>
    <w:rsid w:val="36C12E1A"/>
    <w:rsid w:val="36CB756F"/>
    <w:rsid w:val="36D368AC"/>
    <w:rsid w:val="36F56B15"/>
    <w:rsid w:val="371562E4"/>
    <w:rsid w:val="371D65C3"/>
    <w:rsid w:val="374D01C4"/>
    <w:rsid w:val="375B7008"/>
    <w:rsid w:val="37A048A2"/>
    <w:rsid w:val="37C45AAE"/>
    <w:rsid w:val="37EA01DB"/>
    <w:rsid w:val="381C323A"/>
    <w:rsid w:val="38C64D71"/>
    <w:rsid w:val="39033366"/>
    <w:rsid w:val="39881F1F"/>
    <w:rsid w:val="398E3DFB"/>
    <w:rsid w:val="39F4010F"/>
    <w:rsid w:val="3A45515F"/>
    <w:rsid w:val="3A6E7A28"/>
    <w:rsid w:val="3ABF77E6"/>
    <w:rsid w:val="3B466A01"/>
    <w:rsid w:val="3B4A7656"/>
    <w:rsid w:val="3C151D33"/>
    <w:rsid w:val="3C2438AC"/>
    <w:rsid w:val="3C2E5730"/>
    <w:rsid w:val="3C954C05"/>
    <w:rsid w:val="3CBC6008"/>
    <w:rsid w:val="3D1E29F6"/>
    <w:rsid w:val="3D4365F4"/>
    <w:rsid w:val="3D5629B7"/>
    <w:rsid w:val="3F0E10E6"/>
    <w:rsid w:val="3F89395C"/>
    <w:rsid w:val="3FA82705"/>
    <w:rsid w:val="3FB25152"/>
    <w:rsid w:val="3FB67C44"/>
    <w:rsid w:val="3FF93826"/>
    <w:rsid w:val="404D28FD"/>
    <w:rsid w:val="40B25B47"/>
    <w:rsid w:val="40C41938"/>
    <w:rsid w:val="410F7515"/>
    <w:rsid w:val="41440747"/>
    <w:rsid w:val="414C667F"/>
    <w:rsid w:val="4159575C"/>
    <w:rsid w:val="41AB78B1"/>
    <w:rsid w:val="41AF5A77"/>
    <w:rsid w:val="41C940A0"/>
    <w:rsid w:val="42086B71"/>
    <w:rsid w:val="4224273F"/>
    <w:rsid w:val="424810AE"/>
    <w:rsid w:val="42A82EAA"/>
    <w:rsid w:val="42B55E3F"/>
    <w:rsid w:val="438331E9"/>
    <w:rsid w:val="43CE2096"/>
    <w:rsid w:val="44030957"/>
    <w:rsid w:val="446B565F"/>
    <w:rsid w:val="44905409"/>
    <w:rsid w:val="4523198A"/>
    <w:rsid w:val="452D591E"/>
    <w:rsid w:val="457D605A"/>
    <w:rsid w:val="45C85D8F"/>
    <w:rsid w:val="45D466E2"/>
    <w:rsid w:val="461816AA"/>
    <w:rsid w:val="463C1CB2"/>
    <w:rsid w:val="46463BF8"/>
    <w:rsid w:val="46611407"/>
    <w:rsid w:val="46745046"/>
    <w:rsid w:val="46B90A5F"/>
    <w:rsid w:val="47632137"/>
    <w:rsid w:val="4816038D"/>
    <w:rsid w:val="482C4860"/>
    <w:rsid w:val="487F3DBF"/>
    <w:rsid w:val="48BF2145"/>
    <w:rsid w:val="493203D2"/>
    <w:rsid w:val="49B25245"/>
    <w:rsid w:val="49B616CF"/>
    <w:rsid w:val="49BB3DEA"/>
    <w:rsid w:val="49F46B0F"/>
    <w:rsid w:val="4A5C3FE0"/>
    <w:rsid w:val="4B8C7DDC"/>
    <w:rsid w:val="4BA6260B"/>
    <w:rsid w:val="4BBC71E9"/>
    <w:rsid w:val="4BDC223E"/>
    <w:rsid w:val="4BEF6D85"/>
    <w:rsid w:val="4C1C368C"/>
    <w:rsid w:val="4C5704DD"/>
    <w:rsid w:val="4C711F18"/>
    <w:rsid w:val="4C97216F"/>
    <w:rsid w:val="4CD8779D"/>
    <w:rsid w:val="4CE14FED"/>
    <w:rsid w:val="4CE2166F"/>
    <w:rsid w:val="4CF87F6E"/>
    <w:rsid w:val="4CFB69B6"/>
    <w:rsid w:val="4D2D0FBD"/>
    <w:rsid w:val="4D74246D"/>
    <w:rsid w:val="4D775451"/>
    <w:rsid w:val="4D8A7401"/>
    <w:rsid w:val="4DA32C37"/>
    <w:rsid w:val="4DC652FD"/>
    <w:rsid w:val="4E0C0095"/>
    <w:rsid w:val="4E1223CF"/>
    <w:rsid w:val="4E1A339D"/>
    <w:rsid w:val="4E303C4F"/>
    <w:rsid w:val="4E3C3076"/>
    <w:rsid w:val="4E6C1757"/>
    <w:rsid w:val="4E726A98"/>
    <w:rsid w:val="4EC12A4A"/>
    <w:rsid w:val="4ED7668A"/>
    <w:rsid w:val="4EFF50EA"/>
    <w:rsid w:val="4FB42257"/>
    <w:rsid w:val="4FD36851"/>
    <w:rsid w:val="509E403C"/>
    <w:rsid w:val="51574FE6"/>
    <w:rsid w:val="51DD2235"/>
    <w:rsid w:val="51E35F7C"/>
    <w:rsid w:val="52042BBB"/>
    <w:rsid w:val="52633886"/>
    <w:rsid w:val="52704797"/>
    <w:rsid w:val="529B779D"/>
    <w:rsid w:val="529C1AF4"/>
    <w:rsid w:val="529C6554"/>
    <w:rsid w:val="52DB46C8"/>
    <w:rsid w:val="52DE0C08"/>
    <w:rsid w:val="533E33EC"/>
    <w:rsid w:val="53C61E68"/>
    <w:rsid w:val="53E5673C"/>
    <w:rsid w:val="53F720BA"/>
    <w:rsid w:val="54B06690"/>
    <w:rsid w:val="54C31095"/>
    <w:rsid w:val="55321E0D"/>
    <w:rsid w:val="553C6CC4"/>
    <w:rsid w:val="555302B0"/>
    <w:rsid w:val="557205DD"/>
    <w:rsid w:val="561C366E"/>
    <w:rsid w:val="56A06473"/>
    <w:rsid w:val="56BB7C4A"/>
    <w:rsid w:val="56D963A7"/>
    <w:rsid w:val="572C5375"/>
    <w:rsid w:val="57516335"/>
    <w:rsid w:val="57695E65"/>
    <w:rsid w:val="57B03CE9"/>
    <w:rsid w:val="57C7676B"/>
    <w:rsid w:val="57E063D6"/>
    <w:rsid w:val="58256DB8"/>
    <w:rsid w:val="583B64DE"/>
    <w:rsid w:val="58606E47"/>
    <w:rsid w:val="58C62E6C"/>
    <w:rsid w:val="59830730"/>
    <w:rsid w:val="5A796196"/>
    <w:rsid w:val="5B021C9E"/>
    <w:rsid w:val="5B5A3285"/>
    <w:rsid w:val="5B694099"/>
    <w:rsid w:val="5BE517D7"/>
    <w:rsid w:val="5C784203"/>
    <w:rsid w:val="5C891B7C"/>
    <w:rsid w:val="5CAE4935"/>
    <w:rsid w:val="5D25377D"/>
    <w:rsid w:val="5D5B0D46"/>
    <w:rsid w:val="5DE937EF"/>
    <w:rsid w:val="5DE965DE"/>
    <w:rsid w:val="5E9266C5"/>
    <w:rsid w:val="5E941AF5"/>
    <w:rsid w:val="5E9666C9"/>
    <w:rsid w:val="5EB4464D"/>
    <w:rsid w:val="5EDF458C"/>
    <w:rsid w:val="5F1D172F"/>
    <w:rsid w:val="5F5647B6"/>
    <w:rsid w:val="5F585EAA"/>
    <w:rsid w:val="5F615DB7"/>
    <w:rsid w:val="5F8933A3"/>
    <w:rsid w:val="5FCB6736"/>
    <w:rsid w:val="5FEB3AEB"/>
    <w:rsid w:val="60336558"/>
    <w:rsid w:val="604917AF"/>
    <w:rsid w:val="61447253"/>
    <w:rsid w:val="614C6A2D"/>
    <w:rsid w:val="614D3289"/>
    <w:rsid w:val="61882403"/>
    <w:rsid w:val="619D13A6"/>
    <w:rsid w:val="61CA036C"/>
    <w:rsid w:val="61D713DE"/>
    <w:rsid w:val="621557E0"/>
    <w:rsid w:val="628303B4"/>
    <w:rsid w:val="62E92048"/>
    <w:rsid w:val="63057A83"/>
    <w:rsid w:val="63086866"/>
    <w:rsid w:val="631C54A4"/>
    <w:rsid w:val="632B7C2C"/>
    <w:rsid w:val="63431B90"/>
    <w:rsid w:val="63445203"/>
    <w:rsid w:val="63545E93"/>
    <w:rsid w:val="63642350"/>
    <w:rsid w:val="63AE5018"/>
    <w:rsid w:val="64850B41"/>
    <w:rsid w:val="650E7A21"/>
    <w:rsid w:val="656A5CEE"/>
    <w:rsid w:val="65BB3192"/>
    <w:rsid w:val="65C61AE8"/>
    <w:rsid w:val="65F33C8B"/>
    <w:rsid w:val="664B10D0"/>
    <w:rsid w:val="667134CD"/>
    <w:rsid w:val="66B25D02"/>
    <w:rsid w:val="66E96BA7"/>
    <w:rsid w:val="670F5666"/>
    <w:rsid w:val="6737171E"/>
    <w:rsid w:val="67477862"/>
    <w:rsid w:val="67607A6E"/>
    <w:rsid w:val="676C00D0"/>
    <w:rsid w:val="677A23A4"/>
    <w:rsid w:val="678B608E"/>
    <w:rsid w:val="67AB7AEB"/>
    <w:rsid w:val="67BD6E34"/>
    <w:rsid w:val="67C31E57"/>
    <w:rsid w:val="680D51FF"/>
    <w:rsid w:val="686C6340"/>
    <w:rsid w:val="68A574C6"/>
    <w:rsid w:val="6918603E"/>
    <w:rsid w:val="694504E6"/>
    <w:rsid w:val="697C42B3"/>
    <w:rsid w:val="69FE0290"/>
    <w:rsid w:val="6A0879CF"/>
    <w:rsid w:val="6A3579EB"/>
    <w:rsid w:val="6A4365CC"/>
    <w:rsid w:val="6A451FF7"/>
    <w:rsid w:val="6A913734"/>
    <w:rsid w:val="6A9E2C97"/>
    <w:rsid w:val="6AD00C18"/>
    <w:rsid w:val="6AE7346F"/>
    <w:rsid w:val="6AFC74B8"/>
    <w:rsid w:val="6B1F24E7"/>
    <w:rsid w:val="6B2E5D06"/>
    <w:rsid w:val="6B410AE7"/>
    <w:rsid w:val="6B55078F"/>
    <w:rsid w:val="6B563C65"/>
    <w:rsid w:val="6B7A46EA"/>
    <w:rsid w:val="6B9D225F"/>
    <w:rsid w:val="6BAA0DAF"/>
    <w:rsid w:val="6BBB0482"/>
    <w:rsid w:val="6C5938CE"/>
    <w:rsid w:val="6CA75FD4"/>
    <w:rsid w:val="6CC06086"/>
    <w:rsid w:val="6D0C6FF1"/>
    <w:rsid w:val="6D1F462D"/>
    <w:rsid w:val="6D7118AC"/>
    <w:rsid w:val="6DB161C1"/>
    <w:rsid w:val="6DFD4702"/>
    <w:rsid w:val="6E50320B"/>
    <w:rsid w:val="6E5864B3"/>
    <w:rsid w:val="6E65518C"/>
    <w:rsid w:val="6E7A0D1F"/>
    <w:rsid w:val="6EB86342"/>
    <w:rsid w:val="6ED906EB"/>
    <w:rsid w:val="6EDC1FDD"/>
    <w:rsid w:val="6F1D1A60"/>
    <w:rsid w:val="6F6F30EE"/>
    <w:rsid w:val="6F710342"/>
    <w:rsid w:val="6F7A03C7"/>
    <w:rsid w:val="6FC17298"/>
    <w:rsid w:val="6FEA25BB"/>
    <w:rsid w:val="6FF8291C"/>
    <w:rsid w:val="707E7BEA"/>
    <w:rsid w:val="70AE6E62"/>
    <w:rsid w:val="715D70EB"/>
    <w:rsid w:val="717F1642"/>
    <w:rsid w:val="719E03EB"/>
    <w:rsid w:val="71B249A1"/>
    <w:rsid w:val="7203330D"/>
    <w:rsid w:val="720B0832"/>
    <w:rsid w:val="720F0220"/>
    <w:rsid w:val="72907527"/>
    <w:rsid w:val="72D9397A"/>
    <w:rsid w:val="72EF6DD2"/>
    <w:rsid w:val="73161C97"/>
    <w:rsid w:val="731B3E54"/>
    <w:rsid w:val="73483829"/>
    <w:rsid w:val="73CD3359"/>
    <w:rsid w:val="73D5002D"/>
    <w:rsid w:val="74157CB2"/>
    <w:rsid w:val="7466716A"/>
    <w:rsid w:val="746C594F"/>
    <w:rsid w:val="74931E35"/>
    <w:rsid w:val="74CF7441"/>
    <w:rsid w:val="754A4C81"/>
    <w:rsid w:val="754F6547"/>
    <w:rsid w:val="75AB3CF3"/>
    <w:rsid w:val="75B36E3F"/>
    <w:rsid w:val="75E111AF"/>
    <w:rsid w:val="766D1A76"/>
    <w:rsid w:val="77023C28"/>
    <w:rsid w:val="77253D5A"/>
    <w:rsid w:val="772734BA"/>
    <w:rsid w:val="774773A0"/>
    <w:rsid w:val="775D737C"/>
    <w:rsid w:val="777C6215"/>
    <w:rsid w:val="77C27B3F"/>
    <w:rsid w:val="78057634"/>
    <w:rsid w:val="781A6563"/>
    <w:rsid w:val="789C68D1"/>
    <w:rsid w:val="78B2592C"/>
    <w:rsid w:val="79021489"/>
    <w:rsid w:val="791F608C"/>
    <w:rsid w:val="792F13B4"/>
    <w:rsid w:val="798C0433"/>
    <w:rsid w:val="79B91499"/>
    <w:rsid w:val="79F36D56"/>
    <w:rsid w:val="79F73FB2"/>
    <w:rsid w:val="7A1A37A3"/>
    <w:rsid w:val="7A417D2E"/>
    <w:rsid w:val="7A473259"/>
    <w:rsid w:val="7A54219F"/>
    <w:rsid w:val="7A5C3D6B"/>
    <w:rsid w:val="7A5F2A48"/>
    <w:rsid w:val="7A6C63EB"/>
    <w:rsid w:val="7AB65F8C"/>
    <w:rsid w:val="7ABB0238"/>
    <w:rsid w:val="7AC34054"/>
    <w:rsid w:val="7AFF0C6F"/>
    <w:rsid w:val="7B156888"/>
    <w:rsid w:val="7B2E5D3F"/>
    <w:rsid w:val="7B46083D"/>
    <w:rsid w:val="7B4B50A8"/>
    <w:rsid w:val="7B597CD0"/>
    <w:rsid w:val="7B686826"/>
    <w:rsid w:val="7B984367"/>
    <w:rsid w:val="7BA07098"/>
    <w:rsid w:val="7BF170B5"/>
    <w:rsid w:val="7C136EAC"/>
    <w:rsid w:val="7C3A771B"/>
    <w:rsid w:val="7CB8421F"/>
    <w:rsid w:val="7CF0427A"/>
    <w:rsid w:val="7D040D28"/>
    <w:rsid w:val="7D271410"/>
    <w:rsid w:val="7D284DDC"/>
    <w:rsid w:val="7D3E1B08"/>
    <w:rsid w:val="7D43225C"/>
    <w:rsid w:val="7D441FCB"/>
    <w:rsid w:val="7D5D4382"/>
    <w:rsid w:val="7DBD7E45"/>
    <w:rsid w:val="7E0C1A60"/>
    <w:rsid w:val="7E2813AE"/>
    <w:rsid w:val="7E4749C5"/>
    <w:rsid w:val="7E670FA2"/>
    <w:rsid w:val="7ECD7332"/>
    <w:rsid w:val="7EDB466E"/>
    <w:rsid w:val="7F516E07"/>
    <w:rsid w:val="7FA71D90"/>
    <w:rsid w:val="7FB63D35"/>
    <w:rsid w:val="7FC53EA1"/>
    <w:rsid w:val="7FFE0262"/>
    <w:rsid w:val="FA7FADB6"/>
    <w:rsid w:val="FD19A807"/>
    <w:rsid w:val="FDDFDDD9"/>
    <w:rsid w:val="FE5F0576"/>
    <w:rsid w:val="FFF5FD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iPriority="0" w:semiHidden="0" w:name="toc 2"/>
    <w:lsdException w:qFormat="1" w:uiPriority="0" w:semiHidden="0" w:name="toc 3"/>
    <w:lsdException w:qFormat="1" w:uiPriority="0" w:semiHidden="0" w:name="toc 4"/>
    <w:lsdException w:qFormat="1" w:uiPriority="0" w:semiHidden="0" w:name="toc 5"/>
    <w:lsdException w:qFormat="1" w:uiPriority="0" w:semiHidden="0" w:name="toc 6"/>
    <w:lsdException w:qFormat="1" w:uiPriority="0" w:semiHidden="0" w:name="toc 7"/>
    <w:lsdException w:qFormat="1" w:uiPriority="0" w:semiHidden="0" w:name="toc 8"/>
    <w:lsdException w:qFormat="1"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qFormat="1"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3"/>
    <w:next w:val="1"/>
    <w:link w:val="115"/>
    <w:qFormat/>
    <w:uiPriority w:val="0"/>
    <w:pPr>
      <w:spacing w:before="0" w:after="330" w:line="360" w:lineRule="auto"/>
      <w:jc w:val="center"/>
      <w:outlineLvl w:val="0"/>
    </w:pPr>
    <w:rPr>
      <w:rFonts w:eastAsia="黑体"/>
      <w:b w:val="0"/>
      <w:bCs w:val="0"/>
      <w:kern w:val="44"/>
      <w:sz w:val="28"/>
      <w:szCs w:val="28"/>
    </w:rPr>
  </w:style>
  <w:style w:type="paragraph" w:styleId="4">
    <w:name w:val="heading 2"/>
    <w:basedOn w:val="1"/>
    <w:next w:val="1"/>
    <w:link w:val="122"/>
    <w:qFormat/>
    <w:uiPriority w:val="0"/>
    <w:pPr>
      <w:keepNext/>
      <w:keepLines/>
      <w:spacing w:before="260" w:after="260" w:line="416" w:lineRule="auto"/>
      <w:outlineLvl w:val="1"/>
    </w:pPr>
    <w:rPr>
      <w:rFonts w:ascii="Arial" w:hAnsi="Arial" w:eastAsia="黑体"/>
      <w:b/>
      <w:bCs/>
      <w:sz w:val="32"/>
      <w:szCs w:val="32"/>
    </w:rPr>
  </w:style>
  <w:style w:type="paragraph" w:styleId="3">
    <w:name w:val="heading 3"/>
    <w:basedOn w:val="1"/>
    <w:next w:val="1"/>
    <w:link w:val="124"/>
    <w:qFormat/>
    <w:uiPriority w:val="0"/>
    <w:pPr>
      <w:keepNext/>
      <w:keepLines/>
      <w:spacing w:before="260" w:after="260" w:line="416" w:lineRule="auto"/>
      <w:outlineLvl w:val="2"/>
    </w:pPr>
    <w:rPr>
      <w:b/>
      <w:bCs/>
      <w:sz w:val="32"/>
      <w:szCs w:val="32"/>
    </w:rPr>
  </w:style>
  <w:style w:type="paragraph" w:styleId="5">
    <w:name w:val="heading 4"/>
    <w:basedOn w:val="1"/>
    <w:next w:val="1"/>
    <w:link w:val="103"/>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7"/>
    <w:link w:val="116"/>
    <w:qFormat/>
    <w:uiPriority w:val="0"/>
    <w:pPr>
      <w:keepNext/>
      <w:keepLines/>
      <w:spacing w:before="280" w:after="290" w:line="376" w:lineRule="auto"/>
      <w:outlineLvl w:val="4"/>
    </w:pPr>
    <w:rPr>
      <w:b/>
      <w:sz w:val="28"/>
      <w:szCs w:val="20"/>
    </w:rPr>
  </w:style>
  <w:style w:type="paragraph" w:styleId="8">
    <w:name w:val="heading 6"/>
    <w:basedOn w:val="1"/>
    <w:next w:val="7"/>
    <w:link w:val="129"/>
    <w:qFormat/>
    <w:uiPriority w:val="0"/>
    <w:pPr>
      <w:keepNext/>
      <w:keepLines/>
      <w:spacing w:before="240" w:after="64" w:line="320" w:lineRule="auto"/>
      <w:outlineLvl w:val="5"/>
    </w:pPr>
    <w:rPr>
      <w:rFonts w:ascii="Arial" w:hAnsi="Arial" w:eastAsia="黑体"/>
      <w:b/>
      <w:sz w:val="24"/>
      <w:szCs w:val="20"/>
    </w:rPr>
  </w:style>
  <w:style w:type="paragraph" w:styleId="9">
    <w:name w:val="heading 7"/>
    <w:basedOn w:val="1"/>
    <w:next w:val="7"/>
    <w:link w:val="130"/>
    <w:qFormat/>
    <w:uiPriority w:val="0"/>
    <w:pPr>
      <w:keepNext/>
      <w:keepLines/>
      <w:spacing w:before="240" w:after="64" w:line="320" w:lineRule="auto"/>
      <w:outlineLvl w:val="6"/>
    </w:pPr>
    <w:rPr>
      <w:b/>
      <w:sz w:val="24"/>
      <w:szCs w:val="20"/>
    </w:rPr>
  </w:style>
  <w:style w:type="paragraph" w:styleId="10">
    <w:name w:val="heading 8"/>
    <w:basedOn w:val="1"/>
    <w:next w:val="7"/>
    <w:link w:val="107"/>
    <w:qFormat/>
    <w:uiPriority w:val="0"/>
    <w:pPr>
      <w:keepNext/>
      <w:keepLines/>
      <w:spacing w:before="240" w:after="64" w:line="320" w:lineRule="auto"/>
      <w:outlineLvl w:val="7"/>
    </w:pPr>
    <w:rPr>
      <w:rFonts w:ascii="Arial" w:hAnsi="Arial" w:eastAsia="黑体"/>
      <w:sz w:val="24"/>
      <w:szCs w:val="20"/>
    </w:rPr>
  </w:style>
  <w:style w:type="paragraph" w:styleId="11">
    <w:name w:val="heading 9"/>
    <w:basedOn w:val="1"/>
    <w:next w:val="7"/>
    <w:link w:val="108"/>
    <w:qFormat/>
    <w:uiPriority w:val="0"/>
    <w:pPr>
      <w:keepNext/>
      <w:keepLines/>
      <w:spacing w:before="240" w:after="64" w:line="320" w:lineRule="auto"/>
      <w:outlineLvl w:val="8"/>
    </w:pPr>
    <w:rPr>
      <w:rFonts w:ascii="Arial" w:hAnsi="Arial" w:eastAsia="黑体"/>
      <w:szCs w:val="20"/>
    </w:rPr>
  </w:style>
  <w:style w:type="character" w:default="1" w:styleId="43">
    <w:name w:val="Default Paragraph Font"/>
    <w:semiHidden/>
    <w:unhideWhenUsed/>
    <w:qFormat/>
    <w:uiPriority w:val="1"/>
  </w:style>
  <w:style w:type="table" w:default="1" w:styleId="41">
    <w:name w:val="Normal Table"/>
    <w:semiHidden/>
    <w:unhideWhenUsed/>
    <w:uiPriority w:val="99"/>
    <w:tblPr>
      <w:tblCellMar>
        <w:top w:w="0" w:type="dxa"/>
        <w:left w:w="108" w:type="dxa"/>
        <w:bottom w:w="0" w:type="dxa"/>
        <w:right w:w="108" w:type="dxa"/>
      </w:tblCellMar>
    </w:tblPr>
  </w:style>
  <w:style w:type="paragraph" w:styleId="7">
    <w:name w:val="Normal Indent"/>
    <w:basedOn w:val="1"/>
    <w:link w:val="120"/>
    <w:qFormat/>
    <w:uiPriority w:val="0"/>
    <w:pPr>
      <w:ind w:firstLine="420" w:firstLineChars="200"/>
    </w:pPr>
  </w:style>
  <w:style w:type="paragraph" w:styleId="12">
    <w:name w:val="toc 7"/>
    <w:basedOn w:val="1"/>
    <w:next w:val="1"/>
    <w:unhideWhenUsed/>
    <w:qFormat/>
    <w:uiPriority w:val="0"/>
    <w:pPr>
      <w:ind w:left="2520" w:leftChars="1200"/>
    </w:pPr>
    <w:rPr>
      <w:rFonts w:ascii="Calibri" w:hAnsi="Calibri"/>
      <w:szCs w:val="22"/>
    </w:rPr>
  </w:style>
  <w:style w:type="paragraph" w:styleId="13">
    <w:name w:val="caption"/>
    <w:basedOn w:val="1"/>
    <w:next w:val="1"/>
    <w:qFormat/>
    <w:uiPriority w:val="35"/>
    <w:pPr>
      <w:widowControl/>
      <w:spacing w:after="200"/>
      <w:jc w:val="left"/>
    </w:pPr>
    <w:rPr>
      <w:rFonts w:ascii="Calibri" w:hAnsi="Calibri"/>
      <w:b/>
      <w:bCs/>
      <w:color w:val="4F81BD"/>
      <w:kern w:val="0"/>
      <w:sz w:val="18"/>
      <w:szCs w:val="18"/>
      <w:lang w:eastAsia="en-US" w:bidi="en-US"/>
    </w:rPr>
  </w:style>
  <w:style w:type="paragraph" w:styleId="14">
    <w:name w:val="List Bullet"/>
    <w:basedOn w:val="1"/>
    <w:qFormat/>
    <w:uiPriority w:val="0"/>
    <w:pPr>
      <w:tabs>
        <w:tab w:val="left" w:pos="360"/>
      </w:tabs>
      <w:ind w:left="360" w:hanging="360" w:hangingChars="200"/>
    </w:pPr>
    <w:rPr>
      <w:szCs w:val="20"/>
    </w:rPr>
  </w:style>
  <w:style w:type="paragraph" w:styleId="15">
    <w:name w:val="Document Map"/>
    <w:basedOn w:val="1"/>
    <w:link w:val="127"/>
    <w:semiHidden/>
    <w:qFormat/>
    <w:uiPriority w:val="0"/>
    <w:pPr>
      <w:shd w:val="clear" w:color="auto" w:fill="000080"/>
    </w:pPr>
  </w:style>
  <w:style w:type="paragraph" w:styleId="16">
    <w:name w:val="annotation text"/>
    <w:basedOn w:val="1"/>
    <w:link w:val="112"/>
    <w:semiHidden/>
    <w:qFormat/>
    <w:uiPriority w:val="0"/>
    <w:pPr>
      <w:jc w:val="left"/>
    </w:pPr>
  </w:style>
  <w:style w:type="paragraph" w:styleId="17">
    <w:name w:val="Body Text 3"/>
    <w:basedOn w:val="1"/>
    <w:link w:val="132"/>
    <w:qFormat/>
    <w:uiPriority w:val="0"/>
    <w:pPr>
      <w:spacing w:after="120"/>
    </w:pPr>
    <w:rPr>
      <w:sz w:val="16"/>
      <w:szCs w:val="16"/>
    </w:rPr>
  </w:style>
  <w:style w:type="paragraph" w:styleId="18">
    <w:name w:val="Body Text"/>
    <w:basedOn w:val="1"/>
    <w:link w:val="93"/>
    <w:qFormat/>
    <w:uiPriority w:val="0"/>
    <w:pPr>
      <w:spacing w:after="120"/>
    </w:pPr>
  </w:style>
  <w:style w:type="paragraph" w:styleId="19">
    <w:name w:val="Body Text Indent"/>
    <w:basedOn w:val="1"/>
    <w:link w:val="123"/>
    <w:qFormat/>
    <w:uiPriority w:val="0"/>
    <w:pPr>
      <w:spacing w:after="120"/>
      <w:ind w:left="420" w:leftChars="200"/>
    </w:pPr>
  </w:style>
  <w:style w:type="paragraph" w:styleId="20">
    <w:name w:val="toc 5"/>
    <w:basedOn w:val="1"/>
    <w:next w:val="1"/>
    <w:unhideWhenUsed/>
    <w:qFormat/>
    <w:uiPriority w:val="0"/>
    <w:pPr>
      <w:ind w:left="1680" w:leftChars="800"/>
    </w:pPr>
    <w:rPr>
      <w:rFonts w:ascii="Calibri" w:hAnsi="Calibri"/>
      <w:szCs w:val="22"/>
    </w:rPr>
  </w:style>
  <w:style w:type="paragraph" w:styleId="21">
    <w:name w:val="toc 3"/>
    <w:basedOn w:val="1"/>
    <w:next w:val="1"/>
    <w:unhideWhenUsed/>
    <w:qFormat/>
    <w:uiPriority w:val="0"/>
    <w:pPr>
      <w:ind w:left="840" w:leftChars="400"/>
    </w:pPr>
    <w:rPr>
      <w:rFonts w:ascii="Calibri" w:hAnsi="Calibri"/>
      <w:szCs w:val="22"/>
    </w:rPr>
  </w:style>
  <w:style w:type="paragraph" w:styleId="22">
    <w:name w:val="Plain Text"/>
    <w:basedOn w:val="1"/>
    <w:link w:val="100"/>
    <w:qFormat/>
    <w:uiPriority w:val="0"/>
    <w:rPr>
      <w:rFonts w:ascii="宋体" w:hAnsi="Courier New"/>
      <w:szCs w:val="20"/>
    </w:rPr>
  </w:style>
  <w:style w:type="paragraph" w:styleId="23">
    <w:name w:val="toc 8"/>
    <w:basedOn w:val="1"/>
    <w:next w:val="1"/>
    <w:unhideWhenUsed/>
    <w:qFormat/>
    <w:uiPriority w:val="0"/>
    <w:pPr>
      <w:ind w:left="2940" w:leftChars="1400"/>
    </w:pPr>
    <w:rPr>
      <w:rFonts w:ascii="Calibri" w:hAnsi="Calibri"/>
      <w:szCs w:val="22"/>
    </w:rPr>
  </w:style>
  <w:style w:type="paragraph" w:styleId="24">
    <w:name w:val="Date"/>
    <w:basedOn w:val="1"/>
    <w:next w:val="1"/>
    <w:link w:val="95"/>
    <w:unhideWhenUsed/>
    <w:qFormat/>
    <w:uiPriority w:val="0"/>
    <w:pPr>
      <w:ind w:left="100" w:leftChars="2500"/>
    </w:pPr>
    <w:rPr>
      <w:rFonts w:ascii="Calibri" w:hAnsi="Calibri"/>
      <w:szCs w:val="22"/>
    </w:rPr>
  </w:style>
  <w:style w:type="paragraph" w:styleId="25">
    <w:name w:val="Body Text Indent 2"/>
    <w:basedOn w:val="1"/>
    <w:link w:val="111"/>
    <w:qFormat/>
    <w:uiPriority w:val="0"/>
    <w:pPr>
      <w:spacing w:beforeLines="50" w:afterLines="50" w:line="120" w:lineRule="auto"/>
      <w:ind w:firstLine="840" w:firstLineChars="400"/>
      <w:jc w:val="left"/>
    </w:pPr>
    <w:rPr>
      <w:rFonts w:ascii="宋体" w:hAnsi="宋体"/>
    </w:rPr>
  </w:style>
  <w:style w:type="paragraph" w:styleId="26">
    <w:name w:val="Balloon Text"/>
    <w:basedOn w:val="1"/>
    <w:link w:val="105"/>
    <w:semiHidden/>
    <w:qFormat/>
    <w:uiPriority w:val="0"/>
    <w:rPr>
      <w:sz w:val="18"/>
      <w:szCs w:val="18"/>
    </w:rPr>
  </w:style>
  <w:style w:type="paragraph" w:styleId="27">
    <w:name w:val="footer"/>
    <w:basedOn w:val="1"/>
    <w:link w:val="96"/>
    <w:qFormat/>
    <w:uiPriority w:val="99"/>
    <w:pPr>
      <w:tabs>
        <w:tab w:val="center" w:pos="4153"/>
        <w:tab w:val="right" w:pos="8306"/>
      </w:tabs>
      <w:snapToGrid w:val="0"/>
      <w:jc w:val="left"/>
    </w:pPr>
    <w:rPr>
      <w:sz w:val="18"/>
      <w:szCs w:val="18"/>
    </w:rPr>
  </w:style>
  <w:style w:type="paragraph" w:styleId="28">
    <w:name w:val="header"/>
    <w:basedOn w:val="1"/>
    <w:link w:val="94"/>
    <w:qFormat/>
    <w:uiPriority w:val="0"/>
    <w:pPr>
      <w:pBdr>
        <w:bottom w:val="single" w:color="auto" w:sz="6" w:space="1"/>
      </w:pBdr>
      <w:tabs>
        <w:tab w:val="center" w:pos="4153"/>
        <w:tab w:val="right" w:pos="8306"/>
      </w:tabs>
      <w:snapToGrid w:val="0"/>
      <w:jc w:val="center"/>
    </w:pPr>
    <w:rPr>
      <w:sz w:val="18"/>
      <w:szCs w:val="18"/>
    </w:rPr>
  </w:style>
  <w:style w:type="paragraph" w:styleId="29">
    <w:name w:val="toc 1"/>
    <w:basedOn w:val="1"/>
    <w:next w:val="1"/>
    <w:qFormat/>
    <w:uiPriority w:val="0"/>
    <w:pPr>
      <w:spacing w:before="120" w:after="120"/>
      <w:jc w:val="left"/>
    </w:pPr>
    <w:rPr>
      <w:b/>
      <w:bCs/>
      <w:caps/>
    </w:rPr>
  </w:style>
  <w:style w:type="paragraph" w:styleId="30">
    <w:name w:val="toc 4"/>
    <w:basedOn w:val="1"/>
    <w:next w:val="1"/>
    <w:unhideWhenUsed/>
    <w:qFormat/>
    <w:uiPriority w:val="0"/>
    <w:pPr>
      <w:ind w:left="1260" w:leftChars="600"/>
    </w:pPr>
    <w:rPr>
      <w:rFonts w:ascii="Calibri" w:hAnsi="Calibri"/>
      <w:szCs w:val="22"/>
    </w:rPr>
  </w:style>
  <w:style w:type="paragraph" w:styleId="31">
    <w:name w:val="toc 6"/>
    <w:basedOn w:val="1"/>
    <w:next w:val="1"/>
    <w:unhideWhenUsed/>
    <w:qFormat/>
    <w:uiPriority w:val="0"/>
    <w:pPr>
      <w:ind w:left="2100" w:leftChars="1000"/>
    </w:pPr>
    <w:rPr>
      <w:rFonts w:ascii="Calibri" w:hAnsi="Calibri"/>
      <w:szCs w:val="22"/>
    </w:rPr>
  </w:style>
  <w:style w:type="paragraph" w:styleId="32">
    <w:name w:val="Body Text Indent 3"/>
    <w:basedOn w:val="1"/>
    <w:link w:val="131"/>
    <w:qFormat/>
    <w:uiPriority w:val="0"/>
    <w:pPr>
      <w:spacing w:line="360" w:lineRule="auto"/>
      <w:ind w:firstLine="482" w:firstLineChars="200"/>
    </w:pPr>
    <w:rPr>
      <w:rFonts w:ascii="宋体"/>
      <w:b/>
      <w:bCs/>
      <w:sz w:val="24"/>
    </w:rPr>
  </w:style>
  <w:style w:type="paragraph" w:styleId="33">
    <w:name w:val="toc 2"/>
    <w:basedOn w:val="1"/>
    <w:next w:val="1"/>
    <w:unhideWhenUsed/>
    <w:qFormat/>
    <w:uiPriority w:val="0"/>
    <w:pPr>
      <w:tabs>
        <w:tab w:val="right" w:leader="dot" w:pos="8302"/>
      </w:tabs>
      <w:ind w:left="420" w:leftChars="200"/>
      <w:jc w:val="left"/>
    </w:pPr>
    <w:rPr>
      <w:rFonts w:ascii="Calibri" w:hAnsi="Calibri"/>
      <w:sz w:val="24"/>
    </w:rPr>
  </w:style>
  <w:style w:type="paragraph" w:styleId="34">
    <w:name w:val="toc 9"/>
    <w:basedOn w:val="1"/>
    <w:next w:val="1"/>
    <w:unhideWhenUsed/>
    <w:qFormat/>
    <w:uiPriority w:val="0"/>
    <w:pPr>
      <w:ind w:left="3360" w:leftChars="1600"/>
    </w:pPr>
    <w:rPr>
      <w:rFonts w:ascii="Calibri" w:hAnsi="Calibri"/>
      <w:szCs w:val="22"/>
    </w:rPr>
  </w:style>
  <w:style w:type="paragraph" w:styleId="35">
    <w:name w:val="Body Text 2"/>
    <w:basedOn w:val="1"/>
    <w:link w:val="98"/>
    <w:qFormat/>
    <w:uiPriority w:val="0"/>
    <w:pPr>
      <w:spacing w:line="360" w:lineRule="auto"/>
    </w:pPr>
    <w:rPr>
      <w:sz w:val="24"/>
    </w:rPr>
  </w:style>
  <w:style w:type="paragraph" w:styleId="36">
    <w:name w:val="HTML Preformatted"/>
    <w:basedOn w:val="1"/>
    <w:link w:val="110"/>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37">
    <w:name w:val="Normal (Web)"/>
    <w:basedOn w:val="1"/>
    <w:qFormat/>
    <w:uiPriority w:val="0"/>
    <w:pPr>
      <w:widowControl/>
      <w:spacing w:before="100" w:beforeAutospacing="1" w:after="100" w:afterAutospacing="1"/>
      <w:jc w:val="left"/>
    </w:pPr>
    <w:rPr>
      <w:kern w:val="0"/>
      <w:sz w:val="24"/>
    </w:rPr>
  </w:style>
  <w:style w:type="paragraph" w:styleId="38">
    <w:name w:val="Title"/>
    <w:basedOn w:val="1"/>
    <w:link w:val="119"/>
    <w:qFormat/>
    <w:uiPriority w:val="0"/>
    <w:pPr>
      <w:spacing w:before="240" w:after="60"/>
      <w:jc w:val="center"/>
      <w:outlineLvl w:val="0"/>
    </w:pPr>
    <w:rPr>
      <w:rFonts w:ascii="Arial" w:hAnsi="Arial" w:eastAsia="隶书"/>
      <w:b/>
      <w:bCs/>
      <w:sz w:val="32"/>
      <w:szCs w:val="32"/>
    </w:rPr>
  </w:style>
  <w:style w:type="paragraph" w:styleId="39">
    <w:name w:val="annotation subject"/>
    <w:basedOn w:val="16"/>
    <w:next w:val="16"/>
    <w:link w:val="128"/>
    <w:semiHidden/>
    <w:qFormat/>
    <w:uiPriority w:val="0"/>
    <w:rPr>
      <w:b/>
      <w:bCs/>
    </w:rPr>
  </w:style>
  <w:style w:type="paragraph" w:styleId="40">
    <w:name w:val="Body Text First Indent"/>
    <w:basedOn w:val="18"/>
    <w:link w:val="99"/>
    <w:qFormat/>
    <w:uiPriority w:val="0"/>
    <w:pPr>
      <w:ind w:firstLine="420" w:firstLineChars="100"/>
    </w:pPr>
  </w:style>
  <w:style w:type="table" w:styleId="42">
    <w:name w:val="Table Grid"/>
    <w:basedOn w:val="4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qFormat/>
    <w:uiPriority w:val="22"/>
    <w:rPr>
      <w:b/>
      <w:bCs/>
    </w:rPr>
  </w:style>
  <w:style w:type="character" w:styleId="45">
    <w:name w:val="page number"/>
    <w:basedOn w:val="43"/>
    <w:qFormat/>
    <w:uiPriority w:val="0"/>
  </w:style>
  <w:style w:type="character" w:styleId="46">
    <w:name w:val="FollowedHyperlink"/>
    <w:qFormat/>
    <w:uiPriority w:val="0"/>
    <w:rPr>
      <w:color w:val="800080"/>
      <w:u w:val="single"/>
    </w:rPr>
  </w:style>
  <w:style w:type="character" w:styleId="47">
    <w:name w:val="Hyperlink"/>
    <w:qFormat/>
    <w:uiPriority w:val="0"/>
    <w:rPr>
      <w:color w:val="0000FF"/>
      <w:u w:val="single"/>
    </w:rPr>
  </w:style>
  <w:style w:type="character" w:styleId="48">
    <w:name w:val="annotation reference"/>
    <w:semiHidden/>
    <w:qFormat/>
    <w:uiPriority w:val="0"/>
    <w:rPr>
      <w:sz w:val="21"/>
      <w:szCs w:val="21"/>
    </w:rPr>
  </w:style>
  <w:style w:type="paragraph" w:customStyle="1" w:styleId="49">
    <w:name w:val="inf"/>
    <w:basedOn w:val="1"/>
    <w:qFormat/>
    <w:uiPriority w:val="0"/>
    <w:pPr>
      <w:widowControl/>
      <w:spacing w:before="100" w:beforeAutospacing="1" w:after="100" w:afterAutospacing="1" w:line="320" w:lineRule="atLeast"/>
      <w:jc w:val="left"/>
    </w:pPr>
    <w:rPr>
      <w:rFonts w:ascii="宋体" w:hAnsi="宋体" w:cs="宋体"/>
      <w:color w:val="000000"/>
      <w:kern w:val="0"/>
      <w:sz w:val="20"/>
      <w:szCs w:val="20"/>
    </w:rPr>
  </w:style>
  <w:style w:type="paragraph" w:customStyle="1" w:styleId="50">
    <w:name w:val="正文缩进2"/>
    <w:basedOn w:val="1"/>
    <w:link w:val="113"/>
    <w:qFormat/>
    <w:uiPriority w:val="0"/>
    <w:pPr>
      <w:spacing w:line="360" w:lineRule="auto"/>
      <w:ind w:firstLine="200" w:firstLineChars="200"/>
    </w:pPr>
    <w:rPr>
      <w:kern w:val="0"/>
      <w:sz w:val="20"/>
    </w:rPr>
  </w:style>
  <w:style w:type="paragraph" w:customStyle="1" w:styleId="51">
    <w:name w:val="Table Text"/>
    <w:basedOn w:val="1"/>
    <w:link w:val="97"/>
    <w:qFormat/>
    <w:uiPriority w:val="0"/>
    <w:pPr>
      <w:keepLines/>
      <w:overflowPunct w:val="0"/>
      <w:autoSpaceDE w:val="0"/>
      <w:autoSpaceDN w:val="0"/>
      <w:adjustRightInd w:val="0"/>
      <w:jc w:val="left"/>
      <w:textAlignment w:val="baseline"/>
    </w:pPr>
    <w:rPr>
      <w:rFonts w:ascii="宋体"/>
      <w:kern w:val="0"/>
      <w:sz w:val="16"/>
      <w:szCs w:val="20"/>
    </w:rPr>
  </w:style>
  <w:style w:type="paragraph" w:customStyle="1" w:styleId="52">
    <w:name w:val="无间隔1"/>
    <w:link w:val="104"/>
    <w:qFormat/>
    <w:uiPriority w:val="1"/>
    <w:rPr>
      <w:rFonts w:ascii="Calibri" w:hAnsi="Calibri" w:eastAsia="宋体" w:cs="Times New Roman"/>
      <w:sz w:val="22"/>
      <w:lang w:val="en-US" w:eastAsia="en-US" w:bidi="en-US"/>
    </w:rPr>
  </w:style>
  <w:style w:type="paragraph" w:customStyle="1" w:styleId="53">
    <w:name w:val="Char"/>
    <w:basedOn w:val="1"/>
    <w:qFormat/>
    <w:uiPriority w:val="0"/>
    <w:pPr>
      <w:widowControl/>
      <w:spacing w:after="160" w:line="360" w:lineRule="auto"/>
      <w:jc w:val="center"/>
    </w:pPr>
    <w:rPr>
      <w:rFonts w:ascii="宋体" w:hAnsi="宋体"/>
      <w:kern w:val="0"/>
      <w:sz w:val="52"/>
      <w:szCs w:val="52"/>
    </w:rPr>
  </w:style>
  <w:style w:type="paragraph" w:customStyle="1" w:styleId="54">
    <w:name w:val="È±Ê¡ÎÄ±¾"/>
    <w:basedOn w:val="1"/>
    <w:qFormat/>
    <w:uiPriority w:val="0"/>
    <w:pPr>
      <w:widowControl/>
      <w:overflowPunct w:val="0"/>
      <w:autoSpaceDE w:val="0"/>
      <w:autoSpaceDN w:val="0"/>
      <w:adjustRightInd w:val="0"/>
      <w:jc w:val="left"/>
      <w:textAlignment w:val="baseline"/>
    </w:pPr>
    <w:rPr>
      <w:kern w:val="0"/>
      <w:sz w:val="24"/>
      <w:szCs w:val="20"/>
    </w:rPr>
  </w:style>
  <w:style w:type="paragraph" w:customStyle="1" w:styleId="55">
    <w:name w:val="缩进正文"/>
    <w:basedOn w:val="1"/>
    <w:link w:val="121"/>
    <w:qFormat/>
    <w:uiPriority w:val="0"/>
    <w:pPr>
      <w:ind w:firstLine="560" w:firstLineChars="200"/>
    </w:pPr>
    <w:rPr>
      <w:rFonts w:eastAsia="仿宋_GB2312" w:cs="宋体"/>
      <w:sz w:val="28"/>
      <w:szCs w:val="20"/>
    </w:rPr>
  </w:style>
  <w:style w:type="paragraph" w:customStyle="1" w:styleId="56">
    <w:name w:val="列出段落1"/>
    <w:basedOn w:val="1"/>
    <w:link w:val="135"/>
    <w:qFormat/>
    <w:uiPriority w:val="34"/>
    <w:pPr>
      <w:ind w:firstLine="420" w:firstLineChars="200"/>
    </w:pPr>
  </w:style>
  <w:style w:type="paragraph" w:customStyle="1" w:styleId="57">
    <w:name w:val="Item List"/>
    <w:qFormat/>
    <w:uiPriority w:val="0"/>
    <w:pPr>
      <w:numPr>
        <w:ilvl w:val="0"/>
        <w:numId w:val="1"/>
      </w:numPr>
      <w:adjustRightInd w:val="0"/>
      <w:snapToGrid w:val="0"/>
      <w:spacing w:before="80" w:after="80" w:line="240" w:lineRule="atLeast"/>
    </w:pPr>
    <w:rPr>
      <w:rFonts w:ascii="Times New Roman" w:hAnsi="Times New Roman" w:eastAsia="宋体" w:cs="Arial"/>
      <w:kern w:val="2"/>
      <w:sz w:val="21"/>
      <w:szCs w:val="21"/>
      <w:lang w:val="en-US" w:eastAsia="zh-CN" w:bidi="ar-SA"/>
    </w:rPr>
  </w:style>
  <w:style w:type="paragraph" w:customStyle="1" w:styleId="58">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2"/>
      <w:szCs w:val="22"/>
    </w:rPr>
  </w:style>
  <w:style w:type="paragraph" w:customStyle="1" w:styleId="59">
    <w:name w:val="xl64"/>
    <w:basedOn w:val="1"/>
    <w:qFormat/>
    <w:uiPriority w:val="0"/>
    <w:pPr>
      <w:widowControl/>
      <w:pBdr>
        <w:top w:val="single" w:color="auto" w:sz="4" w:space="0"/>
        <w:left w:val="single" w:color="auto" w:sz="4" w:space="0"/>
        <w:bottom w:val="single" w:color="auto" w:sz="4" w:space="0"/>
        <w:right w:val="single" w:color="auto" w:sz="4" w:space="0"/>
      </w:pBdr>
      <w:shd w:val="clear" w:color="000000" w:fill="5B9BD5"/>
      <w:spacing w:before="100" w:beforeAutospacing="1" w:after="100" w:afterAutospacing="1"/>
      <w:jc w:val="center"/>
      <w:textAlignment w:val="center"/>
    </w:pPr>
    <w:rPr>
      <w:b/>
      <w:bCs/>
      <w:kern w:val="0"/>
      <w:sz w:val="22"/>
      <w:szCs w:val="22"/>
    </w:rPr>
  </w:style>
  <w:style w:type="paragraph" w:customStyle="1" w:styleId="60">
    <w:name w:val="正文缩进2 Char"/>
    <w:basedOn w:val="1"/>
    <w:link w:val="125"/>
    <w:qFormat/>
    <w:uiPriority w:val="0"/>
    <w:pPr>
      <w:spacing w:line="360" w:lineRule="auto"/>
      <w:ind w:firstLine="200" w:firstLineChars="200"/>
    </w:pPr>
    <w:rPr>
      <w:kern w:val="0"/>
      <w:sz w:val="20"/>
    </w:rPr>
  </w:style>
  <w:style w:type="paragraph" w:customStyle="1" w:styleId="61">
    <w:name w:val="font9"/>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62">
    <w:name w:val="Char1"/>
    <w:basedOn w:val="1"/>
    <w:qFormat/>
    <w:uiPriority w:val="0"/>
    <w:rPr>
      <w:rFonts w:ascii="仿宋_GB2312" w:eastAsia="仿宋_GB2312"/>
      <w:b/>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带缩进正文"/>
    <w:basedOn w:val="1"/>
    <w:qFormat/>
    <w:uiPriority w:val="0"/>
    <w:pPr>
      <w:spacing w:line="360" w:lineRule="auto"/>
      <w:ind w:firstLine="420"/>
    </w:pPr>
    <w:rPr>
      <w:rFonts w:cs="宋体"/>
      <w:szCs w:val="20"/>
    </w:rPr>
  </w:style>
  <w:style w:type="paragraph" w:customStyle="1" w:styleId="65">
    <w:name w:val="样式1 Char Char"/>
    <w:basedOn w:val="1"/>
    <w:next w:val="1"/>
    <w:link w:val="117"/>
    <w:qFormat/>
    <w:uiPriority w:val="0"/>
    <w:pPr>
      <w:spacing w:line="360" w:lineRule="auto"/>
      <w:ind w:firstLine="516" w:firstLineChars="215"/>
    </w:pPr>
    <w:rPr>
      <w:sz w:val="24"/>
      <w:szCs w:val="20"/>
    </w:rPr>
  </w:style>
  <w:style w:type="paragraph" w:customStyle="1" w:styleId="66">
    <w:name w:val="Char2 Char Char Char Char Char Char Char Char Char Char Char Char"/>
    <w:basedOn w:val="1"/>
    <w:qFormat/>
    <w:uiPriority w:val="0"/>
    <w:pPr>
      <w:spacing w:line="360" w:lineRule="auto"/>
      <w:ind w:firstLine="200" w:firstLineChars="200"/>
    </w:pPr>
    <w:rPr>
      <w:rFonts w:ascii="Tahoma" w:hAnsi="Tahoma"/>
      <w:sz w:val="24"/>
    </w:rPr>
  </w:style>
  <w:style w:type="paragraph" w:customStyle="1" w:styleId="67">
    <w:name w:val="Char Char5 Char Char"/>
    <w:basedOn w:val="1"/>
    <w:qFormat/>
    <w:uiPriority w:val="0"/>
    <w:pPr>
      <w:tabs>
        <w:tab w:val="left" w:pos="363"/>
      </w:tabs>
      <w:ind w:left="363" w:hanging="360"/>
    </w:pPr>
    <w:rPr>
      <w:sz w:val="24"/>
    </w:rPr>
  </w:style>
  <w:style w:type="paragraph" w:customStyle="1" w:styleId="68">
    <w:name w:val="文档正文"/>
    <w:basedOn w:val="1"/>
    <w:qFormat/>
    <w:uiPriority w:val="0"/>
    <w:pPr>
      <w:adjustRightInd w:val="0"/>
      <w:spacing w:line="480" w:lineRule="atLeast"/>
      <w:ind w:firstLine="567" w:firstLineChars="200"/>
      <w:textAlignment w:val="baseline"/>
    </w:pPr>
    <w:rPr>
      <w:rFonts w:ascii="长城仿宋"/>
      <w:kern w:val="0"/>
      <w:szCs w:val="20"/>
    </w:rPr>
  </w:style>
  <w:style w:type="paragraph" w:customStyle="1" w:styleId="69">
    <w:name w:val="_Style 68"/>
    <w:unhideWhenUsed/>
    <w:qFormat/>
    <w:uiPriority w:val="99"/>
    <w:rPr>
      <w:rFonts w:ascii="Times New Roman" w:hAnsi="Times New Roman" w:eastAsia="宋体" w:cs="Times New Roman"/>
      <w:kern w:val="2"/>
      <w:sz w:val="21"/>
      <w:szCs w:val="24"/>
      <w:lang w:val="en-US" w:eastAsia="zh-CN" w:bidi="ar-SA"/>
    </w:rPr>
  </w:style>
  <w:style w:type="paragraph" w:customStyle="1" w:styleId="70">
    <w:name w:val="xl6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kern w:val="0"/>
      <w:sz w:val="22"/>
      <w:szCs w:val="22"/>
    </w:rPr>
  </w:style>
  <w:style w:type="paragraph" w:customStyle="1" w:styleId="71">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2"/>
      <w:szCs w:val="22"/>
    </w:rPr>
  </w:style>
  <w:style w:type="paragraph" w:customStyle="1" w:styleId="72">
    <w:name w:val="正文1"/>
    <w:basedOn w:val="1"/>
    <w:qFormat/>
    <w:uiPriority w:val="0"/>
    <w:pPr>
      <w:tabs>
        <w:tab w:val="left" w:pos="4"/>
      </w:tabs>
      <w:spacing w:line="360" w:lineRule="auto"/>
      <w:ind w:left="-2" w:firstLine="482"/>
    </w:pPr>
    <w:rPr>
      <w:rFonts w:ascii="宋体" w:hAnsi="宋体"/>
      <w:sz w:val="24"/>
    </w:rPr>
  </w:style>
  <w:style w:type="paragraph" w:customStyle="1" w:styleId="73">
    <w:name w:val="font7"/>
    <w:basedOn w:val="1"/>
    <w:qFormat/>
    <w:uiPriority w:val="0"/>
    <w:pPr>
      <w:widowControl/>
      <w:spacing w:before="100" w:beforeAutospacing="1" w:after="100" w:afterAutospacing="1"/>
      <w:jc w:val="left"/>
    </w:pPr>
    <w:rPr>
      <w:rFonts w:ascii="宋体" w:hAnsi="宋体" w:cs="宋体"/>
      <w:b/>
      <w:bCs/>
      <w:kern w:val="0"/>
      <w:sz w:val="22"/>
      <w:szCs w:val="22"/>
    </w:rPr>
  </w:style>
  <w:style w:type="paragraph" w:customStyle="1" w:styleId="74">
    <w:name w:val="样式1"/>
    <w:basedOn w:val="38"/>
    <w:link w:val="118"/>
    <w:qFormat/>
    <w:uiPriority w:val="0"/>
    <w:pPr>
      <w:spacing w:before="120" w:after="120"/>
    </w:pPr>
    <w:rPr>
      <w:rFonts w:eastAsia="黑体" w:cs="Arial"/>
      <w:b w:val="0"/>
      <w:sz w:val="30"/>
      <w:szCs w:val="21"/>
    </w:rPr>
  </w:style>
  <w:style w:type="paragraph" w:customStyle="1" w:styleId="75">
    <w:name w:val="正文缩进2格"/>
    <w:basedOn w:val="1"/>
    <w:qFormat/>
    <w:uiPriority w:val="0"/>
    <w:pPr>
      <w:spacing w:line="600" w:lineRule="exact"/>
      <w:ind w:firstLine="639" w:firstLineChars="206"/>
    </w:pPr>
    <w:rPr>
      <w:rFonts w:ascii="仿宋_GB2312" w:hAnsi="宋体" w:eastAsia="仿宋_GB2312"/>
      <w:sz w:val="31"/>
      <w:szCs w:val="28"/>
    </w:rPr>
  </w:style>
  <w:style w:type="paragraph" w:customStyle="1" w:styleId="76">
    <w:name w:val="Char Char Char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7">
    <w:name w:val="图"/>
    <w:basedOn w:val="1"/>
    <w:qFormat/>
    <w:uiPriority w:val="0"/>
    <w:pPr>
      <w:keepNext/>
      <w:adjustRightInd w:val="0"/>
      <w:snapToGrid w:val="0"/>
      <w:spacing w:before="60" w:after="60" w:line="300" w:lineRule="auto"/>
      <w:jc w:val="center"/>
    </w:pPr>
    <w:rPr>
      <w:spacing w:val="20"/>
      <w:kern w:val="0"/>
      <w:sz w:val="24"/>
      <w:szCs w:val="20"/>
    </w:rPr>
  </w:style>
  <w:style w:type="paragraph" w:customStyle="1" w:styleId="78">
    <w:name w:val="正文段落"/>
    <w:basedOn w:val="1"/>
    <w:qFormat/>
    <w:uiPriority w:val="0"/>
    <w:pPr>
      <w:spacing w:line="300" w:lineRule="auto"/>
      <w:ind w:firstLine="425"/>
    </w:pPr>
    <w:rPr>
      <w:rFonts w:eastAsia="楷体_GB2312"/>
      <w:szCs w:val="20"/>
    </w:rPr>
  </w:style>
  <w:style w:type="paragraph" w:customStyle="1" w:styleId="79">
    <w:name w:val="Char Char Char Char Char Char Char"/>
    <w:basedOn w:val="1"/>
    <w:qFormat/>
    <w:uiPriority w:val="0"/>
    <w:pPr>
      <w:widowControl/>
      <w:adjustRightInd w:val="0"/>
      <w:spacing w:after="160" w:line="240" w:lineRule="exact"/>
      <w:jc w:val="left"/>
      <w:textAlignment w:val="baseline"/>
    </w:pPr>
  </w:style>
  <w:style w:type="paragraph" w:customStyle="1" w:styleId="80">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81">
    <w:name w:val="font6"/>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82">
    <w:name w:val="font8"/>
    <w:basedOn w:val="1"/>
    <w:qFormat/>
    <w:uiPriority w:val="0"/>
    <w:pPr>
      <w:widowControl/>
      <w:spacing w:before="100" w:beforeAutospacing="1" w:after="100" w:afterAutospacing="1"/>
      <w:jc w:val="left"/>
    </w:pPr>
    <w:rPr>
      <w:kern w:val="0"/>
      <w:sz w:val="22"/>
      <w:szCs w:val="22"/>
    </w:rPr>
  </w:style>
  <w:style w:type="paragraph" w:customStyle="1" w:styleId="83">
    <w:name w:val="xl6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kern w:val="0"/>
      <w:sz w:val="22"/>
      <w:szCs w:val="22"/>
    </w:rPr>
  </w:style>
  <w:style w:type="paragraph" w:customStyle="1" w:styleId="84">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5B9BD5"/>
      <w:spacing w:before="100" w:beforeAutospacing="1" w:after="100" w:afterAutospacing="1"/>
      <w:jc w:val="center"/>
      <w:textAlignment w:val="center"/>
    </w:pPr>
    <w:rPr>
      <w:rFonts w:ascii="宋体" w:hAnsi="宋体" w:cs="宋体"/>
      <w:b/>
      <w:bCs/>
      <w:kern w:val="0"/>
      <w:sz w:val="22"/>
      <w:szCs w:val="22"/>
    </w:rPr>
  </w:style>
  <w:style w:type="paragraph" w:customStyle="1" w:styleId="85">
    <w:name w:val="xl70"/>
    <w:basedOn w:val="1"/>
    <w:qFormat/>
    <w:uiPriority w:val="0"/>
    <w:pPr>
      <w:widowControl/>
      <w:spacing w:before="100" w:beforeAutospacing="1" w:after="100" w:afterAutospacing="1"/>
      <w:jc w:val="center"/>
      <w:textAlignment w:val="center"/>
    </w:pPr>
    <w:rPr>
      <w:kern w:val="0"/>
      <w:sz w:val="22"/>
      <w:szCs w:val="22"/>
    </w:rPr>
  </w:style>
  <w:style w:type="paragraph" w:customStyle="1" w:styleId="86">
    <w:name w:val="样式41"/>
    <w:basedOn w:val="1"/>
    <w:qFormat/>
    <w:uiPriority w:val="0"/>
    <w:pPr>
      <w:tabs>
        <w:tab w:val="left" w:pos="945"/>
        <w:tab w:val="left" w:pos="2040"/>
      </w:tabs>
      <w:spacing w:line="360" w:lineRule="auto"/>
      <w:ind w:left="2040" w:leftChars="800" w:hanging="360" w:hangingChars="200"/>
    </w:pPr>
    <w:rPr>
      <w:b/>
      <w:color w:val="000000"/>
      <w:sz w:val="24"/>
      <w:szCs w:val="20"/>
    </w:rPr>
  </w:style>
  <w:style w:type="paragraph" w:customStyle="1" w:styleId="87">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8">
    <w:name w:val="自定义正文"/>
    <w:basedOn w:val="1"/>
    <w:qFormat/>
    <w:uiPriority w:val="0"/>
    <w:pPr>
      <w:spacing w:afterLines="50"/>
      <w:ind w:left="600" w:leftChars="600"/>
    </w:pPr>
  </w:style>
  <w:style w:type="paragraph" w:customStyle="1" w:styleId="89">
    <w:name w:val="Char Char Char Char Char"/>
    <w:basedOn w:val="1"/>
    <w:qFormat/>
    <w:uiPriority w:val="0"/>
    <w:rPr>
      <w:rFonts w:ascii="Tahoma" w:hAnsi="Tahoma"/>
      <w:sz w:val="24"/>
      <w:szCs w:val="20"/>
    </w:rPr>
  </w:style>
  <w:style w:type="paragraph" w:customStyle="1" w:styleId="90">
    <w:name w:val="小标题 1"/>
    <w:basedOn w:val="1"/>
    <w:qFormat/>
    <w:uiPriority w:val="0"/>
    <w:pPr>
      <w:autoSpaceDE w:val="0"/>
      <w:autoSpaceDN w:val="0"/>
      <w:adjustRightInd w:val="0"/>
      <w:spacing w:line="360" w:lineRule="atLeast"/>
    </w:pPr>
    <w:rPr>
      <w:rFonts w:ascii="文鼎粗黑" w:eastAsia="文鼎粗黑"/>
      <w:kern w:val="0"/>
      <w:sz w:val="22"/>
      <w:szCs w:val="20"/>
    </w:rPr>
  </w:style>
  <w:style w:type="paragraph" w:customStyle="1" w:styleId="91">
    <w:name w:val="Char Char"/>
    <w:basedOn w:val="1"/>
    <w:qFormat/>
    <w:uiPriority w:val="0"/>
    <w:rPr>
      <w:rFonts w:ascii="Tahoma" w:hAnsi="Tahoma"/>
      <w:sz w:val="24"/>
      <w:szCs w:val="20"/>
    </w:rPr>
  </w:style>
  <w:style w:type="paragraph" w:customStyle="1" w:styleId="92">
    <w:name w:val="List Paragraph1"/>
    <w:basedOn w:val="1"/>
    <w:qFormat/>
    <w:uiPriority w:val="34"/>
    <w:pPr>
      <w:ind w:firstLine="420" w:firstLineChars="200"/>
    </w:pPr>
    <w:rPr>
      <w:rFonts w:ascii="Calibri" w:hAnsi="Calibri"/>
      <w:szCs w:val="22"/>
    </w:rPr>
  </w:style>
  <w:style w:type="character" w:customStyle="1" w:styleId="93">
    <w:name w:val="正文文本 字符"/>
    <w:link w:val="18"/>
    <w:qFormat/>
    <w:uiPriority w:val="0"/>
    <w:rPr>
      <w:kern w:val="2"/>
      <w:sz w:val="21"/>
      <w:szCs w:val="24"/>
    </w:rPr>
  </w:style>
  <w:style w:type="character" w:customStyle="1" w:styleId="94">
    <w:name w:val="页眉 字符"/>
    <w:link w:val="28"/>
    <w:qFormat/>
    <w:uiPriority w:val="0"/>
    <w:rPr>
      <w:rFonts w:eastAsia="宋体"/>
      <w:kern w:val="2"/>
      <w:sz w:val="18"/>
      <w:szCs w:val="18"/>
      <w:lang w:val="en-US" w:eastAsia="zh-CN" w:bidi="ar-SA"/>
    </w:rPr>
  </w:style>
  <w:style w:type="character" w:customStyle="1" w:styleId="95">
    <w:name w:val="日期 字符"/>
    <w:link w:val="24"/>
    <w:qFormat/>
    <w:uiPriority w:val="0"/>
    <w:rPr>
      <w:rFonts w:ascii="Calibri" w:hAnsi="Calibri"/>
      <w:kern w:val="2"/>
      <w:sz w:val="21"/>
      <w:szCs w:val="22"/>
    </w:rPr>
  </w:style>
  <w:style w:type="character" w:customStyle="1" w:styleId="96">
    <w:name w:val="页脚 字符"/>
    <w:link w:val="27"/>
    <w:qFormat/>
    <w:uiPriority w:val="99"/>
    <w:rPr>
      <w:kern w:val="2"/>
      <w:sz w:val="18"/>
      <w:szCs w:val="18"/>
    </w:rPr>
  </w:style>
  <w:style w:type="character" w:customStyle="1" w:styleId="97">
    <w:name w:val="Table Text Char"/>
    <w:link w:val="51"/>
    <w:qFormat/>
    <w:locked/>
    <w:uiPriority w:val="0"/>
    <w:rPr>
      <w:rFonts w:ascii="宋体"/>
      <w:sz w:val="16"/>
    </w:rPr>
  </w:style>
  <w:style w:type="character" w:customStyle="1" w:styleId="98">
    <w:name w:val="正文文本 2 字符"/>
    <w:link w:val="35"/>
    <w:qFormat/>
    <w:uiPriority w:val="0"/>
    <w:rPr>
      <w:kern w:val="2"/>
      <w:sz w:val="24"/>
      <w:szCs w:val="24"/>
    </w:rPr>
  </w:style>
  <w:style w:type="character" w:customStyle="1" w:styleId="99">
    <w:name w:val="正文首行缩进 字符"/>
    <w:link w:val="40"/>
    <w:qFormat/>
    <w:uiPriority w:val="0"/>
    <w:rPr>
      <w:rFonts w:eastAsia="宋体"/>
      <w:kern w:val="2"/>
      <w:sz w:val="21"/>
      <w:szCs w:val="24"/>
      <w:lang w:val="en-US" w:eastAsia="zh-CN" w:bidi="ar-SA"/>
    </w:rPr>
  </w:style>
  <w:style w:type="character" w:customStyle="1" w:styleId="100">
    <w:name w:val="纯文本 字符"/>
    <w:link w:val="22"/>
    <w:qFormat/>
    <w:uiPriority w:val="0"/>
    <w:rPr>
      <w:rFonts w:ascii="宋体" w:hAnsi="Courier New" w:eastAsia="宋体"/>
      <w:kern w:val="2"/>
      <w:sz w:val="21"/>
      <w:lang w:val="en-US" w:eastAsia="zh-CN" w:bidi="ar-SA"/>
    </w:rPr>
  </w:style>
  <w:style w:type="character" w:customStyle="1" w:styleId="101">
    <w:name w:val="Char Char24"/>
    <w:qFormat/>
    <w:uiPriority w:val="0"/>
    <w:rPr>
      <w:rFonts w:ascii="宋体" w:hAnsi="宋体" w:eastAsia="宋体" w:cs="Times New Roman"/>
      <w:b/>
      <w:kern w:val="0"/>
      <w:sz w:val="24"/>
      <w:szCs w:val="20"/>
    </w:rPr>
  </w:style>
  <w:style w:type="character" w:customStyle="1" w:styleId="102">
    <w:name w:val="标题 3 Char1"/>
    <w:qFormat/>
    <w:uiPriority w:val="0"/>
    <w:rPr>
      <w:rFonts w:ascii="宋体" w:hAnsi="宋体" w:eastAsia="宋体" w:cs="Times New Roman"/>
      <w:b/>
      <w:bCs/>
      <w:sz w:val="28"/>
      <w:szCs w:val="32"/>
    </w:rPr>
  </w:style>
  <w:style w:type="character" w:customStyle="1" w:styleId="103">
    <w:name w:val="标题 4 字符"/>
    <w:link w:val="5"/>
    <w:qFormat/>
    <w:uiPriority w:val="0"/>
    <w:rPr>
      <w:rFonts w:ascii="Arial" w:hAnsi="Arial" w:eastAsia="黑体"/>
      <w:b/>
      <w:bCs/>
      <w:kern w:val="2"/>
      <w:sz w:val="28"/>
      <w:szCs w:val="28"/>
    </w:rPr>
  </w:style>
  <w:style w:type="character" w:customStyle="1" w:styleId="104">
    <w:name w:val="无间隔 字符"/>
    <w:link w:val="52"/>
    <w:qFormat/>
    <w:uiPriority w:val="1"/>
    <w:rPr>
      <w:rFonts w:ascii="Calibri" w:hAnsi="Calibri"/>
      <w:sz w:val="22"/>
      <w:lang w:val="en-US" w:eastAsia="en-US" w:bidi="en-US"/>
    </w:rPr>
  </w:style>
  <w:style w:type="character" w:customStyle="1" w:styleId="105">
    <w:name w:val="批注框文本 字符"/>
    <w:link w:val="26"/>
    <w:semiHidden/>
    <w:qFormat/>
    <w:uiPriority w:val="0"/>
    <w:rPr>
      <w:kern w:val="2"/>
      <w:sz w:val="18"/>
      <w:szCs w:val="18"/>
    </w:rPr>
  </w:style>
  <w:style w:type="character" w:customStyle="1" w:styleId="106">
    <w:name w:val="font01"/>
    <w:qFormat/>
    <w:uiPriority w:val="0"/>
    <w:rPr>
      <w:rFonts w:hint="eastAsia" w:ascii="宋体" w:hAnsi="宋体" w:eastAsia="宋体" w:cs="宋体"/>
      <w:color w:val="000000"/>
      <w:kern w:val="0"/>
      <w:sz w:val="22"/>
      <w:szCs w:val="22"/>
      <w:u w:val="none"/>
      <w:lang w:eastAsia="en-US"/>
    </w:rPr>
  </w:style>
  <w:style w:type="character" w:customStyle="1" w:styleId="107">
    <w:name w:val="标题 8 字符"/>
    <w:link w:val="10"/>
    <w:qFormat/>
    <w:uiPriority w:val="0"/>
    <w:rPr>
      <w:rFonts w:ascii="Arial" w:hAnsi="Arial" w:eastAsia="黑体"/>
      <w:kern w:val="2"/>
      <w:sz w:val="24"/>
    </w:rPr>
  </w:style>
  <w:style w:type="character" w:customStyle="1" w:styleId="108">
    <w:name w:val="标题 9 字符"/>
    <w:link w:val="11"/>
    <w:qFormat/>
    <w:uiPriority w:val="0"/>
    <w:rPr>
      <w:rFonts w:ascii="Arial" w:hAnsi="Arial" w:eastAsia="黑体"/>
      <w:kern w:val="2"/>
      <w:sz w:val="21"/>
    </w:rPr>
  </w:style>
  <w:style w:type="character" w:customStyle="1" w:styleId="109">
    <w:name w:val="tpc_content1"/>
    <w:qFormat/>
    <w:uiPriority w:val="0"/>
    <w:rPr>
      <w:sz w:val="20"/>
      <w:szCs w:val="20"/>
    </w:rPr>
  </w:style>
  <w:style w:type="character" w:customStyle="1" w:styleId="110">
    <w:name w:val="HTML 预设格式 字符"/>
    <w:link w:val="36"/>
    <w:qFormat/>
    <w:uiPriority w:val="99"/>
    <w:rPr>
      <w:rFonts w:ascii="宋体" w:hAnsi="宋体" w:cs="宋体"/>
      <w:sz w:val="24"/>
      <w:szCs w:val="24"/>
    </w:rPr>
  </w:style>
  <w:style w:type="character" w:customStyle="1" w:styleId="111">
    <w:name w:val="正文文本缩进 2 字符"/>
    <w:link w:val="25"/>
    <w:qFormat/>
    <w:uiPriority w:val="0"/>
    <w:rPr>
      <w:rFonts w:ascii="宋体" w:hAnsi="宋体"/>
      <w:kern w:val="2"/>
      <w:sz w:val="21"/>
      <w:szCs w:val="24"/>
    </w:rPr>
  </w:style>
  <w:style w:type="character" w:customStyle="1" w:styleId="112">
    <w:name w:val="批注文字 字符"/>
    <w:link w:val="16"/>
    <w:semiHidden/>
    <w:qFormat/>
    <w:uiPriority w:val="0"/>
    <w:rPr>
      <w:kern w:val="2"/>
      <w:sz w:val="21"/>
      <w:szCs w:val="24"/>
    </w:rPr>
  </w:style>
  <w:style w:type="character" w:customStyle="1" w:styleId="113">
    <w:name w:val="正文缩进2 Char1"/>
    <w:link w:val="50"/>
    <w:qFormat/>
    <w:uiPriority w:val="0"/>
    <w:rPr>
      <w:szCs w:val="24"/>
    </w:rPr>
  </w:style>
  <w:style w:type="character" w:customStyle="1" w:styleId="114">
    <w:name w:val="tpc_title1"/>
    <w:qFormat/>
    <w:uiPriority w:val="0"/>
    <w:rPr>
      <w:b/>
      <w:bCs/>
      <w:sz w:val="18"/>
      <w:szCs w:val="18"/>
    </w:rPr>
  </w:style>
  <w:style w:type="character" w:customStyle="1" w:styleId="115">
    <w:name w:val="标题 1 字符"/>
    <w:link w:val="2"/>
    <w:qFormat/>
    <w:uiPriority w:val="0"/>
    <w:rPr>
      <w:rFonts w:eastAsia="黑体"/>
      <w:kern w:val="44"/>
      <w:sz w:val="28"/>
      <w:szCs w:val="28"/>
    </w:rPr>
  </w:style>
  <w:style w:type="character" w:customStyle="1" w:styleId="116">
    <w:name w:val="标题 5 字符"/>
    <w:link w:val="6"/>
    <w:qFormat/>
    <w:uiPriority w:val="0"/>
    <w:rPr>
      <w:b/>
      <w:kern w:val="2"/>
      <w:sz w:val="28"/>
    </w:rPr>
  </w:style>
  <w:style w:type="character" w:customStyle="1" w:styleId="117">
    <w:name w:val="样式1 Char Char Char"/>
    <w:link w:val="65"/>
    <w:qFormat/>
    <w:uiPriority w:val="0"/>
    <w:rPr>
      <w:rFonts w:eastAsia="宋体"/>
      <w:kern w:val="2"/>
      <w:sz w:val="24"/>
      <w:lang w:val="en-US" w:eastAsia="zh-CN" w:bidi="ar-SA"/>
    </w:rPr>
  </w:style>
  <w:style w:type="character" w:customStyle="1" w:styleId="118">
    <w:name w:val="样式1 Char"/>
    <w:link w:val="74"/>
    <w:qFormat/>
    <w:uiPriority w:val="0"/>
    <w:rPr>
      <w:rFonts w:ascii="Arial" w:hAnsi="Arial" w:eastAsia="黑体" w:cs="Arial"/>
      <w:bCs/>
      <w:kern w:val="2"/>
      <w:sz w:val="30"/>
      <w:szCs w:val="21"/>
      <w:lang w:val="en-US" w:eastAsia="zh-CN" w:bidi="ar-SA"/>
    </w:rPr>
  </w:style>
  <w:style w:type="character" w:customStyle="1" w:styleId="119">
    <w:name w:val="标题 字符"/>
    <w:link w:val="38"/>
    <w:qFormat/>
    <w:uiPriority w:val="0"/>
    <w:rPr>
      <w:rFonts w:ascii="Arial" w:hAnsi="Arial" w:eastAsia="隶书" w:cs="Arial"/>
      <w:b/>
      <w:bCs/>
      <w:kern w:val="2"/>
      <w:sz w:val="32"/>
      <w:szCs w:val="32"/>
    </w:rPr>
  </w:style>
  <w:style w:type="character" w:customStyle="1" w:styleId="120">
    <w:name w:val="正文缩进 字符"/>
    <w:link w:val="7"/>
    <w:qFormat/>
    <w:uiPriority w:val="0"/>
    <w:rPr>
      <w:rFonts w:eastAsia="宋体"/>
      <w:kern w:val="2"/>
      <w:sz w:val="21"/>
      <w:szCs w:val="24"/>
      <w:lang w:val="en-US" w:eastAsia="zh-CN" w:bidi="ar-SA"/>
    </w:rPr>
  </w:style>
  <w:style w:type="character" w:customStyle="1" w:styleId="121">
    <w:name w:val="缩进正文 Char"/>
    <w:link w:val="55"/>
    <w:qFormat/>
    <w:uiPriority w:val="0"/>
    <w:rPr>
      <w:rFonts w:eastAsia="仿宋_GB2312" w:cs="宋体"/>
      <w:kern w:val="2"/>
      <w:sz w:val="28"/>
      <w:lang w:val="en-US" w:eastAsia="zh-CN" w:bidi="ar-SA"/>
    </w:rPr>
  </w:style>
  <w:style w:type="character" w:customStyle="1" w:styleId="122">
    <w:name w:val="标题 2 字符"/>
    <w:link w:val="4"/>
    <w:qFormat/>
    <w:uiPriority w:val="0"/>
    <w:rPr>
      <w:rFonts w:ascii="Arial" w:hAnsi="Arial" w:eastAsia="黑体"/>
      <w:b/>
      <w:bCs/>
      <w:kern w:val="2"/>
      <w:sz w:val="32"/>
      <w:szCs w:val="32"/>
    </w:rPr>
  </w:style>
  <w:style w:type="character" w:customStyle="1" w:styleId="123">
    <w:name w:val="正文文本缩进 字符"/>
    <w:link w:val="19"/>
    <w:qFormat/>
    <w:uiPriority w:val="0"/>
    <w:rPr>
      <w:kern w:val="2"/>
      <w:sz w:val="21"/>
      <w:szCs w:val="24"/>
    </w:rPr>
  </w:style>
  <w:style w:type="character" w:customStyle="1" w:styleId="124">
    <w:name w:val="标题 3 字符"/>
    <w:link w:val="3"/>
    <w:qFormat/>
    <w:uiPriority w:val="0"/>
    <w:rPr>
      <w:b/>
      <w:bCs/>
      <w:kern w:val="2"/>
      <w:sz w:val="32"/>
      <w:szCs w:val="32"/>
    </w:rPr>
  </w:style>
  <w:style w:type="character" w:customStyle="1" w:styleId="125">
    <w:name w:val="正文缩进2 Char Char"/>
    <w:link w:val="60"/>
    <w:qFormat/>
    <w:uiPriority w:val="0"/>
    <w:rPr>
      <w:szCs w:val="24"/>
    </w:rPr>
  </w:style>
  <w:style w:type="character" w:customStyle="1" w:styleId="126">
    <w:name w:val="style91"/>
    <w:qFormat/>
    <w:uiPriority w:val="0"/>
    <w:rPr>
      <w:sz w:val="21"/>
      <w:szCs w:val="21"/>
    </w:rPr>
  </w:style>
  <w:style w:type="character" w:customStyle="1" w:styleId="127">
    <w:name w:val="文档结构图 字符"/>
    <w:link w:val="15"/>
    <w:semiHidden/>
    <w:qFormat/>
    <w:uiPriority w:val="0"/>
    <w:rPr>
      <w:kern w:val="2"/>
      <w:sz w:val="21"/>
      <w:szCs w:val="24"/>
      <w:shd w:val="clear" w:color="auto" w:fill="000080"/>
    </w:rPr>
  </w:style>
  <w:style w:type="character" w:customStyle="1" w:styleId="128">
    <w:name w:val="批注主题 字符"/>
    <w:link w:val="39"/>
    <w:semiHidden/>
    <w:qFormat/>
    <w:uiPriority w:val="0"/>
    <w:rPr>
      <w:b/>
      <w:bCs/>
      <w:kern w:val="2"/>
      <w:sz w:val="21"/>
      <w:szCs w:val="24"/>
    </w:rPr>
  </w:style>
  <w:style w:type="character" w:customStyle="1" w:styleId="129">
    <w:name w:val="标题 6 字符"/>
    <w:link w:val="8"/>
    <w:qFormat/>
    <w:uiPriority w:val="0"/>
    <w:rPr>
      <w:rFonts w:ascii="Arial" w:hAnsi="Arial" w:eastAsia="黑体"/>
      <w:b/>
      <w:kern w:val="2"/>
      <w:sz w:val="24"/>
    </w:rPr>
  </w:style>
  <w:style w:type="character" w:customStyle="1" w:styleId="130">
    <w:name w:val="标题 7 字符"/>
    <w:link w:val="9"/>
    <w:qFormat/>
    <w:uiPriority w:val="0"/>
    <w:rPr>
      <w:b/>
      <w:kern w:val="2"/>
      <w:sz w:val="24"/>
    </w:rPr>
  </w:style>
  <w:style w:type="character" w:customStyle="1" w:styleId="131">
    <w:name w:val="正文文本缩进 3 字符"/>
    <w:link w:val="32"/>
    <w:qFormat/>
    <w:uiPriority w:val="0"/>
    <w:rPr>
      <w:rFonts w:ascii="宋体"/>
      <w:b/>
      <w:bCs/>
      <w:kern w:val="2"/>
      <w:sz w:val="24"/>
      <w:szCs w:val="24"/>
    </w:rPr>
  </w:style>
  <w:style w:type="character" w:customStyle="1" w:styleId="132">
    <w:name w:val="正文文本 3 字符"/>
    <w:link w:val="17"/>
    <w:qFormat/>
    <w:uiPriority w:val="0"/>
    <w:rPr>
      <w:kern w:val="2"/>
      <w:sz w:val="16"/>
      <w:szCs w:val="16"/>
    </w:rPr>
  </w:style>
  <w:style w:type="character" w:customStyle="1" w:styleId="133">
    <w:name w:val="font51"/>
    <w:qFormat/>
    <w:uiPriority w:val="0"/>
    <w:rPr>
      <w:rFonts w:hint="eastAsia" w:ascii="宋体" w:hAnsi="宋体" w:eastAsia="宋体" w:cs="宋体"/>
      <w:color w:val="000000"/>
      <w:kern w:val="0"/>
      <w:sz w:val="22"/>
      <w:szCs w:val="22"/>
      <w:u w:val="none"/>
      <w:vertAlign w:val="superscript"/>
      <w:lang w:eastAsia="en-US"/>
    </w:rPr>
  </w:style>
  <w:style w:type="table" w:customStyle="1" w:styleId="134">
    <w:name w:val="网格型1"/>
    <w:basedOn w:val="4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5">
    <w:name w:val="列表段落 字符"/>
    <w:link w:val="56"/>
    <w:qFormat/>
    <w:locked/>
    <w:uiPriority w:val="34"/>
    <w:rPr>
      <w:kern w:val="2"/>
      <w:sz w:val="21"/>
      <w:szCs w:val="24"/>
    </w:rPr>
  </w:style>
  <w:style w:type="table" w:customStyle="1" w:styleId="136">
    <w:name w:val="网格型2"/>
    <w:basedOn w:val="4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7">
    <w:name w:val="15"/>
    <w:qFormat/>
    <w:uiPriority w:val="0"/>
    <w:rPr>
      <w:rFonts w:hint="eastAsia" w:ascii="宋体" w:hAnsi="宋体" w:eastAsia="宋体"/>
      <w:color w:val="000000"/>
      <w:sz w:val="21"/>
      <w:szCs w:val="21"/>
    </w:rPr>
  </w:style>
  <w:style w:type="character" w:customStyle="1" w:styleId="138">
    <w:name w:val="18"/>
    <w:qFormat/>
    <w:uiPriority w:val="0"/>
    <w:rPr>
      <w:rFonts w:hint="default" w:ascii="Calibri" w:hAnsi="Calibri"/>
      <w:color w:val="000000"/>
      <w:sz w:val="21"/>
      <w:szCs w:val="21"/>
    </w:rPr>
  </w:style>
  <w:style w:type="paragraph" w:customStyle="1" w:styleId="139">
    <w:name w:val="列出段落2"/>
    <w:basedOn w:val="1"/>
    <w:qFormat/>
    <w:uiPriority w:val="99"/>
    <w:pPr>
      <w:ind w:firstLine="420" w:firstLineChars="200"/>
    </w:pPr>
  </w:style>
  <w:style w:type="paragraph" w:customStyle="1" w:styleId="140">
    <w:name w:val="179"/>
    <w:basedOn w:val="1"/>
    <w:qFormat/>
    <w:uiPriority w:val="0"/>
    <w:pPr>
      <w:ind w:firstLine="420" w:firstLineChars="200"/>
      <w:textAlignment w:val="baseline"/>
    </w:pPr>
    <w:rPr>
      <w:szCs w:val="20"/>
    </w:rPr>
  </w:style>
  <w:style w:type="character" w:customStyle="1" w:styleId="141">
    <w:name w:val="NormalCharacter"/>
    <w:qFormat/>
    <w:uiPriority w:val="0"/>
    <w:rPr>
      <w:kern w:val="2"/>
      <w:sz w:val="21"/>
      <w:szCs w:val="22"/>
      <w:lang w:val="en-US" w:eastAsia="zh-CN" w:bidi="ar-SA"/>
    </w:rPr>
  </w:style>
  <w:style w:type="paragraph" w:customStyle="1" w:styleId="142">
    <w:name w:val="Table Paragraph"/>
    <w:basedOn w:val="1"/>
    <w:qFormat/>
    <w:uiPriority w:val="0"/>
    <w:pPr>
      <w:autoSpaceDE w:val="0"/>
      <w:autoSpaceDN w:val="0"/>
      <w:jc w:val="left"/>
    </w:pPr>
    <w:rPr>
      <w:rFonts w:hint="eastAsia" w:ascii="宋体" w:hAnsi="宋体"/>
      <w:sz w:val="22"/>
      <w:szCs w:val="22"/>
    </w:rPr>
  </w:style>
  <w:style w:type="paragraph" w:customStyle="1" w:styleId="143">
    <w:name w:val="*正文"/>
    <w:basedOn w:val="1"/>
    <w:qFormat/>
    <w:uiPriority w:val="0"/>
    <w:pPr>
      <w:spacing w:beforeLines="10" w:afterLines="10"/>
    </w:pPr>
    <w:rPr>
      <w:rFonts w:hint="eastAsia" w:ascii="宋体" w:hAnsi="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jpe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MC SYSTEM</Company>
  <Pages>28</Pages>
  <Words>2736</Words>
  <Characters>3484</Characters>
  <Lines>68</Lines>
  <Paragraphs>19</Paragraphs>
  <TotalTime>0</TotalTime>
  <ScaleCrop>false</ScaleCrop>
  <LinksUpToDate>false</LinksUpToDate>
  <CharactersWithSpaces>3611</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2025-02-10T05:30:00Z</dcterms:created>
  <dc:creator>微软用户</dc:creator>
  <cp:lastModifiedBy>宋V</cp:lastModifiedBy>
  <cp:lastPrinted>2022-09-27T07:52:00Z</cp:lastPrinted>
  <dcterms:modified xsi:type="dcterms:W3CDTF">2025-04-16T08:47:35Z</dcterms:modified>
  <dc:title>招标编号：UHO2010-G0029</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E61A58CE6AE04F8A8E808509F46B2BAB_13</vt:lpwstr>
  </property>
  <property fmtid="{D5CDD505-2E9C-101B-9397-08002B2CF9AE}" pid="4" name="KSOTemplateDocerSaveRecord">
    <vt:lpwstr>eyJoZGlkIjoiZmEzYTNiOTFiZjA2NTcxMzk4MGVkMzdlNGQwOTAwZmEiLCJ1c2VySWQiOiI0NTA5ODQyODEifQ==</vt:lpwstr>
  </property>
</Properties>
</file>