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  <w:bookmarkStart w:id="0" w:name="_Toc3487"/>
      <w:bookmarkStart w:id="1" w:name="_Toc14652"/>
      <w:bookmarkStart w:id="2" w:name="_Toc31030"/>
      <w:bookmarkStart w:id="3" w:name="_Toc29517"/>
      <w:r>
        <w:rPr>
          <w:rFonts w:hint="eastAsia" w:ascii="宋体" w:hAnsi="宋体" w:cs="宋体"/>
          <w:b/>
          <w:bCs/>
          <w:kern w:val="0"/>
          <w:sz w:val="36"/>
          <w:szCs w:val="36"/>
        </w:rPr>
        <w:t>网络汇聚间设备运行环境整改项目调研需求确认书</w:t>
      </w:r>
    </w:p>
    <w:p>
      <w:pPr>
        <w:rPr>
          <w:rFonts w:hint="eastAsia" w:ascii="宋体" w:hAnsi="宋体" w:cs="宋体"/>
          <w:b/>
          <w:bCs/>
          <w:kern w:val="0"/>
          <w:szCs w:val="21"/>
        </w:rPr>
      </w:pPr>
    </w:p>
    <w:p>
      <w:pPr>
        <w:rPr>
          <w:b/>
          <w:bCs/>
        </w:rPr>
      </w:pPr>
      <w:r>
        <w:rPr>
          <w:rFonts w:hint="eastAsia" w:ascii="宋体" w:hAnsi="宋体" w:cs="宋体"/>
          <w:b/>
          <w:bCs/>
          <w:kern w:val="0"/>
          <w:szCs w:val="21"/>
        </w:rPr>
        <w:t>（一）项目基本信息表</w:t>
      </w:r>
    </w:p>
    <w:tbl>
      <w:tblPr>
        <w:tblStyle w:val="43"/>
        <w:tblW w:w="539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54"/>
        <w:gridCol w:w="6119"/>
        <w:gridCol w:w="712"/>
        <w:gridCol w:w="5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5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项目概述</w:t>
            </w: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数量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2" w:hRule="atLeast"/>
          <w:jc w:val="center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网络汇聚间设备运行环境整改项目</w:t>
            </w:r>
          </w:p>
        </w:tc>
        <w:tc>
          <w:tcPr>
            <w:tcW w:w="3326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背景：</w:t>
            </w:r>
          </w:p>
          <w:p>
            <w:pPr>
              <w:widowControl/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汇聚间是医院网络的区域级枢纽，负责各栋楼宇的网络汇聚，上联至核心机房，我院有2间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汇聚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间：行政楼汇聚间和医技楼汇聚间。目前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汇聚间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物理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设施方面存在显著缺陷，难以满足现代医疗信息化发展需求及安全规范标准，亟需进行系统性改造。​</w:t>
            </w:r>
          </w:p>
          <w:p>
            <w:pPr>
              <w:widowControl/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在制冷系统方面，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汇聚间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现采用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用空调，无法满足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机柜内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网络设备等高精密电子设备对温度、湿度及洁净度的严格要求。缺乏专业的恒温恒湿控制能力，难以精准调节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汇聚间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环境，易导致设备因过热出现性能下降、宕机甚至硬件损坏等问题。</w:t>
            </w:r>
          </w:p>
          <w:p>
            <w:pPr>
              <w:widowControl/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汇聚间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装修硬件方面，缺失静电地板、彩钢板及天花吊顶等关键设施。现有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汇聚间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因缺少这些设施，难以抵御外界环境因素对设备的影响，无法满足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汇聚间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对洁净度、密封性和安全性的要求。​</w:t>
            </w:r>
          </w:p>
          <w:p>
            <w:pPr>
              <w:widowControl/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立项理由：</w:t>
            </w:r>
          </w:p>
          <w:p>
            <w:pPr>
              <w:widowControl/>
              <w:ind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（1）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消除安全隐患，保障业务连续性​</w:t>
            </w:r>
          </w:p>
          <w:p>
            <w:pPr>
              <w:widowControl/>
              <w:ind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汇聚间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硬件设施的缺失和制冷系统的不合理配置，使得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汇聚间交换机等设备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面临过热损坏、静电干扰、灰尘侵入等多重安全风险。一旦发生故障，将导致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门诊、医技楼部分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业务流程无法正常开展，严重影响患者就医体验。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需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更换专业制冷设备，完善装修硬件，能够有效降低设备故障率，保障医院核心业务系统 7×24 小时稳定运行，确保医疗服务的连续性和安全性。</w:t>
            </w:r>
          </w:p>
          <w:p>
            <w:pPr>
              <w:widowControl/>
              <w:ind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）提升运维管理效率​</w:t>
            </w:r>
          </w:p>
          <w:p>
            <w:pPr>
              <w:widowControl/>
              <w:ind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规范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装修硬件（如静电地板、合理的布线设计）有助于实现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汇聚间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线缆的有序管理，方便运维人员快速定位和排查故障，缩短故障处理时间。专业的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汇聚间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环境设施能够减少因环境因素导致的设备维护工作，降低运维成本。同时，改造后的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汇聚间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更便于未来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交换机等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设备的升级和扩容，满足医院不断发展的信息化需求。​</w:t>
            </w:r>
          </w:p>
          <w:p>
            <w:pPr>
              <w:widowControl/>
              <w:ind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建设内容：</w:t>
            </w:r>
          </w:p>
          <w:p>
            <w:pPr>
              <w:widowControl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对现有行政楼、医技楼汇聚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设施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环境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静电地板、彩钢板和吊顶天花进行改造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新增精密空调各两台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消防系统各一套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对现有机柜线缆进行整理，详见需求。</w:t>
            </w:r>
          </w:p>
        </w:tc>
        <w:tc>
          <w:tcPr>
            <w:tcW w:w="38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30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项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宋体" w:hAnsi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cs="宋体"/>
          <w:bCs/>
          <w:sz w:val="21"/>
          <w:szCs w:val="21"/>
        </w:rPr>
      </w:pPr>
    </w:p>
    <w:bookmarkEnd w:id="0"/>
    <w:bookmarkEnd w:id="1"/>
    <w:bookmarkEnd w:id="2"/>
    <w:bookmarkEnd w:id="3"/>
    <w:p>
      <w:pP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1"/>
          <w:szCs w:val="21"/>
        </w:rPr>
        <w:t>（二）具体</w:t>
      </w:r>
      <w:r>
        <w:rPr>
          <w:rFonts w:hint="eastAsia" w:ascii="宋体" w:hAnsi="宋体" w:cs="宋体"/>
          <w:b/>
          <w:bCs/>
          <w:kern w:val="0"/>
          <w:sz w:val="21"/>
          <w:szCs w:val="21"/>
          <w:lang w:val="en-US" w:eastAsia="zh-CN"/>
        </w:rPr>
        <w:t>需求</w:t>
      </w:r>
    </w:p>
    <w:tbl>
      <w:tblPr>
        <w:tblStyle w:val="43"/>
        <w:tblW w:w="9178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887"/>
        <w:gridCol w:w="66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需求名称</w:t>
            </w:r>
          </w:p>
        </w:tc>
        <w:tc>
          <w:tcPr>
            <w:tcW w:w="8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66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需求描述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1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我院汇聚间基本情况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6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1.医技楼汇聚间</w:t>
            </w:r>
          </w:p>
        </w:tc>
        <w:tc>
          <w:tcPr>
            <w:tcW w:w="8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66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8200mm*3750mm*4200mm（长*宽*高）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6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66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现场设备配备情况：一台UPS、两台家用空调制冷、7个机柜（3个网络传输机柜、1个ODF机柜、2个业务机柜）、无静电地板、彩钢板、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汇聚间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天花吊顶有4米以上，现场消防控制系统（安装高度在4米以上）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6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2.行政楼汇聚间</w:t>
            </w:r>
          </w:p>
        </w:tc>
        <w:tc>
          <w:tcPr>
            <w:tcW w:w="8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2.1</w:t>
            </w:r>
          </w:p>
        </w:tc>
        <w:tc>
          <w:tcPr>
            <w:tcW w:w="66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4000mm*3000mm*4500mm（长*宽*高）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6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2.2</w:t>
            </w:r>
          </w:p>
        </w:tc>
        <w:tc>
          <w:tcPr>
            <w:tcW w:w="66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一台UPS、1台家用空调制冷、2个机柜（网络传输机柜）、无静电地板、彩钢板、天花吊顶和消防系统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78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>功能需求：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1.汇聚间设施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环境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改造需求</w:t>
            </w:r>
          </w:p>
        </w:tc>
        <w:tc>
          <w:tcPr>
            <w:tcW w:w="8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1.1</w:t>
            </w:r>
          </w:p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汇聚间设施环境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改造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选用防火性能符合标准的抗静电活动钢质地板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安装至300mm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高度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。当地板产生静电时能够快速释放，有效保护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机柜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内的电子设备，同时满足电缆布线需求和下送风空调系统的静压箱要求。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6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重装彩钢板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检查现有彩钢板状况，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对于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不达标情况，更换为防火性能优良的轻钢龙骨+石膏彩钢板。确保板材安装牢固，拼接紧密无缝隙，对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汇聚间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外墙有外窗部分采用砖墙封堵，使用与内墙面一致的材料进行装饰，保证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汇聚间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整体外观一致性和美观性，同时满足防尘、隔音等需求。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6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体" w:eastAsia="仿宋体"/>
                <w:sz w:val="21"/>
                <w:szCs w:val="21"/>
              </w:rPr>
            </w:pP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天花吊顶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将天花吊顶高度降低至3米左右，采用微孔铝板吊顶，搭配轻钢龙骨结构，主吊筋间距不大于900×900mm，主龙骨间距为900mm，次龙骨间距不大于400×1200mm，确保吊顶结构稳固，有利于空调制冷气流循环，提高制冷效率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同时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便于照明灯具、消防喷头等设备的安装与维护。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6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体" w:eastAsia="仿宋体"/>
                <w:sz w:val="21"/>
                <w:szCs w:val="21"/>
              </w:rPr>
            </w:pP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重新布置消防和动环系统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结合天花吊顶高度调整，重新布置消防喷头位置，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火灾发生时能有效覆盖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汇聚间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各个区域，检查维护现有消防控制系统正常运行。调整动环系统传感器等设备位置进行相应，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以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准确监测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汇聚间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温度、湿度、烟雾等环境参数，并对系统进行全面检查测试，保证数据传输准确性、稳定性和报警功能可靠性。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1.2</w:t>
            </w:r>
          </w:p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机柜线缆整改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规划机柜布局，安装理线器和配线架，实施强弱电分离布线，规范线缆铺设和标识，建立冗余链路和双电源配置，构建整洁有序、易于管理且具备高可靠性的布线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体系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，提高网络稳定性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，并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为未来扩容预留空间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1.3</w:t>
            </w:r>
          </w:p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制冷设备升级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家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用空调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升级为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专用精密空调，实现N+1备份配置和双PID控制，提供365天24小时稳定运行能力，温度控制精度达±0.3℃，显热比提升至0.9以上，通过大风量快速带走设备显热，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保障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制冷系统高可靠性和精准控制。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1.4</w:t>
            </w:r>
          </w:p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气流管理优化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实施冷热通道隔离和下送风上回风方式，配合行间空调部署，通过密封挡板和专用风道优化气流组织，实现设备入口温度降低3-5℃，制冷效率提升20%以上，空调能耗降低15%-30%。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1.5</w:t>
            </w:r>
          </w:p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环境监控与预警系统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部署高精度传感器和动环监控系统，实现7×24小时实时监测，建立多级报警机制和远程管理功能，结合AI算法优化空调运行策略，提前发现潜在问题，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保障汇聚间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环境稳定可控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并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提升运维效率。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78" w:type="dxa"/>
            <w:gridSpan w:val="3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技术需求：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4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2.汇聚间精密空调需求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2.1</w:t>
            </w:r>
          </w:p>
        </w:tc>
        <w:tc>
          <w:tcPr>
            <w:tcW w:w="663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空调的制冷量：12.5kw及5.5kw各两套；空调运行的平均无故障时间MTBF≥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万小时；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654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2.2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空调的加热性能：具备电子再热器，加热量不小于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kW；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654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2.3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空调的加湿性能：应采用远红外加湿器，加湿器可以重复利用及长期使用；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654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2.4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空调的空气洁净度：应安装具有高过滤能力的空气过滤器，空气过滤器应可清洗，便于更换；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2.5</w:t>
            </w:r>
          </w:p>
        </w:tc>
        <w:tc>
          <w:tcPr>
            <w:tcW w:w="663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空调应具备高能效比，在室内回风条件24℃，50%湿度条件下全年能效比&gt;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.0；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2.6</w:t>
            </w:r>
          </w:p>
        </w:tc>
        <w:tc>
          <w:tcPr>
            <w:tcW w:w="6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空调系统应具有高可靠性，应选用高可靠性的品牌涡旋压缩机、高可靠性机械热力膨胀阀、全金属室内风机等高可靠性部件，满足全年365天，每天24小时不间断运行；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2.7</w:t>
            </w:r>
          </w:p>
        </w:tc>
        <w:tc>
          <w:tcPr>
            <w:tcW w:w="6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具有LCD大屏幕显示器，能显示温湿度曲线，具有图形显示机组内各组件的运行状态的功能；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2.8</w:t>
            </w:r>
          </w:p>
        </w:tc>
        <w:tc>
          <w:tcPr>
            <w:tcW w:w="6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空调监控软件，需能实现远程开关机、状态查看、参数设置、告警查看及设置等功能，可实现告警邮件通知等功能；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4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2.9</w:t>
            </w:r>
          </w:p>
        </w:tc>
        <w:tc>
          <w:tcPr>
            <w:tcW w:w="6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具备来电自启动功能、延时启动功能、延时启动的时间可设、双机互备份功能。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654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消防需求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3.1</w:t>
            </w:r>
          </w:p>
        </w:tc>
        <w:tc>
          <w:tcPr>
            <w:tcW w:w="6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安装七氟丙烷、IG541 等洁净气体灭火系统。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65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887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6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具备自动、手动、机械应急操作三种启动方式。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654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符合《数据中心设计规范》（GB 50174）、《建筑设计防火规范》（GB 50016）标准要求。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178" w:type="dxa"/>
            <w:gridSpan w:val="3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商务需求：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54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4. 交付期限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4.1</w:t>
            </w:r>
          </w:p>
        </w:tc>
        <w:tc>
          <w:tcPr>
            <w:tcW w:w="6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★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签订合同后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天（日历日）内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完成交付。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6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4.2</w:t>
            </w:r>
          </w:p>
        </w:tc>
        <w:tc>
          <w:tcPr>
            <w:tcW w:w="663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交付地点：中山七院汇聚间。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6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5.售后服务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5.1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★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本项目需提供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 年质保服务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其中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新购设备硬件要求原厂商 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 年质保服务，时间自最终验收合格并交付使用之日起计算。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6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5.2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采购人在使用过程中如发现不能自行解决的问题，可直接用电话、传真等方式联系，中标人接到报修30分钟内响应，4小时上门并解决故障，8小时</w:t>
            </w:r>
            <w:r>
              <w:rPr>
                <w:rFonts w:hint="eastAsia" w:ascii="宋体" w:hAnsi="宋体" w:cs="宋体"/>
                <w:sz w:val="21"/>
                <w:szCs w:val="21"/>
              </w:rPr>
              <w:t>内解决不了的故障，提供同档次或以上的备用机器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以上售后服务采购人不另行支付费用。给采购人造成损失的，中标人作违约处理。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6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5.3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精密空调、灭火系统</w:t>
            </w:r>
            <w:r>
              <w:rPr>
                <w:rFonts w:hint="eastAsia" w:ascii="宋体" w:hAnsi="宋体" w:cs="宋体"/>
                <w:sz w:val="21"/>
                <w:szCs w:val="21"/>
              </w:rPr>
              <w:t>要求原厂工程师实施，投标方在</w:t>
            </w:r>
            <w:r>
              <w:rPr>
                <w:rFonts w:hint="eastAsia" w:ascii="宋体" w:hAnsi="宋体"/>
                <w:sz w:val="21"/>
                <w:szCs w:val="21"/>
              </w:rPr>
              <w:t>投标阶段</w:t>
            </w:r>
            <w:r>
              <w:rPr>
                <w:rFonts w:hint="eastAsia" w:ascii="宋体" w:hAnsi="宋体" w:cs="宋体"/>
                <w:sz w:val="21"/>
                <w:szCs w:val="21"/>
              </w:rPr>
              <w:t>须提供原厂盖章的售后服务承诺函。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6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6.验收要求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6.1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textAlignment w:val="top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中标供应商应当派有经验的技术人员到现场进行安装、调试，直到设备正常使用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  <w:lang w:bidi="ar"/>
              </w:rPr>
              <w:t>验收流程：</w:t>
            </w:r>
          </w:p>
          <w:p>
            <w:pPr>
              <w:widowControl/>
              <w:spacing w:line="360" w:lineRule="auto"/>
              <w:jc w:val="left"/>
              <w:textAlignment w:val="top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  <w:lang w:bidi="ar"/>
              </w:rPr>
              <w:t>1.中标人</w:t>
            </w:r>
            <w:r>
              <w:rPr>
                <w:rFonts w:hint="eastAsia" w:ascii="宋体" w:hAnsi="宋体"/>
                <w:sz w:val="21"/>
                <w:szCs w:val="21"/>
                <w:lang w:val="en-US" w:eastAsia="zh-CN" w:bidi="ar"/>
              </w:rPr>
              <w:t>完成设备安装调试</w:t>
            </w:r>
            <w:r>
              <w:rPr>
                <w:rFonts w:ascii="宋体" w:hAnsi="宋体"/>
                <w:sz w:val="21"/>
                <w:szCs w:val="21"/>
                <w:lang w:bidi="ar"/>
              </w:rPr>
              <w:t>后，需提前</w:t>
            </w:r>
            <w:r>
              <w:rPr>
                <w:rFonts w:hint="eastAsia" w:ascii="宋体" w:hAnsi="宋体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ascii="宋体" w:hAnsi="宋体"/>
                <w:sz w:val="21"/>
                <w:szCs w:val="21"/>
                <w:lang w:bidi="ar"/>
              </w:rPr>
              <w:t>日通知采购人进行验收。</w:t>
            </w:r>
          </w:p>
          <w:p>
            <w:pPr>
              <w:widowControl/>
              <w:spacing w:line="360" w:lineRule="auto"/>
              <w:jc w:val="left"/>
              <w:textAlignment w:val="top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  <w:lang w:bidi="ar"/>
              </w:rPr>
              <w:t>2.采购人接到通知后，将组织相关人员依据项目内容和进度共同实施验收工作。</w:t>
            </w:r>
          </w:p>
          <w:p>
            <w:pPr>
              <w:widowControl/>
              <w:spacing w:line="360" w:lineRule="auto"/>
              <w:jc w:val="left"/>
              <w:textAlignment w:val="top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1"/>
                <w:szCs w:val="21"/>
                <w:shd w:val="clear" w:color="auto" w:fill="FFFFFF"/>
                <w:lang w:bidi="ar"/>
              </w:rPr>
              <w:t>3.验收过程中，中标人需提供必要的测试工具、文档和技术支持。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6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6.2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textAlignment w:val="top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★</w:t>
            </w:r>
            <w:r>
              <w:rPr>
                <w:rFonts w:hint="eastAsia" w:ascii="宋体" w:hAnsi="宋体"/>
                <w:sz w:val="21"/>
                <w:szCs w:val="21"/>
                <w:lang w:bidi="ar"/>
              </w:rPr>
              <w:t>验收标准：所有设备需正常运行，功能符合招标参数及投标响应</w:t>
            </w:r>
            <w:r>
              <w:rPr>
                <w:rFonts w:hint="eastAsia" w:ascii="宋体" w:hAnsi="宋体"/>
                <w:sz w:val="21"/>
                <w:szCs w:val="21"/>
                <w:lang w:val="en-US" w:eastAsia="zh-CN" w:bidi="ar"/>
              </w:rPr>
              <w:t>的要求。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.付款方式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.1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>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合同签订后，采购人收到中标人开具符合国家财务规定的相应数额的发票，将合同总额的30%支付给中标人；项目验收（双方签署验收报告）后，采购人收到中标人开具符合国家财务规定的相应数额的发票，将合同总额的70%支付给中标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.违约责任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>★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.1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8"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中标人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所提供的货物品种、型号、规格不符合合同规定的，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采购人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有权拒收，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中标人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应向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采购人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支付合同总价的【30】%的违约金。在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采购人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拒收后，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中标人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不更换符合合同规定的货物的，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采购人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有权解除合同，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中标人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应于收到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采购人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发出的解除通知后【5】天内无条件退回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采购人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已支付的全部款项，向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采购人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支付货款总额30%的违约金，并对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采购人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遭受的损失进行赔偿。造成严重后果的，根据《深圳经济特区政府采购条例》第五十七条第（二）款规定，由主管部门对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中标人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进行处罚。</w:t>
            </w:r>
          </w:p>
          <w:p>
            <w:pPr>
              <w:pStyle w:val="18"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、 </w:t>
            </w:r>
            <w:r>
              <w:rPr>
                <w:rFonts w:hint="eastAsia" w:ascii="宋体" w:hAnsi="宋体" w:eastAsia="宋体" w:cs="宋体"/>
                <w:bCs w:val="0"/>
                <w:color w:val="000000"/>
                <w:kern w:val="0"/>
                <w:sz w:val="21"/>
                <w:szCs w:val="21"/>
                <w:lang w:bidi="ar"/>
              </w:rPr>
              <w:t>如果</w:t>
            </w:r>
            <w:r>
              <w:rPr>
                <w:rFonts w:hint="eastAsia" w:ascii="宋体" w:hAnsi="宋体" w:eastAsia="宋体" w:cs="宋体"/>
                <w:bCs w:val="0"/>
                <w:color w:val="000000"/>
                <w:kern w:val="0"/>
                <w:sz w:val="21"/>
                <w:szCs w:val="21"/>
                <w:lang w:eastAsia="zh-CN" w:bidi="ar"/>
              </w:rPr>
              <w:t>中标人</w:t>
            </w:r>
            <w:r>
              <w:rPr>
                <w:rFonts w:hint="eastAsia" w:ascii="宋体" w:hAnsi="宋体" w:eastAsia="宋体" w:cs="宋体"/>
                <w:bCs w:val="0"/>
                <w:color w:val="000000"/>
                <w:kern w:val="0"/>
                <w:sz w:val="21"/>
                <w:szCs w:val="21"/>
                <w:lang w:bidi="ar"/>
              </w:rPr>
              <w:t>不能在合同约定的期限内完成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货物的交货、安装调试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的，或者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验收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不通过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的，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中标人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均应支付逾期违约金，每逾期1天，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中标人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采购人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偿付合同总额的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。如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中标人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逾期达30天，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采购人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有权解除合同，并且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中标人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应于收到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采购人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发出的解除通知之日起【5】天内无条件退回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采购人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已支付的全部款项，并对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采购人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遭受的损失进行赔偿。此条款可以与第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九条第2项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同时执行。</w:t>
            </w:r>
          </w:p>
          <w:p>
            <w:pPr>
              <w:pStyle w:val="18"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、在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中标人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承诺的或国家规定的质量保证期内（取两者中最长的期限），如经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中标人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三次维修或更换，货物仍不能达到合同约定的质量标准，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采购人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有权解除合同并退货，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中标人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应在5天内将货物搬离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采购人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场所、退回被退货物的全部货款并赔偿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采购人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因此遭受的损失。</w:t>
            </w:r>
          </w:p>
          <w:p>
            <w:pPr>
              <w:pStyle w:val="18"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4、中标人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未按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采购人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通知的期限，修理、换货、退货的，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采购人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有权向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中标人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按对应货物的购买价值同等金额为标准收取违约金。若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中标人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违约赔偿款不足以弥补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采购人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损失的，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采购人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有权要求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中标人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补足损失。</w:t>
            </w:r>
          </w:p>
          <w:p>
            <w:pPr>
              <w:spacing w:line="360" w:lineRule="auto"/>
              <w:ind w:firstLine="56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中标人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未履行本合同项下的其他义务或违反其在投标文件中的相关承诺的，应按合同总价款的10%向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采购人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承担违约责任，并对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采购人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遭受的损失进行赔偿。</w:t>
            </w:r>
          </w:p>
          <w:p>
            <w:pPr>
              <w:spacing w:line="360" w:lineRule="auto"/>
              <w:ind w:firstLine="56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中标人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在承担上述一项或多项违约责任后，仍应继续履行合同规定的义务（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采购人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解除合同的除外）。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采购人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未能及时追究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中标人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的任何一项违约责任并不表明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采购人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放弃追究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中标人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该项或其他违约责任。</w:t>
            </w:r>
          </w:p>
          <w:p>
            <w:pPr>
              <w:spacing w:line="360" w:lineRule="auto"/>
              <w:ind w:firstLine="56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、未经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采购人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书面同意，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中标人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不得将本合同项下全部或部分权利、义务转让给任何第三方，否则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采购人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有权单方解除本合同，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中标人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应于收到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采购人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发出的解除/终止合同通知后【5】天内返还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采购人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已支付的全部款项，按合同总价的【30】%向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采购人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支付违约金，并对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采购人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遭受的损失进行赔偿。</w:t>
            </w:r>
          </w:p>
          <w:p>
            <w:pPr>
              <w:spacing w:line="360" w:lineRule="auto"/>
              <w:ind w:firstLine="56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中标人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承诺不从事商业贿赂行为或其他违法违规行为，否则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采购人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有权单方解除本合同，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中标人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应在收到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采购人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发出的解除/终止合同通知后【5】天内无条件退回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采购人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已支付的全部款项，按合同总价的【30】%向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采购人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支付违约金，并对由此产生的一切责任、损失负责。</w:t>
            </w:r>
          </w:p>
          <w:p>
            <w:pPr>
              <w:spacing w:line="360" w:lineRule="auto"/>
              <w:ind w:firstLine="56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中标人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如出现歇业、停业、被吊销营业执照或被人民法院裁定宣告进入破产还债程序等情形，应提前【1】个月以书面形式通知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采购人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采购人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有权单方解除合同，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中标人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应在收到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采购人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发出的解除/终止合同通知后【5】天内无条件退回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采购人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已支付的全部款项，按合同总价的【30】%向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采购人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支付违约金，并对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采购人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遭受的损失进行赔偿。</w:t>
            </w:r>
          </w:p>
          <w:p>
            <w:pPr>
              <w:spacing w:line="360" w:lineRule="auto"/>
              <w:ind w:firstLine="56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、除合同已有约定外，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中标人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有其他不履行或不适当履行合同义务的情形，经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采购人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【2】次催促仍未有效改正的，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采购人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有权单方解除/终止合同，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中标人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应在收到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采购人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发出的解除/终止合同通知后【5】天内无条件退回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采购人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已支付的全部款项，按合同总价的【10】%向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采购人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支付违约金，并对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采购人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遭受的损失进行赔偿。</w:t>
            </w:r>
          </w:p>
          <w:p>
            <w:pPr>
              <w:spacing w:line="360" w:lineRule="auto"/>
              <w:ind w:firstLine="56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11、因采购人维权向中标人追偿产生的律师费、诉讼费、保全费、交通费、差旅费、鉴定费等等均由中标人承担。</w:t>
            </w:r>
          </w:p>
          <w:p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</w:tr>
    </w:tbl>
    <w:p>
      <w:pPr>
        <w:pStyle w:val="213"/>
        <w:ind w:firstLine="0" w:firstLineChars="0"/>
      </w:pPr>
    </w:p>
    <w:p>
      <w:pPr>
        <w:pStyle w:val="213"/>
        <w:ind w:firstLine="0" w:firstLineChars="0"/>
        <w:rPr>
          <w:b/>
          <w:bCs/>
        </w:rPr>
      </w:pPr>
      <w:bookmarkStart w:id="4" w:name="_GoBack"/>
      <w:bookmarkEnd w:id="4"/>
    </w:p>
    <w:sectPr>
      <w:headerReference r:id="rId3" w:type="first"/>
      <w:footerReference r:id="rId4" w:type="default"/>
      <w:footerReference r:id="rId5" w:type="even"/>
      <w:pgSz w:w="11907" w:h="16840"/>
      <w:pgMar w:top="1440" w:right="1797" w:bottom="1440" w:left="1797" w:header="851" w:footer="992" w:gutter="0"/>
      <w:cols w:space="720" w:num="1"/>
      <w:titlePg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H Yb 2gj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方正全福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(W1)">
    <w:altName w:val="Arial"/>
    <w:panose1 w:val="00000000000000000000"/>
    <w:charset w:val="00"/>
    <w:family w:val="swiss"/>
    <w:pitch w:val="default"/>
    <w:sig w:usb0="00000000" w:usb1="00000000" w:usb2="00000008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文鼎粗黑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汉仪细等线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体">
    <w:altName w:val="宋体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"/>
                            <w:rPr>
                              <w:rStyle w:val="47"/>
                            </w:rPr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HPF6w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MHmWha3e&#10;WR6hozzero4BciaVoyidEuhOPGD2Up/6PYnD/ec5RT3+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xzxes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8"/>
                      <w:rPr>
                        <w:rStyle w:val="47"/>
                      </w:rPr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  <w:framePr w:wrap="around" w:vAnchor="text" w:hAnchor="margin" w:xAlign="center" w:y="1"/>
      <w:rPr>
        <w:rStyle w:val="47"/>
      </w:rPr>
    </w:pPr>
    <w:r>
      <w:fldChar w:fldCharType="begin"/>
    </w:r>
    <w:r>
      <w:rPr>
        <w:rStyle w:val="47"/>
      </w:rPr>
      <w:instrText xml:space="preserve">PAGE  </w:instrText>
    </w:r>
    <w:r>
      <w:fldChar w:fldCharType="end"/>
    </w:r>
  </w:p>
  <w:p>
    <w:pPr>
      <w:pStyle w:val="2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9"/>
      <w:pBdr>
        <w:bottom w:val="none" w:color="auto" w:sz="0" w:space="0"/>
      </w:pBdr>
      <w:jc w:val="both"/>
      <w:rPr>
        <w:rFonts w:ascii="宋体" w:hAnsi="宋体" w:cs="宋体"/>
        <w:bCs/>
        <w:sz w:val="13"/>
        <w:szCs w:val="13"/>
      </w:rPr>
    </w:pPr>
    <w:r>
      <w:rPr>
        <w:rFonts w:hint="eastAsia" w:ascii="宋体" w:hAnsi="宋体" w:cs="宋体"/>
        <w:bCs/>
        <w:sz w:val="13"/>
        <w:szCs w:val="13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181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6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2">
    <w:nsid w:val="12503483"/>
    <w:multiLevelType w:val="multilevel"/>
    <w:tmpl w:val="12503483"/>
    <w:lvl w:ilvl="0" w:tentative="0">
      <w:start w:val="1"/>
      <w:numFmt w:val="bullet"/>
      <w:pStyle w:val="186"/>
      <w:lvlText w:val="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pStyle w:val="146"/>
      <w:lvlText w:val="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3">
    <w:nsid w:val="160D20D0"/>
    <w:multiLevelType w:val="multilevel"/>
    <w:tmpl w:val="160D20D0"/>
    <w:lvl w:ilvl="0" w:tentative="0">
      <w:start w:val="1"/>
      <w:numFmt w:val="bullet"/>
      <w:pStyle w:val="160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pStyle w:val="207"/>
      <w:lvlText w:val="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</w:abstractNum>
  <w:abstractNum w:abstractNumId="4">
    <w:nsid w:val="2F395B7B"/>
    <w:multiLevelType w:val="multilevel"/>
    <w:tmpl w:val="2F395B7B"/>
    <w:lvl w:ilvl="0" w:tentative="0">
      <w:start w:val="1"/>
      <w:numFmt w:val="bullet"/>
      <w:pStyle w:val="15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"/>
      <w:lvlJc w:val="left"/>
      <w:pPr>
        <w:tabs>
          <w:tab w:val="left" w:pos="1140"/>
        </w:tabs>
        <w:ind w:left="11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</w:rPr>
    </w:lvl>
  </w:abstractNum>
  <w:abstractNum w:abstractNumId="5">
    <w:nsid w:val="50365EA0"/>
    <w:multiLevelType w:val="multilevel"/>
    <w:tmpl w:val="50365EA0"/>
    <w:lvl w:ilvl="0" w:tentative="0">
      <w:start w:val="1"/>
      <w:numFmt w:val="decimal"/>
      <w:pStyle w:val="132"/>
      <w:lvlText w:val="%1."/>
      <w:lvlJc w:val="left"/>
      <w:pPr>
        <w:tabs>
          <w:tab w:val="left" w:pos="0"/>
        </w:tabs>
        <w:ind w:left="420" w:hanging="42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700"/>
        </w:tabs>
        <w:ind w:left="700" w:hanging="70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  <w:ind w:left="1418" w:hanging="1418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198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6">
    <w:nsid w:val="7AEF7716"/>
    <w:multiLevelType w:val="multilevel"/>
    <w:tmpl w:val="7AEF7716"/>
    <w:lvl w:ilvl="0" w:tentative="0">
      <w:start w:val="1"/>
      <w:numFmt w:val="chineseCountingThousand"/>
      <w:pStyle w:val="175"/>
      <w:lvlText w:val="%1"/>
      <w:lvlJc w:val="left"/>
      <w:pPr>
        <w:tabs>
          <w:tab w:val="left" w:pos="1290"/>
        </w:tabs>
        <w:ind w:left="630" w:hanging="420"/>
      </w:pPr>
      <w:rPr>
        <w:rFonts w:hint="eastAsia"/>
        <w:sz w:val="32"/>
        <w:szCs w:val="32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jOTc1N2I2MGNjZjhmYTM4YmEwNmNkYWU0YzdjYjUifQ=="/>
    <w:docVar w:name="KSO_WPS_MARK_KEY" w:val="c9fbfaef-225b-4d2e-84bc-cd9b118227d8"/>
  </w:docVars>
  <w:rsids>
    <w:rsidRoot w:val="00862751"/>
    <w:rsid w:val="00067131"/>
    <w:rsid w:val="00071E00"/>
    <w:rsid w:val="000D2296"/>
    <w:rsid w:val="000D526F"/>
    <w:rsid w:val="000D7A09"/>
    <w:rsid w:val="000E4201"/>
    <w:rsid w:val="00137467"/>
    <w:rsid w:val="002277B3"/>
    <w:rsid w:val="002C6976"/>
    <w:rsid w:val="003411A8"/>
    <w:rsid w:val="003D21B2"/>
    <w:rsid w:val="00463036"/>
    <w:rsid w:val="00465840"/>
    <w:rsid w:val="0052390E"/>
    <w:rsid w:val="005D790F"/>
    <w:rsid w:val="005D7BAF"/>
    <w:rsid w:val="006043F8"/>
    <w:rsid w:val="00637EB6"/>
    <w:rsid w:val="006810FB"/>
    <w:rsid w:val="00692299"/>
    <w:rsid w:val="006C5DCD"/>
    <w:rsid w:val="00737297"/>
    <w:rsid w:val="00750AA0"/>
    <w:rsid w:val="007E738A"/>
    <w:rsid w:val="007F47D8"/>
    <w:rsid w:val="008428FA"/>
    <w:rsid w:val="00862751"/>
    <w:rsid w:val="00945E90"/>
    <w:rsid w:val="009A1EB7"/>
    <w:rsid w:val="009C59BD"/>
    <w:rsid w:val="00A51428"/>
    <w:rsid w:val="00A519A0"/>
    <w:rsid w:val="00A62E5E"/>
    <w:rsid w:val="00A84221"/>
    <w:rsid w:val="00A87410"/>
    <w:rsid w:val="00AA402E"/>
    <w:rsid w:val="00AB1985"/>
    <w:rsid w:val="00AB25A0"/>
    <w:rsid w:val="00B14717"/>
    <w:rsid w:val="00B6181B"/>
    <w:rsid w:val="00B70028"/>
    <w:rsid w:val="00BB2709"/>
    <w:rsid w:val="00BB5237"/>
    <w:rsid w:val="00BD5EB5"/>
    <w:rsid w:val="00C279B1"/>
    <w:rsid w:val="00C816D1"/>
    <w:rsid w:val="00CF3BDF"/>
    <w:rsid w:val="00D32A75"/>
    <w:rsid w:val="00D504A0"/>
    <w:rsid w:val="00D9119A"/>
    <w:rsid w:val="00EC68A6"/>
    <w:rsid w:val="00F11E83"/>
    <w:rsid w:val="00F30B63"/>
    <w:rsid w:val="00F456EA"/>
    <w:rsid w:val="00FB4DC5"/>
    <w:rsid w:val="00FD10A3"/>
    <w:rsid w:val="05330069"/>
    <w:rsid w:val="166A2909"/>
    <w:rsid w:val="2B212E62"/>
    <w:rsid w:val="2B770D10"/>
    <w:rsid w:val="32643F0D"/>
    <w:rsid w:val="3CB05966"/>
    <w:rsid w:val="3D686345"/>
    <w:rsid w:val="3F9343B1"/>
    <w:rsid w:val="41270465"/>
    <w:rsid w:val="4AAE054C"/>
    <w:rsid w:val="4DAE2257"/>
    <w:rsid w:val="4E220134"/>
    <w:rsid w:val="50936BB5"/>
    <w:rsid w:val="538705D8"/>
    <w:rsid w:val="56660C90"/>
    <w:rsid w:val="5DB93D9B"/>
    <w:rsid w:val="63516A1D"/>
    <w:rsid w:val="708B3D30"/>
    <w:rsid w:val="75FF8BC0"/>
    <w:rsid w:val="791B7312"/>
    <w:rsid w:val="7935494E"/>
    <w:rsid w:val="7F5E0871"/>
    <w:rsid w:val="8CFF437C"/>
    <w:rsid w:val="FBEFFE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nhideWhenUsed="0" w:uiPriority="0" w:semiHidden="0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81"/>
    <w:qFormat/>
    <w:uiPriority w:val="0"/>
    <w:pPr>
      <w:spacing w:before="340" w:after="330" w:line="360" w:lineRule="auto"/>
      <w:jc w:val="center"/>
      <w:outlineLvl w:val="0"/>
    </w:pPr>
    <w:rPr>
      <w:rFonts w:eastAsia="黑体"/>
      <w:kern w:val="44"/>
      <w:szCs w:val="44"/>
    </w:rPr>
  </w:style>
  <w:style w:type="paragraph" w:styleId="5">
    <w:name w:val="heading 2"/>
    <w:basedOn w:val="1"/>
    <w:next w:val="1"/>
    <w:link w:val="53"/>
    <w:qFormat/>
    <w:uiPriority w:val="0"/>
    <w:pPr>
      <w:adjustRightInd w:val="0"/>
      <w:jc w:val="center"/>
      <w:textAlignment w:val="baseline"/>
      <w:outlineLvl w:val="1"/>
    </w:pPr>
    <w:rPr>
      <w:kern w:val="0"/>
      <w:sz w:val="24"/>
      <w:szCs w:val="20"/>
    </w:rPr>
  </w:style>
  <w:style w:type="paragraph" w:styleId="6">
    <w:name w:val="heading 3"/>
    <w:basedOn w:val="7"/>
    <w:next w:val="1"/>
    <w:link w:val="82"/>
    <w:qFormat/>
    <w:uiPriority w:val="0"/>
    <w:pPr>
      <w:spacing w:before="260" w:after="260"/>
      <w:outlineLvl w:val="2"/>
    </w:pPr>
    <w:rPr>
      <w:rFonts w:ascii="宋体" w:hAnsi="宋体"/>
      <w:kern w:val="0"/>
      <w:szCs w:val="32"/>
    </w:rPr>
  </w:style>
  <w:style w:type="paragraph" w:styleId="7">
    <w:name w:val="heading 4"/>
    <w:basedOn w:val="1"/>
    <w:next w:val="1"/>
    <w:link w:val="56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8">
    <w:name w:val="heading 5"/>
    <w:basedOn w:val="1"/>
    <w:next w:val="9"/>
    <w:link w:val="57"/>
    <w:qFormat/>
    <w:uiPriority w:val="0"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10">
    <w:name w:val="heading 6"/>
    <w:basedOn w:val="1"/>
    <w:next w:val="9"/>
    <w:link w:val="59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sz w:val="24"/>
      <w:szCs w:val="20"/>
    </w:rPr>
  </w:style>
  <w:style w:type="paragraph" w:styleId="11">
    <w:name w:val="heading 7"/>
    <w:basedOn w:val="1"/>
    <w:next w:val="9"/>
    <w:link w:val="60"/>
    <w:qFormat/>
    <w:uiPriority w:val="0"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12">
    <w:name w:val="heading 8"/>
    <w:basedOn w:val="1"/>
    <w:next w:val="9"/>
    <w:link w:val="61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  <w:szCs w:val="20"/>
    </w:rPr>
  </w:style>
  <w:style w:type="paragraph" w:styleId="13">
    <w:name w:val="heading 9"/>
    <w:basedOn w:val="1"/>
    <w:next w:val="9"/>
    <w:link w:val="62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0"/>
    </w:rPr>
  </w:style>
  <w:style w:type="character" w:default="1" w:styleId="45">
    <w:name w:val="Default Paragraph Font"/>
    <w:unhideWhenUsed/>
    <w:qFormat/>
    <w:uiPriority w:val="1"/>
  </w:style>
  <w:style w:type="table" w:default="1" w:styleId="4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80"/>
    <w:qFormat/>
    <w:uiPriority w:val="0"/>
    <w:pPr>
      <w:spacing w:line="240" w:lineRule="auto"/>
      <w:ind w:left="420" w:leftChars="200"/>
    </w:pPr>
    <w:rPr>
      <w:rFonts w:ascii="Times New Roman"/>
    </w:rPr>
  </w:style>
  <w:style w:type="paragraph" w:styleId="3">
    <w:name w:val="Body Text Indent"/>
    <w:basedOn w:val="1"/>
    <w:link w:val="67"/>
    <w:qFormat/>
    <w:uiPriority w:val="0"/>
    <w:pPr>
      <w:spacing w:line="360" w:lineRule="auto"/>
      <w:ind w:firstLine="420" w:firstLineChars="200"/>
    </w:pPr>
  </w:style>
  <w:style w:type="paragraph" w:styleId="9">
    <w:name w:val="Normal Indent"/>
    <w:basedOn w:val="1"/>
    <w:next w:val="1"/>
    <w:link w:val="58"/>
    <w:qFormat/>
    <w:uiPriority w:val="0"/>
    <w:pPr>
      <w:ind w:firstLine="420"/>
    </w:pPr>
    <w:rPr>
      <w:kern w:val="0"/>
      <w:sz w:val="20"/>
      <w:szCs w:val="20"/>
    </w:rPr>
  </w:style>
  <w:style w:type="paragraph" w:styleId="14">
    <w:name w:val="toc 7"/>
    <w:basedOn w:val="1"/>
    <w:next w:val="1"/>
    <w:semiHidden/>
    <w:qFormat/>
    <w:uiPriority w:val="0"/>
    <w:pPr>
      <w:ind w:left="1260"/>
      <w:jc w:val="left"/>
    </w:pPr>
    <w:rPr>
      <w:szCs w:val="21"/>
    </w:rPr>
  </w:style>
  <w:style w:type="paragraph" w:styleId="15">
    <w:name w:val="caption"/>
    <w:basedOn w:val="1"/>
    <w:next w:val="1"/>
    <w:qFormat/>
    <w:uiPriority w:val="0"/>
    <w:pPr>
      <w:widowControl/>
      <w:spacing w:line="360" w:lineRule="auto"/>
      <w:ind w:firstLine="1940" w:firstLineChars="920"/>
      <w:jc w:val="left"/>
    </w:pPr>
    <w:rPr>
      <w:rFonts w:ascii="宋体" w:hAnsi="宋体"/>
      <w:b/>
      <w:bCs/>
      <w:kern w:val="0"/>
      <w:sz w:val="20"/>
      <w:szCs w:val="20"/>
    </w:rPr>
  </w:style>
  <w:style w:type="paragraph" w:styleId="16">
    <w:name w:val="List Bullet"/>
    <w:basedOn w:val="1"/>
    <w:qFormat/>
    <w:uiPriority w:val="0"/>
    <w:pPr>
      <w:numPr>
        <w:ilvl w:val="0"/>
        <w:numId w:val="1"/>
      </w:numPr>
    </w:pPr>
    <w:rPr>
      <w:szCs w:val="20"/>
    </w:rPr>
  </w:style>
  <w:style w:type="paragraph" w:styleId="17">
    <w:name w:val="Document Map"/>
    <w:basedOn w:val="1"/>
    <w:link w:val="63"/>
    <w:semiHidden/>
    <w:qFormat/>
    <w:uiPriority w:val="0"/>
    <w:pPr>
      <w:shd w:val="clear" w:color="auto" w:fill="000080"/>
    </w:pPr>
  </w:style>
  <w:style w:type="paragraph" w:styleId="18">
    <w:name w:val="annotation text"/>
    <w:basedOn w:val="1"/>
    <w:link w:val="64"/>
    <w:semiHidden/>
    <w:qFormat/>
    <w:uiPriority w:val="99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styleId="19">
    <w:name w:val="Body Text 3"/>
    <w:basedOn w:val="1"/>
    <w:link w:val="65"/>
    <w:qFormat/>
    <w:uiPriority w:val="0"/>
    <w:pPr>
      <w:spacing w:after="120"/>
    </w:pPr>
    <w:rPr>
      <w:sz w:val="16"/>
      <w:szCs w:val="16"/>
    </w:rPr>
  </w:style>
  <w:style w:type="paragraph" w:styleId="20">
    <w:name w:val="Body Text"/>
    <w:basedOn w:val="1"/>
    <w:next w:val="1"/>
    <w:link w:val="66"/>
    <w:qFormat/>
    <w:uiPriority w:val="0"/>
    <w:pPr>
      <w:spacing w:line="360" w:lineRule="auto"/>
    </w:pPr>
    <w:rPr>
      <w:b/>
      <w:bCs/>
      <w:sz w:val="24"/>
    </w:rPr>
  </w:style>
  <w:style w:type="paragraph" w:styleId="21">
    <w:name w:val="toc 5"/>
    <w:basedOn w:val="1"/>
    <w:next w:val="1"/>
    <w:semiHidden/>
    <w:qFormat/>
    <w:uiPriority w:val="0"/>
    <w:pPr>
      <w:ind w:left="840"/>
      <w:jc w:val="left"/>
    </w:pPr>
    <w:rPr>
      <w:szCs w:val="21"/>
    </w:rPr>
  </w:style>
  <w:style w:type="paragraph" w:styleId="22">
    <w:name w:val="toc 3"/>
    <w:basedOn w:val="1"/>
    <w:next w:val="1"/>
    <w:semiHidden/>
    <w:qFormat/>
    <w:uiPriority w:val="0"/>
    <w:pPr>
      <w:ind w:left="420"/>
      <w:jc w:val="left"/>
    </w:pPr>
    <w:rPr>
      <w:i/>
      <w:iCs/>
    </w:rPr>
  </w:style>
  <w:style w:type="paragraph" w:styleId="23">
    <w:name w:val="Plain Text"/>
    <w:basedOn w:val="1"/>
    <w:link w:val="68"/>
    <w:qFormat/>
    <w:uiPriority w:val="0"/>
    <w:rPr>
      <w:rFonts w:ascii="宋体" w:hAnsi="Courier New"/>
      <w:szCs w:val="20"/>
    </w:rPr>
  </w:style>
  <w:style w:type="paragraph" w:styleId="24">
    <w:name w:val="toc 8"/>
    <w:basedOn w:val="1"/>
    <w:next w:val="1"/>
    <w:semiHidden/>
    <w:qFormat/>
    <w:uiPriority w:val="0"/>
    <w:pPr>
      <w:ind w:left="1470"/>
      <w:jc w:val="left"/>
    </w:pPr>
    <w:rPr>
      <w:szCs w:val="21"/>
    </w:rPr>
  </w:style>
  <w:style w:type="paragraph" w:styleId="25">
    <w:name w:val="Date"/>
    <w:basedOn w:val="1"/>
    <w:next w:val="1"/>
    <w:link w:val="69"/>
    <w:qFormat/>
    <w:uiPriority w:val="0"/>
    <w:rPr>
      <w:rFonts w:ascii="宋体" w:hAnsi="Courier New"/>
      <w:sz w:val="32"/>
      <w:szCs w:val="20"/>
    </w:rPr>
  </w:style>
  <w:style w:type="paragraph" w:styleId="26">
    <w:name w:val="Body Text Indent 2"/>
    <w:basedOn w:val="1"/>
    <w:link w:val="70"/>
    <w:qFormat/>
    <w:uiPriority w:val="0"/>
    <w:pPr>
      <w:spacing w:beforeLines="50" w:afterLines="50" w:line="120" w:lineRule="auto"/>
      <w:ind w:firstLine="840" w:firstLineChars="400"/>
      <w:jc w:val="left"/>
    </w:pPr>
    <w:rPr>
      <w:rFonts w:ascii="宋体" w:hAnsi="宋体"/>
    </w:rPr>
  </w:style>
  <w:style w:type="paragraph" w:styleId="27">
    <w:name w:val="Balloon Text"/>
    <w:basedOn w:val="1"/>
    <w:link w:val="71"/>
    <w:semiHidden/>
    <w:qFormat/>
    <w:uiPriority w:val="0"/>
    <w:rPr>
      <w:sz w:val="18"/>
      <w:szCs w:val="18"/>
    </w:rPr>
  </w:style>
  <w:style w:type="paragraph" w:styleId="28">
    <w:name w:val="footer"/>
    <w:basedOn w:val="1"/>
    <w:link w:val="7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9">
    <w:name w:val="header"/>
    <w:basedOn w:val="1"/>
    <w:link w:val="7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toc 1"/>
    <w:basedOn w:val="1"/>
    <w:next w:val="1"/>
    <w:semiHidden/>
    <w:qFormat/>
    <w:uiPriority w:val="0"/>
    <w:pPr>
      <w:spacing w:before="120" w:after="120"/>
      <w:jc w:val="left"/>
    </w:pPr>
    <w:rPr>
      <w:b/>
      <w:bCs/>
      <w:caps/>
    </w:rPr>
  </w:style>
  <w:style w:type="paragraph" w:styleId="31">
    <w:name w:val="toc 4"/>
    <w:basedOn w:val="1"/>
    <w:next w:val="1"/>
    <w:semiHidden/>
    <w:qFormat/>
    <w:uiPriority w:val="0"/>
    <w:pPr>
      <w:ind w:left="630"/>
      <w:jc w:val="left"/>
    </w:pPr>
    <w:rPr>
      <w:szCs w:val="21"/>
    </w:rPr>
  </w:style>
  <w:style w:type="paragraph" w:styleId="32">
    <w:name w:val="toc 6"/>
    <w:basedOn w:val="1"/>
    <w:next w:val="1"/>
    <w:semiHidden/>
    <w:qFormat/>
    <w:uiPriority w:val="0"/>
    <w:pPr>
      <w:ind w:left="1050"/>
      <w:jc w:val="left"/>
    </w:pPr>
    <w:rPr>
      <w:szCs w:val="21"/>
    </w:rPr>
  </w:style>
  <w:style w:type="paragraph" w:styleId="33">
    <w:name w:val="Body Text Indent 3"/>
    <w:basedOn w:val="1"/>
    <w:link w:val="74"/>
    <w:qFormat/>
    <w:uiPriority w:val="0"/>
    <w:pPr>
      <w:spacing w:line="360" w:lineRule="auto"/>
      <w:ind w:firstLine="482" w:firstLineChars="200"/>
    </w:pPr>
    <w:rPr>
      <w:rFonts w:ascii="宋体"/>
      <w:b/>
      <w:bCs/>
      <w:sz w:val="24"/>
    </w:rPr>
  </w:style>
  <w:style w:type="paragraph" w:styleId="34">
    <w:name w:val="toc 2"/>
    <w:basedOn w:val="1"/>
    <w:next w:val="1"/>
    <w:semiHidden/>
    <w:qFormat/>
    <w:uiPriority w:val="0"/>
    <w:pPr>
      <w:tabs>
        <w:tab w:val="right" w:leader="dot" w:pos="8296"/>
      </w:tabs>
      <w:ind w:left="210"/>
      <w:jc w:val="left"/>
    </w:pPr>
    <w:rPr>
      <w:smallCaps/>
    </w:rPr>
  </w:style>
  <w:style w:type="paragraph" w:styleId="35">
    <w:name w:val="toc 9"/>
    <w:basedOn w:val="1"/>
    <w:next w:val="1"/>
    <w:semiHidden/>
    <w:qFormat/>
    <w:uiPriority w:val="0"/>
    <w:pPr>
      <w:ind w:left="1680"/>
      <w:jc w:val="left"/>
    </w:pPr>
    <w:rPr>
      <w:szCs w:val="21"/>
    </w:rPr>
  </w:style>
  <w:style w:type="paragraph" w:styleId="36">
    <w:name w:val="Body Text 2"/>
    <w:basedOn w:val="1"/>
    <w:link w:val="75"/>
    <w:qFormat/>
    <w:uiPriority w:val="0"/>
    <w:pPr>
      <w:spacing w:line="360" w:lineRule="auto"/>
    </w:pPr>
    <w:rPr>
      <w:sz w:val="24"/>
    </w:rPr>
  </w:style>
  <w:style w:type="paragraph" w:styleId="37">
    <w:name w:val="HTML Preformatted"/>
    <w:basedOn w:val="1"/>
    <w:link w:val="76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Arial Unicode MS"/>
      <w:color w:val="000000"/>
      <w:kern w:val="0"/>
      <w:sz w:val="20"/>
      <w:szCs w:val="20"/>
    </w:rPr>
  </w:style>
  <w:style w:type="paragraph" w:styleId="3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39">
    <w:name w:val="index 1"/>
    <w:basedOn w:val="1"/>
    <w:next w:val="1"/>
    <w:semiHidden/>
    <w:qFormat/>
    <w:uiPriority w:val="0"/>
    <w:pPr>
      <w:tabs>
        <w:tab w:val="left" w:pos="3360"/>
      </w:tabs>
      <w:spacing w:line="520" w:lineRule="exact"/>
      <w:ind w:left="419" w:leftChars="50" w:hanging="314" w:hangingChars="131"/>
      <w:jc w:val="center"/>
      <w:outlineLvl w:val="3"/>
    </w:pPr>
    <w:rPr>
      <w:rFonts w:ascii="宋体" w:hAnsi="宋体"/>
      <w:sz w:val="24"/>
    </w:rPr>
  </w:style>
  <w:style w:type="paragraph" w:styleId="40">
    <w:name w:val="Title"/>
    <w:basedOn w:val="1"/>
    <w:link w:val="77"/>
    <w:qFormat/>
    <w:uiPriority w:val="0"/>
    <w:pPr>
      <w:spacing w:before="240" w:after="60"/>
      <w:jc w:val="center"/>
      <w:outlineLvl w:val="0"/>
    </w:pPr>
    <w:rPr>
      <w:rFonts w:ascii="Arial" w:hAnsi="Arial" w:eastAsia="隶书"/>
      <w:b/>
      <w:bCs/>
      <w:kern w:val="0"/>
      <w:sz w:val="32"/>
      <w:szCs w:val="32"/>
    </w:rPr>
  </w:style>
  <w:style w:type="paragraph" w:styleId="41">
    <w:name w:val="annotation subject"/>
    <w:basedOn w:val="18"/>
    <w:next w:val="18"/>
    <w:link w:val="78"/>
    <w:qFormat/>
    <w:uiPriority w:val="0"/>
    <w:pPr>
      <w:autoSpaceDE/>
      <w:autoSpaceDN/>
      <w:adjustRightInd/>
      <w:textAlignment w:val="auto"/>
    </w:pPr>
  </w:style>
  <w:style w:type="paragraph" w:styleId="42">
    <w:name w:val="Body Text First Indent"/>
    <w:basedOn w:val="20"/>
    <w:link w:val="79"/>
    <w:qFormat/>
    <w:uiPriority w:val="0"/>
    <w:pPr>
      <w:spacing w:after="120" w:line="240" w:lineRule="auto"/>
      <w:ind w:firstLine="420" w:firstLineChars="100"/>
    </w:pPr>
    <w:rPr>
      <w:sz w:val="21"/>
    </w:rPr>
  </w:style>
  <w:style w:type="table" w:styleId="44">
    <w:name w:val="Table Grid"/>
    <w:basedOn w:val="43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basedOn w:val="45"/>
    <w:qFormat/>
    <w:uiPriority w:val="0"/>
  </w:style>
  <w:style w:type="character" w:styleId="48">
    <w:name w:val="FollowedHyperlink"/>
    <w:qFormat/>
    <w:uiPriority w:val="0"/>
    <w:rPr>
      <w:rFonts w:hint="eastAsia" w:ascii="宋体" w:hAnsi="宋体" w:eastAsia="宋体" w:cs="宋体"/>
      <w:color w:val="0031C1"/>
      <w:sz w:val="18"/>
      <w:szCs w:val="18"/>
      <w:u w:val="none"/>
    </w:rPr>
  </w:style>
  <w:style w:type="character" w:styleId="49">
    <w:name w:val="Emphasis"/>
    <w:basedOn w:val="45"/>
    <w:qFormat/>
    <w:uiPriority w:val="0"/>
  </w:style>
  <w:style w:type="character" w:styleId="50">
    <w:name w:val="Hyperlink"/>
    <w:qFormat/>
    <w:uiPriority w:val="0"/>
    <w:rPr>
      <w:rFonts w:hint="eastAsia" w:ascii="宋体" w:hAnsi="宋体" w:eastAsia="宋体" w:cs="宋体"/>
      <w:color w:val="0031C1"/>
      <w:sz w:val="18"/>
      <w:szCs w:val="18"/>
      <w:u w:val="none"/>
    </w:rPr>
  </w:style>
  <w:style w:type="character" w:styleId="51">
    <w:name w:val="annotation reference"/>
    <w:qFormat/>
    <w:uiPriority w:val="99"/>
    <w:rPr>
      <w:sz w:val="21"/>
      <w:szCs w:val="21"/>
    </w:rPr>
  </w:style>
  <w:style w:type="character" w:customStyle="1" w:styleId="52">
    <w:name w:val="标题 1 字符"/>
    <w:qFormat/>
    <w:uiPriority w:val="0"/>
    <w:rPr>
      <w:rFonts w:ascii="宋体" w:hAnsi="宋体" w:eastAsia="黑体"/>
      <w:b/>
      <w:bCs/>
      <w:kern w:val="44"/>
      <w:sz w:val="28"/>
      <w:szCs w:val="44"/>
      <w:lang w:val="en-US" w:eastAsia="zh-CN" w:bidi="ar-SA"/>
    </w:rPr>
  </w:style>
  <w:style w:type="character" w:customStyle="1" w:styleId="53">
    <w:name w:val="标题 2 字符"/>
    <w:link w:val="5"/>
    <w:qFormat/>
    <w:uiPriority w:val="0"/>
    <w:rPr>
      <w:rFonts w:ascii="Calibri" w:hAnsi="Calibri" w:eastAsia="宋体" w:cs="Times New Roman"/>
      <w:kern w:val="0"/>
      <w:sz w:val="24"/>
      <w:szCs w:val="20"/>
    </w:rPr>
  </w:style>
  <w:style w:type="character" w:customStyle="1" w:styleId="54">
    <w:name w:val="标题 3 字符"/>
    <w:link w:val="6"/>
    <w:qFormat/>
    <w:uiPriority w:val="0"/>
    <w:rPr>
      <w:rFonts w:ascii="宋体" w:hAnsi="宋体" w:eastAsia="黑体" w:cs="Times New Roman"/>
      <w:b/>
      <w:bCs/>
      <w:sz w:val="28"/>
      <w:szCs w:val="32"/>
    </w:rPr>
  </w:style>
  <w:style w:type="character" w:customStyle="1" w:styleId="55">
    <w:name w:val="标题 1 Char"/>
    <w:link w:val="4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56">
    <w:name w:val="标题 4 字符"/>
    <w:link w:val="7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57">
    <w:name w:val="标题 5 字符"/>
    <w:link w:val="8"/>
    <w:qFormat/>
    <w:uiPriority w:val="0"/>
    <w:rPr>
      <w:rFonts w:ascii="Calibri" w:hAnsi="Calibri" w:eastAsia="宋体" w:cs="Times New Roman"/>
      <w:b/>
      <w:sz w:val="28"/>
      <w:szCs w:val="20"/>
    </w:rPr>
  </w:style>
  <w:style w:type="character" w:customStyle="1" w:styleId="58">
    <w:name w:val="正文缩进 字符"/>
    <w:link w:val="9"/>
    <w:qFormat/>
    <w:uiPriority w:val="0"/>
    <w:rPr>
      <w:rFonts w:ascii="Calibri" w:hAnsi="Calibri" w:eastAsia="宋体" w:cs="Times New Roman"/>
      <w:szCs w:val="20"/>
    </w:rPr>
  </w:style>
  <w:style w:type="character" w:customStyle="1" w:styleId="59">
    <w:name w:val="标题 6 字符"/>
    <w:link w:val="10"/>
    <w:qFormat/>
    <w:uiPriority w:val="0"/>
    <w:rPr>
      <w:rFonts w:ascii="Arial" w:hAnsi="Arial" w:eastAsia="黑体" w:cs="Times New Roman"/>
      <w:b/>
      <w:sz w:val="24"/>
      <w:szCs w:val="20"/>
    </w:rPr>
  </w:style>
  <w:style w:type="character" w:customStyle="1" w:styleId="60">
    <w:name w:val="标题 7 字符"/>
    <w:link w:val="11"/>
    <w:qFormat/>
    <w:uiPriority w:val="0"/>
    <w:rPr>
      <w:rFonts w:ascii="Calibri" w:hAnsi="Calibri" w:eastAsia="宋体" w:cs="Times New Roman"/>
      <w:b/>
      <w:sz w:val="24"/>
      <w:szCs w:val="20"/>
    </w:rPr>
  </w:style>
  <w:style w:type="character" w:customStyle="1" w:styleId="61">
    <w:name w:val="标题 8 字符"/>
    <w:link w:val="12"/>
    <w:qFormat/>
    <w:uiPriority w:val="0"/>
    <w:rPr>
      <w:rFonts w:ascii="Arial" w:hAnsi="Arial" w:eastAsia="黑体" w:cs="Times New Roman"/>
      <w:sz w:val="24"/>
      <w:szCs w:val="20"/>
    </w:rPr>
  </w:style>
  <w:style w:type="character" w:customStyle="1" w:styleId="62">
    <w:name w:val="标题 9 字符"/>
    <w:link w:val="13"/>
    <w:qFormat/>
    <w:uiPriority w:val="0"/>
    <w:rPr>
      <w:rFonts w:ascii="Arial" w:hAnsi="Arial" w:eastAsia="黑体" w:cs="Times New Roman"/>
      <w:szCs w:val="20"/>
    </w:rPr>
  </w:style>
  <w:style w:type="character" w:customStyle="1" w:styleId="63">
    <w:name w:val="文档结构图 字符"/>
    <w:link w:val="17"/>
    <w:semiHidden/>
    <w:qFormat/>
    <w:uiPriority w:val="0"/>
    <w:rPr>
      <w:rFonts w:ascii="Calibri" w:hAnsi="Calibri" w:eastAsia="宋体" w:cs="Times New Roman"/>
      <w:szCs w:val="24"/>
      <w:shd w:val="clear" w:color="auto" w:fill="000080"/>
    </w:rPr>
  </w:style>
  <w:style w:type="character" w:customStyle="1" w:styleId="64">
    <w:name w:val="批注文字 字符"/>
    <w:link w:val="18"/>
    <w:semiHidden/>
    <w:qFormat/>
    <w:uiPriority w:val="99"/>
    <w:rPr>
      <w:rFonts w:ascii="宋体" w:hAnsi="Calibri" w:eastAsia="宋体" w:cs="Times New Roman"/>
      <w:kern w:val="0"/>
      <w:sz w:val="34"/>
      <w:szCs w:val="20"/>
    </w:rPr>
  </w:style>
  <w:style w:type="character" w:customStyle="1" w:styleId="65">
    <w:name w:val="正文文本 3 字符"/>
    <w:link w:val="19"/>
    <w:qFormat/>
    <w:uiPriority w:val="0"/>
    <w:rPr>
      <w:rFonts w:ascii="Calibri" w:hAnsi="Calibri" w:eastAsia="宋体" w:cs="Times New Roman"/>
      <w:sz w:val="16"/>
      <w:szCs w:val="16"/>
    </w:rPr>
  </w:style>
  <w:style w:type="character" w:customStyle="1" w:styleId="66">
    <w:name w:val="正文文本 字符"/>
    <w:link w:val="20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character" w:customStyle="1" w:styleId="67">
    <w:name w:val="正文文本缩进 字符"/>
    <w:link w:val="3"/>
    <w:qFormat/>
    <w:uiPriority w:val="0"/>
    <w:rPr>
      <w:rFonts w:ascii="Calibri" w:hAnsi="Calibri" w:eastAsia="宋体" w:cs="Times New Roman"/>
      <w:szCs w:val="24"/>
    </w:rPr>
  </w:style>
  <w:style w:type="character" w:customStyle="1" w:styleId="68">
    <w:name w:val="纯文本 字符"/>
    <w:link w:val="23"/>
    <w:qFormat/>
    <w:uiPriority w:val="0"/>
    <w:rPr>
      <w:rFonts w:ascii="宋体" w:hAnsi="Courier New" w:eastAsia="宋体" w:cs="Times New Roman"/>
      <w:szCs w:val="20"/>
    </w:rPr>
  </w:style>
  <w:style w:type="character" w:customStyle="1" w:styleId="69">
    <w:name w:val="日期 字符"/>
    <w:link w:val="25"/>
    <w:qFormat/>
    <w:uiPriority w:val="0"/>
    <w:rPr>
      <w:rFonts w:ascii="宋体" w:hAnsi="Courier New" w:eastAsia="宋体" w:cs="Times New Roman"/>
      <w:sz w:val="32"/>
      <w:szCs w:val="20"/>
    </w:rPr>
  </w:style>
  <w:style w:type="character" w:customStyle="1" w:styleId="70">
    <w:name w:val="正文文本缩进 2 字符"/>
    <w:link w:val="26"/>
    <w:qFormat/>
    <w:uiPriority w:val="0"/>
    <w:rPr>
      <w:rFonts w:ascii="宋体" w:hAnsi="宋体" w:eastAsia="宋体" w:cs="Times New Roman"/>
      <w:szCs w:val="24"/>
    </w:rPr>
  </w:style>
  <w:style w:type="character" w:customStyle="1" w:styleId="71">
    <w:name w:val="批注框文本 字符"/>
    <w:link w:val="27"/>
    <w:semiHidden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72">
    <w:name w:val="页脚 字符"/>
    <w:link w:val="28"/>
    <w:qFormat/>
    <w:uiPriority w:val="0"/>
    <w:rPr>
      <w:sz w:val="18"/>
      <w:szCs w:val="18"/>
    </w:rPr>
  </w:style>
  <w:style w:type="character" w:customStyle="1" w:styleId="73">
    <w:name w:val="页眉 字符"/>
    <w:link w:val="29"/>
    <w:qFormat/>
    <w:uiPriority w:val="99"/>
    <w:rPr>
      <w:sz w:val="18"/>
      <w:szCs w:val="18"/>
    </w:rPr>
  </w:style>
  <w:style w:type="character" w:customStyle="1" w:styleId="74">
    <w:name w:val="正文文本缩进 3 字符"/>
    <w:link w:val="33"/>
    <w:qFormat/>
    <w:uiPriority w:val="0"/>
    <w:rPr>
      <w:rFonts w:ascii="宋体" w:hAnsi="Calibri" w:eastAsia="宋体" w:cs="Times New Roman"/>
      <w:b/>
      <w:bCs/>
      <w:sz w:val="24"/>
      <w:szCs w:val="24"/>
    </w:rPr>
  </w:style>
  <w:style w:type="character" w:customStyle="1" w:styleId="75">
    <w:name w:val="正文文本 2 字符"/>
    <w:link w:val="36"/>
    <w:qFormat/>
    <w:uiPriority w:val="0"/>
    <w:rPr>
      <w:rFonts w:ascii="Calibri" w:hAnsi="Calibri" w:eastAsia="宋体" w:cs="Times New Roman"/>
      <w:sz w:val="24"/>
      <w:szCs w:val="24"/>
    </w:rPr>
  </w:style>
  <w:style w:type="character" w:customStyle="1" w:styleId="76">
    <w:name w:val="HTML 预设格式 字符"/>
    <w:link w:val="37"/>
    <w:qFormat/>
    <w:uiPriority w:val="0"/>
    <w:rPr>
      <w:rFonts w:ascii="Arial Unicode MS" w:hAnsi="Arial Unicode MS" w:eastAsia="Arial Unicode MS" w:cs="Times New Roman"/>
      <w:color w:val="000000"/>
      <w:kern w:val="0"/>
      <w:sz w:val="20"/>
      <w:szCs w:val="20"/>
    </w:rPr>
  </w:style>
  <w:style w:type="character" w:customStyle="1" w:styleId="77">
    <w:name w:val="标题 字符"/>
    <w:link w:val="40"/>
    <w:qFormat/>
    <w:uiPriority w:val="0"/>
    <w:rPr>
      <w:rFonts w:ascii="Arial" w:hAnsi="Arial" w:eastAsia="隶书" w:cs="Arial"/>
      <w:b/>
      <w:bCs/>
      <w:sz w:val="32"/>
      <w:szCs w:val="32"/>
    </w:rPr>
  </w:style>
  <w:style w:type="character" w:customStyle="1" w:styleId="78">
    <w:name w:val="批注主题 字符"/>
    <w:basedOn w:val="64"/>
    <w:link w:val="41"/>
    <w:qFormat/>
    <w:uiPriority w:val="0"/>
  </w:style>
  <w:style w:type="character" w:customStyle="1" w:styleId="79">
    <w:name w:val="正文文本首行缩进 字符"/>
    <w:basedOn w:val="66"/>
    <w:link w:val="42"/>
    <w:qFormat/>
    <w:uiPriority w:val="0"/>
  </w:style>
  <w:style w:type="character" w:customStyle="1" w:styleId="80">
    <w:name w:val="正文文本首行缩进 2 字符"/>
    <w:link w:val="2"/>
    <w:qFormat/>
    <w:uiPriority w:val="0"/>
    <w:rPr>
      <w:rFonts w:ascii="Times New Roman" w:hAnsi="Calibri" w:eastAsia="宋体" w:cs="Times New Roman"/>
      <w:szCs w:val="24"/>
    </w:rPr>
  </w:style>
  <w:style w:type="character" w:customStyle="1" w:styleId="81">
    <w:name w:val="标题 1 字符1"/>
    <w:link w:val="4"/>
    <w:qFormat/>
    <w:uiPriority w:val="0"/>
    <w:rPr>
      <w:rFonts w:ascii="Calibri" w:hAnsi="Calibri" w:eastAsia="黑体" w:cs="Times New Roman"/>
      <w:kern w:val="44"/>
      <w:szCs w:val="44"/>
    </w:rPr>
  </w:style>
  <w:style w:type="character" w:customStyle="1" w:styleId="82">
    <w:name w:val="标题 3 Char"/>
    <w:link w:val="6"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83">
    <w:name w:val="hilite6"/>
    <w:qFormat/>
    <w:uiPriority w:val="0"/>
    <w:rPr>
      <w:color w:val="000000"/>
    </w:rPr>
  </w:style>
  <w:style w:type="character" w:customStyle="1" w:styleId="84">
    <w:name w:val="inline-help"/>
    <w:basedOn w:val="45"/>
    <w:qFormat/>
    <w:uiPriority w:val="0"/>
  </w:style>
  <w:style w:type="character" w:customStyle="1" w:styleId="85">
    <w:name w:val="alt-edited1"/>
    <w:qFormat/>
    <w:uiPriority w:val="0"/>
    <w:rPr>
      <w:color w:val="4D90F0"/>
    </w:rPr>
  </w:style>
  <w:style w:type="character" w:customStyle="1" w:styleId="86">
    <w:name w:val="正文文字首行缩进 Char"/>
    <w:qFormat/>
    <w:uiPriority w:val="0"/>
    <w:rPr>
      <w:kern w:val="2"/>
      <w:sz w:val="21"/>
      <w:szCs w:val="24"/>
    </w:rPr>
  </w:style>
  <w:style w:type="character" w:customStyle="1" w:styleId="87">
    <w:name w:val="标题 1 Char1"/>
    <w:qFormat/>
    <w:uiPriority w:val="0"/>
    <w:rPr>
      <w:rFonts w:ascii="Times New Roman" w:hAnsi="Times New Roman" w:eastAsia="宋体"/>
      <w:b/>
      <w:bCs/>
      <w:kern w:val="44"/>
      <w:sz w:val="44"/>
      <w:szCs w:val="44"/>
      <w:lang w:val="en-US" w:eastAsia="zh-CN" w:bidi="ar-SA"/>
    </w:rPr>
  </w:style>
  <w:style w:type="character" w:customStyle="1" w:styleId="88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89">
    <w:name w:val="hilite"/>
    <w:qFormat/>
    <w:uiPriority w:val="0"/>
    <w:rPr>
      <w:color w:val="000000"/>
    </w:rPr>
  </w:style>
  <w:style w:type="character" w:customStyle="1" w:styleId="90">
    <w:name w:val="Default Char"/>
    <w:link w:val="91"/>
    <w:qFormat/>
    <w:uiPriority w:val="0"/>
    <w:rPr>
      <w:rFonts w:ascii="H Yb 2gj" w:eastAsia="H Yb 2gj"/>
      <w:color w:val="000000"/>
      <w:sz w:val="24"/>
      <w:szCs w:val="24"/>
      <w:lang w:bidi="ar-SA"/>
    </w:rPr>
  </w:style>
  <w:style w:type="paragraph" w:customStyle="1" w:styleId="91">
    <w:name w:val="Default"/>
    <w:link w:val="90"/>
    <w:qFormat/>
    <w:uiPriority w:val="0"/>
    <w:pPr>
      <w:widowControl w:val="0"/>
      <w:autoSpaceDE w:val="0"/>
      <w:autoSpaceDN w:val="0"/>
      <w:adjustRightInd w:val="0"/>
    </w:pPr>
    <w:rPr>
      <w:rFonts w:ascii="H Yb 2gj" w:hAnsi="Times New Roman" w:eastAsia="H Yb 2gj" w:cs="Times New Roman"/>
      <w:color w:val="000000"/>
      <w:sz w:val="24"/>
      <w:szCs w:val="24"/>
      <w:lang w:val="en-US" w:eastAsia="zh-CN" w:bidi="ar-SA"/>
    </w:rPr>
  </w:style>
  <w:style w:type="character" w:customStyle="1" w:styleId="92">
    <w:name w:val="标题 Char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93">
    <w:name w:val="active2"/>
    <w:qFormat/>
    <w:uiPriority w:val="0"/>
    <w:rPr>
      <w:color w:val="FFFFFF"/>
    </w:rPr>
  </w:style>
  <w:style w:type="character" w:customStyle="1" w:styleId="94">
    <w:name w:val="缩进正文 Char"/>
    <w:link w:val="95"/>
    <w:qFormat/>
    <w:uiPriority w:val="0"/>
    <w:rPr>
      <w:rFonts w:ascii="Calibri" w:hAnsi="Calibri" w:eastAsia="仿宋_GB2312" w:cs="宋体"/>
      <w:sz w:val="28"/>
      <w:szCs w:val="20"/>
    </w:rPr>
  </w:style>
  <w:style w:type="paragraph" w:customStyle="1" w:styleId="95">
    <w:name w:val="缩进正文"/>
    <w:basedOn w:val="1"/>
    <w:link w:val="94"/>
    <w:qFormat/>
    <w:uiPriority w:val="0"/>
    <w:pPr>
      <w:ind w:firstLine="560" w:firstLineChars="200"/>
    </w:pPr>
    <w:rPr>
      <w:rFonts w:eastAsia="仿宋_GB2312"/>
      <w:kern w:val="0"/>
      <w:sz w:val="28"/>
      <w:szCs w:val="20"/>
    </w:rPr>
  </w:style>
  <w:style w:type="character" w:customStyle="1" w:styleId="96">
    <w:name w:val="标题 3 Char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97">
    <w:name w:val="layui-layer-tabnow"/>
    <w:qFormat/>
    <w:uiPriority w:val="0"/>
    <w:rPr>
      <w:bdr w:val="single" w:color="CCCCCC" w:sz="6" w:space="0"/>
      <w:shd w:val="clear" w:color="auto" w:fill="FFFFFF"/>
    </w:rPr>
  </w:style>
  <w:style w:type="character" w:customStyle="1" w:styleId="98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9">
    <w:name w:val="--规划正文 Char Cha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00">
    <w:name w:val="unnamed3"/>
    <w:basedOn w:val="45"/>
    <w:qFormat/>
    <w:uiPriority w:val="0"/>
  </w:style>
  <w:style w:type="character" w:customStyle="1" w:styleId="101">
    <w:name w:val="gray6"/>
    <w:basedOn w:val="45"/>
    <w:qFormat/>
    <w:uiPriority w:val="0"/>
  </w:style>
  <w:style w:type="character" w:customStyle="1" w:styleId="102">
    <w:name w:val="fielderror"/>
    <w:qFormat/>
    <w:uiPriority w:val="0"/>
    <w:rPr>
      <w:color w:val="800000"/>
    </w:rPr>
  </w:style>
  <w:style w:type="character" w:customStyle="1" w:styleId="103">
    <w:name w:val="样式 小三 加粗"/>
    <w:qFormat/>
    <w:uiPriority w:val="0"/>
    <w:rPr>
      <w:rFonts w:eastAsia="宋体"/>
      <w:b/>
      <w:bCs/>
      <w:sz w:val="32"/>
    </w:rPr>
  </w:style>
  <w:style w:type="character" w:customStyle="1" w:styleId="104">
    <w:name w:val="active"/>
    <w:qFormat/>
    <w:uiPriority w:val="0"/>
    <w:rPr>
      <w:color w:val="FFFFFF"/>
    </w:rPr>
  </w:style>
  <w:style w:type="character" w:customStyle="1" w:styleId="105">
    <w:name w:val="font2"/>
    <w:basedOn w:val="45"/>
    <w:qFormat/>
    <w:uiPriority w:val="0"/>
  </w:style>
  <w:style w:type="character" w:customStyle="1" w:styleId="106">
    <w:name w:val="font11"/>
    <w:qFormat/>
    <w:uiPriority w:val="0"/>
    <w:rPr>
      <w:rFonts w:hint="default" w:ascii="ˎ̥" w:hAnsi="ˎ̥"/>
    </w:rPr>
  </w:style>
  <w:style w:type="character" w:customStyle="1" w:styleId="107">
    <w:name w:val="二 Char"/>
    <w:link w:val="108"/>
    <w:qFormat/>
    <w:uiPriority w:val="0"/>
    <w:rPr>
      <w:rFonts w:ascii="宋体" w:hAnsi="宋体" w:cs="宋体"/>
      <w:b/>
      <w:color w:val="000000"/>
      <w:sz w:val="24"/>
      <w:szCs w:val="24"/>
    </w:rPr>
  </w:style>
  <w:style w:type="paragraph" w:customStyle="1" w:styleId="108">
    <w:name w:val="二"/>
    <w:basedOn w:val="1"/>
    <w:link w:val="107"/>
    <w:qFormat/>
    <w:uiPriority w:val="0"/>
    <w:pPr>
      <w:widowControl/>
      <w:tabs>
        <w:tab w:val="left" w:pos="360"/>
      </w:tabs>
      <w:spacing w:line="360" w:lineRule="auto"/>
      <w:ind w:left="360" w:hanging="360"/>
      <w:jc w:val="left"/>
      <w:outlineLvl w:val="0"/>
    </w:pPr>
    <w:rPr>
      <w:rFonts w:ascii="宋体" w:hAnsi="宋体"/>
      <w:b/>
      <w:color w:val="000000"/>
      <w:kern w:val="0"/>
      <w:sz w:val="24"/>
    </w:rPr>
  </w:style>
  <w:style w:type="character" w:customStyle="1" w:styleId="109">
    <w:name w:val="text"/>
    <w:basedOn w:val="45"/>
    <w:qFormat/>
    <w:uiPriority w:val="0"/>
  </w:style>
  <w:style w:type="character" w:customStyle="1" w:styleId="110">
    <w:name w:val="unnamed4"/>
    <w:basedOn w:val="45"/>
    <w:qFormat/>
    <w:uiPriority w:val="0"/>
  </w:style>
  <w:style w:type="character" w:customStyle="1" w:styleId="111">
    <w:name w:val="H4 Char2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112">
    <w:name w:val="章标题1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13">
    <w:name w:val="proddescription"/>
    <w:basedOn w:val="45"/>
    <w:qFormat/>
    <w:uiPriority w:val="0"/>
  </w:style>
  <w:style w:type="character" w:customStyle="1" w:styleId="114">
    <w:name w:val="--规划正文 Char1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15">
    <w:name w:val="第*章 Char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16">
    <w:name w:val="_Style 192"/>
    <w:unhideWhenUsed/>
    <w:qFormat/>
    <w:uiPriority w:val="99"/>
    <w:rPr>
      <w:color w:val="605E5C"/>
      <w:shd w:val="clear" w:color="auto" w:fill="E1DFDD"/>
    </w:rPr>
  </w:style>
  <w:style w:type="character" w:customStyle="1" w:styleId="117">
    <w:name w:val="prodheadlines"/>
    <w:basedOn w:val="45"/>
    <w:qFormat/>
    <w:uiPriority w:val="0"/>
  </w:style>
  <w:style w:type="character" w:customStyle="1" w:styleId="118">
    <w:name w:val="font"/>
    <w:basedOn w:val="45"/>
    <w:qFormat/>
    <w:uiPriority w:val="0"/>
  </w:style>
  <w:style w:type="character" w:customStyle="1" w:styleId="119">
    <w:name w:val="grame"/>
    <w:basedOn w:val="45"/>
    <w:qFormat/>
    <w:uiPriority w:val="0"/>
  </w:style>
  <w:style w:type="character" w:customStyle="1" w:styleId="120">
    <w:name w:val="mode"/>
    <w:basedOn w:val="45"/>
    <w:qFormat/>
    <w:uiPriority w:val="0"/>
  </w:style>
  <w:style w:type="character" w:customStyle="1" w:styleId="121">
    <w:name w:val="first-child"/>
    <w:basedOn w:val="45"/>
    <w:qFormat/>
    <w:uiPriority w:val="0"/>
  </w:style>
  <w:style w:type="character" w:customStyle="1" w:styleId="122">
    <w:name w:val="content1"/>
    <w:qFormat/>
    <w:uiPriority w:val="0"/>
    <w:rPr>
      <w:rFonts w:hint="default" w:ascii="??" w:hAnsi="??"/>
      <w:sz w:val="16"/>
      <w:szCs w:val="16"/>
      <w:u w:val="none"/>
    </w:rPr>
  </w:style>
  <w:style w:type="character" w:customStyle="1" w:styleId="123">
    <w:name w:val="active6"/>
    <w:qFormat/>
    <w:uiPriority w:val="0"/>
    <w:rPr>
      <w:color w:val="FFFFFF"/>
    </w:rPr>
  </w:style>
  <w:style w:type="character" w:customStyle="1" w:styleId="124">
    <w:name w:val="info4"/>
    <w:basedOn w:val="45"/>
    <w:qFormat/>
    <w:uiPriority w:val="0"/>
  </w:style>
  <w:style w:type="character" w:customStyle="1" w:styleId="125">
    <w:name w:val="font41"/>
    <w:qFormat/>
    <w:uiPriority w:val="0"/>
    <w:rPr>
      <w:color w:val="000000"/>
      <w:spacing w:val="260"/>
      <w:sz w:val="18"/>
      <w:szCs w:val="18"/>
      <w:u w:val="none"/>
    </w:rPr>
  </w:style>
  <w:style w:type="character" w:customStyle="1" w:styleId="126">
    <w:name w:val="blue"/>
    <w:basedOn w:val="45"/>
    <w:qFormat/>
    <w:uiPriority w:val="0"/>
  </w:style>
  <w:style w:type="character" w:customStyle="1" w:styleId="127">
    <w:name w:val="style9"/>
    <w:basedOn w:val="45"/>
    <w:qFormat/>
    <w:uiPriority w:val="0"/>
  </w:style>
  <w:style w:type="character" w:customStyle="1" w:styleId="128">
    <w:name w:val="layui-this"/>
    <w:qFormat/>
    <w:uiPriority w:val="0"/>
    <w:rPr>
      <w:bdr w:val="single" w:color="EEEEEE" w:sz="6" w:space="0"/>
      <w:shd w:val="clear" w:color="auto" w:fill="FFFFFF"/>
    </w:rPr>
  </w:style>
  <w:style w:type="paragraph" w:customStyle="1" w:styleId="12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30">
    <w:name w:val="Char Char Char Char Char Char1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131">
    <w:name w:val="保留正文"/>
    <w:basedOn w:val="20"/>
    <w:qFormat/>
    <w:uiPriority w:val="0"/>
    <w:pPr>
      <w:keepNext/>
      <w:tabs>
        <w:tab w:val="left" w:pos="562"/>
        <w:tab w:val="left" w:pos="3372"/>
        <w:tab w:val="left" w:pos="3653"/>
      </w:tabs>
      <w:spacing w:after="160"/>
    </w:pPr>
    <w:rPr>
      <w:sz w:val="21"/>
    </w:rPr>
  </w:style>
  <w:style w:type="paragraph" w:customStyle="1" w:styleId="132">
    <w:name w:val="1111111111111"/>
    <w:basedOn w:val="1"/>
    <w:qFormat/>
    <w:uiPriority w:val="0"/>
    <w:pPr>
      <w:numPr>
        <w:ilvl w:val="0"/>
        <w:numId w:val="2"/>
      </w:numPr>
    </w:pPr>
  </w:style>
  <w:style w:type="paragraph" w:customStyle="1" w:styleId="133">
    <w:name w:val="列出段落1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customStyle="1" w:styleId="134">
    <w:name w:val="Table Paragraph"/>
    <w:basedOn w:val="1"/>
    <w:qFormat/>
    <w:uiPriority w:val="99"/>
    <w:pPr>
      <w:autoSpaceDE w:val="0"/>
      <w:autoSpaceDN w:val="0"/>
      <w:adjustRightInd w:val="0"/>
      <w:jc w:val="left"/>
    </w:pPr>
    <w:rPr>
      <w:rFonts w:ascii="宋体" w:hAnsi="宋体" w:cs="宋体"/>
      <w:kern w:val="0"/>
      <w:sz w:val="24"/>
    </w:rPr>
  </w:style>
  <w:style w:type="paragraph" w:customStyle="1" w:styleId="135">
    <w:name w:val="正文规范"/>
    <w:basedOn w:val="1"/>
    <w:qFormat/>
    <w:uiPriority w:val="0"/>
    <w:pPr>
      <w:spacing w:line="420" w:lineRule="auto"/>
      <w:ind w:firstLine="200" w:firstLineChars="200"/>
    </w:pPr>
    <w:rPr>
      <w:rFonts w:cs="Calibri"/>
      <w:kern w:val="0"/>
      <w:sz w:val="24"/>
      <w:szCs w:val="21"/>
    </w:rPr>
  </w:style>
  <w:style w:type="paragraph" w:customStyle="1" w:styleId="136">
    <w:name w:val="7"/>
    <w:basedOn w:val="1"/>
    <w:qFormat/>
    <w:uiPriority w:val="0"/>
    <w:pPr>
      <w:autoSpaceDE w:val="0"/>
      <w:autoSpaceDN w:val="0"/>
      <w:adjustRightInd w:val="0"/>
      <w:spacing w:line="270" w:lineRule="atLeast"/>
      <w:jc w:val="left"/>
    </w:pPr>
    <w:rPr>
      <w:rFonts w:ascii="宋体"/>
      <w:kern w:val="0"/>
      <w:sz w:val="18"/>
      <w:szCs w:val="18"/>
    </w:rPr>
  </w:style>
  <w:style w:type="paragraph" w:customStyle="1" w:styleId="137">
    <w:name w:val="--编号内缩进"/>
    <w:basedOn w:val="1"/>
    <w:qFormat/>
    <w:uiPriority w:val="0"/>
    <w:pPr>
      <w:spacing w:line="360" w:lineRule="auto"/>
      <w:ind w:left="420" w:firstLine="200" w:firstLineChars="200"/>
    </w:pPr>
    <w:rPr>
      <w:szCs w:val="21"/>
    </w:rPr>
  </w:style>
  <w:style w:type="paragraph" w:customStyle="1" w:styleId="138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paragraph" w:customStyle="1" w:styleId="139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40">
    <w:name w:val="Char1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41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2">
    <w:name w:val="a14"/>
    <w:basedOn w:val="1"/>
    <w:qFormat/>
    <w:uiPriority w:val="0"/>
    <w:pPr>
      <w:widowControl/>
      <w:spacing w:before="100" w:beforeAutospacing="1" w:after="100" w:afterAutospacing="1" w:line="300" w:lineRule="atLeast"/>
      <w:ind w:firstLine="375"/>
      <w:jc w:val="left"/>
    </w:pPr>
    <w:rPr>
      <w:rFonts w:ascii="宋体" w:hAnsi="宋体" w:cs="宋体"/>
      <w:kern w:val="0"/>
      <w:szCs w:val="21"/>
    </w:rPr>
  </w:style>
  <w:style w:type="paragraph" w:customStyle="1" w:styleId="143">
    <w:name w:val="xl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b/>
      <w:bCs/>
      <w:kern w:val="0"/>
      <w:sz w:val="28"/>
      <w:szCs w:val="28"/>
    </w:rPr>
  </w:style>
  <w:style w:type="paragraph" w:customStyle="1" w:styleId="144">
    <w:name w:val=".."/>
    <w:basedOn w:val="1"/>
    <w:next w:val="1"/>
    <w:qFormat/>
    <w:uiPriority w:val="0"/>
    <w:pPr>
      <w:autoSpaceDE w:val="0"/>
      <w:autoSpaceDN w:val="0"/>
      <w:adjustRightInd w:val="0"/>
      <w:jc w:val="left"/>
    </w:pPr>
    <w:rPr>
      <w:rFonts w:ascii="Arial Unicode MS" w:hAnsi="Times New Roman" w:eastAsia="Arial Unicode MS"/>
      <w:kern w:val="0"/>
      <w:sz w:val="24"/>
    </w:rPr>
  </w:style>
  <w:style w:type="paragraph" w:customStyle="1" w:styleId="145">
    <w:name w:val="段落正文"/>
    <w:basedOn w:val="23"/>
    <w:qFormat/>
    <w:uiPriority w:val="0"/>
    <w:pPr>
      <w:ind w:firstLine="560" w:firstLineChars="200"/>
    </w:pPr>
    <w:rPr>
      <w:sz w:val="28"/>
    </w:rPr>
  </w:style>
  <w:style w:type="paragraph" w:customStyle="1" w:styleId="146">
    <w:name w:val="设计依据"/>
    <w:basedOn w:val="20"/>
    <w:qFormat/>
    <w:uiPriority w:val="0"/>
    <w:pPr>
      <w:numPr>
        <w:ilvl w:val="1"/>
        <w:numId w:val="3"/>
      </w:numPr>
      <w:tabs>
        <w:tab w:val="left" w:pos="1440"/>
        <w:tab w:val="clear" w:pos="840"/>
      </w:tabs>
      <w:adjustRightInd w:val="0"/>
      <w:ind w:left="1440"/>
      <w:textAlignment w:val="baseline"/>
    </w:pPr>
    <w:rPr>
      <w:rFonts w:ascii="宋体" w:hAnsi="宋体"/>
      <w:b w:val="0"/>
      <w:kern w:val="0"/>
      <w:sz w:val="28"/>
      <w:szCs w:val="18"/>
    </w:rPr>
  </w:style>
  <w:style w:type="paragraph" w:customStyle="1" w:styleId="147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148">
    <w:name w:val="样式4"/>
    <w:basedOn w:val="1"/>
    <w:qFormat/>
    <w:uiPriority w:val="0"/>
    <w:pPr>
      <w:tabs>
        <w:tab w:val="left" w:pos="842"/>
      </w:tabs>
      <w:spacing w:line="360" w:lineRule="auto"/>
      <w:ind w:left="842" w:hanging="420"/>
    </w:pPr>
    <w:rPr>
      <w:sz w:val="24"/>
    </w:rPr>
  </w:style>
  <w:style w:type="paragraph" w:customStyle="1" w:styleId="149">
    <w:name w:val="--规划-小标题"/>
    <w:basedOn w:val="1"/>
    <w:next w:val="150"/>
    <w:qFormat/>
    <w:uiPriority w:val="0"/>
    <w:pPr>
      <w:keepNext/>
      <w:keepLines/>
      <w:spacing w:line="360" w:lineRule="auto"/>
      <w:outlineLvl w:val="4"/>
    </w:pPr>
    <w:rPr>
      <w:rFonts w:eastAsia="黑体"/>
    </w:rPr>
  </w:style>
  <w:style w:type="paragraph" w:customStyle="1" w:styleId="150">
    <w:name w:val="--规划正文"/>
    <w:basedOn w:val="1"/>
    <w:qFormat/>
    <w:uiPriority w:val="0"/>
    <w:pPr>
      <w:spacing w:line="360" w:lineRule="auto"/>
      <w:ind w:firstLine="200" w:firstLineChars="200"/>
    </w:pPr>
    <w:rPr>
      <w:szCs w:val="20"/>
    </w:rPr>
  </w:style>
  <w:style w:type="paragraph" w:customStyle="1" w:styleId="151">
    <w:name w:val="*正文"/>
    <w:basedOn w:val="1"/>
    <w:qFormat/>
    <w:uiPriority w:val="0"/>
    <w:pPr>
      <w:spacing w:line="360" w:lineRule="auto"/>
      <w:ind w:firstLine="200" w:firstLineChars="200"/>
    </w:pPr>
    <w:rPr>
      <w:rFonts w:ascii="宋体" w:hAnsi="宋体"/>
      <w:kern w:val="0"/>
      <w:sz w:val="24"/>
    </w:rPr>
  </w:style>
  <w:style w:type="paragraph" w:customStyle="1" w:styleId="152">
    <w:name w:val="正文(首行缩进)"/>
    <w:qFormat/>
    <w:uiPriority w:val="0"/>
    <w:pPr>
      <w:spacing w:line="360" w:lineRule="auto"/>
      <w:ind w:firstLine="488" w:firstLineChars="200"/>
      <w:jc w:val="both"/>
    </w:pPr>
    <w:rPr>
      <w:rFonts w:ascii="Times New Roman" w:hAnsi="Times New Roman" w:eastAsia="仿宋_GB2312" w:cs="Times New Roman"/>
      <w:spacing w:val="2"/>
      <w:sz w:val="24"/>
      <w:szCs w:val="24"/>
      <w:lang w:val="en-US" w:eastAsia="zh-CN" w:bidi="ar-SA"/>
    </w:rPr>
  </w:style>
  <w:style w:type="paragraph" w:customStyle="1" w:styleId="153">
    <w:name w:val="z-窗体底端1"/>
    <w:basedOn w:val="1"/>
    <w:next w:val="1"/>
    <w:qFormat/>
    <w:uiPriority w:val="0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154">
    <w:name w:val="--规划-图和表"/>
    <w:next w:val="150"/>
    <w:qFormat/>
    <w:uiPriority w:val="0"/>
    <w:pPr>
      <w:jc w:val="center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55">
    <w:name w:val="编号1"/>
    <w:basedOn w:val="1"/>
    <w:qFormat/>
    <w:uiPriority w:val="0"/>
    <w:pPr>
      <w:numPr>
        <w:ilvl w:val="0"/>
        <w:numId w:val="4"/>
      </w:numPr>
      <w:adjustRightInd w:val="0"/>
      <w:spacing w:line="300" w:lineRule="auto"/>
      <w:ind w:right="210"/>
      <w:textAlignment w:val="center"/>
    </w:pPr>
    <w:rPr>
      <w:rFonts w:ascii="宋体" w:hAnsi="宋体"/>
      <w:snapToGrid w:val="0"/>
      <w:spacing w:val="10"/>
      <w:kern w:val="24"/>
    </w:rPr>
  </w:style>
  <w:style w:type="paragraph" w:customStyle="1" w:styleId="156">
    <w:name w:val="Char2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57">
    <w:name w:val="8"/>
    <w:basedOn w:val="1"/>
    <w:next w:val="3"/>
    <w:qFormat/>
    <w:uiPriority w:val="0"/>
    <w:pPr>
      <w:spacing w:after="120"/>
      <w:ind w:left="420" w:leftChars="200"/>
    </w:pPr>
  </w:style>
  <w:style w:type="paragraph" w:customStyle="1" w:styleId="158">
    <w:name w:val="USE 1"/>
    <w:basedOn w:val="1"/>
    <w:qFormat/>
    <w:uiPriority w:val="0"/>
    <w:pPr>
      <w:spacing w:line="200" w:lineRule="atLeast"/>
      <w:jc w:val="left"/>
    </w:pPr>
    <w:rPr>
      <w:rFonts w:ascii="宋体" w:hAnsi="宋体"/>
      <w:b/>
      <w:sz w:val="24"/>
      <w:szCs w:val="28"/>
    </w:rPr>
  </w:style>
  <w:style w:type="paragraph" w:customStyle="1" w:styleId="159">
    <w:name w:val="5"/>
    <w:basedOn w:val="1"/>
    <w:qFormat/>
    <w:uiPriority w:val="0"/>
    <w:pPr>
      <w:autoSpaceDE w:val="0"/>
      <w:autoSpaceDN w:val="0"/>
      <w:adjustRightInd w:val="0"/>
      <w:jc w:val="left"/>
    </w:pPr>
    <w:rPr>
      <w:rFonts w:ascii="宋体"/>
      <w:b/>
      <w:bCs/>
      <w:kern w:val="0"/>
      <w:sz w:val="18"/>
      <w:szCs w:val="18"/>
    </w:rPr>
  </w:style>
  <w:style w:type="paragraph" w:customStyle="1" w:styleId="160">
    <w:name w:val="RFI text from 3rd Level"/>
    <w:basedOn w:val="1"/>
    <w:qFormat/>
    <w:uiPriority w:val="0"/>
    <w:pPr>
      <w:widowControl/>
      <w:numPr>
        <w:ilvl w:val="0"/>
        <w:numId w:val="5"/>
      </w:numPr>
      <w:tabs>
        <w:tab w:val="left" w:pos="1080"/>
        <w:tab w:val="clear" w:pos="840"/>
      </w:tabs>
      <w:spacing w:beforeLines="50" w:line="360" w:lineRule="auto"/>
      <w:ind w:left="0" w:firstLine="0"/>
    </w:pPr>
    <w:rPr>
      <w:rFonts w:ascii="Arial (W1)" w:hAnsi="Arial (W1)"/>
      <w:bCs/>
      <w:kern w:val="0"/>
      <w:sz w:val="24"/>
      <w:lang w:val="en-GB"/>
    </w:rPr>
  </w:style>
  <w:style w:type="paragraph" w:customStyle="1" w:styleId="161">
    <w:name w:val="_Style 1"/>
    <w:qFormat/>
    <w:uiPriority w:val="99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customStyle="1" w:styleId="162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63">
    <w:name w:val="00"/>
    <w:basedOn w:val="1"/>
    <w:qFormat/>
    <w:uiPriority w:val="0"/>
    <w:pPr>
      <w:autoSpaceDE w:val="0"/>
      <w:autoSpaceDN w:val="0"/>
      <w:adjustRightInd w:val="0"/>
      <w:jc w:val="left"/>
    </w:pPr>
    <w:rPr>
      <w:rFonts w:ascii="黑体" w:eastAsia="黑体"/>
      <w:b/>
      <w:bCs/>
      <w:kern w:val="0"/>
      <w:sz w:val="20"/>
      <w:szCs w:val="20"/>
    </w:rPr>
  </w:style>
  <w:style w:type="paragraph" w:customStyle="1" w:styleId="164">
    <w:name w:val="xl34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165">
    <w:name w:val="2册标题4"/>
    <w:basedOn w:val="1"/>
    <w:next w:val="1"/>
    <w:qFormat/>
    <w:uiPriority w:val="0"/>
    <w:pPr>
      <w:spacing w:beforeLines="50" w:afterLines="50" w:line="300" w:lineRule="auto"/>
      <w:ind w:left="420" w:leftChars="200"/>
      <w:outlineLvl w:val="3"/>
    </w:pPr>
    <w:rPr>
      <w:rFonts w:ascii="Arial" w:hAnsi="Arial" w:eastAsia="幼圆" w:cs="Arial"/>
      <w:b/>
      <w:sz w:val="24"/>
    </w:rPr>
  </w:style>
  <w:style w:type="paragraph" w:customStyle="1" w:styleId="166">
    <w:name w:val="Char1"/>
    <w:basedOn w:val="1"/>
    <w:qFormat/>
    <w:uiPriority w:val="0"/>
    <w:pPr>
      <w:jc w:val="left"/>
    </w:pPr>
    <w:rPr>
      <w:rFonts w:ascii="Tahoma" w:hAnsi="Tahoma"/>
      <w:sz w:val="24"/>
      <w:szCs w:val="20"/>
    </w:rPr>
  </w:style>
  <w:style w:type="paragraph" w:customStyle="1" w:styleId="167">
    <w:name w:val="Table Contents"/>
    <w:basedOn w:val="1"/>
    <w:qFormat/>
    <w:uiPriority w:val="0"/>
    <w:pPr>
      <w:suppressAutoHyphens/>
      <w:autoSpaceDE w:val="0"/>
      <w:spacing w:after="120"/>
      <w:jc w:val="left"/>
    </w:pPr>
    <w:rPr>
      <w:rFonts w:ascii="Helvetica" w:hAnsi="Helvetica"/>
      <w:kern w:val="1"/>
      <w:sz w:val="20"/>
      <w:szCs w:val="20"/>
    </w:rPr>
  </w:style>
  <w:style w:type="paragraph" w:customStyle="1" w:styleId="168">
    <w:name w:val="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9">
    <w:name w:val="Normal Paragraph"/>
    <w:basedOn w:val="1"/>
    <w:qFormat/>
    <w:uiPriority w:val="0"/>
    <w:pPr>
      <w:widowControl/>
      <w:spacing w:before="120" w:line="360" w:lineRule="auto"/>
      <w:ind w:firstLine="425"/>
    </w:pPr>
    <w:rPr>
      <w:kern w:val="0"/>
      <w:sz w:val="24"/>
    </w:rPr>
  </w:style>
  <w:style w:type="paragraph" w:customStyle="1" w:styleId="170">
    <w:name w:val="Char Char Char Char Char Char Char Char Char Char Char Char Char Char Char Char Char Char Char Char Char Char"/>
    <w:basedOn w:val="1"/>
    <w:qFormat/>
    <w:uiPriority w:val="0"/>
    <w:pPr>
      <w:widowControl/>
      <w:spacing w:line="400" w:lineRule="exact"/>
      <w:jc w:val="center"/>
    </w:pPr>
    <w:rPr>
      <w:rFonts w:ascii="Verdana" w:hAnsi="Verdana"/>
      <w:kern w:val="0"/>
      <w:szCs w:val="20"/>
      <w:lang w:eastAsia="en-US"/>
    </w:rPr>
  </w:style>
  <w:style w:type="paragraph" w:customStyle="1" w:styleId="171">
    <w:name w:val="--规划-表格-居中"/>
    <w:basedOn w:val="150"/>
    <w:qFormat/>
    <w:uiPriority w:val="0"/>
    <w:pPr>
      <w:spacing w:line="240" w:lineRule="auto"/>
      <w:ind w:firstLine="0" w:firstLineChars="0"/>
      <w:jc w:val="center"/>
    </w:pPr>
    <w:rPr>
      <w:sz w:val="20"/>
    </w:rPr>
  </w:style>
  <w:style w:type="paragraph" w:customStyle="1" w:styleId="172">
    <w:name w:val="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3">
    <w:name w:val="自定义正文"/>
    <w:basedOn w:val="1"/>
    <w:qFormat/>
    <w:uiPriority w:val="0"/>
    <w:pPr>
      <w:spacing w:afterLines="50"/>
      <w:ind w:left="600" w:leftChars="600"/>
    </w:pPr>
  </w:style>
  <w:style w:type="paragraph" w:customStyle="1" w:styleId="174">
    <w:name w:val="产品描述"/>
    <w:qFormat/>
    <w:uiPriority w:val="0"/>
    <w:pPr>
      <w:widowControl w:val="0"/>
      <w:autoSpaceDE w:val="0"/>
      <w:autoSpaceDN w:val="0"/>
      <w:adjustRightInd w:val="0"/>
      <w:spacing w:line="270" w:lineRule="atLeast"/>
      <w:ind w:firstLine="397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75">
    <w:name w:val="样式3"/>
    <w:basedOn w:val="4"/>
    <w:qFormat/>
    <w:uiPriority w:val="0"/>
    <w:pPr>
      <w:numPr>
        <w:ilvl w:val="0"/>
        <w:numId w:val="6"/>
      </w:numPr>
      <w:spacing w:before="240" w:after="240" w:line="480" w:lineRule="auto"/>
      <w:ind w:right="210" w:rightChars="100"/>
      <w:jc w:val="left"/>
    </w:pPr>
    <w:rPr>
      <w:sz w:val="32"/>
    </w:rPr>
  </w:style>
  <w:style w:type="paragraph" w:customStyle="1" w:styleId="176">
    <w:name w:val="列表项目"/>
    <w:basedOn w:val="1"/>
    <w:qFormat/>
    <w:uiPriority w:val="0"/>
    <w:pPr>
      <w:tabs>
        <w:tab w:val="left" w:pos="420"/>
        <w:tab w:val="left" w:pos="1080"/>
      </w:tabs>
      <w:spacing w:line="288" w:lineRule="auto"/>
      <w:ind w:left="1080" w:hanging="360"/>
    </w:pPr>
    <w:rPr>
      <w:sz w:val="24"/>
      <w:szCs w:val="20"/>
    </w:rPr>
  </w:style>
  <w:style w:type="paragraph" w:customStyle="1" w:styleId="177">
    <w:name w:val="--规划-表格-居左"/>
    <w:basedOn w:val="150"/>
    <w:qFormat/>
    <w:uiPriority w:val="0"/>
    <w:pPr>
      <w:spacing w:line="240" w:lineRule="auto"/>
      <w:ind w:firstLine="0" w:firstLineChars="0"/>
    </w:pPr>
    <w:rPr>
      <w:sz w:val="20"/>
    </w:rPr>
  </w:style>
  <w:style w:type="paragraph" w:customStyle="1" w:styleId="178">
    <w:name w:val="小标题 1"/>
    <w:basedOn w:val="1"/>
    <w:qFormat/>
    <w:uiPriority w:val="0"/>
    <w:pPr>
      <w:autoSpaceDE w:val="0"/>
      <w:autoSpaceDN w:val="0"/>
      <w:adjustRightInd w:val="0"/>
      <w:spacing w:line="360" w:lineRule="atLeast"/>
    </w:pPr>
    <w:rPr>
      <w:rFonts w:ascii="文鼎粗黑" w:eastAsia="文鼎粗黑"/>
      <w:kern w:val="0"/>
      <w:sz w:val="22"/>
      <w:szCs w:val="20"/>
    </w:rPr>
  </w:style>
  <w:style w:type="paragraph" w:customStyle="1" w:styleId="179">
    <w:name w:val="样式2"/>
    <w:basedOn w:val="40"/>
    <w:next w:val="180"/>
    <w:qFormat/>
    <w:uiPriority w:val="0"/>
    <w:pPr>
      <w:spacing w:before="120" w:after="120"/>
    </w:pPr>
    <w:rPr>
      <w:rFonts w:eastAsia="黑体"/>
      <w:b w:val="0"/>
      <w:sz w:val="30"/>
      <w:szCs w:val="30"/>
    </w:rPr>
  </w:style>
  <w:style w:type="paragraph" w:customStyle="1" w:styleId="180">
    <w:name w:val="样式1"/>
    <w:basedOn w:val="40"/>
    <w:qFormat/>
    <w:uiPriority w:val="0"/>
    <w:pPr>
      <w:spacing w:before="120" w:after="120"/>
    </w:pPr>
    <w:rPr>
      <w:rFonts w:eastAsia="黑体"/>
      <w:b w:val="0"/>
      <w:sz w:val="30"/>
      <w:szCs w:val="21"/>
    </w:rPr>
  </w:style>
  <w:style w:type="paragraph" w:customStyle="1" w:styleId="181">
    <w:name w:val="样式41"/>
    <w:basedOn w:val="1"/>
    <w:qFormat/>
    <w:uiPriority w:val="0"/>
    <w:pPr>
      <w:numPr>
        <w:ilvl w:val="0"/>
        <w:numId w:val="7"/>
      </w:numPr>
      <w:tabs>
        <w:tab w:val="left" w:pos="945"/>
      </w:tabs>
      <w:spacing w:line="360" w:lineRule="auto"/>
    </w:pPr>
    <w:rPr>
      <w:b/>
      <w:color w:val="000000"/>
      <w:sz w:val="24"/>
      <w:szCs w:val="20"/>
    </w:rPr>
  </w:style>
  <w:style w:type="paragraph" w:customStyle="1" w:styleId="182">
    <w:name w:val="表内容不缩进"/>
    <w:basedOn w:val="1"/>
    <w:qFormat/>
    <w:uiPriority w:val="0"/>
    <w:pPr>
      <w:spacing w:afterLines="25" w:line="560" w:lineRule="exact"/>
    </w:pPr>
    <w:rPr>
      <w:rFonts w:ascii="仿宋_GB2312" w:hAnsi="等线" w:eastAsia="仿宋_GB2312"/>
      <w:sz w:val="24"/>
      <w:szCs w:val="22"/>
    </w:rPr>
  </w:style>
  <w:style w:type="paragraph" w:customStyle="1" w:styleId="183">
    <w:name w:val="blu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185">
    <w:name w:val="正文1"/>
    <w:basedOn w:val="1"/>
    <w:qFormat/>
    <w:uiPriority w:val="0"/>
    <w:pPr>
      <w:spacing w:line="318" w:lineRule="atLeast"/>
      <w:ind w:left="369" w:firstLine="369"/>
    </w:pPr>
    <w:rPr>
      <w:rFonts w:ascii="宋体"/>
    </w:rPr>
  </w:style>
  <w:style w:type="paragraph" w:customStyle="1" w:styleId="186">
    <w:name w:val="方案要点"/>
    <w:basedOn w:val="1"/>
    <w:qFormat/>
    <w:uiPriority w:val="0"/>
    <w:pPr>
      <w:numPr>
        <w:ilvl w:val="0"/>
        <w:numId w:val="3"/>
      </w:numPr>
      <w:spacing w:line="360" w:lineRule="auto"/>
    </w:pPr>
    <w:rPr>
      <w:rFonts w:ascii="仿宋_GB2312" w:hAnsi="宋体" w:eastAsia="仿宋_GB2312"/>
      <w:color w:val="000000"/>
      <w:sz w:val="28"/>
      <w:szCs w:val="28"/>
    </w:rPr>
  </w:style>
  <w:style w:type="paragraph" w:customStyle="1" w:styleId="187">
    <w:name w:val="无间隔1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8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189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90">
    <w:name w:val="修订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1">
    <w:name w:val="qw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192">
    <w:name w:val="--规划-题注"/>
    <w:basedOn w:val="1"/>
    <w:next w:val="150"/>
    <w:qFormat/>
    <w:uiPriority w:val="0"/>
    <w:pPr>
      <w:spacing w:line="360" w:lineRule="auto"/>
      <w:jc w:val="center"/>
    </w:pPr>
    <w:rPr>
      <w:rFonts w:eastAsia="黑体"/>
    </w:rPr>
  </w:style>
  <w:style w:type="paragraph" w:customStyle="1" w:styleId="193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94">
    <w:name w:val="正文样式"/>
    <w:basedOn w:val="1"/>
    <w:qFormat/>
    <w:uiPriority w:val="0"/>
    <w:pPr>
      <w:adjustRightInd w:val="0"/>
      <w:spacing w:line="400" w:lineRule="atLeast"/>
      <w:ind w:firstLine="570" w:firstLineChars="203"/>
      <w:textAlignment w:val="baseline"/>
    </w:pPr>
    <w:rPr>
      <w:rFonts w:eastAsia="仿宋_GB2312"/>
      <w:kern w:val="0"/>
      <w:sz w:val="28"/>
      <w:szCs w:val="20"/>
    </w:rPr>
  </w:style>
  <w:style w:type="paragraph" w:customStyle="1" w:styleId="195">
    <w:name w:val="È±Ê¡ÎÄ±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  <w:szCs w:val="20"/>
    </w:rPr>
  </w:style>
  <w:style w:type="paragraph" w:customStyle="1" w:styleId="196">
    <w:name w:val="首行缩进:  0.85 厘米"/>
    <w:basedOn w:val="1"/>
    <w:qFormat/>
    <w:uiPriority w:val="0"/>
    <w:pPr>
      <w:widowControl/>
      <w:spacing w:after="100" w:line="360" w:lineRule="auto"/>
      <w:ind w:firstLine="482"/>
      <w:jc w:val="left"/>
    </w:pPr>
    <w:rPr>
      <w:rFonts w:cs="宋体"/>
      <w:kern w:val="0"/>
      <w:sz w:val="24"/>
      <w:szCs w:val="20"/>
      <w:lang w:eastAsia="en-US" w:bidi="en-US"/>
    </w:rPr>
  </w:style>
  <w:style w:type="paragraph" w:customStyle="1" w:styleId="197">
    <w:name w:val="正文_0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98">
    <w:name w:val="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99">
    <w:name w:val="style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00">
    <w:name w:val="汉议细等线简8"/>
    <w:qFormat/>
    <w:uiPriority w:val="0"/>
    <w:pPr>
      <w:widowControl w:val="0"/>
      <w:autoSpaceDE w:val="0"/>
      <w:autoSpaceDN w:val="0"/>
      <w:adjustRightInd w:val="0"/>
      <w:spacing w:line="260" w:lineRule="atLeast"/>
      <w:jc w:val="both"/>
    </w:pPr>
    <w:rPr>
      <w:rFonts w:ascii="汉仪细等线简" w:hAnsi="Times New Roman" w:eastAsia="汉仪细等线简" w:cs="Times New Roman"/>
      <w:color w:val="000000"/>
      <w:sz w:val="16"/>
      <w:szCs w:val="16"/>
      <w:lang w:val="en-US" w:eastAsia="zh-CN" w:bidi="ar-SA"/>
    </w:rPr>
  </w:style>
  <w:style w:type="paragraph" w:customStyle="1" w:styleId="201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</w:rPr>
  </w:style>
  <w:style w:type="paragraph" w:styleId="202">
    <w:name w:val="List Paragraph"/>
    <w:basedOn w:val="1"/>
    <w:qFormat/>
    <w:uiPriority w:val="0"/>
    <w:pPr>
      <w:ind w:firstLine="420" w:firstLineChars="200"/>
    </w:pPr>
    <w:rPr>
      <w:szCs w:val="22"/>
    </w:rPr>
  </w:style>
  <w:style w:type="paragraph" w:customStyle="1" w:styleId="203">
    <w:name w:val="正文(首行缩进) Char"/>
    <w:qFormat/>
    <w:uiPriority w:val="0"/>
    <w:pPr>
      <w:spacing w:before="120" w:after="60" w:line="360" w:lineRule="auto"/>
      <w:ind w:firstLine="200" w:firstLineChars="200"/>
    </w:pPr>
    <w:rPr>
      <w:rFonts w:ascii="Times New Roman" w:hAnsi="Times New Roman" w:eastAsia="仿宋_GB2312" w:cs="Times New Roman"/>
      <w:spacing w:val="2"/>
      <w:kern w:val="24"/>
      <w:sz w:val="24"/>
      <w:szCs w:val="24"/>
      <w:lang w:val="en-US" w:eastAsia="zh-CN" w:bidi="ar-SA"/>
    </w:rPr>
  </w:style>
  <w:style w:type="paragraph" w:customStyle="1" w:styleId="204">
    <w:name w:val="封面文档标题"/>
    <w:basedOn w:val="1"/>
    <w:qFormat/>
    <w:uiPriority w:val="0"/>
    <w:pPr>
      <w:autoSpaceDE w:val="0"/>
      <w:autoSpaceDN w:val="0"/>
      <w:adjustRightInd w:val="0"/>
      <w:spacing w:line="360" w:lineRule="auto"/>
      <w:jc w:val="center"/>
    </w:pPr>
    <w:rPr>
      <w:rFonts w:ascii="Arial" w:hAnsi="Arial"/>
      <w:b/>
      <w:kern w:val="0"/>
      <w:sz w:val="56"/>
    </w:rPr>
  </w:style>
  <w:style w:type="paragraph" w:customStyle="1" w:styleId="205">
    <w:name w:val="cont"/>
    <w:basedOn w:val="1"/>
    <w:qFormat/>
    <w:uiPriority w:val="0"/>
    <w:pPr>
      <w:adjustRightInd w:val="0"/>
      <w:spacing w:before="100" w:after="100" w:line="360" w:lineRule="auto"/>
      <w:ind w:firstLine="200" w:firstLineChars="200"/>
      <w:jc w:val="left"/>
      <w:textAlignment w:val="baseline"/>
    </w:pPr>
    <w:rPr>
      <w:rFonts w:ascii="Arial" w:hAnsi="Arial"/>
      <w:kern w:val="0"/>
      <w:sz w:val="24"/>
      <w:szCs w:val="20"/>
    </w:rPr>
  </w:style>
  <w:style w:type="paragraph" w:customStyle="1" w:styleId="206">
    <w:name w:val="表格字"/>
    <w:basedOn w:val="1"/>
    <w:qFormat/>
    <w:uiPriority w:val="0"/>
    <w:pPr>
      <w:adjustRightInd w:val="0"/>
      <w:jc w:val="center"/>
    </w:pPr>
    <w:rPr>
      <w:rFonts w:ascii="宋体"/>
      <w:sz w:val="24"/>
      <w:szCs w:val="20"/>
    </w:rPr>
  </w:style>
  <w:style w:type="paragraph" w:customStyle="1" w:styleId="207">
    <w:name w:val="正文文字缩进项目"/>
    <w:basedOn w:val="3"/>
    <w:qFormat/>
    <w:uiPriority w:val="0"/>
    <w:pPr>
      <w:numPr>
        <w:ilvl w:val="1"/>
        <w:numId w:val="5"/>
      </w:numPr>
      <w:tabs>
        <w:tab w:val="left" w:pos="840"/>
        <w:tab w:val="clear" w:pos="1260"/>
      </w:tabs>
      <w:spacing w:after="120" w:line="240" w:lineRule="auto"/>
      <w:ind w:left="840" w:firstLine="0" w:firstLineChars="0"/>
    </w:pPr>
    <w:rPr>
      <w:rFonts w:ascii="Tahoma" w:hAnsi="Tahoma"/>
      <w:sz w:val="22"/>
      <w:szCs w:val="20"/>
    </w:rPr>
  </w:style>
  <w:style w:type="paragraph" w:customStyle="1" w:styleId="20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09">
    <w:name w:val=".正文"/>
    <w:basedOn w:val="1"/>
    <w:qFormat/>
    <w:uiPriority w:val="0"/>
    <w:pPr>
      <w:spacing w:beforeLines="50"/>
      <w:ind w:firstLine="200" w:firstLineChars="200"/>
    </w:pPr>
    <w:rPr>
      <w:rFonts w:eastAsia="华文仿宋"/>
      <w:szCs w:val="22"/>
    </w:rPr>
  </w:style>
  <w:style w:type="paragraph" w:customStyle="1" w:styleId="210">
    <w:name w:val="样式 标题 2 + 段前: 13 磅 段后: 13 磅 行距: 单倍行距"/>
    <w:basedOn w:val="5"/>
    <w:qFormat/>
    <w:uiPriority w:val="0"/>
    <w:pPr>
      <w:adjustRightInd/>
      <w:jc w:val="both"/>
      <w:textAlignment w:val="auto"/>
    </w:pPr>
    <w:rPr>
      <w:rFonts w:ascii="Cambria" w:hAnsi="Cambria" w:cs="宋体"/>
      <w:kern w:val="2"/>
      <w:sz w:val="32"/>
    </w:rPr>
  </w:style>
  <w:style w:type="paragraph" w:customStyle="1" w:styleId="211">
    <w:name w:val="--规划正文 Char"/>
    <w:basedOn w:val="1"/>
    <w:qFormat/>
    <w:uiPriority w:val="0"/>
    <w:pPr>
      <w:spacing w:line="360" w:lineRule="auto"/>
      <w:ind w:firstLine="200" w:firstLineChars="200"/>
    </w:pPr>
    <w:rPr>
      <w:sz w:val="24"/>
    </w:rPr>
  </w:style>
  <w:style w:type="paragraph" w:customStyle="1" w:styleId="212">
    <w:name w:val="姜文清定义的正文"/>
    <w:basedOn w:val="1"/>
    <w:qFormat/>
    <w:uiPriority w:val="0"/>
    <w:pPr>
      <w:spacing w:line="240" w:lineRule="atLeast"/>
      <w:ind w:firstLine="567"/>
    </w:pPr>
    <w:rPr>
      <w:szCs w:val="20"/>
    </w:rPr>
  </w:style>
  <w:style w:type="paragraph" w:customStyle="1" w:styleId="213">
    <w:name w:val="文档正文"/>
    <w:basedOn w:val="1"/>
    <w:qFormat/>
    <w:uiPriority w:val="0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paragraph" w:customStyle="1" w:styleId="214">
    <w:name w:val="_Style 126"/>
    <w:basedOn w:val="1"/>
    <w:next w:val="202"/>
    <w:qFormat/>
    <w:uiPriority w:val="34"/>
    <w:pPr>
      <w:ind w:firstLine="420" w:firstLineChars="200"/>
    </w:pPr>
    <w:rPr>
      <w:szCs w:val="22"/>
    </w:rPr>
  </w:style>
  <w:style w:type="paragraph" w:customStyle="1" w:styleId="215">
    <w:name w:val="9"/>
    <w:basedOn w:val="1"/>
    <w:next w:val="9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/>
      <w:kern w:val="0"/>
      <w:sz w:val="34"/>
      <w:szCs w:val="20"/>
    </w:rPr>
  </w:style>
  <w:style w:type="paragraph" w:customStyle="1" w:styleId="216">
    <w:name w:val="汉仪细等线简9BOLD"/>
    <w:basedOn w:val="1"/>
    <w:qFormat/>
    <w:uiPriority w:val="0"/>
    <w:pPr>
      <w:autoSpaceDE w:val="0"/>
      <w:autoSpaceDN w:val="0"/>
      <w:adjustRightInd w:val="0"/>
      <w:spacing w:line="240" w:lineRule="atLeast"/>
    </w:pPr>
    <w:rPr>
      <w:rFonts w:ascii="汉仪细等线简" w:eastAsia="汉仪细等线简"/>
      <w:b/>
      <w:bCs/>
      <w:kern w:val="0"/>
      <w:sz w:val="18"/>
      <w:szCs w:val="18"/>
    </w:rPr>
  </w:style>
  <w:style w:type="paragraph" w:customStyle="1" w:styleId="217">
    <w:name w:val="z-窗体顶端1"/>
    <w:basedOn w:val="1"/>
    <w:next w:val="1"/>
    <w:qFormat/>
    <w:uiPriority w:val="0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218">
    <w:name w:val="图"/>
    <w:basedOn w:val="1"/>
    <w:qFormat/>
    <w:uiPriority w:val="0"/>
    <w:pPr>
      <w:keepNext/>
      <w:adjustRightInd w:val="0"/>
      <w:snapToGrid w:val="0"/>
      <w:spacing w:before="60" w:after="60" w:line="300" w:lineRule="auto"/>
      <w:jc w:val="center"/>
    </w:pPr>
    <w:rPr>
      <w:spacing w:val="20"/>
      <w:kern w:val="0"/>
      <w:sz w:val="24"/>
      <w:szCs w:val="20"/>
    </w:rPr>
  </w:style>
  <w:style w:type="paragraph" w:customStyle="1" w:styleId="219">
    <w:name w:val="CM2"/>
    <w:basedOn w:val="91"/>
    <w:next w:val="91"/>
    <w:qFormat/>
    <w:uiPriority w:val="0"/>
    <w:pPr>
      <w:spacing w:line="200" w:lineRule="atLeast"/>
    </w:pPr>
    <w:rPr>
      <w:rFonts w:ascii="Arial" w:hAnsi="Arial" w:eastAsia="宋体" w:cs="Times New Roman"/>
      <w:color w:val="auto"/>
    </w:rPr>
  </w:style>
  <w:style w:type="paragraph" w:customStyle="1" w:styleId="220">
    <w:name w:val="word"/>
    <w:basedOn w:val="1"/>
    <w:qFormat/>
    <w:uiPriority w:val="0"/>
    <w:pPr>
      <w:widowControl/>
      <w:spacing w:before="100" w:beforeAutospacing="1" w:after="100" w:afterAutospacing="1" w:line="301" w:lineRule="atLeast"/>
      <w:jc w:val="left"/>
    </w:pPr>
    <w:rPr>
      <w:rFonts w:ascii="ˎ̥" w:hAnsi="ˎ̥"/>
      <w:color w:val="000000"/>
      <w:kern w:val="0"/>
      <w:sz w:val="20"/>
      <w:szCs w:val="20"/>
    </w:rPr>
  </w:style>
  <w:style w:type="paragraph" w:customStyle="1" w:styleId="221">
    <w:name w:val="文字"/>
    <w:basedOn w:val="1"/>
    <w:qFormat/>
    <w:uiPriority w:val="0"/>
    <w:pPr>
      <w:tabs>
        <w:tab w:val="left" w:pos="8520"/>
      </w:tabs>
      <w:spacing w:line="312" w:lineRule="auto"/>
      <w:ind w:right="-210" w:firstLine="556"/>
    </w:pPr>
    <w:rPr>
      <w:rFonts w:ascii="宋体"/>
      <w:sz w:val="28"/>
      <w:szCs w:val="20"/>
    </w:rPr>
  </w:style>
  <w:style w:type="paragraph" w:customStyle="1" w:styleId="222">
    <w:name w:val="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23">
    <w:name w:val="6"/>
    <w:basedOn w:val="159"/>
    <w:qFormat/>
    <w:uiPriority w:val="0"/>
    <w:pPr>
      <w:spacing w:line="270" w:lineRule="atLeast"/>
      <w:jc w:val="both"/>
    </w:pPr>
    <w:rPr>
      <w:b w:val="0"/>
      <w:bCs w:val="0"/>
    </w:rPr>
  </w:style>
  <w:style w:type="paragraph" w:customStyle="1" w:styleId="224">
    <w:name w:val="评价"/>
    <w:basedOn w:val="1"/>
    <w:qFormat/>
    <w:uiPriority w:val="0"/>
    <w:pPr>
      <w:spacing w:afterLines="20"/>
      <w:ind w:firstLine="1446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4310</Words>
  <Characters>4527</Characters>
  <Lines>4</Lines>
  <Paragraphs>1</Paragraphs>
  <TotalTime>20</TotalTime>
  <ScaleCrop>false</ScaleCrop>
  <LinksUpToDate>false</LinksUpToDate>
  <CharactersWithSpaces>4538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2023-01-09T08:22:00Z</dcterms:created>
  <dc:creator>A</dc:creator>
  <cp:lastModifiedBy>岳</cp:lastModifiedBy>
  <cp:lastPrinted>2025-06-16T09:30:00Z</cp:lastPrinted>
  <dcterms:modified xsi:type="dcterms:W3CDTF">2025-07-04T02:44:18Z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839F3D7B754C4E06B605BBA2D9A7B623_13</vt:lpwstr>
  </property>
  <property fmtid="{D5CDD505-2E9C-101B-9397-08002B2CF9AE}" pid="4" name="KSOTemplateDocerSaveRecord">
    <vt:lpwstr>eyJoZGlkIjoiZTQ5MWNlODkwMGIxM2QzOGM4NzFlNmMxZjIyMjZkZTMiLCJ1c2VySWQiOiIxNjIzOTA1ODI4In0=</vt:lpwstr>
  </property>
</Properties>
</file>