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927CB">
      <w:pPr>
        <w:ind w:left="0"/>
        <w:jc w:val="both"/>
        <w:rPr>
          <w:rFonts w:hint="eastAsia" w:ascii="微软雅黑" w:hAnsi="微软雅黑" w:eastAsia="微软雅黑" w:cs="微软雅黑"/>
          <w:b/>
          <w:bCs/>
          <w:sz w:val="28"/>
          <w:szCs w:val="28"/>
          <w:highlight w:val="none"/>
        </w:rPr>
      </w:pPr>
    </w:p>
    <w:p w14:paraId="2619993F">
      <w:pPr>
        <w:ind w:left="0"/>
        <w:jc w:val="center"/>
        <w:rPr>
          <w:rFonts w:hint="eastAsia" w:ascii="微软雅黑" w:hAnsi="微软雅黑" w:eastAsia="微软雅黑" w:cs="微软雅黑"/>
          <w:b/>
          <w:sz w:val="52"/>
          <w:szCs w:val="52"/>
          <w:highlight w:val="none"/>
          <w:lang w:val="zh-CN"/>
        </w:rPr>
      </w:pPr>
      <w:r>
        <w:rPr>
          <w:rFonts w:hint="eastAsia" w:ascii="微软雅黑" w:hAnsi="微软雅黑" w:eastAsia="微软雅黑" w:cs="微软雅黑"/>
          <w:b/>
          <w:sz w:val="52"/>
          <w:szCs w:val="52"/>
          <w:highlight w:val="none"/>
          <w:lang w:val="zh-CN"/>
        </w:rPr>
        <w:drawing>
          <wp:inline distT="0" distB="0" distL="114300" distR="114300">
            <wp:extent cx="1540510" cy="2054225"/>
            <wp:effectExtent l="0" t="0" r="2540" b="3175"/>
            <wp:docPr id="5"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盾牌logo白底红色"/>
                    <pic:cNvPicPr>
                      <a:picLocks noChangeAspect="1"/>
                    </pic:cNvPicPr>
                  </pic:nvPicPr>
                  <pic:blipFill>
                    <a:blip r:embed="rId8"/>
                    <a:stretch>
                      <a:fillRect/>
                    </a:stretch>
                  </pic:blipFill>
                  <pic:spPr>
                    <a:xfrm>
                      <a:off x="0" y="0"/>
                      <a:ext cx="1540510" cy="2054225"/>
                    </a:xfrm>
                    <a:prstGeom prst="rect">
                      <a:avLst/>
                    </a:prstGeom>
                    <a:noFill/>
                    <a:ln>
                      <a:noFill/>
                    </a:ln>
                  </pic:spPr>
                </pic:pic>
              </a:graphicData>
            </a:graphic>
          </wp:inline>
        </w:drawing>
      </w:r>
    </w:p>
    <w:p w14:paraId="7B8E43A4">
      <w:pPr>
        <w:pStyle w:val="51"/>
        <w:rPr>
          <w:rFonts w:hint="eastAsia" w:ascii="微软雅黑" w:hAnsi="微软雅黑" w:eastAsia="微软雅黑" w:cs="微软雅黑"/>
          <w:b/>
          <w:sz w:val="52"/>
          <w:szCs w:val="52"/>
          <w:highlight w:val="none"/>
          <w:lang w:val="zh-CN"/>
        </w:rPr>
      </w:pPr>
    </w:p>
    <w:p w14:paraId="6E0577C7">
      <w:pPr>
        <w:ind w:left="0"/>
        <w:jc w:val="center"/>
        <w:rPr>
          <w:rFonts w:hint="eastAsia" w:ascii="微软雅黑" w:hAnsi="微软雅黑" w:eastAsia="微软雅黑" w:cs="微软雅黑"/>
          <w:b/>
          <w:sz w:val="52"/>
          <w:szCs w:val="52"/>
          <w:highlight w:val="none"/>
          <w:lang w:val="zh-CN"/>
        </w:rPr>
      </w:pPr>
      <w:r>
        <w:rPr>
          <w:rFonts w:hint="eastAsia" w:ascii="微软雅黑" w:hAnsi="微软雅黑" w:eastAsia="微软雅黑" w:cs="微软雅黑"/>
          <w:b/>
          <w:sz w:val="52"/>
          <w:szCs w:val="52"/>
          <w:highlight w:val="none"/>
          <w:lang w:val="zh-CN"/>
        </w:rPr>
        <w:t>中山大学附属第七医院</w:t>
      </w:r>
    </w:p>
    <w:p w14:paraId="2AC179C5">
      <w:pPr>
        <w:ind w:left="0"/>
        <w:jc w:val="center"/>
        <w:rPr>
          <w:rFonts w:hint="eastAsia" w:ascii="微软雅黑" w:hAnsi="微软雅黑" w:eastAsia="微软雅黑" w:cs="微软雅黑"/>
          <w:b/>
          <w:sz w:val="52"/>
          <w:szCs w:val="52"/>
          <w:highlight w:val="none"/>
          <w:lang w:val="en-US" w:eastAsia="zh-CN" w:bidi="ar-SA"/>
        </w:rPr>
      </w:pPr>
      <w:r>
        <w:rPr>
          <w:rFonts w:hint="eastAsia" w:ascii="微软雅黑" w:hAnsi="微软雅黑" w:eastAsia="微软雅黑" w:cs="微软雅黑"/>
          <w:b/>
          <w:sz w:val="52"/>
          <w:szCs w:val="52"/>
          <w:highlight w:val="none"/>
          <w:lang w:val="en-US" w:eastAsia="zh-CN" w:bidi="ar-SA"/>
        </w:rPr>
        <w:t>支持结算的智慧医疗管理系统</w:t>
      </w:r>
    </w:p>
    <w:p w14:paraId="11D781C8">
      <w:pPr>
        <w:ind w:left="0"/>
        <w:jc w:val="center"/>
        <w:rPr>
          <w:rFonts w:hint="eastAsia" w:ascii="微软雅黑" w:hAnsi="微软雅黑" w:eastAsia="微软雅黑" w:cs="微软雅黑"/>
          <w:b/>
          <w:sz w:val="52"/>
          <w:szCs w:val="52"/>
          <w:highlight w:val="none"/>
          <w:lang w:val="zh-CN" w:eastAsia="zh-CN" w:bidi="ar-SA"/>
        </w:rPr>
      </w:pPr>
      <w:r>
        <w:rPr>
          <w:rFonts w:hint="eastAsia" w:ascii="微软雅黑" w:hAnsi="微软雅黑" w:eastAsia="微软雅黑" w:cs="微软雅黑"/>
          <w:b/>
          <w:sz w:val="52"/>
          <w:szCs w:val="52"/>
          <w:highlight w:val="none"/>
          <w:lang w:val="en-US" w:eastAsia="zh-CN" w:bidi="ar-SA"/>
        </w:rPr>
        <w:t>项目评审需求书</w:t>
      </w:r>
    </w:p>
    <w:p w14:paraId="5A57C396">
      <w:pPr>
        <w:bidi w:val="0"/>
        <w:rPr>
          <w:rFonts w:hint="eastAsia"/>
        </w:rPr>
      </w:pPr>
    </w:p>
    <w:p w14:paraId="12B9BCDD">
      <w:pPr>
        <w:bidi w:val="0"/>
        <w:rPr>
          <w:rFonts w:hint="eastAsia"/>
        </w:rPr>
      </w:pPr>
    </w:p>
    <w:p w14:paraId="6122CB7B">
      <w:pPr>
        <w:bidi w:val="0"/>
        <w:rPr>
          <w:rFonts w:hint="eastAsia"/>
        </w:rPr>
      </w:pPr>
    </w:p>
    <w:p w14:paraId="1A99F4B4">
      <w:pPr>
        <w:widowControl/>
        <w:numPr>
          <w:ilvl w:val="0"/>
          <w:numId w:val="0"/>
        </w:numPr>
        <w:jc w:val="center"/>
        <w:textAlignment w:val="center"/>
        <w:rPr>
          <w:rFonts w:hint="eastAsia" w:ascii="黑体" w:hAnsi="黑体" w:eastAsia="黑体" w:cs="黑体"/>
          <w:b/>
          <w:bCs/>
          <w:color w:val="000000"/>
          <w:kern w:val="0"/>
          <w:sz w:val="44"/>
          <w:szCs w:val="44"/>
          <w:highlight w:val="none"/>
          <w:lang w:bidi="ar"/>
        </w:rPr>
      </w:pPr>
    </w:p>
    <w:p w14:paraId="24F93DFD">
      <w:pPr>
        <w:widowControl/>
        <w:numPr>
          <w:ilvl w:val="0"/>
          <w:numId w:val="0"/>
        </w:numPr>
        <w:jc w:val="center"/>
        <w:textAlignment w:val="center"/>
        <w:rPr>
          <w:rFonts w:hint="eastAsia" w:ascii="黑体" w:hAnsi="黑体" w:eastAsia="黑体" w:cs="黑体"/>
          <w:b/>
          <w:bCs/>
          <w:color w:val="000000"/>
          <w:kern w:val="0"/>
          <w:sz w:val="44"/>
          <w:szCs w:val="44"/>
          <w:highlight w:val="none"/>
          <w:lang w:bidi="ar"/>
        </w:rPr>
        <w:sectPr>
          <w:headerReference r:id="rId3" w:type="default"/>
          <w:footerReference r:id="rId4" w:type="default"/>
          <w:pgSz w:w="11906" w:h="16838"/>
          <w:pgMar w:top="820" w:right="1080" w:bottom="1039" w:left="1500" w:header="851" w:footer="992" w:gutter="0"/>
          <w:pgNumType w:fmt="numberInDash"/>
          <w:cols w:space="425" w:num="1"/>
          <w:docGrid w:type="lines" w:linePitch="312" w:charSpace="0"/>
        </w:sectPr>
      </w:pPr>
    </w:p>
    <w:p w14:paraId="76AD6AE9">
      <w:pPr>
        <w:widowControl/>
        <w:numPr>
          <w:ilvl w:val="0"/>
          <w:numId w:val="0"/>
        </w:numPr>
        <w:jc w:val="center"/>
        <w:textAlignment w:val="center"/>
        <w:rPr>
          <w:rFonts w:hint="eastAsia" w:ascii="黑体" w:hAnsi="黑体" w:eastAsia="黑体" w:cs="黑体"/>
          <w:b/>
          <w:bCs/>
          <w:color w:val="000000"/>
          <w:kern w:val="0"/>
          <w:sz w:val="44"/>
          <w:szCs w:val="44"/>
          <w:highlight w:val="none"/>
          <w:lang w:bidi="ar"/>
        </w:rPr>
      </w:pPr>
    </w:p>
    <w:sdt>
      <w:sdtPr>
        <w:rPr>
          <w:rFonts w:ascii="宋体" w:hAnsi="宋体" w:eastAsia="宋体" w:cstheme="minorBidi"/>
          <w:kern w:val="2"/>
          <w:sz w:val="21"/>
          <w:szCs w:val="24"/>
          <w:lang w:val="en-US" w:eastAsia="zh-CN" w:bidi="ar-SA"/>
        </w:rPr>
        <w:id w:val="147476429"/>
        <w15:color w:val="DBDBDB"/>
        <w:docPartObj>
          <w:docPartGallery w:val="Table of Contents"/>
          <w:docPartUnique/>
        </w:docPartObj>
      </w:sdtPr>
      <w:sdtEndPr>
        <w:rPr>
          <w:rFonts w:hint="eastAsia" w:ascii="黑体" w:hAnsi="黑体" w:eastAsia="黑体" w:cs="黑体"/>
          <w:bCs/>
          <w:color w:val="000000"/>
          <w:kern w:val="0"/>
          <w:sz w:val="21"/>
          <w:szCs w:val="44"/>
          <w:highlight w:val="none"/>
          <w:lang w:val="en-US" w:eastAsia="zh-CN" w:bidi="ar"/>
        </w:rPr>
      </w:sdtEndPr>
      <w:sdtContent>
        <w:p w14:paraId="4446E660">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14:paraId="07717F64">
          <w:pPr>
            <w:pStyle w:val="16"/>
            <w:tabs>
              <w:tab w:val="right" w:leader="dot" w:pos="9326"/>
            </w:tabs>
          </w:pPr>
          <w:r>
            <w:rPr>
              <w:rFonts w:hint="eastAsia" w:ascii="黑体" w:hAnsi="黑体" w:eastAsia="黑体" w:cs="黑体"/>
              <w:bCs/>
              <w:color w:val="000000"/>
              <w:kern w:val="0"/>
              <w:sz w:val="21"/>
              <w:szCs w:val="44"/>
              <w:highlight w:val="none"/>
              <w:lang w:val="en-US" w:eastAsia="zh-CN" w:bidi="ar"/>
            </w:rPr>
            <w:fldChar w:fldCharType="begin"/>
          </w:r>
          <w:r>
            <w:rPr>
              <w:rFonts w:hint="eastAsia" w:ascii="黑体" w:hAnsi="黑体" w:eastAsia="黑体" w:cs="黑体"/>
              <w:bCs/>
              <w:color w:val="000000"/>
              <w:kern w:val="0"/>
              <w:sz w:val="21"/>
              <w:szCs w:val="44"/>
              <w:highlight w:val="none"/>
              <w:lang w:val="en-US" w:eastAsia="zh-CN" w:bidi="ar"/>
            </w:rPr>
            <w:instrText xml:space="preserve">TOC \o "1-2" \h \u </w:instrText>
          </w:r>
          <w:r>
            <w:rPr>
              <w:rFonts w:hint="eastAsia" w:ascii="黑体" w:hAnsi="黑体" w:eastAsia="黑体" w:cs="黑体"/>
              <w:bCs/>
              <w:color w:val="000000"/>
              <w:kern w:val="0"/>
              <w:sz w:val="21"/>
              <w:szCs w:val="44"/>
              <w:highlight w:val="none"/>
              <w:lang w:val="en-US" w:eastAsia="zh-CN" w:bidi="ar"/>
            </w:rPr>
            <w:fldChar w:fldCharType="separate"/>
          </w: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_Toc30351 </w:instrText>
          </w:r>
          <w:r>
            <w:rPr>
              <w:rFonts w:hint="eastAsia" w:ascii="黑体" w:hAnsi="黑体" w:eastAsia="黑体" w:cs="黑体"/>
              <w:bCs/>
              <w:kern w:val="0"/>
              <w:szCs w:val="44"/>
              <w:highlight w:val="none"/>
              <w:lang w:val="en-US" w:eastAsia="zh-CN" w:bidi="ar"/>
            </w:rPr>
            <w:fldChar w:fldCharType="separate"/>
          </w:r>
          <w:r>
            <w:rPr>
              <w:rFonts w:hint="eastAsia"/>
              <w:szCs w:val="30"/>
              <w:lang w:eastAsia="zh-CN"/>
            </w:rPr>
            <w:t>一、 项目基本信息表</w:t>
          </w:r>
          <w:r>
            <w:tab/>
          </w:r>
          <w:r>
            <w:fldChar w:fldCharType="begin"/>
          </w:r>
          <w:r>
            <w:instrText xml:space="preserve"> PAGEREF _Toc30351 \h </w:instrText>
          </w:r>
          <w:r>
            <w:fldChar w:fldCharType="separate"/>
          </w:r>
          <w:r>
            <w:t>- 1 -</w:t>
          </w:r>
          <w:r>
            <w:fldChar w:fldCharType="end"/>
          </w:r>
          <w:r>
            <w:rPr>
              <w:rFonts w:hint="eastAsia" w:ascii="黑体" w:hAnsi="黑体" w:eastAsia="黑体" w:cs="黑体"/>
              <w:bCs/>
              <w:color w:val="000000"/>
              <w:kern w:val="0"/>
              <w:szCs w:val="44"/>
              <w:highlight w:val="none"/>
              <w:lang w:val="en-US" w:eastAsia="zh-CN" w:bidi="ar"/>
            </w:rPr>
            <w:fldChar w:fldCharType="end"/>
          </w:r>
        </w:p>
        <w:p w14:paraId="036779BE">
          <w:pPr>
            <w:pStyle w:val="16"/>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_Toc16441 </w:instrText>
          </w:r>
          <w:r>
            <w:rPr>
              <w:rFonts w:hint="eastAsia" w:ascii="黑体" w:hAnsi="黑体" w:eastAsia="黑体" w:cs="黑体"/>
              <w:bCs/>
              <w:kern w:val="0"/>
              <w:szCs w:val="44"/>
              <w:highlight w:val="none"/>
              <w:lang w:val="en-US" w:eastAsia="zh-CN" w:bidi="ar"/>
            </w:rPr>
            <w:fldChar w:fldCharType="separate"/>
          </w:r>
          <w:r>
            <w:rPr>
              <w:rFonts w:hint="eastAsia"/>
              <w:szCs w:val="30"/>
              <w:lang w:val="en-US" w:eastAsia="zh-CN"/>
            </w:rPr>
            <w:t xml:space="preserve">二、 </w:t>
          </w:r>
          <w:r>
            <w:rPr>
              <w:rFonts w:hint="eastAsia"/>
              <w:szCs w:val="30"/>
              <w:lang w:eastAsia="zh-CN"/>
            </w:rPr>
            <w:t>具体功能</w:t>
          </w:r>
          <w:r>
            <w:rPr>
              <w:rFonts w:hint="eastAsia"/>
              <w:szCs w:val="30"/>
              <w:lang w:val="en-US" w:eastAsia="zh-CN"/>
            </w:rPr>
            <w:t>/</w:t>
          </w:r>
          <w:r>
            <w:rPr>
              <w:rFonts w:hint="eastAsia"/>
              <w:szCs w:val="30"/>
              <w:lang w:eastAsia="zh-CN"/>
            </w:rPr>
            <w:t>技术需求</w:t>
          </w:r>
          <w:r>
            <w:tab/>
          </w:r>
          <w:r>
            <w:fldChar w:fldCharType="begin"/>
          </w:r>
          <w:r>
            <w:instrText xml:space="preserve"> PAGEREF _Toc16441 \h </w:instrText>
          </w:r>
          <w:r>
            <w:fldChar w:fldCharType="separate"/>
          </w:r>
          <w:r>
            <w:t>- 1 -</w:t>
          </w:r>
          <w:r>
            <w:fldChar w:fldCharType="end"/>
          </w:r>
          <w:r>
            <w:rPr>
              <w:rFonts w:hint="eastAsia" w:ascii="黑体" w:hAnsi="黑体" w:eastAsia="黑体" w:cs="黑体"/>
              <w:bCs/>
              <w:color w:val="000000"/>
              <w:kern w:val="0"/>
              <w:szCs w:val="44"/>
              <w:highlight w:val="none"/>
              <w:lang w:val="en-US" w:eastAsia="zh-CN" w:bidi="ar"/>
            </w:rPr>
            <w:fldChar w:fldCharType="end"/>
          </w:r>
        </w:p>
        <w:p w14:paraId="6AB53FA7">
          <w:pPr>
            <w:pStyle w:val="16"/>
            <w:keepNext w:val="0"/>
            <w:keepLines w:val="0"/>
            <w:pageBreakBefore w:val="0"/>
            <w:widowControl w:val="0"/>
            <w:tabs>
              <w:tab w:val="right" w:leader="dot" w:pos="9326"/>
            </w:tabs>
            <w:kinsoku/>
            <w:wordWrap/>
            <w:overflowPunct/>
            <w:topLinePunct w:val="0"/>
            <w:autoSpaceDE/>
            <w:autoSpaceDN/>
            <w:bidi w:val="0"/>
            <w:adjustRightInd/>
            <w:snapToGrid/>
            <w:spacing w:line="360" w:lineRule="auto"/>
            <w:textAlignment w:val="auto"/>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_Toc28016 </w:instrText>
          </w:r>
          <w:r>
            <w:rPr>
              <w:rFonts w:hint="eastAsia" w:ascii="黑体" w:hAnsi="黑体" w:eastAsia="黑体" w:cs="黑体"/>
              <w:bCs/>
              <w:kern w:val="0"/>
              <w:szCs w:val="44"/>
              <w:highlight w:val="none"/>
              <w:lang w:val="en-US" w:eastAsia="zh-CN" w:bidi="ar"/>
            </w:rPr>
            <w:fldChar w:fldCharType="separate"/>
          </w:r>
          <w:r>
            <w:rPr>
              <w:rFonts w:hint="eastAsia"/>
              <w:szCs w:val="30"/>
              <w:lang w:val="en-US" w:eastAsia="zh-CN"/>
            </w:rPr>
            <w:t>（</w:t>
          </w:r>
          <w:bookmarkStart w:id="25" w:name="_GoBack"/>
          <w:bookmarkEnd w:id="25"/>
          <w:r>
            <w:rPr>
              <w:rFonts w:hint="eastAsia"/>
              <w:szCs w:val="30"/>
              <w:lang w:val="en-US" w:eastAsia="zh-CN"/>
            </w:rPr>
            <w:t xml:space="preserve">一） </w:t>
          </w:r>
          <w:r>
            <w:rPr>
              <w:rFonts w:hint="eastAsia"/>
              <w:szCs w:val="30"/>
              <w:lang w:eastAsia="zh-CN"/>
            </w:rPr>
            <w:t>医务管理模块</w:t>
          </w:r>
          <w:r>
            <w:tab/>
          </w:r>
          <w:r>
            <w:fldChar w:fldCharType="begin"/>
          </w:r>
          <w:r>
            <w:instrText xml:space="preserve"> PAGEREF _Toc28016 \h </w:instrText>
          </w:r>
          <w:r>
            <w:fldChar w:fldCharType="separate"/>
          </w:r>
          <w:r>
            <w:t>- 1 -</w:t>
          </w:r>
          <w:r>
            <w:fldChar w:fldCharType="end"/>
          </w:r>
          <w:r>
            <w:rPr>
              <w:rFonts w:hint="eastAsia" w:ascii="黑体" w:hAnsi="黑体" w:eastAsia="黑体" w:cs="黑体"/>
              <w:bCs/>
              <w:color w:val="000000"/>
              <w:kern w:val="0"/>
              <w:szCs w:val="44"/>
              <w:highlight w:val="none"/>
              <w:lang w:val="en-US" w:eastAsia="zh-CN" w:bidi="ar"/>
            </w:rPr>
            <w:fldChar w:fldCharType="end"/>
          </w:r>
        </w:p>
        <w:p w14:paraId="77625D7A">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_Toc18007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1.1 专业技术人员管理（医技药）</w:t>
          </w:r>
          <w:r>
            <w:tab/>
          </w:r>
          <w:r>
            <w:fldChar w:fldCharType="begin"/>
          </w:r>
          <w:r>
            <w:instrText xml:space="preserve"> PAGEREF _Toc18007 \h </w:instrText>
          </w:r>
          <w:r>
            <w:fldChar w:fldCharType="separate"/>
          </w:r>
          <w:r>
            <w:t>- 1 -</w:t>
          </w:r>
          <w:r>
            <w:fldChar w:fldCharType="end"/>
          </w:r>
          <w:r>
            <w:rPr>
              <w:rFonts w:hint="eastAsia" w:ascii="黑体" w:hAnsi="黑体" w:eastAsia="黑体" w:cs="黑体"/>
              <w:bCs/>
              <w:color w:val="000000"/>
              <w:kern w:val="0"/>
              <w:szCs w:val="44"/>
              <w:highlight w:val="none"/>
              <w:lang w:val="en-US" w:eastAsia="zh-CN" w:bidi="ar"/>
            </w:rPr>
            <w:fldChar w:fldCharType="end"/>
          </w:r>
        </w:p>
        <w:p w14:paraId="61049AB6">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_Toc23657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1.2 排班考勤管理</w:t>
          </w:r>
          <w:r>
            <w:rPr>
              <w:rFonts w:hint="eastAsia"/>
              <w:highlight w:val="none"/>
              <w:lang w:eastAsia="zh-CN"/>
            </w:rPr>
            <w:t>（</w:t>
          </w:r>
          <w:r>
            <w:rPr>
              <w:rFonts w:hint="eastAsia"/>
              <w:highlight w:val="none"/>
              <w:lang w:val="en-US" w:eastAsia="zh-CN"/>
            </w:rPr>
            <w:t>支持全院临床和平台科室排班管理</w:t>
          </w:r>
          <w:r>
            <w:rPr>
              <w:rFonts w:hint="eastAsia"/>
              <w:highlight w:val="none"/>
              <w:lang w:eastAsia="zh-CN"/>
            </w:rPr>
            <w:t>）</w:t>
          </w:r>
          <w:r>
            <w:tab/>
          </w:r>
          <w:r>
            <w:fldChar w:fldCharType="begin"/>
          </w:r>
          <w:r>
            <w:instrText xml:space="preserve"> PAGEREF _Toc23657 \h </w:instrText>
          </w:r>
          <w:r>
            <w:fldChar w:fldCharType="separate"/>
          </w:r>
          <w:r>
            <w:t>- 6 -</w:t>
          </w:r>
          <w:r>
            <w:fldChar w:fldCharType="end"/>
          </w:r>
          <w:r>
            <w:rPr>
              <w:rFonts w:hint="eastAsia" w:ascii="黑体" w:hAnsi="黑体" w:eastAsia="黑体" w:cs="黑体"/>
              <w:bCs/>
              <w:color w:val="000000"/>
              <w:kern w:val="0"/>
              <w:szCs w:val="44"/>
              <w:highlight w:val="none"/>
              <w:lang w:val="en-US" w:eastAsia="zh-CN" w:bidi="ar"/>
            </w:rPr>
            <w:fldChar w:fldCharType="end"/>
          </w:r>
        </w:p>
        <w:p w14:paraId="4613BB83">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_Toc12432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1.3 资质授权准入</w:t>
          </w:r>
          <w:r>
            <w:tab/>
          </w:r>
          <w:r>
            <w:fldChar w:fldCharType="begin"/>
          </w:r>
          <w:r>
            <w:instrText xml:space="preserve"> PAGEREF _Toc12432 \h </w:instrText>
          </w:r>
          <w:r>
            <w:fldChar w:fldCharType="separate"/>
          </w:r>
          <w:r>
            <w:t>- 9 -</w:t>
          </w:r>
          <w:r>
            <w:fldChar w:fldCharType="end"/>
          </w:r>
          <w:r>
            <w:rPr>
              <w:rFonts w:hint="eastAsia" w:ascii="黑体" w:hAnsi="黑体" w:eastAsia="黑体" w:cs="黑体"/>
              <w:bCs/>
              <w:color w:val="000000"/>
              <w:kern w:val="0"/>
              <w:szCs w:val="44"/>
              <w:highlight w:val="none"/>
              <w:lang w:val="en-US" w:eastAsia="zh-CN" w:bidi="ar"/>
            </w:rPr>
            <w:fldChar w:fldCharType="end"/>
          </w:r>
        </w:p>
        <w:p w14:paraId="01C21DC6">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_Toc18166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1.4 制度及文件</w:t>
          </w:r>
          <w:r>
            <w:tab/>
          </w:r>
          <w:r>
            <w:fldChar w:fldCharType="begin"/>
          </w:r>
          <w:r>
            <w:instrText xml:space="preserve"> PAGEREF _Toc18166 \h </w:instrText>
          </w:r>
          <w:r>
            <w:fldChar w:fldCharType="separate"/>
          </w:r>
          <w:r>
            <w:t>- 15 -</w:t>
          </w:r>
          <w:r>
            <w:fldChar w:fldCharType="end"/>
          </w:r>
          <w:r>
            <w:rPr>
              <w:rFonts w:hint="eastAsia" w:ascii="黑体" w:hAnsi="黑体" w:eastAsia="黑体" w:cs="黑体"/>
              <w:bCs/>
              <w:color w:val="000000"/>
              <w:kern w:val="0"/>
              <w:szCs w:val="44"/>
              <w:highlight w:val="none"/>
              <w:lang w:val="en-US" w:eastAsia="zh-CN" w:bidi="ar"/>
            </w:rPr>
            <w:fldChar w:fldCharType="end"/>
          </w:r>
        </w:p>
        <w:p w14:paraId="7B65325A">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_Toc2405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1.5 医疗预警上报</w:t>
          </w:r>
          <w:r>
            <w:tab/>
          </w:r>
          <w:r>
            <w:fldChar w:fldCharType="begin"/>
          </w:r>
          <w:r>
            <w:instrText xml:space="preserve"> PAGEREF _Toc2405 \h </w:instrText>
          </w:r>
          <w:r>
            <w:fldChar w:fldCharType="separate"/>
          </w:r>
          <w:r>
            <w:t>- 15 -</w:t>
          </w:r>
          <w:r>
            <w:fldChar w:fldCharType="end"/>
          </w:r>
          <w:r>
            <w:rPr>
              <w:rFonts w:hint="eastAsia" w:ascii="黑体" w:hAnsi="黑体" w:eastAsia="黑体" w:cs="黑体"/>
              <w:bCs/>
              <w:color w:val="000000"/>
              <w:kern w:val="0"/>
              <w:szCs w:val="44"/>
              <w:highlight w:val="none"/>
              <w:lang w:val="en-US" w:eastAsia="zh-CN" w:bidi="ar"/>
            </w:rPr>
            <w:fldChar w:fldCharType="end"/>
          </w:r>
        </w:p>
        <w:p w14:paraId="17C0AD06">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_Toc13984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w:t>
          </w:r>
          <w:r>
            <w:rPr>
              <w:rFonts w:hint="eastAsia"/>
              <w:highlight w:val="none"/>
              <w:lang w:val="en-US" w:eastAsia="zh-CN"/>
            </w:rPr>
            <w:t>6</w:t>
          </w:r>
          <w:r>
            <w:rPr>
              <w:rFonts w:hint="eastAsia"/>
              <w:highlight w:val="none"/>
            </w:rPr>
            <w:t xml:space="preserve"> 院级质控管理</w:t>
          </w:r>
          <w:r>
            <w:tab/>
          </w:r>
          <w:r>
            <w:fldChar w:fldCharType="begin"/>
          </w:r>
          <w:r>
            <w:instrText xml:space="preserve"> PAGEREF _Toc13984 \h </w:instrText>
          </w:r>
          <w:r>
            <w:fldChar w:fldCharType="separate"/>
          </w:r>
          <w:r>
            <w:t>- 15 -</w:t>
          </w:r>
          <w:r>
            <w:fldChar w:fldCharType="end"/>
          </w:r>
          <w:r>
            <w:rPr>
              <w:rFonts w:hint="eastAsia" w:ascii="黑体" w:hAnsi="黑体" w:eastAsia="黑体" w:cs="黑体"/>
              <w:bCs/>
              <w:color w:val="000000"/>
              <w:kern w:val="0"/>
              <w:szCs w:val="44"/>
              <w:highlight w:val="none"/>
              <w:lang w:val="en-US" w:eastAsia="zh-CN" w:bidi="ar"/>
            </w:rPr>
            <w:fldChar w:fldCharType="end"/>
          </w:r>
        </w:p>
        <w:p w14:paraId="110CF87D">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_Toc264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w:t>
          </w:r>
          <w:r>
            <w:rPr>
              <w:rFonts w:hint="eastAsia"/>
              <w:highlight w:val="none"/>
              <w:lang w:val="en-US" w:eastAsia="zh-CN"/>
            </w:rPr>
            <w:t>7</w:t>
          </w:r>
          <w:r>
            <w:rPr>
              <w:rFonts w:hint="eastAsia"/>
              <w:highlight w:val="none"/>
            </w:rPr>
            <w:t xml:space="preserve"> 日常行政事务</w:t>
          </w:r>
          <w:r>
            <w:tab/>
          </w:r>
          <w:r>
            <w:fldChar w:fldCharType="begin"/>
          </w:r>
          <w:r>
            <w:instrText xml:space="preserve"> PAGEREF _Toc264 \h </w:instrText>
          </w:r>
          <w:r>
            <w:fldChar w:fldCharType="separate"/>
          </w:r>
          <w:r>
            <w:t>- 23 -</w:t>
          </w:r>
          <w:r>
            <w:fldChar w:fldCharType="end"/>
          </w:r>
          <w:r>
            <w:rPr>
              <w:rFonts w:hint="eastAsia" w:ascii="黑体" w:hAnsi="黑体" w:eastAsia="黑体" w:cs="黑体"/>
              <w:bCs/>
              <w:color w:val="000000"/>
              <w:kern w:val="0"/>
              <w:szCs w:val="44"/>
              <w:highlight w:val="none"/>
              <w:lang w:val="en-US" w:eastAsia="zh-CN" w:bidi="ar"/>
            </w:rPr>
            <w:fldChar w:fldCharType="end"/>
          </w:r>
        </w:p>
        <w:p w14:paraId="6CD0AB7D">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_Toc23672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w:t>
          </w:r>
          <w:r>
            <w:rPr>
              <w:rFonts w:hint="eastAsia"/>
              <w:highlight w:val="none"/>
              <w:lang w:val="en-US" w:eastAsia="zh-CN"/>
            </w:rPr>
            <w:t>8</w:t>
          </w:r>
          <w:r>
            <w:rPr>
              <w:rFonts w:hint="eastAsia"/>
              <w:highlight w:val="none"/>
            </w:rPr>
            <w:t xml:space="preserve"> 基础</w:t>
          </w:r>
          <w:r>
            <w:rPr>
              <w:rFonts w:hint="eastAsia"/>
              <w:highlight w:val="none"/>
              <w:lang w:eastAsia="zh-CN"/>
            </w:rPr>
            <w:t>管理</w:t>
          </w:r>
          <w:r>
            <w:rPr>
              <w:rFonts w:hint="eastAsia"/>
              <w:highlight w:val="none"/>
            </w:rPr>
            <w:t>平台</w:t>
          </w:r>
          <w:r>
            <w:tab/>
          </w:r>
          <w:r>
            <w:fldChar w:fldCharType="begin"/>
          </w:r>
          <w:r>
            <w:instrText xml:space="preserve"> PAGEREF _Toc23672 \h </w:instrText>
          </w:r>
          <w:r>
            <w:fldChar w:fldCharType="separate"/>
          </w:r>
          <w:r>
            <w:t>- 24 -</w:t>
          </w:r>
          <w:r>
            <w:fldChar w:fldCharType="end"/>
          </w:r>
          <w:r>
            <w:rPr>
              <w:rFonts w:hint="eastAsia" w:ascii="黑体" w:hAnsi="黑体" w:eastAsia="黑体" w:cs="黑体"/>
              <w:bCs/>
              <w:color w:val="000000"/>
              <w:kern w:val="0"/>
              <w:szCs w:val="44"/>
              <w:highlight w:val="none"/>
              <w:lang w:val="en-US" w:eastAsia="zh-CN" w:bidi="ar"/>
            </w:rPr>
            <w:fldChar w:fldCharType="end"/>
          </w:r>
        </w:p>
        <w:p w14:paraId="29BB7277">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_Toc18268 </w:instrText>
          </w:r>
          <w:r>
            <w:rPr>
              <w:rFonts w:hint="eastAsia" w:ascii="黑体" w:hAnsi="黑体" w:eastAsia="黑体" w:cs="黑体"/>
              <w:bCs/>
              <w:kern w:val="0"/>
              <w:szCs w:val="44"/>
              <w:highlight w:val="none"/>
              <w:lang w:val="en-US" w:eastAsia="zh-CN" w:bidi="ar"/>
            </w:rPr>
            <w:fldChar w:fldCharType="separate"/>
          </w:r>
          <w:r>
            <w:rPr>
              <w:rFonts w:hint="eastAsia"/>
              <w:highlight w:val="none"/>
            </w:rPr>
            <w:t>1.</w:t>
          </w:r>
          <w:r>
            <w:rPr>
              <w:rFonts w:hint="eastAsia"/>
              <w:highlight w:val="none"/>
              <w:lang w:val="en-US" w:eastAsia="zh-CN"/>
            </w:rPr>
            <w:t>9</w:t>
          </w:r>
          <w:r>
            <w:rPr>
              <w:rFonts w:hint="eastAsia"/>
              <w:highlight w:val="none"/>
            </w:rPr>
            <w:t xml:space="preserve"> 医务部智慧</w:t>
          </w:r>
          <w:r>
            <w:rPr>
              <w:rFonts w:hint="eastAsia"/>
              <w:highlight w:val="none"/>
              <w:lang w:eastAsia="zh-CN"/>
            </w:rPr>
            <w:t>驾驶舱展示</w:t>
          </w:r>
          <w:r>
            <w:tab/>
          </w:r>
          <w:r>
            <w:fldChar w:fldCharType="begin"/>
          </w:r>
          <w:r>
            <w:instrText xml:space="preserve"> PAGEREF _Toc18268 \h </w:instrText>
          </w:r>
          <w:r>
            <w:fldChar w:fldCharType="separate"/>
          </w:r>
          <w:r>
            <w:t>- 24 -</w:t>
          </w:r>
          <w:r>
            <w:fldChar w:fldCharType="end"/>
          </w:r>
          <w:r>
            <w:rPr>
              <w:rFonts w:hint="eastAsia" w:ascii="黑体" w:hAnsi="黑体" w:eastAsia="黑体" w:cs="黑体"/>
              <w:bCs/>
              <w:color w:val="000000"/>
              <w:kern w:val="0"/>
              <w:szCs w:val="44"/>
              <w:highlight w:val="none"/>
              <w:lang w:val="en-US" w:eastAsia="zh-CN" w:bidi="ar"/>
            </w:rPr>
            <w:fldChar w:fldCharType="end"/>
          </w:r>
        </w:p>
        <w:p w14:paraId="1A32248B">
          <w:pPr>
            <w:pStyle w:val="16"/>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_Toc18309 </w:instrText>
          </w:r>
          <w:r>
            <w:rPr>
              <w:rFonts w:hint="eastAsia" w:ascii="黑体" w:hAnsi="黑体" w:eastAsia="黑体" w:cs="黑体"/>
              <w:bCs/>
              <w:kern w:val="0"/>
              <w:szCs w:val="44"/>
              <w:highlight w:val="none"/>
              <w:lang w:val="en-US" w:eastAsia="zh-CN" w:bidi="ar"/>
            </w:rPr>
            <w:fldChar w:fldCharType="separate"/>
          </w:r>
          <w:r>
            <w:rPr>
              <w:rFonts w:hint="eastAsia"/>
              <w:szCs w:val="30"/>
              <w:lang w:eastAsia="zh-CN"/>
            </w:rPr>
            <w:t>（二） 医患管理模块</w:t>
          </w:r>
          <w:r>
            <w:tab/>
          </w:r>
          <w:r>
            <w:fldChar w:fldCharType="begin"/>
          </w:r>
          <w:r>
            <w:instrText xml:space="preserve"> PAGEREF _Toc18309 \h </w:instrText>
          </w:r>
          <w:r>
            <w:fldChar w:fldCharType="separate"/>
          </w:r>
          <w:r>
            <w:t>- 28 -</w:t>
          </w:r>
          <w:r>
            <w:fldChar w:fldCharType="end"/>
          </w:r>
          <w:r>
            <w:rPr>
              <w:rFonts w:hint="eastAsia" w:ascii="黑体" w:hAnsi="黑体" w:eastAsia="黑体" w:cs="黑体"/>
              <w:bCs/>
              <w:color w:val="000000"/>
              <w:kern w:val="0"/>
              <w:szCs w:val="44"/>
              <w:highlight w:val="none"/>
              <w:lang w:val="en-US" w:eastAsia="zh-CN" w:bidi="ar"/>
            </w:rPr>
            <w:fldChar w:fldCharType="end"/>
          </w:r>
        </w:p>
        <w:p w14:paraId="42072DDA">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_Toc6970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1.</w:t>
          </w:r>
          <w:r>
            <w:rPr>
              <w:rFonts w:hint="eastAsia"/>
              <w:highlight w:val="none"/>
            </w:rPr>
            <w:t>基础信息管理模块</w:t>
          </w:r>
          <w:r>
            <w:tab/>
          </w:r>
          <w:r>
            <w:fldChar w:fldCharType="begin"/>
          </w:r>
          <w:r>
            <w:instrText xml:space="preserve"> PAGEREF _Toc6970 \h </w:instrText>
          </w:r>
          <w:r>
            <w:fldChar w:fldCharType="separate"/>
          </w:r>
          <w:r>
            <w:t>- 28 -</w:t>
          </w:r>
          <w:r>
            <w:fldChar w:fldCharType="end"/>
          </w:r>
          <w:r>
            <w:rPr>
              <w:rFonts w:hint="eastAsia" w:ascii="黑体" w:hAnsi="黑体" w:eastAsia="黑体" w:cs="黑体"/>
              <w:bCs/>
              <w:color w:val="000000"/>
              <w:kern w:val="0"/>
              <w:szCs w:val="44"/>
              <w:highlight w:val="none"/>
              <w:lang w:val="en-US" w:eastAsia="zh-CN" w:bidi="ar"/>
            </w:rPr>
            <w:fldChar w:fldCharType="end"/>
          </w:r>
        </w:p>
        <w:p w14:paraId="61F1F3E1">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_Toc8064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2.投诉/纠纷登记与受理模块</w:t>
          </w:r>
          <w:r>
            <w:tab/>
          </w:r>
          <w:r>
            <w:fldChar w:fldCharType="begin"/>
          </w:r>
          <w:r>
            <w:instrText xml:space="preserve"> PAGEREF _Toc8064 \h </w:instrText>
          </w:r>
          <w:r>
            <w:fldChar w:fldCharType="separate"/>
          </w:r>
          <w:r>
            <w:t>- 29 -</w:t>
          </w:r>
          <w:r>
            <w:fldChar w:fldCharType="end"/>
          </w:r>
          <w:r>
            <w:rPr>
              <w:rFonts w:hint="eastAsia" w:ascii="黑体" w:hAnsi="黑体" w:eastAsia="黑体" w:cs="黑体"/>
              <w:bCs/>
              <w:color w:val="000000"/>
              <w:kern w:val="0"/>
              <w:szCs w:val="44"/>
              <w:highlight w:val="none"/>
              <w:lang w:val="en-US" w:eastAsia="zh-CN" w:bidi="ar"/>
            </w:rPr>
            <w:fldChar w:fldCharType="end"/>
          </w:r>
        </w:p>
        <w:p w14:paraId="36809CC7">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_Toc24750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3.调查与处置过程管理模块</w:t>
          </w:r>
          <w:r>
            <w:tab/>
          </w:r>
          <w:r>
            <w:fldChar w:fldCharType="begin"/>
          </w:r>
          <w:r>
            <w:instrText xml:space="preserve"> PAGEREF _Toc24750 \h </w:instrText>
          </w:r>
          <w:r>
            <w:fldChar w:fldCharType="separate"/>
          </w:r>
          <w:r>
            <w:t>- 29 -</w:t>
          </w:r>
          <w:r>
            <w:fldChar w:fldCharType="end"/>
          </w:r>
          <w:r>
            <w:rPr>
              <w:rFonts w:hint="eastAsia" w:ascii="黑体" w:hAnsi="黑体" w:eastAsia="黑体" w:cs="黑体"/>
              <w:bCs/>
              <w:color w:val="000000"/>
              <w:kern w:val="0"/>
              <w:szCs w:val="44"/>
              <w:highlight w:val="none"/>
              <w:lang w:val="en-US" w:eastAsia="zh-CN" w:bidi="ar"/>
            </w:rPr>
            <w:fldChar w:fldCharType="end"/>
          </w:r>
        </w:p>
        <w:p w14:paraId="6C7C6802">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_Toc3731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4.病历与证据管理模块</w:t>
          </w:r>
          <w:r>
            <w:tab/>
          </w:r>
          <w:r>
            <w:fldChar w:fldCharType="begin"/>
          </w:r>
          <w:r>
            <w:instrText xml:space="preserve"> PAGEREF _Toc3731 \h </w:instrText>
          </w:r>
          <w:r>
            <w:fldChar w:fldCharType="separate"/>
          </w:r>
          <w:r>
            <w:t>- 30 -</w:t>
          </w:r>
          <w:r>
            <w:fldChar w:fldCharType="end"/>
          </w:r>
          <w:r>
            <w:rPr>
              <w:rFonts w:hint="eastAsia" w:ascii="黑体" w:hAnsi="黑体" w:eastAsia="黑体" w:cs="黑体"/>
              <w:bCs/>
              <w:color w:val="000000"/>
              <w:kern w:val="0"/>
              <w:szCs w:val="44"/>
              <w:highlight w:val="none"/>
              <w:lang w:val="en-US" w:eastAsia="zh-CN" w:bidi="ar"/>
            </w:rPr>
            <w:fldChar w:fldCharType="end"/>
          </w:r>
        </w:p>
        <w:p w14:paraId="574F212E">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_Toc24134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5.协同办公与流程审批模块</w:t>
          </w:r>
          <w:r>
            <w:tab/>
          </w:r>
          <w:r>
            <w:fldChar w:fldCharType="begin"/>
          </w:r>
          <w:r>
            <w:instrText xml:space="preserve"> PAGEREF _Toc24134 \h </w:instrText>
          </w:r>
          <w:r>
            <w:fldChar w:fldCharType="separate"/>
          </w:r>
          <w:r>
            <w:t>- 31 -</w:t>
          </w:r>
          <w:r>
            <w:fldChar w:fldCharType="end"/>
          </w:r>
          <w:r>
            <w:rPr>
              <w:rFonts w:hint="eastAsia" w:ascii="黑体" w:hAnsi="黑体" w:eastAsia="黑体" w:cs="黑体"/>
              <w:bCs/>
              <w:color w:val="000000"/>
              <w:kern w:val="0"/>
              <w:szCs w:val="44"/>
              <w:highlight w:val="none"/>
              <w:lang w:val="en-US" w:eastAsia="zh-CN" w:bidi="ar"/>
            </w:rPr>
            <w:fldChar w:fldCharType="end"/>
          </w:r>
        </w:p>
        <w:p w14:paraId="50B952EC">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_Toc6649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6.风险预警与质控管理模块</w:t>
          </w:r>
          <w:r>
            <w:tab/>
          </w:r>
          <w:r>
            <w:fldChar w:fldCharType="begin"/>
          </w:r>
          <w:r>
            <w:instrText xml:space="preserve"> PAGEREF _Toc6649 \h </w:instrText>
          </w:r>
          <w:r>
            <w:fldChar w:fldCharType="separate"/>
          </w:r>
          <w:r>
            <w:t>- 31 -</w:t>
          </w:r>
          <w:r>
            <w:fldChar w:fldCharType="end"/>
          </w:r>
          <w:r>
            <w:rPr>
              <w:rFonts w:hint="eastAsia" w:ascii="黑体" w:hAnsi="黑体" w:eastAsia="黑体" w:cs="黑体"/>
              <w:bCs/>
              <w:color w:val="000000"/>
              <w:kern w:val="0"/>
              <w:szCs w:val="44"/>
              <w:highlight w:val="none"/>
              <w:lang w:val="en-US" w:eastAsia="zh-CN" w:bidi="ar"/>
            </w:rPr>
            <w:fldChar w:fldCharType="end"/>
          </w:r>
        </w:p>
        <w:p w14:paraId="4B32A0B5">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_Toc425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7.统计分析与报表模块</w:t>
          </w:r>
          <w:r>
            <w:tab/>
          </w:r>
          <w:r>
            <w:fldChar w:fldCharType="begin"/>
          </w:r>
          <w:r>
            <w:instrText xml:space="preserve"> PAGEREF _Toc425 \h </w:instrText>
          </w:r>
          <w:r>
            <w:fldChar w:fldCharType="separate"/>
          </w:r>
          <w:r>
            <w:t>- 32 -</w:t>
          </w:r>
          <w:r>
            <w:fldChar w:fldCharType="end"/>
          </w:r>
          <w:r>
            <w:rPr>
              <w:rFonts w:hint="eastAsia" w:ascii="黑体" w:hAnsi="黑体" w:eastAsia="黑体" w:cs="黑体"/>
              <w:bCs/>
              <w:color w:val="000000"/>
              <w:kern w:val="0"/>
              <w:szCs w:val="44"/>
              <w:highlight w:val="none"/>
              <w:lang w:val="en-US" w:eastAsia="zh-CN" w:bidi="ar"/>
            </w:rPr>
            <w:fldChar w:fldCharType="end"/>
          </w:r>
        </w:p>
        <w:p w14:paraId="772DA84C">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_Toc26799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8.考核与行风管理模块</w:t>
          </w:r>
          <w:r>
            <w:tab/>
          </w:r>
          <w:r>
            <w:fldChar w:fldCharType="begin"/>
          </w:r>
          <w:r>
            <w:instrText xml:space="preserve"> PAGEREF _Toc26799 \h </w:instrText>
          </w:r>
          <w:r>
            <w:fldChar w:fldCharType="separate"/>
          </w:r>
          <w:r>
            <w:t>- 32 -</w:t>
          </w:r>
          <w:r>
            <w:fldChar w:fldCharType="end"/>
          </w:r>
          <w:r>
            <w:rPr>
              <w:rFonts w:hint="eastAsia" w:ascii="黑体" w:hAnsi="黑体" w:eastAsia="黑体" w:cs="黑体"/>
              <w:bCs/>
              <w:color w:val="000000"/>
              <w:kern w:val="0"/>
              <w:szCs w:val="44"/>
              <w:highlight w:val="none"/>
              <w:lang w:val="en-US" w:eastAsia="zh-CN" w:bidi="ar"/>
            </w:rPr>
            <w:fldChar w:fldCharType="end"/>
          </w:r>
        </w:p>
        <w:p w14:paraId="33FE99BC">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_Toc19981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9.系统管理与安全合规模块</w:t>
          </w:r>
          <w:r>
            <w:tab/>
          </w:r>
          <w:r>
            <w:fldChar w:fldCharType="begin"/>
          </w:r>
          <w:r>
            <w:instrText xml:space="preserve"> PAGEREF _Toc19981 \h </w:instrText>
          </w:r>
          <w:r>
            <w:fldChar w:fldCharType="separate"/>
          </w:r>
          <w:r>
            <w:t>- 32 -</w:t>
          </w:r>
          <w:r>
            <w:fldChar w:fldCharType="end"/>
          </w:r>
          <w:r>
            <w:rPr>
              <w:rFonts w:hint="eastAsia" w:ascii="黑体" w:hAnsi="黑体" w:eastAsia="黑体" w:cs="黑体"/>
              <w:bCs/>
              <w:color w:val="000000"/>
              <w:kern w:val="0"/>
              <w:szCs w:val="44"/>
              <w:highlight w:val="none"/>
              <w:lang w:val="en-US" w:eastAsia="zh-CN" w:bidi="ar"/>
            </w:rPr>
            <w:fldChar w:fldCharType="end"/>
          </w:r>
        </w:p>
        <w:p w14:paraId="36630B64">
          <w:pPr>
            <w:pStyle w:val="17"/>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_Toc12436 </w:instrText>
          </w:r>
          <w:r>
            <w:rPr>
              <w:rFonts w:hint="eastAsia" w:ascii="黑体" w:hAnsi="黑体" w:eastAsia="黑体" w:cs="黑体"/>
              <w:bCs/>
              <w:kern w:val="0"/>
              <w:szCs w:val="44"/>
              <w:highlight w:val="none"/>
              <w:lang w:val="en-US" w:eastAsia="zh-CN" w:bidi="ar"/>
            </w:rPr>
            <w:fldChar w:fldCharType="separate"/>
          </w:r>
          <w:r>
            <w:rPr>
              <w:rFonts w:hint="eastAsia"/>
              <w:highlight w:val="none"/>
              <w:lang w:val="en-US" w:eastAsia="zh-CN"/>
            </w:rPr>
            <w:t>10.移动端与便捷功能</w:t>
          </w:r>
          <w:r>
            <w:tab/>
          </w:r>
          <w:r>
            <w:fldChar w:fldCharType="begin"/>
          </w:r>
          <w:r>
            <w:instrText xml:space="preserve"> PAGEREF _Toc12436 \h </w:instrText>
          </w:r>
          <w:r>
            <w:fldChar w:fldCharType="separate"/>
          </w:r>
          <w:r>
            <w:t>- 33 -</w:t>
          </w:r>
          <w:r>
            <w:fldChar w:fldCharType="end"/>
          </w:r>
          <w:r>
            <w:rPr>
              <w:rFonts w:hint="eastAsia" w:ascii="黑体" w:hAnsi="黑体" w:eastAsia="黑体" w:cs="黑体"/>
              <w:bCs/>
              <w:color w:val="000000"/>
              <w:kern w:val="0"/>
              <w:szCs w:val="44"/>
              <w:highlight w:val="none"/>
              <w:lang w:val="en-US" w:eastAsia="zh-CN" w:bidi="ar"/>
            </w:rPr>
            <w:fldChar w:fldCharType="end"/>
          </w:r>
        </w:p>
        <w:p w14:paraId="6736F363">
          <w:pPr>
            <w:pStyle w:val="16"/>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_Toc27467 </w:instrText>
          </w:r>
          <w:r>
            <w:rPr>
              <w:rFonts w:hint="eastAsia" w:ascii="黑体" w:hAnsi="黑体" w:eastAsia="黑体" w:cs="黑体"/>
              <w:bCs/>
              <w:kern w:val="0"/>
              <w:szCs w:val="44"/>
              <w:highlight w:val="none"/>
              <w:lang w:val="en-US" w:eastAsia="zh-CN" w:bidi="ar"/>
            </w:rPr>
            <w:fldChar w:fldCharType="separate"/>
          </w:r>
          <w:r>
            <w:rPr>
              <w:rFonts w:hint="eastAsia"/>
              <w:szCs w:val="30"/>
              <w:lang w:eastAsia="zh-CN"/>
            </w:rPr>
            <w:t>（三） 其他需求</w:t>
          </w:r>
          <w:r>
            <w:tab/>
          </w:r>
          <w:r>
            <w:fldChar w:fldCharType="begin"/>
          </w:r>
          <w:r>
            <w:instrText xml:space="preserve"> PAGEREF _Toc27467 \h </w:instrText>
          </w:r>
          <w:r>
            <w:fldChar w:fldCharType="separate"/>
          </w:r>
          <w:r>
            <w:t>- 33 -</w:t>
          </w:r>
          <w:r>
            <w:fldChar w:fldCharType="end"/>
          </w:r>
          <w:r>
            <w:rPr>
              <w:rFonts w:hint="eastAsia" w:ascii="黑体" w:hAnsi="黑体" w:eastAsia="黑体" w:cs="黑体"/>
              <w:bCs/>
              <w:color w:val="000000"/>
              <w:kern w:val="0"/>
              <w:szCs w:val="44"/>
              <w:highlight w:val="none"/>
              <w:lang w:val="en-US" w:eastAsia="zh-CN" w:bidi="ar"/>
            </w:rPr>
            <w:fldChar w:fldCharType="end"/>
          </w:r>
        </w:p>
        <w:p w14:paraId="575F7D10">
          <w:pPr>
            <w:pStyle w:val="16"/>
            <w:tabs>
              <w:tab w:val="right" w:leader="dot" w:pos="9326"/>
            </w:tabs>
          </w:pPr>
          <w:r>
            <w:rPr>
              <w:rFonts w:hint="eastAsia" w:ascii="黑体" w:hAnsi="黑体" w:eastAsia="黑体" w:cs="黑体"/>
              <w:bCs/>
              <w:color w:val="000000"/>
              <w:kern w:val="0"/>
              <w:szCs w:val="44"/>
              <w:highlight w:val="none"/>
              <w:lang w:val="en-US" w:eastAsia="zh-CN" w:bidi="ar"/>
            </w:rPr>
            <w:fldChar w:fldCharType="begin"/>
          </w:r>
          <w:r>
            <w:rPr>
              <w:rFonts w:hint="eastAsia" w:ascii="黑体" w:hAnsi="黑体" w:eastAsia="黑体" w:cs="黑体"/>
              <w:bCs/>
              <w:kern w:val="0"/>
              <w:szCs w:val="44"/>
              <w:highlight w:val="none"/>
              <w:lang w:val="en-US" w:eastAsia="zh-CN" w:bidi="ar"/>
            </w:rPr>
            <w:instrText xml:space="preserve"> HYPERLINK \l _Toc1454 </w:instrText>
          </w:r>
          <w:r>
            <w:rPr>
              <w:rFonts w:hint="eastAsia" w:ascii="黑体" w:hAnsi="黑体" w:eastAsia="黑体" w:cs="黑体"/>
              <w:bCs/>
              <w:kern w:val="0"/>
              <w:szCs w:val="44"/>
              <w:highlight w:val="none"/>
              <w:lang w:val="en-US" w:eastAsia="zh-CN" w:bidi="ar"/>
            </w:rPr>
            <w:fldChar w:fldCharType="separate"/>
          </w:r>
          <w:r>
            <w:rPr>
              <w:rFonts w:hint="eastAsia"/>
              <w:lang w:eastAsia="zh-CN"/>
            </w:rPr>
            <w:t xml:space="preserve">三、 </w:t>
          </w:r>
          <w:r>
            <w:rPr>
              <w:rFonts w:hint="eastAsia"/>
              <w:szCs w:val="30"/>
              <w:lang w:eastAsia="zh-CN"/>
            </w:rPr>
            <w:t>商务需求</w:t>
          </w:r>
          <w:r>
            <w:tab/>
          </w:r>
          <w:r>
            <w:fldChar w:fldCharType="begin"/>
          </w:r>
          <w:r>
            <w:instrText xml:space="preserve"> PAGEREF _Toc1454 \h </w:instrText>
          </w:r>
          <w:r>
            <w:fldChar w:fldCharType="separate"/>
          </w:r>
          <w:r>
            <w:t>- 34 -</w:t>
          </w:r>
          <w:r>
            <w:fldChar w:fldCharType="end"/>
          </w:r>
          <w:r>
            <w:rPr>
              <w:rFonts w:hint="eastAsia" w:ascii="黑体" w:hAnsi="黑体" w:eastAsia="黑体" w:cs="黑体"/>
              <w:bCs/>
              <w:color w:val="000000"/>
              <w:kern w:val="0"/>
              <w:szCs w:val="44"/>
              <w:highlight w:val="none"/>
              <w:lang w:val="en-US" w:eastAsia="zh-CN" w:bidi="ar"/>
            </w:rPr>
            <w:fldChar w:fldCharType="end"/>
          </w:r>
        </w:p>
        <w:p w14:paraId="46FA5A93">
          <w:pPr>
            <w:widowControl/>
            <w:numPr>
              <w:ilvl w:val="0"/>
              <w:numId w:val="0"/>
            </w:numPr>
            <w:jc w:val="center"/>
            <w:textAlignment w:val="center"/>
            <w:rPr>
              <w:rFonts w:hint="eastAsia" w:ascii="黑体" w:hAnsi="黑体" w:eastAsia="黑体" w:cs="黑体"/>
              <w:bCs/>
              <w:color w:val="000000"/>
              <w:kern w:val="0"/>
              <w:sz w:val="21"/>
              <w:szCs w:val="44"/>
              <w:highlight w:val="none"/>
              <w:lang w:val="en-US" w:eastAsia="zh-CN" w:bidi="ar"/>
            </w:rPr>
          </w:pPr>
          <w:r>
            <w:rPr>
              <w:rFonts w:hint="eastAsia" w:ascii="黑体" w:hAnsi="黑体" w:eastAsia="黑体" w:cs="黑体"/>
              <w:bCs/>
              <w:color w:val="000000"/>
              <w:kern w:val="0"/>
              <w:szCs w:val="44"/>
              <w:highlight w:val="none"/>
              <w:lang w:val="en-US" w:eastAsia="zh-CN" w:bidi="ar"/>
            </w:rPr>
            <w:fldChar w:fldCharType="end"/>
          </w:r>
        </w:p>
      </w:sdtContent>
    </w:sdt>
    <w:p w14:paraId="17DA56B6">
      <w:pPr>
        <w:pStyle w:val="5"/>
        <w:numPr>
          <w:ilvl w:val="0"/>
          <w:numId w:val="1"/>
        </w:numPr>
        <w:bidi w:val="0"/>
        <w:ind w:left="0" w:leftChars="0" w:firstLine="420" w:firstLineChars="0"/>
        <w:outlineLvl w:val="0"/>
        <w:rPr>
          <w:rFonts w:hint="eastAsia"/>
          <w:sz w:val="30"/>
          <w:szCs w:val="30"/>
          <w:lang w:eastAsia="zh-CN"/>
        </w:rPr>
        <w:sectPr>
          <w:footerReference r:id="rId5" w:type="default"/>
          <w:pgSz w:w="11906" w:h="16838"/>
          <w:pgMar w:top="820" w:right="1080" w:bottom="1039" w:left="1500" w:header="851" w:footer="992" w:gutter="0"/>
          <w:pgNumType w:fmt="numberInDash" w:start="1"/>
          <w:cols w:space="425" w:num="1"/>
          <w:docGrid w:type="lines" w:linePitch="312" w:charSpace="0"/>
        </w:sectPr>
      </w:pPr>
      <w:bookmarkStart w:id="0" w:name="_Toc30351"/>
    </w:p>
    <w:p w14:paraId="641641BB">
      <w:pPr>
        <w:pStyle w:val="5"/>
        <w:numPr>
          <w:ilvl w:val="0"/>
          <w:numId w:val="1"/>
        </w:numPr>
        <w:bidi w:val="0"/>
        <w:ind w:left="0" w:leftChars="0" w:firstLine="420" w:firstLineChars="0"/>
        <w:outlineLvl w:val="0"/>
        <w:rPr>
          <w:rFonts w:hint="eastAsia"/>
          <w:sz w:val="30"/>
          <w:szCs w:val="30"/>
          <w:lang w:eastAsia="zh-CN"/>
        </w:rPr>
      </w:pPr>
      <w:r>
        <w:rPr>
          <w:rFonts w:hint="eastAsia"/>
          <w:sz w:val="30"/>
          <w:szCs w:val="30"/>
          <w:lang w:eastAsia="zh-CN"/>
        </w:rPr>
        <w:t>项目基本信息表</w:t>
      </w:r>
      <w:bookmarkEnd w:id="0"/>
    </w:p>
    <w:tbl>
      <w:tblPr>
        <w:tblStyle w:val="20"/>
        <w:tblW w:w="5443" w:type="pct"/>
        <w:jc w:val="center"/>
        <w:tblLayout w:type="fixed"/>
        <w:tblCellMar>
          <w:top w:w="0" w:type="dxa"/>
          <w:left w:w="108" w:type="dxa"/>
          <w:bottom w:w="0" w:type="dxa"/>
          <w:right w:w="108" w:type="dxa"/>
        </w:tblCellMar>
      </w:tblPr>
      <w:tblGrid>
        <w:gridCol w:w="709"/>
        <w:gridCol w:w="2183"/>
        <w:gridCol w:w="4742"/>
        <w:gridCol w:w="821"/>
        <w:gridCol w:w="707"/>
        <w:gridCol w:w="1226"/>
      </w:tblGrid>
      <w:tr w14:paraId="37AA5EC7">
        <w:tblPrEx>
          <w:tblCellMar>
            <w:top w:w="0" w:type="dxa"/>
            <w:left w:w="108" w:type="dxa"/>
            <w:bottom w:w="0" w:type="dxa"/>
            <w:right w:w="108" w:type="dxa"/>
          </w:tblCellMar>
        </w:tblPrEx>
        <w:trPr>
          <w:trHeight w:val="575"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0B13B77C">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14:paraId="27A65809">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项目名称</w:t>
            </w:r>
          </w:p>
        </w:tc>
        <w:tc>
          <w:tcPr>
            <w:tcW w:w="2283" w:type="pct"/>
            <w:tcBorders>
              <w:top w:val="single" w:color="auto" w:sz="4" w:space="0"/>
              <w:left w:val="single" w:color="auto" w:sz="4" w:space="0"/>
              <w:bottom w:val="single" w:color="auto" w:sz="4" w:space="0"/>
              <w:right w:val="single" w:color="auto" w:sz="4" w:space="0"/>
            </w:tcBorders>
            <w:noWrap w:val="0"/>
            <w:vAlign w:val="center"/>
          </w:tcPr>
          <w:p w14:paraId="5E213CD6">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项目概述</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D18C4F8">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2D611AD7">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单位</w:t>
            </w:r>
          </w:p>
        </w:tc>
        <w:tc>
          <w:tcPr>
            <w:tcW w:w="590" w:type="pct"/>
            <w:tcBorders>
              <w:top w:val="single" w:color="auto" w:sz="4" w:space="0"/>
              <w:left w:val="nil"/>
              <w:bottom w:val="single" w:color="auto" w:sz="4" w:space="0"/>
              <w:right w:val="single" w:color="auto" w:sz="4" w:space="0"/>
            </w:tcBorders>
            <w:noWrap w:val="0"/>
            <w:vAlign w:val="center"/>
          </w:tcPr>
          <w:p w14:paraId="19FB9662">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14:paraId="55D9C421">
        <w:tblPrEx>
          <w:tblCellMar>
            <w:top w:w="0" w:type="dxa"/>
            <w:left w:w="108" w:type="dxa"/>
            <w:bottom w:w="0" w:type="dxa"/>
            <w:right w:w="108" w:type="dxa"/>
          </w:tblCellMar>
        </w:tblPrEx>
        <w:trPr>
          <w:trHeight w:val="3925" w:hRule="atLeast"/>
          <w:jc w:val="center"/>
        </w:trPr>
        <w:tc>
          <w:tcPr>
            <w:tcW w:w="341" w:type="pct"/>
            <w:tcBorders>
              <w:top w:val="nil"/>
              <w:left w:val="single" w:color="auto" w:sz="4" w:space="0"/>
              <w:bottom w:val="single" w:color="auto" w:sz="4" w:space="0"/>
              <w:right w:val="single" w:color="auto" w:sz="4" w:space="0"/>
            </w:tcBorders>
            <w:noWrap w:val="0"/>
            <w:vAlign w:val="center"/>
          </w:tcPr>
          <w:p w14:paraId="776854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050" w:type="pct"/>
            <w:tcBorders>
              <w:top w:val="nil"/>
              <w:left w:val="nil"/>
              <w:bottom w:val="single" w:color="auto" w:sz="4" w:space="0"/>
              <w:right w:val="single" w:color="auto" w:sz="4" w:space="0"/>
            </w:tcBorders>
            <w:noWrap w:val="0"/>
            <w:vAlign w:val="center"/>
          </w:tcPr>
          <w:p w14:paraId="712A454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支持结算的智慧医疗管理系统</w:t>
            </w:r>
          </w:p>
        </w:tc>
        <w:tc>
          <w:tcPr>
            <w:tcW w:w="2283" w:type="pct"/>
            <w:tcBorders>
              <w:top w:val="nil"/>
              <w:left w:val="single" w:color="auto" w:sz="4" w:space="0"/>
              <w:bottom w:val="single" w:color="000000" w:sz="4" w:space="0"/>
              <w:right w:val="single" w:color="auto" w:sz="4" w:space="0"/>
            </w:tcBorders>
            <w:noWrap w:val="0"/>
            <w:vAlign w:val="center"/>
          </w:tcPr>
          <w:p w14:paraId="4D5008D2">
            <w:pPr>
              <w:widowControl/>
              <w:jc w:val="left"/>
              <w:rPr>
                <w:rFonts w:hint="eastAsia" w:ascii="宋体" w:hAnsi="宋体" w:eastAsia="宋体" w:cs="宋体"/>
                <w:color w:val="000000"/>
                <w:sz w:val="21"/>
                <w:szCs w:val="21"/>
                <w:lang w:eastAsia="zh-CN"/>
              </w:rPr>
            </w:pPr>
            <w:r>
              <w:rPr>
                <w:rFonts w:hint="eastAsia" w:ascii="宋体" w:hAnsi="宋体" w:eastAsia="宋体" w:cs="宋体"/>
                <w:i w:val="0"/>
                <w:iCs w:val="0"/>
                <w:caps w:val="0"/>
                <w:color w:val="000000"/>
                <w:spacing w:val="0"/>
                <w:sz w:val="21"/>
                <w:szCs w:val="21"/>
                <w:shd w:val="clear" w:color="auto" w:fill="FFFFFF"/>
              </w:rPr>
              <w:t>本项目旨在建设“支撑结算的智慧医疗管理系统”，覆盖医务管理与医患管理两大核心领域。医务管理包括专业技术人员档案、排班考勤、资质授权准入、医疗预警、院科两级质控、日常行政事务、基础管理平台及驾驶舱展示；医患管理实现投诉纠纷全流程登记、处置、预警、统计分析与行风考核。系统需与HIS、人事、OA、数据湖等深度集成，全面提升医院医疗质量与患者安全管理水平。</w:t>
            </w:r>
          </w:p>
        </w:tc>
        <w:tc>
          <w:tcPr>
            <w:tcW w:w="394" w:type="pct"/>
            <w:tcBorders>
              <w:top w:val="nil"/>
              <w:left w:val="single" w:color="auto" w:sz="4" w:space="0"/>
              <w:bottom w:val="single" w:color="000000" w:sz="4" w:space="0"/>
              <w:right w:val="single" w:color="auto" w:sz="4" w:space="0"/>
            </w:tcBorders>
            <w:noWrap w:val="0"/>
            <w:vAlign w:val="center"/>
          </w:tcPr>
          <w:p w14:paraId="67F5619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40" w:type="pct"/>
            <w:tcBorders>
              <w:top w:val="nil"/>
              <w:left w:val="single" w:color="auto" w:sz="4" w:space="0"/>
              <w:bottom w:val="single" w:color="000000" w:sz="4" w:space="0"/>
              <w:right w:val="single" w:color="auto" w:sz="4" w:space="0"/>
            </w:tcBorders>
            <w:noWrap w:val="0"/>
            <w:vAlign w:val="center"/>
          </w:tcPr>
          <w:p w14:paraId="23E6108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590" w:type="pct"/>
            <w:tcBorders>
              <w:top w:val="nil"/>
              <w:left w:val="nil"/>
              <w:bottom w:val="single" w:color="auto" w:sz="4" w:space="0"/>
              <w:right w:val="single" w:color="auto" w:sz="4" w:space="0"/>
            </w:tcBorders>
            <w:noWrap w:val="0"/>
            <w:vAlign w:val="center"/>
          </w:tcPr>
          <w:p w14:paraId="7FF72744">
            <w:pPr>
              <w:widowControl/>
              <w:jc w:val="center"/>
              <w:rPr>
                <w:rFonts w:hint="eastAsia" w:ascii="宋体" w:hAnsi="宋体" w:eastAsia="宋体" w:cs="宋体"/>
                <w:color w:val="000000"/>
                <w:kern w:val="0"/>
                <w:sz w:val="21"/>
                <w:szCs w:val="21"/>
              </w:rPr>
            </w:pPr>
          </w:p>
        </w:tc>
      </w:tr>
    </w:tbl>
    <w:p w14:paraId="2433957B">
      <w:pPr>
        <w:rPr>
          <w:rFonts w:hint="eastAsia"/>
          <w:lang w:eastAsia="zh-CN"/>
        </w:rPr>
      </w:pPr>
    </w:p>
    <w:p w14:paraId="55969617">
      <w:pPr>
        <w:pStyle w:val="5"/>
        <w:numPr>
          <w:ilvl w:val="0"/>
          <w:numId w:val="1"/>
        </w:numPr>
        <w:bidi w:val="0"/>
        <w:ind w:left="0" w:leftChars="0" w:firstLine="420" w:firstLineChars="0"/>
        <w:outlineLvl w:val="0"/>
        <w:rPr>
          <w:rFonts w:hint="eastAsia"/>
          <w:sz w:val="30"/>
          <w:szCs w:val="30"/>
          <w:lang w:val="en-US" w:eastAsia="zh-CN"/>
        </w:rPr>
      </w:pPr>
      <w:bookmarkStart w:id="1" w:name="_Toc16441"/>
      <w:r>
        <w:rPr>
          <w:rFonts w:hint="eastAsia"/>
          <w:sz w:val="30"/>
          <w:szCs w:val="30"/>
          <w:lang w:eastAsia="zh-CN"/>
        </w:rPr>
        <w:t>具体功能</w:t>
      </w:r>
      <w:r>
        <w:rPr>
          <w:rFonts w:hint="eastAsia"/>
          <w:sz w:val="30"/>
          <w:szCs w:val="30"/>
          <w:lang w:val="en-US" w:eastAsia="zh-CN"/>
        </w:rPr>
        <w:t>/</w:t>
      </w:r>
      <w:r>
        <w:rPr>
          <w:rFonts w:hint="eastAsia"/>
          <w:sz w:val="30"/>
          <w:szCs w:val="30"/>
          <w:lang w:eastAsia="zh-CN"/>
        </w:rPr>
        <w:t>技术需求</w:t>
      </w:r>
      <w:bookmarkEnd w:id="1"/>
    </w:p>
    <w:p w14:paraId="3A144BA0">
      <w:pPr>
        <w:pStyle w:val="5"/>
        <w:numPr>
          <w:ilvl w:val="0"/>
          <w:numId w:val="2"/>
        </w:numPr>
        <w:bidi w:val="0"/>
        <w:ind w:left="-210" w:leftChars="0" w:firstLine="420" w:firstLineChars="0"/>
        <w:outlineLvl w:val="0"/>
        <w:rPr>
          <w:rFonts w:hint="eastAsia"/>
          <w:sz w:val="30"/>
          <w:szCs w:val="30"/>
          <w:lang w:val="en-US" w:eastAsia="zh-CN"/>
        </w:rPr>
      </w:pPr>
      <w:bookmarkStart w:id="2" w:name="_Toc28016"/>
      <w:r>
        <w:rPr>
          <w:rFonts w:hint="eastAsia"/>
          <w:sz w:val="30"/>
          <w:szCs w:val="30"/>
          <w:lang w:eastAsia="zh-CN"/>
        </w:rPr>
        <w:t>医务管理模块</w:t>
      </w:r>
      <w:bookmarkEnd w:id="2"/>
    </w:p>
    <w:p w14:paraId="72DDF07B">
      <w:pPr>
        <w:pStyle w:val="7"/>
        <w:widowControl/>
        <w:jc w:val="left"/>
        <w:textAlignment w:val="center"/>
        <w:outlineLvl w:val="1"/>
        <w:rPr>
          <w:rFonts w:hint="eastAsia"/>
          <w:highlight w:val="none"/>
        </w:rPr>
      </w:pPr>
      <w:bookmarkStart w:id="3" w:name="_Toc18007"/>
      <w:r>
        <w:rPr>
          <w:rFonts w:hint="eastAsia"/>
          <w:highlight w:val="none"/>
        </w:rPr>
        <w:t>1.1 专业技术人员管理（医技药）</w:t>
      </w:r>
      <w:bookmarkEnd w:id="3"/>
    </w:p>
    <w:tbl>
      <w:tblPr>
        <w:tblStyle w:val="20"/>
        <w:tblW w:w="10138"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7EEB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shd w:val="clear" w:color="auto" w:fill="D7D7D7"/>
            <w:vAlign w:val="center"/>
          </w:tcPr>
          <w:p w14:paraId="419685B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序号</w:t>
            </w:r>
          </w:p>
        </w:tc>
        <w:tc>
          <w:tcPr>
            <w:tcW w:w="8569" w:type="dxa"/>
            <w:shd w:val="clear" w:color="auto" w:fill="D7D7D7"/>
            <w:vAlign w:val="center"/>
          </w:tcPr>
          <w:p w14:paraId="4047B2E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需求描述</w:t>
            </w:r>
          </w:p>
        </w:tc>
      </w:tr>
      <w:tr w14:paraId="4CD4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138" w:type="dxa"/>
            <w:gridSpan w:val="2"/>
            <w:shd w:val="clear" w:color="auto" w:fill="FFFF00"/>
            <w:vAlign w:val="center"/>
          </w:tcPr>
          <w:p w14:paraId="2BF690C5">
            <w:pPr>
              <w:widowControl/>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kern w:val="0"/>
                <w:sz w:val="20"/>
                <w:szCs w:val="20"/>
                <w:highlight w:val="none"/>
                <w:lang w:bidi="ar"/>
              </w:rPr>
              <w:t xml:space="preserve">1.1 </w:t>
            </w:r>
            <w:r>
              <w:rPr>
                <w:rStyle w:val="27"/>
                <w:rFonts w:hint="eastAsia"/>
                <w:b/>
                <w:bCs/>
                <w:color w:val="auto"/>
                <w:highlight w:val="none"/>
                <w:lang w:bidi="ar"/>
              </w:rPr>
              <w:t>专业技术</w:t>
            </w:r>
            <w:r>
              <w:rPr>
                <w:rFonts w:hint="eastAsia" w:ascii="宋体" w:hAnsi="宋体" w:eastAsia="宋体" w:cs="宋体"/>
                <w:b/>
                <w:bCs/>
                <w:color w:val="auto"/>
                <w:kern w:val="0"/>
                <w:sz w:val="20"/>
                <w:szCs w:val="20"/>
                <w:highlight w:val="none"/>
                <w:lang w:bidi="ar"/>
              </w:rPr>
              <w:t>人员管理</w:t>
            </w:r>
            <w:r>
              <w:rPr>
                <w:rFonts w:hint="eastAsia" w:ascii="宋体" w:hAnsi="宋体" w:eastAsia="宋体" w:cs="宋体"/>
                <w:b/>
                <w:bCs/>
                <w:strike w:val="0"/>
                <w:dstrike w:val="0"/>
                <w:color w:val="auto"/>
                <w:kern w:val="0"/>
                <w:sz w:val="20"/>
                <w:szCs w:val="20"/>
                <w:highlight w:val="none"/>
                <w:lang w:eastAsia="zh-CN" w:bidi="ar"/>
              </w:rPr>
              <w:t>（医技药）</w:t>
            </w:r>
          </w:p>
        </w:tc>
      </w:tr>
      <w:tr w14:paraId="69D6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4B98B3C">
            <w:pPr>
              <w:widowControl/>
              <w:textAlignment w:val="center"/>
              <w:rPr>
                <w:rFonts w:ascii="宋体" w:hAnsi="宋体" w:eastAsia="宋体" w:cs="宋体"/>
                <w:color w:val="auto"/>
                <w:sz w:val="20"/>
                <w:szCs w:val="20"/>
                <w:highlight w:val="none"/>
              </w:rPr>
            </w:pPr>
            <w:r>
              <w:rPr>
                <w:rStyle w:val="24"/>
                <w:rFonts w:hint="default"/>
                <w:color w:val="auto"/>
                <w:highlight w:val="none"/>
                <w:lang w:bidi="ar"/>
              </w:rPr>
              <w:t xml:space="preserve">1.1.1 </w:t>
            </w:r>
            <w:r>
              <w:rPr>
                <w:rStyle w:val="25"/>
                <w:rFonts w:hint="default"/>
                <w:color w:val="auto"/>
                <w:highlight w:val="none"/>
                <w:lang w:bidi="ar"/>
              </w:rPr>
              <w:t>专业技术人员</w:t>
            </w:r>
            <w:r>
              <w:rPr>
                <w:rStyle w:val="24"/>
                <w:rFonts w:hint="default"/>
                <w:color w:val="auto"/>
                <w:highlight w:val="none"/>
                <w:lang w:bidi="ar"/>
              </w:rPr>
              <w:t>档案</w:t>
            </w:r>
          </w:p>
        </w:tc>
        <w:tc>
          <w:tcPr>
            <w:tcW w:w="8569" w:type="dxa"/>
          </w:tcPr>
          <w:p w14:paraId="7A63C29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所有基本情况字段可根据角色设置显示/隐藏、必填/非必填,实现角色字段的自定义设置；</w:t>
            </w:r>
          </w:p>
        </w:tc>
      </w:tr>
      <w:tr w14:paraId="54C7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1673B3">
            <w:pPr>
              <w:rPr>
                <w:rFonts w:ascii="宋体" w:hAnsi="宋体" w:eastAsia="宋体" w:cs="宋体"/>
                <w:color w:val="auto"/>
                <w:sz w:val="20"/>
                <w:szCs w:val="20"/>
                <w:highlight w:val="none"/>
              </w:rPr>
            </w:pPr>
          </w:p>
        </w:tc>
        <w:tc>
          <w:tcPr>
            <w:tcW w:w="8569" w:type="dxa"/>
          </w:tcPr>
          <w:p w14:paraId="2DC8CA96">
            <w:pPr>
              <w:widowControl/>
              <w:textAlignment w:val="top"/>
              <w:rPr>
                <w:rFonts w:hint="eastAsia" w:ascii="Wingdings" w:hAnsi="Wingdings" w:eastAsia="宋体" w:cs="Wingdings"/>
                <w:color w:val="auto"/>
                <w:sz w:val="20"/>
                <w:szCs w:val="20"/>
                <w:highlight w:val="none"/>
                <w:lang w:eastAsia="zh-CN"/>
              </w:rPr>
            </w:pPr>
            <w:r>
              <w:rPr>
                <w:rStyle w:val="26"/>
                <w:rFonts w:eastAsia="宋体"/>
                <w:color w:val="auto"/>
                <w:highlight w:val="none"/>
                <w:lang w:bidi="ar"/>
              </w:rPr>
              <w:t></w:t>
            </w:r>
            <w:r>
              <w:rPr>
                <w:rStyle w:val="27"/>
                <w:rFonts w:hint="default"/>
                <w:color w:val="auto"/>
                <w:highlight w:val="none"/>
                <w:lang w:bidi="ar"/>
              </w:rPr>
              <w:t>个人基本情况</w:t>
            </w:r>
            <w:r>
              <w:rPr>
                <w:rStyle w:val="27"/>
                <w:rFonts w:hint="eastAsia" w:eastAsia="宋体"/>
                <w:color w:val="FF0000"/>
                <w:highlight w:val="none"/>
                <w:lang w:eastAsia="zh-CN" w:bidi="ar"/>
              </w:rPr>
              <w:t>（支持对接院方</w:t>
            </w:r>
            <w:r>
              <w:rPr>
                <w:rStyle w:val="27"/>
                <w:rFonts w:hint="eastAsia" w:eastAsia="宋体"/>
                <w:color w:val="FF0000"/>
                <w:highlight w:val="none"/>
                <w:lang w:val="en-US" w:eastAsia="zh-CN" w:bidi="ar"/>
              </w:rPr>
              <w:t>人事管理</w:t>
            </w:r>
            <w:r>
              <w:rPr>
                <w:rStyle w:val="27"/>
                <w:rFonts w:hint="eastAsia" w:eastAsia="宋体"/>
                <w:color w:val="FF0000"/>
                <w:highlight w:val="none"/>
                <w:lang w:eastAsia="zh-CN" w:bidi="ar"/>
              </w:rPr>
              <w:t>系统，支持相关数据同步</w:t>
            </w:r>
            <w:r>
              <w:rPr>
                <w:rStyle w:val="27"/>
                <w:rFonts w:hint="eastAsia" w:eastAsia="宋体"/>
                <w:color w:val="auto"/>
                <w:highlight w:val="none"/>
                <w:lang w:eastAsia="zh-CN" w:bidi="ar"/>
              </w:rPr>
              <w:t>）</w:t>
            </w:r>
          </w:p>
        </w:tc>
      </w:tr>
      <w:tr w14:paraId="7E37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BB2A51">
            <w:pPr>
              <w:rPr>
                <w:rFonts w:ascii="宋体" w:hAnsi="宋体" w:eastAsia="宋体" w:cs="宋体"/>
                <w:color w:val="auto"/>
                <w:sz w:val="20"/>
                <w:szCs w:val="20"/>
                <w:highlight w:val="none"/>
              </w:rPr>
            </w:pPr>
          </w:p>
        </w:tc>
        <w:tc>
          <w:tcPr>
            <w:tcW w:w="8569" w:type="dxa"/>
          </w:tcPr>
          <w:p w14:paraId="583232F6">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基本信息：工号、姓名、身份证号、性别、民族、籍贯、电子邮箱、手机号码、联系地址等；</w:t>
            </w:r>
          </w:p>
        </w:tc>
      </w:tr>
      <w:tr w14:paraId="45AB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5AD560">
            <w:pPr>
              <w:rPr>
                <w:rFonts w:ascii="宋体" w:hAnsi="宋体" w:eastAsia="宋体" w:cs="宋体"/>
                <w:color w:val="auto"/>
                <w:sz w:val="20"/>
                <w:szCs w:val="20"/>
                <w:highlight w:val="none"/>
              </w:rPr>
            </w:pPr>
          </w:p>
        </w:tc>
        <w:tc>
          <w:tcPr>
            <w:tcW w:w="8569" w:type="dxa"/>
          </w:tcPr>
          <w:p w14:paraId="13B8A8E8">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工作信息：所在科室、到院时间、参加工作时间、用工形式、院龄、工作年限、行政职务、社会任职、</w:t>
            </w:r>
            <w:r>
              <w:rPr>
                <w:rStyle w:val="25"/>
                <w:rFonts w:hint="default"/>
                <w:color w:val="auto"/>
                <w:highlight w:val="none"/>
                <w:lang w:bidi="ar"/>
              </w:rPr>
              <w:t>类别（全职、特聘）</w:t>
            </w:r>
            <w:r>
              <w:rPr>
                <w:rStyle w:val="24"/>
                <w:rFonts w:hint="default"/>
                <w:color w:val="auto"/>
                <w:highlight w:val="none"/>
                <w:lang w:bidi="ar"/>
              </w:rPr>
              <w:t>等；</w:t>
            </w:r>
          </w:p>
        </w:tc>
      </w:tr>
      <w:tr w14:paraId="77FA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B84DC2">
            <w:pPr>
              <w:rPr>
                <w:rFonts w:ascii="宋体" w:hAnsi="宋体" w:eastAsia="宋体" w:cs="宋体"/>
                <w:color w:val="auto"/>
                <w:sz w:val="20"/>
                <w:szCs w:val="20"/>
                <w:highlight w:val="none"/>
              </w:rPr>
            </w:pPr>
          </w:p>
        </w:tc>
        <w:tc>
          <w:tcPr>
            <w:tcW w:w="8569" w:type="dxa"/>
          </w:tcPr>
          <w:p w14:paraId="77E88535">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执业信息：（1）医师</w:t>
            </w:r>
            <w:r>
              <w:rPr>
                <w:rStyle w:val="25"/>
                <w:rFonts w:hint="eastAsia" w:eastAsia="宋体"/>
                <w:color w:val="auto"/>
                <w:highlight w:val="none"/>
                <w:lang w:eastAsia="zh-CN" w:bidi="ar"/>
              </w:rPr>
              <w:t>等。</w:t>
            </w:r>
            <w:r>
              <w:rPr>
                <w:rStyle w:val="25"/>
                <w:rFonts w:hint="default"/>
                <w:color w:val="auto"/>
                <w:highlight w:val="none"/>
                <w:lang w:bidi="ar"/>
              </w:rPr>
              <w:t>a.医师资格证：证书编号、发证时间、专业、类别等。b.医师执业证：执业类别、执业范围、签发/变更日期、主执业地点、其他多点执业地点等。（2）技师、药师</w:t>
            </w:r>
            <w:r>
              <w:rPr>
                <w:rStyle w:val="25"/>
                <w:rFonts w:hint="eastAsia" w:eastAsia="宋体"/>
                <w:color w:val="auto"/>
                <w:highlight w:val="none"/>
                <w:lang w:eastAsia="zh-CN" w:bidi="ar"/>
              </w:rPr>
              <w:t>等</w:t>
            </w:r>
            <w:r>
              <w:rPr>
                <w:rStyle w:val="25"/>
                <w:rFonts w:hint="default"/>
                <w:color w:val="auto"/>
                <w:highlight w:val="none"/>
                <w:lang w:bidi="ar"/>
              </w:rPr>
              <w:t>。专业资格证编号、级别、专业、发证时间、执业备案情况等。</w:t>
            </w:r>
          </w:p>
        </w:tc>
      </w:tr>
      <w:tr w14:paraId="1223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120092E">
            <w:pPr>
              <w:rPr>
                <w:rFonts w:ascii="宋体" w:hAnsi="宋体" w:eastAsia="宋体" w:cs="宋体"/>
                <w:color w:val="auto"/>
                <w:sz w:val="20"/>
                <w:szCs w:val="20"/>
                <w:highlight w:val="none"/>
              </w:rPr>
            </w:pPr>
          </w:p>
        </w:tc>
        <w:tc>
          <w:tcPr>
            <w:tcW w:w="8569" w:type="dxa"/>
          </w:tcPr>
          <w:p w14:paraId="48C6C1C0">
            <w:pPr>
              <w:widowControl/>
              <w:textAlignment w:val="top"/>
              <w:rPr>
                <w:rFonts w:hint="default" w:ascii="Wingdings" w:hAnsi="Wingdings" w:eastAsia="宋体" w:cs="Wingdings"/>
                <w:color w:val="auto"/>
                <w:sz w:val="20"/>
                <w:szCs w:val="20"/>
                <w:highlight w:val="none"/>
                <w:lang w:val="en-US" w:eastAsia="zh-CN"/>
              </w:rPr>
            </w:pPr>
            <w:r>
              <w:rPr>
                <w:rStyle w:val="29"/>
                <w:rFonts w:eastAsia="宋体"/>
                <w:color w:val="auto"/>
                <w:highlight w:val="none"/>
                <w:lang w:bidi="ar"/>
              </w:rPr>
              <w:t></w:t>
            </w:r>
            <w:r>
              <w:rPr>
                <w:rStyle w:val="25"/>
                <w:rFonts w:hint="default"/>
                <w:color w:val="auto"/>
                <w:highlight w:val="none"/>
                <w:lang w:bidi="ar"/>
              </w:rPr>
              <w:t>人员职称：专业资格证职称、资格证编号、获取时间；医院聘用职称、聘用时间等；</w:t>
            </w:r>
          </w:p>
        </w:tc>
      </w:tr>
      <w:tr w14:paraId="69A4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69" w:type="dxa"/>
            <w:vMerge w:val="continue"/>
            <w:vAlign w:val="center"/>
          </w:tcPr>
          <w:p w14:paraId="4E204EDE">
            <w:pPr>
              <w:rPr>
                <w:rFonts w:ascii="宋体" w:hAnsi="宋体" w:eastAsia="宋体" w:cs="宋体"/>
                <w:color w:val="auto"/>
                <w:sz w:val="20"/>
                <w:szCs w:val="20"/>
                <w:highlight w:val="none"/>
              </w:rPr>
            </w:pPr>
          </w:p>
        </w:tc>
        <w:tc>
          <w:tcPr>
            <w:tcW w:w="8569" w:type="dxa"/>
          </w:tcPr>
          <w:p w14:paraId="2AB0A72B">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学业信息：毕业院校、最高学历、有无学位等；</w:t>
            </w:r>
          </w:p>
        </w:tc>
      </w:tr>
      <w:tr w14:paraId="505D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BB6162">
            <w:pPr>
              <w:rPr>
                <w:rFonts w:ascii="宋体" w:hAnsi="宋体" w:eastAsia="宋体" w:cs="宋体"/>
                <w:color w:val="auto"/>
                <w:sz w:val="20"/>
                <w:szCs w:val="20"/>
                <w:highlight w:val="none"/>
              </w:rPr>
            </w:pPr>
          </w:p>
        </w:tc>
        <w:tc>
          <w:tcPr>
            <w:tcW w:w="8569" w:type="dxa"/>
          </w:tcPr>
          <w:p w14:paraId="64D266E8">
            <w:pPr>
              <w:widowControl/>
              <w:textAlignment w:val="top"/>
              <w:rPr>
                <w:rStyle w:val="27"/>
                <w:rFonts w:hint="eastAsia"/>
                <w:color w:val="auto"/>
                <w:highlight w:val="none"/>
                <w:lang w:bidi="ar"/>
              </w:rPr>
            </w:pPr>
            <w:r>
              <w:rPr>
                <w:rStyle w:val="26"/>
                <w:rFonts w:eastAsia="宋体"/>
                <w:color w:val="auto"/>
                <w:highlight w:val="none"/>
                <w:lang w:bidi="ar"/>
              </w:rPr>
              <w:t></w:t>
            </w:r>
            <w:r>
              <w:rPr>
                <w:rStyle w:val="27"/>
                <w:rFonts w:hint="default"/>
                <w:color w:val="auto"/>
                <w:highlight w:val="none"/>
                <w:lang w:bidi="ar"/>
              </w:rPr>
              <w:t>紧急联系人：联系人姓名、关系、联系电话；</w:t>
            </w:r>
          </w:p>
        </w:tc>
      </w:tr>
      <w:tr w14:paraId="428E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67B06D">
            <w:pPr>
              <w:rPr>
                <w:rFonts w:ascii="宋体" w:hAnsi="宋体" w:eastAsia="宋体" w:cs="宋体"/>
                <w:color w:val="auto"/>
                <w:sz w:val="20"/>
                <w:szCs w:val="20"/>
                <w:highlight w:val="none"/>
              </w:rPr>
            </w:pPr>
          </w:p>
        </w:tc>
        <w:tc>
          <w:tcPr>
            <w:tcW w:w="8569" w:type="dxa"/>
          </w:tcPr>
          <w:p w14:paraId="34035689">
            <w:pPr>
              <w:widowControl/>
              <w:textAlignment w:val="top"/>
              <w:rPr>
                <w:rFonts w:hint="eastAsia" w:ascii="Wingdings" w:hAnsi="Wingdings" w:eastAsia="宋体" w:cs="Wingdings"/>
                <w:color w:val="auto"/>
                <w:sz w:val="20"/>
                <w:szCs w:val="20"/>
                <w:highlight w:val="none"/>
                <w:lang w:eastAsia="zh-CN"/>
              </w:rPr>
            </w:pPr>
            <w:r>
              <w:rPr>
                <w:rStyle w:val="26"/>
                <w:rFonts w:eastAsia="宋体"/>
                <w:color w:val="auto"/>
                <w:highlight w:val="none"/>
                <w:lang w:bidi="ar"/>
              </w:rPr>
              <w:t></w:t>
            </w:r>
            <w:r>
              <w:rPr>
                <w:rStyle w:val="26"/>
                <w:rFonts w:hint="eastAsia" w:eastAsia="宋体"/>
                <w:color w:val="auto"/>
                <w:highlight w:val="none"/>
                <w:lang w:eastAsia="zh-CN" w:bidi="ar"/>
              </w:rPr>
              <w:t>有</w:t>
            </w:r>
            <w:r>
              <w:rPr>
                <w:rStyle w:val="27"/>
                <w:rFonts w:hint="default"/>
                <w:color w:val="auto"/>
                <w:highlight w:val="none"/>
                <w:lang w:bidi="ar"/>
              </w:rPr>
              <w:t>医疗技术授权</w:t>
            </w:r>
            <w:r>
              <w:rPr>
                <w:rStyle w:val="27"/>
                <w:rFonts w:hint="eastAsia" w:eastAsia="宋体"/>
                <w:color w:val="auto"/>
                <w:highlight w:val="none"/>
                <w:lang w:eastAsia="zh-CN" w:bidi="ar"/>
              </w:rPr>
              <w:t>模块</w:t>
            </w:r>
          </w:p>
        </w:tc>
      </w:tr>
      <w:tr w14:paraId="0841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93CFC3">
            <w:pPr>
              <w:rPr>
                <w:rFonts w:ascii="宋体" w:hAnsi="宋体" w:eastAsia="宋体" w:cs="宋体"/>
                <w:color w:val="auto"/>
                <w:sz w:val="20"/>
                <w:szCs w:val="20"/>
                <w:highlight w:val="none"/>
              </w:rPr>
            </w:pPr>
          </w:p>
        </w:tc>
        <w:tc>
          <w:tcPr>
            <w:tcW w:w="8569" w:type="dxa"/>
          </w:tcPr>
          <w:p w14:paraId="6D6A7D95">
            <w:pPr>
              <w:widowControl/>
              <w:textAlignment w:val="top"/>
              <w:rPr>
                <w:rStyle w:val="27"/>
                <w:rFonts w:hint="eastAsia"/>
                <w:color w:val="auto"/>
                <w:highlight w:val="none"/>
                <w:lang w:bidi="ar"/>
              </w:rPr>
            </w:pPr>
            <w:r>
              <w:rPr>
                <w:rStyle w:val="26"/>
                <w:rFonts w:eastAsia="宋体"/>
                <w:color w:val="auto"/>
                <w:highlight w:val="none"/>
                <w:lang w:bidi="ar"/>
              </w:rPr>
              <w:t></w:t>
            </w:r>
            <w:r>
              <w:rPr>
                <w:rStyle w:val="27"/>
                <w:rFonts w:hint="default"/>
                <w:color w:val="auto"/>
                <w:highlight w:val="none"/>
                <w:lang w:bidi="ar"/>
              </w:rPr>
              <w:t>展示</w:t>
            </w:r>
            <w:r>
              <w:rPr>
                <w:rStyle w:val="27"/>
                <w:rFonts w:hint="eastAsia" w:eastAsia="宋体"/>
                <w:color w:val="auto"/>
                <w:highlight w:val="none"/>
                <w:lang w:val="en-US" w:eastAsia="zh-CN" w:bidi="ar"/>
              </w:rPr>
              <w:t>医护技药</w:t>
            </w:r>
            <w:r>
              <w:rPr>
                <w:rStyle w:val="27"/>
                <w:rFonts w:hint="default"/>
                <w:color w:val="auto"/>
                <w:highlight w:val="none"/>
                <w:lang w:bidi="ar"/>
              </w:rPr>
              <w:t>所有权限情况，如：处</w:t>
            </w:r>
            <w:r>
              <w:rPr>
                <w:rStyle w:val="27"/>
                <w:rFonts w:hint="eastAsia" w:eastAsia="宋体"/>
                <w:color w:val="auto"/>
                <w:highlight w:val="none"/>
                <w:lang w:eastAsia="zh-CN" w:bidi="ar"/>
              </w:rPr>
              <w:t>方</w:t>
            </w:r>
            <w:r>
              <w:rPr>
                <w:rStyle w:val="27"/>
                <w:rFonts w:hint="default"/>
                <w:color w:val="auto"/>
                <w:highlight w:val="none"/>
                <w:lang w:bidi="ar"/>
              </w:rPr>
              <w:t>权、手术授权、麻醉分级、高风险诊疗技术、中医技术管控、会诊资质、放射资质、新技术新项目准入情况等；</w:t>
            </w:r>
          </w:p>
        </w:tc>
      </w:tr>
      <w:tr w14:paraId="788F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956D6E">
            <w:pPr>
              <w:rPr>
                <w:rFonts w:ascii="宋体" w:hAnsi="宋体" w:eastAsia="宋体" w:cs="宋体"/>
                <w:color w:val="auto"/>
                <w:sz w:val="20"/>
                <w:szCs w:val="20"/>
                <w:highlight w:val="none"/>
              </w:rPr>
            </w:pPr>
          </w:p>
        </w:tc>
        <w:tc>
          <w:tcPr>
            <w:tcW w:w="8569" w:type="dxa"/>
          </w:tcPr>
          <w:p w14:paraId="09CF04E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权限日志记录，可记录所有权限授予和取消的历史记录，可筛选和查询。</w:t>
            </w:r>
          </w:p>
        </w:tc>
      </w:tr>
      <w:tr w14:paraId="3731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6732A8E">
            <w:pPr>
              <w:rPr>
                <w:rFonts w:ascii="宋体" w:hAnsi="宋体" w:eastAsia="宋体" w:cs="宋体"/>
                <w:color w:val="auto"/>
                <w:sz w:val="20"/>
                <w:szCs w:val="20"/>
                <w:highlight w:val="none"/>
              </w:rPr>
            </w:pPr>
          </w:p>
        </w:tc>
        <w:tc>
          <w:tcPr>
            <w:tcW w:w="8569" w:type="dxa"/>
          </w:tcPr>
          <w:p w14:paraId="73E25F6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工作量统计</w:t>
            </w:r>
          </w:p>
        </w:tc>
      </w:tr>
      <w:tr w14:paraId="4ED8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360A8C5D">
            <w:pPr>
              <w:rPr>
                <w:rFonts w:ascii="宋体" w:hAnsi="宋体" w:eastAsia="宋体" w:cs="宋体"/>
                <w:color w:val="auto"/>
                <w:sz w:val="20"/>
                <w:szCs w:val="20"/>
                <w:highlight w:val="none"/>
              </w:rPr>
            </w:pPr>
          </w:p>
        </w:tc>
        <w:tc>
          <w:tcPr>
            <w:tcW w:w="8569" w:type="dxa"/>
          </w:tcPr>
          <w:p w14:paraId="27197A3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手术参与量：统计</w:t>
            </w:r>
            <w:r>
              <w:rPr>
                <w:rStyle w:val="27"/>
                <w:rFonts w:hint="eastAsia" w:eastAsia="宋体"/>
                <w:color w:val="auto"/>
                <w:highlight w:val="none"/>
                <w:lang w:eastAsia="zh-CN" w:bidi="ar"/>
              </w:rPr>
              <w:t>医疗人员参与</w:t>
            </w:r>
            <w:r>
              <w:rPr>
                <w:rStyle w:val="27"/>
                <w:rFonts w:hint="default"/>
                <w:color w:val="auto"/>
                <w:highlight w:val="none"/>
                <w:lang w:bidi="ar"/>
              </w:rPr>
              <w:t>的所有手术情况，如：手术级别、手术名称、手术时间、担任角色、患者姓名、住院号、诊断等内容；</w:t>
            </w:r>
          </w:p>
        </w:tc>
      </w:tr>
      <w:tr w14:paraId="04D6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B34779">
            <w:pPr>
              <w:rPr>
                <w:rFonts w:ascii="宋体" w:hAnsi="宋体" w:eastAsia="宋体" w:cs="宋体"/>
                <w:color w:val="auto"/>
                <w:sz w:val="20"/>
                <w:szCs w:val="20"/>
                <w:highlight w:val="none"/>
              </w:rPr>
            </w:pPr>
          </w:p>
        </w:tc>
        <w:tc>
          <w:tcPr>
            <w:tcW w:w="8569" w:type="dxa"/>
          </w:tcPr>
          <w:p w14:paraId="4BD71FD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门诊工作量：统计</w:t>
            </w:r>
            <w:r>
              <w:rPr>
                <w:rStyle w:val="27"/>
                <w:rFonts w:hint="eastAsia" w:eastAsia="宋体"/>
                <w:color w:val="auto"/>
                <w:highlight w:val="none"/>
                <w:lang w:eastAsia="zh-CN" w:bidi="ar"/>
              </w:rPr>
              <w:t>医疗人员</w:t>
            </w:r>
            <w:r>
              <w:rPr>
                <w:rStyle w:val="27"/>
                <w:rFonts w:hint="default"/>
                <w:color w:val="auto"/>
                <w:highlight w:val="none"/>
                <w:lang w:bidi="ar"/>
              </w:rPr>
              <w:t>接待的所有</w:t>
            </w:r>
            <w:r>
              <w:rPr>
                <w:rStyle w:val="27"/>
                <w:rFonts w:hint="eastAsia" w:eastAsia="宋体"/>
                <w:color w:val="auto"/>
                <w:highlight w:val="none"/>
                <w:lang w:eastAsia="zh-CN" w:bidi="ar"/>
              </w:rPr>
              <w:t>（护理）</w:t>
            </w:r>
            <w:r>
              <w:rPr>
                <w:rStyle w:val="27"/>
                <w:rFonts w:hint="default"/>
                <w:color w:val="auto"/>
                <w:highlight w:val="none"/>
                <w:lang w:bidi="ar"/>
              </w:rPr>
              <w:t>门诊患者情况，如：门诊科室、患者姓名、患者性别、患者年龄、诊断、就诊时间等内容；</w:t>
            </w:r>
          </w:p>
        </w:tc>
      </w:tr>
      <w:tr w14:paraId="34F5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7DAC9B">
            <w:pPr>
              <w:rPr>
                <w:rFonts w:ascii="宋体" w:hAnsi="宋体" w:eastAsia="宋体" w:cs="宋体"/>
                <w:color w:val="auto"/>
                <w:sz w:val="20"/>
                <w:szCs w:val="20"/>
                <w:highlight w:val="none"/>
              </w:rPr>
            </w:pPr>
          </w:p>
        </w:tc>
        <w:tc>
          <w:tcPr>
            <w:tcW w:w="8569" w:type="dxa"/>
          </w:tcPr>
          <w:p w14:paraId="5CF73FA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住院患者量：统计</w:t>
            </w:r>
            <w:r>
              <w:rPr>
                <w:rStyle w:val="27"/>
                <w:rFonts w:hint="eastAsia" w:eastAsia="宋体"/>
                <w:color w:val="auto"/>
                <w:highlight w:val="none"/>
                <w:lang w:eastAsia="zh-CN" w:bidi="ar"/>
              </w:rPr>
              <w:t>医疗人员参与</w:t>
            </w:r>
            <w:r>
              <w:rPr>
                <w:rStyle w:val="27"/>
                <w:rFonts w:hint="default"/>
                <w:color w:val="auto"/>
                <w:highlight w:val="none"/>
                <w:lang w:bidi="ar"/>
              </w:rPr>
              <w:t>的住院患者情况，如：住院科室、住院号、患者姓名、患者性别、入院时间、出院时间、住院时长、在院状态、护理级别、危重情况、入院诊断等内容。</w:t>
            </w:r>
          </w:p>
        </w:tc>
      </w:tr>
      <w:tr w14:paraId="1696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7EEF80">
            <w:pPr>
              <w:rPr>
                <w:rFonts w:ascii="宋体" w:hAnsi="宋体" w:eastAsia="宋体" w:cs="宋体"/>
                <w:color w:val="auto"/>
                <w:sz w:val="20"/>
                <w:szCs w:val="20"/>
                <w:highlight w:val="none"/>
              </w:rPr>
            </w:pPr>
          </w:p>
        </w:tc>
        <w:tc>
          <w:tcPr>
            <w:tcW w:w="8569" w:type="dxa"/>
          </w:tcPr>
          <w:p w14:paraId="5CC0980B">
            <w:pPr>
              <w:widowControl/>
              <w:textAlignment w:val="top"/>
              <w:rPr>
                <w:rStyle w:val="27"/>
                <w:rFonts w:hint="eastAsia" w:eastAsia="宋体"/>
                <w:color w:val="auto"/>
                <w:highlight w:val="none"/>
                <w:lang w:val="en-US" w:eastAsia="zh-CN" w:bidi="ar"/>
              </w:rPr>
            </w:pPr>
            <w:r>
              <w:rPr>
                <w:rStyle w:val="26"/>
                <w:rFonts w:eastAsia="宋体"/>
                <w:color w:val="auto"/>
                <w:highlight w:val="none"/>
                <w:lang w:bidi="ar"/>
              </w:rPr>
              <w:t></w:t>
            </w:r>
            <w:r>
              <w:rPr>
                <w:rStyle w:val="27"/>
                <w:rFonts w:hint="eastAsia" w:eastAsia="宋体"/>
                <w:color w:val="auto"/>
                <w:highlight w:val="none"/>
                <w:lang w:val="en-US" w:eastAsia="zh-CN" w:bidi="ar"/>
              </w:rPr>
              <w:t>医护技药</w:t>
            </w:r>
            <w:r>
              <w:rPr>
                <w:rStyle w:val="27"/>
                <w:rFonts w:hint="default"/>
                <w:color w:val="auto"/>
                <w:highlight w:val="none"/>
                <w:lang w:bidi="ar"/>
              </w:rPr>
              <w:t>资格证及执业证</w:t>
            </w:r>
            <w:r>
              <w:rPr>
                <w:rStyle w:val="27"/>
                <w:rFonts w:hint="eastAsia" w:eastAsia="宋体"/>
                <w:color w:val="auto"/>
                <w:highlight w:val="none"/>
                <w:lang w:eastAsia="zh-CN" w:bidi="ar"/>
              </w:rPr>
              <w:t>；</w:t>
            </w:r>
          </w:p>
        </w:tc>
      </w:tr>
      <w:tr w14:paraId="7AD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FE15B00">
            <w:pPr>
              <w:rPr>
                <w:rFonts w:ascii="宋体" w:hAnsi="宋体" w:eastAsia="宋体" w:cs="宋体"/>
                <w:color w:val="auto"/>
                <w:sz w:val="20"/>
                <w:szCs w:val="20"/>
                <w:highlight w:val="none"/>
              </w:rPr>
            </w:pPr>
          </w:p>
        </w:tc>
        <w:tc>
          <w:tcPr>
            <w:tcW w:w="8569" w:type="dxa"/>
          </w:tcPr>
          <w:p w14:paraId="7F1568CD">
            <w:pPr>
              <w:widowControl/>
              <w:spacing w:line="240" w:lineRule="auto"/>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支持</w:t>
            </w:r>
            <w:r>
              <w:rPr>
                <w:rStyle w:val="31"/>
                <w:rFonts w:hint="eastAsia" w:eastAsia="宋体"/>
                <w:color w:val="auto"/>
                <w:highlight w:val="none"/>
                <w:lang w:eastAsia="zh-CN" w:bidi="ar"/>
              </w:rPr>
              <w:t>医务人员</w:t>
            </w:r>
            <w:r>
              <w:rPr>
                <w:rStyle w:val="31"/>
                <w:color w:val="auto"/>
                <w:highlight w:val="none"/>
                <w:lang w:bidi="ar"/>
              </w:rPr>
              <w:t>定期考核管理；</w:t>
            </w:r>
          </w:p>
        </w:tc>
      </w:tr>
      <w:tr w14:paraId="5A82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680EBD7">
            <w:pPr>
              <w:rPr>
                <w:rFonts w:ascii="宋体" w:hAnsi="宋体" w:eastAsia="宋体" w:cs="宋体"/>
                <w:color w:val="auto"/>
                <w:sz w:val="20"/>
                <w:szCs w:val="20"/>
                <w:highlight w:val="none"/>
              </w:rPr>
            </w:pPr>
          </w:p>
        </w:tc>
        <w:tc>
          <w:tcPr>
            <w:tcW w:w="8569" w:type="dxa"/>
          </w:tcPr>
          <w:p w14:paraId="274A26F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w:t>
            </w:r>
            <w:r>
              <w:rPr>
                <w:rStyle w:val="31"/>
                <w:rFonts w:hint="eastAsia" w:eastAsia="宋体"/>
                <w:color w:val="auto"/>
                <w:highlight w:val="none"/>
                <w:lang w:eastAsia="zh-CN" w:bidi="ar"/>
              </w:rPr>
              <w:t>医务人员</w:t>
            </w:r>
            <w:r>
              <w:rPr>
                <w:rStyle w:val="27"/>
                <w:rFonts w:hint="default"/>
                <w:color w:val="auto"/>
                <w:highlight w:val="none"/>
                <w:lang w:bidi="ar"/>
              </w:rPr>
              <w:t>执业证的注册和续期管理；</w:t>
            </w:r>
          </w:p>
        </w:tc>
      </w:tr>
      <w:tr w14:paraId="407E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F9DDAA2">
            <w:pPr>
              <w:rPr>
                <w:rFonts w:ascii="宋体" w:hAnsi="宋体" w:eastAsia="宋体" w:cs="宋体"/>
                <w:color w:val="auto"/>
                <w:sz w:val="20"/>
                <w:szCs w:val="20"/>
                <w:highlight w:val="none"/>
              </w:rPr>
            </w:pPr>
          </w:p>
        </w:tc>
        <w:tc>
          <w:tcPr>
            <w:tcW w:w="8569" w:type="dxa"/>
          </w:tcPr>
          <w:p w14:paraId="597F176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其他资格证</w:t>
            </w:r>
          </w:p>
        </w:tc>
      </w:tr>
      <w:tr w14:paraId="271C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A5241E">
            <w:pPr>
              <w:rPr>
                <w:rFonts w:ascii="宋体" w:hAnsi="宋体" w:eastAsia="宋体" w:cs="宋体"/>
                <w:color w:val="auto"/>
                <w:sz w:val="20"/>
                <w:szCs w:val="20"/>
                <w:highlight w:val="none"/>
              </w:rPr>
            </w:pPr>
          </w:p>
        </w:tc>
        <w:tc>
          <w:tcPr>
            <w:tcW w:w="8569" w:type="dxa"/>
          </w:tcPr>
          <w:p w14:paraId="37EDCD82">
            <w:pPr>
              <w:widowControl/>
              <w:textAlignment w:val="top"/>
              <w:rPr>
                <w:rFonts w:hint="eastAsia" w:ascii="Wingdings" w:hAnsi="Wingdings" w:eastAsia="宋体" w:cs="Wingdings"/>
                <w:color w:val="auto"/>
                <w:sz w:val="20"/>
                <w:szCs w:val="20"/>
                <w:highlight w:val="none"/>
                <w:lang w:eastAsia="zh-CN"/>
              </w:rPr>
            </w:pPr>
            <w:r>
              <w:rPr>
                <w:rStyle w:val="28"/>
                <w:rFonts w:eastAsia="宋体"/>
                <w:color w:val="auto"/>
                <w:highlight w:val="none"/>
                <w:lang w:bidi="ar"/>
              </w:rPr>
              <w:t></w:t>
            </w:r>
            <w:r>
              <w:rPr>
                <w:rStyle w:val="24"/>
                <w:rFonts w:hint="default"/>
                <w:color w:val="auto"/>
                <w:highlight w:val="none"/>
                <w:lang w:bidi="ar"/>
              </w:rPr>
              <w:t>支持</w:t>
            </w:r>
            <w:r>
              <w:rPr>
                <w:rStyle w:val="25"/>
                <w:rFonts w:hint="default"/>
                <w:color w:val="auto"/>
                <w:highlight w:val="none"/>
                <w:lang w:bidi="ar"/>
              </w:rPr>
              <w:t>专业技术人员</w:t>
            </w:r>
            <w:r>
              <w:rPr>
                <w:rStyle w:val="24"/>
                <w:rFonts w:hint="default"/>
                <w:color w:val="auto"/>
                <w:highlight w:val="none"/>
                <w:lang w:bidi="ar"/>
              </w:rPr>
              <w:t>管理所有其他的资格证，如：营养师资格证、放射工作人员证、辐射证等，支持自定义进行统一管理；</w:t>
            </w:r>
            <w:r>
              <w:rPr>
                <w:rStyle w:val="25"/>
                <w:rFonts w:hint="default"/>
                <w:color w:val="auto"/>
                <w:highlight w:val="none"/>
                <w:lang w:bidi="ar"/>
              </w:rPr>
              <w:t>增加字段"是否参加全科医学培训",下拉选项："是"和"否",若选择"是"，需要选择培训类型：全科医师规范化培训；全科医生岗位培训；全科医生转岗培训,并要上传培训合格证明。</w:t>
            </w:r>
            <w:r>
              <w:rPr>
                <w:rStyle w:val="25"/>
                <w:rFonts w:hint="eastAsia" w:eastAsia="宋体"/>
                <w:color w:val="auto"/>
                <w:highlight w:val="none"/>
                <w:lang w:eastAsia="zh-CN" w:bidi="ar"/>
              </w:rPr>
              <w:t>支持</w:t>
            </w:r>
            <w:r>
              <w:rPr>
                <w:rStyle w:val="25"/>
                <w:rFonts w:hint="default"/>
                <w:color w:val="auto"/>
                <w:highlight w:val="none"/>
                <w:lang w:bidi="ar"/>
              </w:rPr>
              <w:t>"是否参加</w:t>
            </w:r>
            <w:r>
              <w:rPr>
                <w:rStyle w:val="25"/>
                <w:rFonts w:hint="eastAsia" w:eastAsia="宋体"/>
                <w:color w:val="auto"/>
                <w:highlight w:val="none"/>
                <w:lang w:val="en-US" w:eastAsia="zh-CN" w:bidi="ar"/>
              </w:rPr>
              <w:t>规范化</w:t>
            </w:r>
            <w:r>
              <w:rPr>
                <w:rStyle w:val="25"/>
                <w:rFonts w:hint="default"/>
                <w:color w:val="auto"/>
                <w:highlight w:val="none"/>
                <w:lang w:bidi="ar"/>
              </w:rPr>
              <w:t>培训"</w:t>
            </w:r>
            <w:r>
              <w:rPr>
                <w:rStyle w:val="25"/>
                <w:rFonts w:hint="eastAsia" w:eastAsia="宋体"/>
                <w:color w:val="auto"/>
                <w:highlight w:val="none"/>
                <w:lang w:eastAsia="zh-CN" w:bidi="ar"/>
              </w:rPr>
              <w:t>等</w:t>
            </w:r>
            <w:r>
              <w:rPr>
                <w:rStyle w:val="25"/>
                <w:rFonts w:hint="default"/>
                <w:color w:val="auto"/>
                <w:highlight w:val="none"/>
                <w:lang w:bidi="ar"/>
              </w:rPr>
              <w:t>下拉选项："是"和"否"</w:t>
            </w:r>
            <w:r>
              <w:rPr>
                <w:rStyle w:val="25"/>
                <w:rFonts w:hint="eastAsia" w:eastAsia="宋体"/>
                <w:color w:val="auto"/>
                <w:highlight w:val="none"/>
                <w:lang w:eastAsia="zh-CN" w:bidi="ar"/>
              </w:rPr>
              <w:t>。表单收集上支持内容的扩展。</w:t>
            </w:r>
          </w:p>
        </w:tc>
      </w:tr>
      <w:tr w14:paraId="05BA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CB5DECC">
            <w:pPr>
              <w:rPr>
                <w:rFonts w:ascii="宋体" w:hAnsi="宋体" w:eastAsia="宋体" w:cs="宋体"/>
                <w:color w:val="auto"/>
                <w:sz w:val="20"/>
                <w:szCs w:val="20"/>
                <w:highlight w:val="none"/>
              </w:rPr>
            </w:pPr>
          </w:p>
        </w:tc>
        <w:tc>
          <w:tcPr>
            <w:tcW w:w="8569" w:type="dxa"/>
          </w:tcPr>
          <w:p w14:paraId="6CE46C0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支持历史资格证注册、续期记录查看；可随时调取资格证，查看证书编号、签发日期、到期时间、证照、类型等信息。</w:t>
            </w:r>
          </w:p>
        </w:tc>
      </w:tr>
      <w:tr w14:paraId="67F4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0DDDE8">
            <w:pPr>
              <w:rPr>
                <w:rFonts w:ascii="宋体" w:hAnsi="宋体" w:eastAsia="宋体" w:cs="宋体"/>
                <w:color w:val="auto"/>
                <w:sz w:val="20"/>
                <w:szCs w:val="20"/>
                <w:highlight w:val="none"/>
              </w:rPr>
            </w:pPr>
          </w:p>
        </w:tc>
        <w:tc>
          <w:tcPr>
            <w:tcW w:w="8569" w:type="dxa"/>
          </w:tcPr>
          <w:p w14:paraId="40ED82A3">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支持</w:t>
            </w:r>
            <w:r>
              <w:rPr>
                <w:rStyle w:val="31"/>
                <w:rFonts w:hint="eastAsia" w:eastAsia="宋体"/>
                <w:color w:val="auto"/>
                <w:highlight w:val="none"/>
                <w:lang w:eastAsia="zh-CN" w:bidi="ar"/>
              </w:rPr>
              <w:t>医务人员</w:t>
            </w:r>
            <w:r>
              <w:rPr>
                <w:rStyle w:val="30"/>
                <w:color w:val="auto"/>
                <w:highlight w:val="none"/>
                <w:lang w:bidi="ar"/>
              </w:rPr>
              <w:t>多点执业备案申请，并将申请结果自动同步到医师档案中。</w:t>
            </w:r>
          </w:p>
        </w:tc>
      </w:tr>
      <w:tr w14:paraId="3F22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D84DAE3">
            <w:pPr>
              <w:rPr>
                <w:rFonts w:ascii="宋体" w:hAnsi="宋体" w:eastAsia="宋体" w:cs="宋体"/>
                <w:color w:val="auto"/>
                <w:sz w:val="20"/>
                <w:szCs w:val="20"/>
                <w:highlight w:val="none"/>
              </w:rPr>
            </w:pPr>
          </w:p>
        </w:tc>
        <w:tc>
          <w:tcPr>
            <w:tcW w:w="8569" w:type="dxa"/>
          </w:tcPr>
          <w:p w14:paraId="5ACF7598">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5"/>
                <w:rFonts w:hint="default"/>
                <w:color w:val="auto"/>
                <w:highlight w:val="none"/>
                <w:lang w:bidi="ar"/>
              </w:rPr>
              <w:t>专业技术人员</w:t>
            </w:r>
            <w:r>
              <w:rPr>
                <w:rStyle w:val="24"/>
                <w:rFonts w:hint="default"/>
                <w:color w:val="auto"/>
                <w:highlight w:val="none"/>
                <w:lang w:bidi="ar"/>
              </w:rPr>
              <w:t>职称</w:t>
            </w:r>
          </w:p>
        </w:tc>
      </w:tr>
      <w:tr w14:paraId="4777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E439F12">
            <w:pPr>
              <w:rPr>
                <w:rFonts w:ascii="宋体" w:hAnsi="宋体" w:eastAsia="宋体" w:cs="宋体"/>
                <w:color w:val="auto"/>
                <w:sz w:val="20"/>
                <w:szCs w:val="20"/>
                <w:highlight w:val="none"/>
              </w:rPr>
            </w:pPr>
          </w:p>
        </w:tc>
        <w:tc>
          <w:tcPr>
            <w:tcW w:w="8569" w:type="dxa"/>
          </w:tcPr>
          <w:p w14:paraId="47AEDB31">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w:t>
            </w:r>
            <w:r>
              <w:rPr>
                <w:rStyle w:val="25"/>
                <w:rFonts w:hint="default"/>
                <w:color w:val="auto"/>
                <w:highlight w:val="none"/>
                <w:lang w:bidi="ar"/>
              </w:rPr>
              <w:t>专业技术人员</w:t>
            </w:r>
            <w:r>
              <w:rPr>
                <w:rStyle w:val="24"/>
                <w:rFonts w:hint="default"/>
                <w:color w:val="auto"/>
                <w:highlight w:val="none"/>
                <w:lang w:bidi="ar"/>
              </w:rPr>
              <w:t>职称的新增和管理；</w:t>
            </w:r>
          </w:p>
        </w:tc>
      </w:tr>
      <w:tr w14:paraId="6745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0EECDA2">
            <w:pPr>
              <w:rPr>
                <w:rFonts w:ascii="宋体" w:hAnsi="宋体" w:eastAsia="宋体" w:cs="宋体"/>
                <w:color w:val="auto"/>
                <w:sz w:val="20"/>
                <w:szCs w:val="20"/>
                <w:highlight w:val="none"/>
              </w:rPr>
            </w:pPr>
          </w:p>
        </w:tc>
        <w:tc>
          <w:tcPr>
            <w:tcW w:w="8569" w:type="dxa"/>
          </w:tcPr>
          <w:p w14:paraId="456B629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支持历史职称记录的查看；可随时调取职称名称、职称等级、职称编号、授予日期、证照等信息。</w:t>
            </w:r>
          </w:p>
        </w:tc>
      </w:tr>
      <w:tr w14:paraId="0D1A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031936B">
            <w:pPr>
              <w:rPr>
                <w:rFonts w:ascii="宋体" w:hAnsi="宋体" w:eastAsia="宋体" w:cs="宋体"/>
                <w:color w:val="auto"/>
                <w:sz w:val="20"/>
                <w:szCs w:val="20"/>
                <w:highlight w:val="none"/>
              </w:rPr>
            </w:pPr>
          </w:p>
        </w:tc>
        <w:tc>
          <w:tcPr>
            <w:tcW w:w="8569" w:type="dxa"/>
          </w:tcPr>
          <w:p w14:paraId="17C04C4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岗位说明书</w:t>
            </w:r>
          </w:p>
        </w:tc>
      </w:tr>
      <w:tr w14:paraId="3F52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24C290">
            <w:pPr>
              <w:rPr>
                <w:rFonts w:ascii="宋体" w:hAnsi="宋体" w:eastAsia="宋体" w:cs="宋体"/>
                <w:color w:val="auto"/>
                <w:sz w:val="20"/>
                <w:szCs w:val="20"/>
                <w:highlight w:val="none"/>
              </w:rPr>
            </w:pPr>
          </w:p>
        </w:tc>
        <w:tc>
          <w:tcPr>
            <w:tcW w:w="8569" w:type="dxa"/>
          </w:tcPr>
          <w:p w14:paraId="68252E5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支持用户查看对应的岗位说明书；</w:t>
            </w:r>
          </w:p>
        </w:tc>
      </w:tr>
      <w:tr w14:paraId="5E1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BFA7561">
            <w:pPr>
              <w:rPr>
                <w:rFonts w:ascii="宋体" w:hAnsi="宋体" w:eastAsia="宋体" w:cs="宋体"/>
                <w:color w:val="auto"/>
                <w:sz w:val="20"/>
                <w:szCs w:val="20"/>
                <w:highlight w:val="none"/>
              </w:rPr>
            </w:pPr>
          </w:p>
        </w:tc>
        <w:tc>
          <w:tcPr>
            <w:tcW w:w="8569" w:type="dxa"/>
          </w:tcPr>
          <w:p w14:paraId="15195BF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支持一人对应多份岗位说明书，如：医师岗位说明书、副主任医师岗位说明书。</w:t>
            </w:r>
          </w:p>
        </w:tc>
      </w:tr>
      <w:tr w14:paraId="5897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5A26FCF">
            <w:pPr>
              <w:rPr>
                <w:rFonts w:ascii="宋体" w:hAnsi="宋体" w:eastAsia="宋体" w:cs="宋体"/>
                <w:color w:val="auto"/>
                <w:sz w:val="20"/>
                <w:szCs w:val="20"/>
                <w:highlight w:val="none"/>
              </w:rPr>
            </w:pPr>
          </w:p>
        </w:tc>
        <w:tc>
          <w:tcPr>
            <w:tcW w:w="8569" w:type="dxa"/>
          </w:tcPr>
          <w:p w14:paraId="598BE3F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工作经历</w:t>
            </w:r>
          </w:p>
        </w:tc>
      </w:tr>
      <w:tr w14:paraId="20A5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F384FA">
            <w:pPr>
              <w:rPr>
                <w:rFonts w:ascii="宋体" w:hAnsi="宋体" w:eastAsia="宋体" w:cs="宋体"/>
                <w:color w:val="auto"/>
                <w:sz w:val="20"/>
                <w:szCs w:val="20"/>
                <w:highlight w:val="none"/>
              </w:rPr>
            </w:pPr>
          </w:p>
        </w:tc>
        <w:tc>
          <w:tcPr>
            <w:tcW w:w="8569" w:type="dxa"/>
          </w:tcPr>
          <w:p w14:paraId="4479494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支持添加、编辑、管理本院和外院工作经历；</w:t>
            </w:r>
          </w:p>
        </w:tc>
      </w:tr>
      <w:tr w14:paraId="6026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0F39887">
            <w:pPr>
              <w:rPr>
                <w:rFonts w:ascii="宋体" w:hAnsi="宋体" w:eastAsia="宋体" w:cs="宋体"/>
                <w:color w:val="auto"/>
                <w:sz w:val="20"/>
                <w:szCs w:val="20"/>
                <w:highlight w:val="none"/>
              </w:rPr>
            </w:pPr>
          </w:p>
        </w:tc>
        <w:tc>
          <w:tcPr>
            <w:tcW w:w="8569" w:type="dxa"/>
          </w:tcPr>
          <w:p w14:paraId="15CAA2A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支持历史工作经历的查看；可随时调取工作单位、单位名称、工作时间、病区/科室、历史职务、证明资料等信息。</w:t>
            </w:r>
          </w:p>
        </w:tc>
      </w:tr>
      <w:tr w14:paraId="7B3A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AA33A3">
            <w:pPr>
              <w:rPr>
                <w:rFonts w:ascii="宋体" w:hAnsi="宋体" w:eastAsia="宋体" w:cs="宋体"/>
                <w:color w:val="auto"/>
                <w:sz w:val="20"/>
                <w:szCs w:val="20"/>
                <w:highlight w:val="none"/>
              </w:rPr>
            </w:pPr>
          </w:p>
        </w:tc>
        <w:tc>
          <w:tcPr>
            <w:tcW w:w="8569" w:type="dxa"/>
          </w:tcPr>
          <w:p w14:paraId="7FE85C3E">
            <w:pPr>
              <w:widowControl/>
              <w:textAlignment w:val="top"/>
              <w:rPr>
                <w:rFonts w:hint="eastAsia" w:ascii="Wingdings" w:hAnsi="Wingdings" w:eastAsia="宋体" w:cs="Wingdings"/>
                <w:color w:val="auto"/>
                <w:sz w:val="20"/>
                <w:szCs w:val="20"/>
                <w:highlight w:val="none"/>
                <w:lang w:eastAsia="zh-CN"/>
              </w:rPr>
            </w:pPr>
            <w:r>
              <w:rPr>
                <w:rStyle w:val="26"/>
                <w:rFonts w:eastAsia="宋体"/>
                <w:color w:val="auto"/>
                <w:highlight w:val="none"/>
                <w:lang w:bidi="ar"/>
              </w:rPr>
              <w:t></w:t>
            </w:r>
            <w:r>
              <w:rPr>
                <w:rStyle w:val="26"/>
                <w:rFonts w:hint="eastAsia" w:eastAsia="宋体"/>
                <w:color w:val="auto"/>
                <w:highlight w:val="none"/>
                <w:lang w:eastAsia="zh-CN" w:bidi="ar"/>
              </w:rPr>
              <w:t>有</w:t>
            </w:r>
            <w:r>
              <w:rPr>
                <w:rStyle w:val="27"/>
                <w:rFonts w:hint="default"/>
                <w:color w:val="auto"/>
                <w:highlight w:val="none"/>
                <w:lang w:bidi="ar"/>
              </w:rPr>
              <w:t>社会兼职</w:t>
            </w:r>
            <w:r>
              <w:rPr>
                <w:rStyle w:val="27"/>
                <w:rFonts w:hint="eastAsia" w:eastAsia="宋体"/>
                <w:color w:val="auto"/>
                <w:highlight w:val="none"/>
                <w:lang w:eastAsia="zh-CN" w:bidi="ar"/>
              </w:rPr>
              <w:t>填写模块</w:t>
            </w:r>
          </w:p>
        </w:tc>
      </w:tr>
      <w:tr w14:paraId="75A1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AAD03C9">
            <w:pPr>
              <w:rPr>
                <w:rFonts w:ascii="宋体" w:hAnsi="宋体" w:eastAsia="宋体" w:cs="宋体"/>
                <w:color w:val="auto"/>
                <w:sz w:val="20"/>
                <w:szCs w:val="20"/>
                <w:highlight w:val="none"/>
              </w:rPr>
            </w:pPr>
          </w:p>
        </w:tc>
        <w:tc>
          <w:tcPr>
            <w:tcW w:w="8569" w:type="dxa"/>
          </w:tcPr>
          <w:p w14:paraId="73FFB92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支持添加、编辑、管理所有社会兼职情况；</w:t>
            </w:r>
          </w:p>
        </w:tc>
      </w:tr>
      <w:tr w14:paraId="012F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803E00">
            <w:pPr>
              <w:rPr>
                <w:rFonts w:ascii="宋体" w:hAnsi="宋体" w:eastAsia="宋体" w:cs="宋体"/>
                <w:color w:val="auto"/>
                <w:sz w:val="20"/>
                <w:szCs w:val="20"/>
                <w:highlight w:val="none"/>
              </w:rPr>
            </w:pPr>
          </w:p>
        </w:tc>
        <w:tc>
          <w:tcPr>
            <w:tcW w:w="8569" w:type="dxa"/>
          </w:tcPr>
          <w:p w14:paraId="73B0AF4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支持历史兼职情况的查看；可随时调取上报时间、所在党支部、上报类型、兼职单位名称、兼职单位职务、兼职内容、兼职单位地址、兼职开始时间、兼职结束时间等信息。</w:t>
            </w:r>
          </w:p>
        </w:tc>
      </w:tr>
      <w:tr w14:paraId="2B6F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EBFA77">
            <w:pPr>
              <w:rPr>
                <w:rFonts w:ascii="宋体" w:hAnsi="宋体" w:eastAsia="宋体" w:cs="宋体"/>
                <w:color w:val="auto"/>
                <w:sz w:val="20"/>
                <w:szCs w:val="20"/>
                <w:highlight w:val="none"/>
              </w:rPr>
            </w:pPr>
          </w:p>
        </w:tc>
        <w:tc>
          <w:tcPr>
            <w:tcW w:w="8569" w:type="dxa"/>
          </w:tcPr>
          <w:p w14:paraId="33C0DCF5">
            <w:pPr>
              <w:widowControl/>
              <w:textAlignment w:val="top"/>
              <w:rPr>
                <w:rStyle w:val="27"/>
                <w:rFonts w:hint="eastAsia" w:eastAsia="宋体"/>
                <w:b w:val="0"/>
                <w:bCs w:val="0"/>
                <w:color w:val="auto"/>
                <w:highlight w:val="none"/>
                <w:lang w:eastAsia="zh-CN" w:bidi="ar"/>
              </w:rPr>
            </w:pPr>
            <w:r>
              <w:rPr>
                <w:rStyle w:val="26"/>
                <w:rFonts w:eastAsia="宋体"/>
                <w:b w:val="0"/>
                <w:bCs w:val="0"/>
                <w:color w:val="auto"/>
                <w:highlight w:val="none"/>
                <w:lang w:bidi="ar"/>
              </w:rPr>
              <w:t></w:t>
            </w:r>
            <w:r>
              <w:rPr>
                <w:rStyle w:val="26"/>
                <w:rFonts w:hint="eastAsia" w:eastAsia="宋体"/>
                <w:b w:val="0"/>
                <w:bCs w:val="0"/>
                <w:color w:val="auto"/>
                <w:highlight w:val="none"/>
                <w:lang w:eastAsia="zh-CN" w:bidi="ar"/>
              </w:rPr>
              <w:t>有</w:t>
            </w:r>
            <w:r>
              <w:rPr>
                <w:rStyle w:val="27"/>
                <w:rFonts w:hint="default"/>
                <w:b w:val="0"/>
                <w:bCs w:val="0"/>
                <w:color w:val="auto"/>
                <w:highlight w:val="none"/>
                <w:lang w:bidi="ar"/>
              </w:rPr>
              <w:t>学习经历</w:t>
            </w:r>
            <w:r>
              <w:rPr>
                <w:rStyle w:val="27"/>
                <w:rFonts w:hint="eastAsia" w:eastAsia="宋体"/>
                <w:b w:val="0"/>
                <w:bCs w:val="0"/>
                <w:color w:val="auto"/>
                <w:highlight w:val="none"/>
                <w:lang w:eastAsia="zh-CN" w:bidi="ar"/>
              </w:rPr>
              <w:t>填写模块，如医院人事系统有相同信息，则支持同步获取。</w:t>
            </w:r>
          </w:p>
        </w:tc>
      </w:tr>
      <w:tr w14:paraId="2B2C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A6BFDB">
            <w:pPr>
              <w:rPr>
                <w:rFonts w:ascii="宋体" w:hAnsi="宋体" w:eastAsia="宋体" w:cs="宋体"/>
                <w:color w:val="auto"/>
                <w:sz w:val="20"/>
                <w:szCs w:val="20"/>
                <w:highlight w:val="none"/>
              </w:rPr>
            </w:pPr>
          </w:p>
        </w:tc>
        <w:tc>
          <w:tcPr>
            <w:tcW w:w="8569" w:type="dxa"/>
          </w:tcPr>
          <w:p w14:paraId="45BB4E3D">
            <w:pPr>
              <w:widowControl/>
              <w:textAlignment w:val="top"/>
              <w:rPr>
                <w:rFonts w:hint="eastAsia" w:ascii="Wingdings" w:hAnsi="Wingdings" w:eastAsia="宋体" w:cs="Wingdings"/>
                <w:b w:val="0"/>
                <w:bCs w:val="0"/>
                <w:color w:val="auto"/>
                <w:sz w:val="20"/>
                <w:szCs w:val="20"/>
                <w:highlight w:val="none"/>
              </w:rPr>
            </w:pPr>
            <w:r>
              <w:rPr>
                <w:rStyle w:val="26"/>
                <w:rFonts w:eastAsia="宋体"/>
                <w:b w:val="0"/>
                <w:bCs w:val="0"/>
                <w:color w:val="auto"/>
                <w:highlight w:val="none"/>
                <w:lang w:bidi="ar"/>
              </w:rPr>
              <w:t></w:t>
            </w:r>
            <w:r>
              <w:rPr>
                <w:rStyle w:val="27"/>
                <w:rFonts w:hint="default"/>
                <w:b w:val="0"/>
                <w:bCs w:val="0"/>
                <w:color w:val="auto"/>
                <w:highlight w:val="none"/>
                <w:lang w:bidi="ar"/>
              </w:rPr>
              <w:t>支持添加、编辑、管理学习经历；</w:t>
            </w:r>
          </w:p>
        </w:tc>
      </w:tr>
      <w:tr w14:paraId="0B16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A10711">
            <w:pPr>
              <w:rPr>
                <w:rFonts w:ascii="宋体" w:hAnsi="宋体" w:eastAsia="宋体" w:cs="宋体"/>
                <w:color w:val="auto"/>
                <w:sz w:val="20"/>
                <w:szCs w:val="20"/>
                <w:highlight w:val="none"/>
              </w:rPr>
            </w:pPr>
          </w:p>
        </w:tc>
        <w:tc>
          <w:tcPr>
            <w:tcW w:w="8569" w:type="dxa"/>
          </w:tcPr>
          <w:p w14:paraId="3707C8F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支持历史学习经历的查看；可随时调取就读院校、专业类型、就读时间、专业、学历学位、有无学位、毕业证照等信息。</w:t>
            </w:r>
          </w:p>
        </w:tc>
      </w:tr>
      <w:tr w14:paraId="5985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19DC519">
            <w:pPr>
              <w:rPr>
                <w:rFonts w:ascii="宋体" w:hAnsi="宋体" w:eastAsia="宋体" w:cs="宋体"/>
                <w:color w:val="auto"/>
                <w:sz w:val="20"/>
                <w:szCs w:val="20"/>
                <w:highlight w:val="none"/>
              </w:rPr>
            </w:pPr>
          </w:p>
        </w:tc>
        <w:tc>
          <w:tcPr>
            <w:tcW w:w="8569" w:type="dxa"/>
          </w:tcPr>
          <w:p w14:paraId="6C67485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本院工作轨迹</w:t>
            </w:r>
          </w:p>
        </w:tc>
      </w:tr>
      <w:tr w14:paraId="6830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621469E">
            <w:pPr>
              <w:rPr>
                <w:rFonts w:ascii="宋体" w:hAnsi="宋体" w:eastAsia="宋体" w:cs="宋体"/>
                <w:color w:val="auto"/>
                <w:sz w:val="20"/>
                <w:szCs w:val="20"/>
                <w:highlight w:val="none"/>
              </w:rPr>
            </w:pPr>
          </w:p>
        </w:tc>
        <w:tc>
          <w:tcPr>
            <w:tcW w:w="8569" w:type="dxa"/>
          </w:tcPr>
          <w:p w14:paraId="46CE6AB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联动系统的异动和支援形成本院工作轨迹图；</w:t>
            </w:r>
          </w:p>
        </w:tc>
      </w:tr>
      <w:tr w14:paraId="1D7D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3684B6">
            <w:pPr>
              <w:rPr>
                <w:rFonts w:ascii="宋体" w:hAnsi="宋体" w:eastAsia="宋体" w:cs="宋体"/>
                <w:color w:val="auto"/>
                <w:sz w:val="20"/>
                <w:szCs w:val="20"/>
                <w:highlight w:val="none"/>
              </w:rPr>
            </w:pPr>
          </w:p>
        </w:tc>
        <w:tc>
          <w:tcPr>
            <w:tcW w:w="8569" w:type="dxa"/>
          </w:tcPr>
          <w:p w14:paraId="3B19688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支持所有工作轨迹的查看。</w:t>
            </w:r>
          </w:p>
        </w:tc>
      </w:tr>
      <w:tr w14:paraId="3619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5C1DF4">
            <w:pPr>
              <w:rPr>
                <w:rFonts w:ascii="宋体" w:hAnsi="宋体" w:eastAsia="宋体" w:cs="宋体"/>
                <w:color w:val="auto"/>
                <w:sz w:val="20"/>
                <w:szCs w:val="20"/>
                <w:highlight w:val="none"/>
              </w:rPr>
            </w:pPr>
          </w:p>
        </w:tc>
        <w:tc>
          <w:tcPr>
            <w:tcW w:w="8569" w:type="dxa"/>
          </w:tcPr>
          <w:p w14:paraId="33A28BD4">
            <w:pPr>
              <w:widowControl/>
              <w:textAlignment w:val="top"/>
              <w:rPr>
                <w:rFonts w:hint="eastAsia" w:ascii="Wingdings" w:hAnsi="Wingdings" w:eastAsia="宋体" w:cs="Wingdings"/>
                <w:color w:val="auto"/>
                <w:sz w:val="20"/>
                <w:szCs w:val="20"/>
                <w:highlight w:val="none"/>
                <w:lang w:eastAsia="zh-CN"/>
              </w:rPr>
            </w:pPr>
            <w:r>
              <w:rPr>
                <w:rStyle w:val="26"/>
                <w:rFonts w:eastAsia="宋体"/>
                <w:color w:val="auto"/>
                <w:highlight w:val="none"/>
                <w:lang w:bidi="ar"/>
              </w:rPr>
              <w:t></w:t>
            </w:r>
            <w:r>
              <w:rPr>
                <w:rStyle w:val="26"/>
                <w:rFonts w:hint="eastAsia" w:eastAsia="宋体"/>
                <w:color w:val="auto"/>
                <w:highlight w:val="none"/>
                <w:lang w:eastAsia="zh-CN" w:bidi="ar"/>
              </w:rPr>
              <w:t>如</w:t>
            </w:r>
            <w:r>
              <w:rPr>
                <w:rStyle w:val="27"/>
                <w:rFonts w:hint="eastAsia" w:eastAsia="宋体"/>
                <w:color w:val="auto"/>
                <w:highlight w:val="none"/>
                <w:lang w:eastAsia="zh-CN" w:bidi="ar"/>
              </w:rPr>
              <w:t>医院建设有</w:t>
            </w:r>
            <w:r>
              <w:rPr>
                <w:rStyle w:val="27"/>
                <w:rFonts w:hint="default"/>
                <w:color w:val="auto"/>
                <w:highlight w:val="none"/>
                <w:lang w:bidi="ar"/>
              </w:rPr>
              <w:t>进修和外出学习</w:t>
            </w:r>
            <w:r>
              <w:rPr>
                <w:rStyle w:val="27"/>
                <w:rFonts w:hint="eastAsia" w:eastAsia="宋体"/>
                <w:color w:val="auto"/>
                <w:highlight w:val="none"/>
                <w:lang w:eastAsia="zh-CN" w:bidi="ar"/>
              </w:rPr>
              <w:t>记录系统并开放接口的前提下，支持数据相关数据，</w:t>
            </w:r>
            <w:r>
              <w:rPr>
                <w:rStyle w:val="27"/>
                <w:rFonts w:hint="default"/>
                <w:color w:val="auto"/>
                <w:highlight w:val="none"/>
                <w:lang w:bidi="ar"/>
              </w:rPr>
              <w:t>联动系统外出进修和外出学习信息，自动形成个人记录；</w:t>
            </w:r>
          </w:p>
        </w:tc>
      </w:tr>
      <w:tr w14:paraId="2FD1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479F92F8">
            <w:pPr>
              <w:rPr>
                <w:rFonts w:ascii="宋体" w:hAnsi="宋体" w:eastAsia="宋体" w:cs="宋体"/>
                <w:color w:val="auto"/>
                <w:sz w:val="20"/>
                <w:szCs w:val="20"/>
                <w:highlight w:val="none"/>
              </w:rPr>
            </w:pPr>
          </w:p>
        </w:tc>
        <w:tc>
          <w:tcPr>
            <w:tcW w:w="8569" w:type="dxa"/>
          </w:tcPr>
          <w:p w14:paraId="792C3390">
            <w:pPr>
              <w:widowControl/>
              <w:textAlignment w:val="top"/>
              <w:rPr>
                <w:rFonts w:hint="eastAsia" w:ascii="Wingdings" w:hAnsi="Wingdings" w:eastAsia="宋体" w:cs="Wingdings"/>
                <w:color w:val="auto"/>
                <w:sz w:val="20"/>
                <w:szCs w:val="20"/>
                <w:highlight w:val="none"/>
                <w:lang w:eastAsia="zh-CN"/>
              </w:rPr>
            </w:pPr>
            <w:r>
              <w:rPr>
                <w:rStyle w:val="26"/>
                <w:rFonts w:eastAsia="宋体"/>
                <w:color w:val="auto"/>
                <w:highlight w:val="none"/>
                <w:lang w:bidi="ar"/>
              </w:rPr>
              <w:t></w:t>
            </w:r>
            <w:r>
              <w:rPr>
                <w:rStyle w:val="27"/>
                <w:rFonts w:hint="default"/>
                <w:color w:val="auto"/>
                <w:highlight w:val="none"/>
                <w:lang w:bidi="ar"/>
              </w:rPr>
              <w:t>考试成绩</w:t>
            </w:r>
            <w:r>
              <w:rPr>
                <w:rStyle w:val="27"/>
                <w:rFonts w:hint="eastAsia" w:eastAsia="宋体"/>
                <w:color w:val="auto"/>
                <w:highlight w:val="none"/>
                <w:lang w:eastAsia="zh-CN" w:bidi="ar"/>
              </w:rPr>
              <w:t>（如医院建设有相应考试系统，并开放接口的前提下，支持数据同步）</w:t>
            </w:r>
          </w:p>
        </w:tc>
      </w:tr>
      <w:tr w14:paraId="152D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719213">
            <w:pPr>
              <w:rPr>
                <w:rFonts w:ascii="宋体" w:hAnsi="宋体" w:eastAsia="宋体" w:cs="宋体"/>
                <w:color w:val="auto"/>
                <w:sz w:val="20"/>
                <w:szCs w:val="20"/>
                <w:highlight w:val="none"/>
              </w:rPr>
            </w:pPr>
          </w:p>
        </w:tc>
        <w:tc>
          <w:tcPr>
            <w:tcW w:w="8569" w:type="dxa"/>
          </w:tcPr>
          <w:p w14:paraId="16BA420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6"/>
                <w:rFonts w:hint="eastAsia" w:eastAsia="宋体"/>
                <w:color w:val="auto"/>
                <w:highlight w:val="none"/>
                <w:lang w:eastAsia="zh-CN" w:bidi="ar"/>
              </w:rPr>
              <w:t>有</w:t>
            </w:r>
            <w:r>
              <w:rPr>
                <w:rStyle w:val="27"/>
                <w:rFonts w:hint="default"/>
                <w:color w:val="auto"/>
                <w:highlight w:val="none"/>
                <w:lang w:bidi="ar"/>
              </w:rPr>
              <w:t>获奖记录</w:t>
            </w:r>
            <w:r>
              <w:rPr>
                <w:rStyle w:val="27"/>
                <w:rFonts w:hint="eastAsia" w:eastAsia="宋体"/>
                <w:color w:val="auto"/>
                <w:highlight w:val="none"/>
                <w:lang w:eastAsia="zh-CN" w:bidi="ar"/>
              </w:rPr>
              <w:t>填写模块</w:t>
            </w:r>
          </w:p>
        </w:tc>
      </w:tr>
      <w:tr w14:paraId="614C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7A2EB5">
            <w:pPr>
              <w:rPr>
                <w:rFonts w:ascii="宋体" w:hAnsi="宋体" w:eastAsia="宋体" w:cs="宋体"/>
                <w:color w:val="auto"/>
                <w:sz w:val="20"/>
                <w:szCs w:val="20"/>
                <w:highlight w:val="none"/>
              </w:rPr>
            </w:pPr>
          </w:p>
        </w:tc>
        <w:tc>
          <w:tcPr>
            <w:tcW w:w="8569" w:type="dxa"/>
          </w:tcPr>
          <w:p w14:paraId="1692462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联动系统的科室荣誉，自动形成个人的获奖记录；</w:t>
            </w:r>
          </w:p>
        </w:tc>
      </w:tr>
      <w:tr w14:paraId="11D5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676163">
            <w:pPr>
              <w:rPr>
                <w:rFonts w:ascii="宋体" w:hAnsi="宋体" w:eastAsia="宋体" w:cs="宋体"/>
                <w:color w:val="auto"/>
                <w:sz w:val="20"/>
                <w:szCs w:val="20"/>
                <w:highlight w:val="none"/>
              </w:rPr>
            </w:pPr>
          </w:p>
        </w:tc>
        <w:tc>
          <w:tcPr>
            <w:tcW w:w="8569" w:type="dxa"/>
          </w:tcPr>
          <w:p w14:paraId="435DF2C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支持所有获奖记录的查看，可随时调取获奖时间、获奖事项、授予部门、获奖结果、证明资料等；</w:t>
            </w:r>
          </w:p>
        </w:tc>
      </w:tr>
      <w:tr w14:paraId="4402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2B18AE">
            <w:pPr>
              <w:rPr>
                <w:rFonts w:ascii="宋体" w:hAnsi="宋体" w:eastAsia="宋体" w:cs="宋体"/>
                <w:color w:val="auto"/>
                <w:sz w:val="20"/>
                <w:szCs w:val="20"/>
                <w:highlight w:val="none"/>
              </w:rPr>
            </w:pPr>
          </w:p>
        </w:tc>
        <w:tc>
          <w:tcPr>
            <w:tcW w:w="8569" w:type="dxa"/>
          </w:tcPr>
          <w:p w14:paraId="45C8F16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支持打印和导出，方便评优评级使用。</w:t>
            </w:r>
          </w:p>
        </w:tc>
      </w:tr>
      <w:tr w14:paraId="4808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C88955">
            <w:pPr>
              <w:rPr>
                <w:rFonts w:ascii="宋体" w:hAnsi="宋体" w:eastAsia="宋体" w:cs="宋体"/>
                <w:color w:val="auto"/>
                <w:sz w:val="20"/>
                <w:szCs w:val="20"/>
                <w:highlight w:val="none"/>
              </w:rPr>
            </w:pPr>
          </w:p>
        </w:tc>
        <w:tc>
          <w:tcPr>
            <w:tcW w:w="8569" w:type="dxa"/>
          </w:tcPr>
          <w:p w14:paraId="2A338F18">
            <w:pPr>
              <w:widowControl/>
              <w:textAlignment w:val="top"/>
              <w:rPr>
                <w:rFonts w:hint="eastAsia" w:ascii="Wingdings" w:hAnsi="Wingdings" w:eastAsia="宋体" w:cs="Wingdings"/>
                <w:color w:val="auto"/>
                <w:sz w:val="20"/>
                <w:szCs w:val="20"/>
                <w:highlight w:val="none"/>
                <w:lang w:eastAsia="zh-CN"/>
              </w:rPr>
            </w:pPr>
            <w:r>
              <w:rPr>
                <w:rStyle w:val="26"/>
                <w:rFonts w:hint="eastAsia" w:eastAsia="宋体"/>
                <w:b/>
                <w:bCs/>
                <w:color w:val="auto"/>
                <w:highlight w:val="none"/>
                <w:lang w:eastAsia="zh-CN" w:bidi="ar"/>
              </w:rPr>
              <w:t>有</w:t>
            </w:r>
            <w:r>
              <w:rPr>
                <w:rStyle w:val="27"/>
                <w:rFonts w:hint="default"/>
                <w:b/>
                <w:bCs/>
                <w:color w:val="auto"/>
                <w:highlight w:val="none"/>
                <w:lang w:bidi="ar"/>
              </w:rPr>
              <w:t>行风档案</w:t>
            </w:r>
            <w:r>
              <w:rPr>
                <w:rStyle w:val="27"/>
                <w:rFonts w:hint="eastAsia" w:eastAsia="宋体"/>
                <w:b/>
                <w:bCs/>
                <w:color w:val="auto"/>
                <w:highlight w:val="none"/>
                <w:lang w:eastAsia="zh-CN" w:bidi="ar"/>
              </w:rPr>
              <w:t>记录</w:t>
            </w:r>
          </w:p>
        </w:tc>
      </w:tr>
      <w:tr w14:paraId="1FC6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74A85E">
            <w:pPr>
              <w:rPr>
                <w:rFonts w:ascii="宋体" w:hAnsi="宋体" w:eastAsia="宋体" w:cs="宋体"/>
                <w:color w:val="auto"/>
                <w:sz w:val="20"/>
                <w:szCs w:val="20"/>
                <w:highlight w:val="none"/>
              </w:rPr>
            </w:pPr>
          </w:p>
        </w:tc>
        <w:tc>
          <w:tcPr>
            <w:tcW w:w="8569" w:type="dxa"/>
          </w:tcPr>
          <w:p w14:paraId="05F6C02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医德医风承诺书：可查看管理所有医德医风承诺书的签署记录和进度；</w:t>
            </w:r>
          </w:p>
        </w:tc>
      </w:tr>
      <w:tr w14:paraId="00A3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9AB4F1">
            <w:pPr>
              <w:rPr>
                <w:rFonts w:ascii="宋体" w:hAnsi="宋体" w:eastAsia="宋体" w:cs="宋体"/>
                <w:color w:val="auto"/>
                <w:sz w:val="20"/>
                <w:szCs w:val="20"/>
                <w:highlight w:val="none"/>
              </w:rPr>
            </w:pPr>
          </w:p>
        </w:tc>
        <w:tc>
          <w:tcPr>
            <w:tcW w:w="8569" w:type="dxa"/>
          </w:tcPr>
          <w:p w14:paraId="011218E6">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医疗投诉：关于该</w:t>
            </w:r>
            <w:r>
              <w:rPr>
                <w:rStyle w:val="25"/>
                <w:rFonts w:hint="default"/>
                <w:color w:val="auto"/>
                <w:highlight w:val="none"/>
                <w:lang w:bidi="ar"/>
              </w:rPr>
              <w:t>专业技术人员</w:t>
            </w:r>
            <w:r>
              <w:rPr>
                <w:rStyle w:val="24"/>
                <w:rFonts w:hint="default"/>
                <w:color w:val="auto"/>
                <w:highlight w:val="none"/>
                <w:lang w:bidi="ar"/>
              </w:rPr>
              <w:t>被投诉记录和处理详情；</w:t>
            </w:r>
          </w:p>
        </w:tc>
      </w:tr>
      <w:tr w14:paraId="6FF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B25A64">
            <w:pPr>
              <w:rPr>
                <w:rFonts w:ascii="宋体" w:hAnsi="宋体" w:eastAsia="宋体" w:cs="宋体"/>
                <w:color w:val="auto"/>
                <w:sz w:val="20"/>
                <w:szCs w:val="20"/>
                <w:highlight w:val="none"/>
              </w:rPr>
            </w:pPr>
          </w:p>
        </w:tc>
        <w:tc>
          <w:tcPr>
            <w:tcW w:w="8569" w:type="dxa"/>
          </w:tcPr>
          <w:p w14:paraId="46285627">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医德医风上报：该</w:t>
            </w:r>
            <w:r>
              <w:rPr>
                <w:rStyle w:val="25"/>
                <w:rFonts w:hint="default"/>
                <w:color w:val="auto"/>
                <w:highlight w:val="none"/>
                <w:lang w:bidi="ar"/>
              </w:rPr>
              <w:t>专业技术人员</w:t>
            </w:r>
            <w:r>
              <w:rPr>
                <w:rStyle w:val="24"/>
                <w:rFonts w:hint="default"/>
                <w:color w:val="auto"/>
                <w:highlight w:val="none"/>
                <w:lang w:bidi="ar"/>
              </w:rPr>
              <w:t>所有医德医风上报历史记录，如：红包、水果篮、锦旗、感谢信、购物卡等内容，支持自定义管理类型；</w:t>
            </w:r>
          </w:p>
        </w:tc>
      </w:tr>
      <w:tr w14:paraId="0108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04D646">
            <w:pPr>
              <w:rPr>
                <w:rFonts w:ascii="宋体" w:hAnsi="宋体" w:eastAsia="宋体" w:cs="宋体"/>
                <w:color w:val="auto"/>
                <w:sz w:val="20"/>
                <w:szCs w:val="20"/>
                <w:highlight w:val="none"/>
              </w:rPr>
            </w:pPr>
          </w:p>
        </w:tc>
        <w:tc>
          <w:tcPr>
            <w:tcW w:w="8569" w:type="dxa"/>
          </w:tcPr>
          <w:p w14:paraId="756BAC2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积分奖惩：该医师所有积分情况明细；</w:t>
            </w:r>
          </w:p>
        </w:tc>
      </w:tr>
      <w:tr w14:paraId="1EA7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90773AA">
            <w:pPr>
              <w:rPr>
                <w:rFonts w:ascii="宋体" w:hAnsi="宋体" w:eastAsia="宋体" w:cs="宋体"/>
                <w:color w:val="auto"/>
                <w:sz w:val="20"/>
                <w:szCs w:val="20"/>
                <w:highlight w:val="none"/>
              </w:rPr>
            </w:pPr>
          </w:p>
        </w:tc>
        <w:tc>
          <w:tcPr>
            <w:tcW w:w="8569" w:type="dxa"/>
          </w:tcPr>
          <w:p w14:paraId="2AB973AE">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医德医风自评：支持</w:t>
            </w:r>
            <w:r>
              <w:rPr>
                <w:rStyle w:val="25"/>
                <w:rFonts w:hint="default"/>
                <w:color w:val="auto"/>
                <w:highlight w:val="none"/>
                <w:lang w:bidi="ar"/>
              </w:rPr>
              <w:t>专业技术人员</w:t>
            </w:r>
            <w:r>
              <w:rPr>
                <w:rStyle w:val="24"/>
                <w:rFonts w:hint="default"/>
                <w:color w:val="auto"/>
                <w:highlight w:val="none"/>
                <w:lang w:bidi="ar"/>
              </w:rPr>
              <w:t>每年自动提交自评一次，全院管理层可进行对应自评评级管理。</w:t>
            </w:r>
          </w:p>
        </w:tc>
      </w:tr>
      <w:tr w14:paraId="3828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69" w:type="dxa"/>
            <w:vMerge w:val="continue"/>
            <w:vAlign w:val="center"/>
          </w:tcPr>
          <w:p w14:paraId="5BE49107">
            <w:pPr>
              <w:rPr>
                <w:rFonts w:ascii="宋体" w:hAnsi="宋体" w:eastAsia="宋体" w:cs="宋体"/>
                <w:color w:val="auto"/>
                <w:sz w:val="20"/>
                <w:szCs w:val="20"/>
                <w:highlight w:val="none"/>
              </w:rPr>
            </w:pPr>
          </w:p>
        </w:tc>
        <w:tc>
          <w:tcPr>
            <w:tcW w:w="8569" w:type="dxa"/>
          </w:tcPr>
          <w:p w14:paraId="782C0C75">
            <w:pPr>
              <w:widowControl/>
              <w:textAlignment w:val="top"/>
              <w:rPr>
                <w:rFonts w:hint="eastAsia" w:ascii="Wingdings" w:hAnsi="Wingdings" w:eastAsia="宋体" w:cs="Wingdings"/>
                <w:color w:val="auto"/>
                <w:sz w:val="20"/>
                <w:szCs w:val="20"/>
                <w:highlight w:val="none"/>
                <w:lang w:eastAsia="zh-CN"/>
              </w:rPr>
            </w:pPr>
            <w:r>
              <w:rPr>
                <w:rStyle w:val="28"/>
                <w:rFonts w:eastAsia="宋体"/>
                <w:color w:val="auto"/>
                <w:highlight w:val="none"/>
                <w:lang w:bidi="ar"/>
              </w:rPr>
              <w:t></w:t>
            </w:r>
            <w:r>
              <w:rPr>
                <w:rStyle w:val="26"/>
                <w:rFonts w:hint="eastAsia" w:eastAsia="宋体"/>
                <w:b/>
                <w:bCs/>
                <w:color w:val="auto"/>
                <w:highlight w:val="none"/>
                <w:lang w:eastAsia="zh-CN" w:bidi="ar"/>
              </w:rPr>
              <w:t>有</w:t>
            </w:r>
            <w:r>
              <w:rPr>
                <w:rStyle w:val="27"/>
                <w:rFonts w:hint="default"/>
                <w:b/>
                <w:bCs/>
                <w:color w:val="auto"/>
                <w:highlight w:val="none"/>
                <w:lang w:bidi="ar"/>
              </w:rPr>
              <w:t>技术鉴定</w:t>
            </w:r>
            <w:r>
              <w:rPr>
                <w:rStyle w:val="27"/>
                <w:rFonts w:hint="eastAsia" w:eastAsia="宋体"/>
                <w:b/>
                <w:bCs/>
                <w:color w:val="auto"/>
                <w:highlight w:val="none"/>
                <w:lang w:eastAsia="zh-CN" w:bidi="ar"/>
              </w:rPr>
              <w:t>模块</w:t>
            </w:r>
          </w:p>
        </w:tc>
      </w:tr>
      <w:tr w14:paraId="4EE6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994FEF">
            <w:pPr>
              <w:rPr>
                <w:rFonts w:ascii="宋体" w:hAnsi="宋体" w:eastAsia="宋体" w:cs="宋体"/>
                <w:color w:val="auto"/>
                <w:sz w:val="20"/>
                <w:szCs w:val="20"/>
                <w:highlight w:val="none"/>
              </w:rPr>
            </w:pPr>
          </w:p>
        </w:tc>
        <w:tc>
          <w:tcPr>
            <w:tcW w:w="8569" w:type="dxa"/>
          </w:tcPr>
          <w:p w14:paraId="6730E022">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可自主申请</w:t>
            </w:r>
            <w:r>
              <w:rPr>
                <w:rStyle w:val="25"/>
                <w:rFonts w:hint="default"/>
                <w:color w:val="auto"/>
                <w:highlight w:val="none"/>
                <w:lang w:bidi="ar"/>
              </w:rPr>
              <w:t>每年专业技术人员年度考核</w:t>
            </w:r>
            <w:r>
              <w:rPr>
                <w:rStyle w:val="24"/>
                <w:rFonts w:hint="default"/>
                <w:color w:val="auto"/>
                <w:highlight w:val="none"/>
                <w:lang w:bidi="ar"/>
              </w:rPr>
              <w:t>，系统可自动填入已有数据；</w:t>
            </w:r>
          </w:p>
        </w:tc>
      </w:tr>
      <w:tr w14:paraId="6D38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B855B6">
            <w:pPr>
              <w:rPr>
                <w:rFonts w:ascii="宋体" w:hAnsi="宋体" w:eastAsia="宋体" w:cs="宋体"/>
                <w:color w:val="auto"/>
                <w:sz w:val="20"/>
                <w:szCs w:val="20"/>
                <w:highlight w:val="none"/>
              </w:rPr>
            </w:pPr>
          </w:p>
        </w:tc>
        <w:tc>
          <w:tcPr>
            <w:tcW w:w="8569" w:type="dxa"/>
          </w:tcPr>
          <w:p w14:paraId="251DD0D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支持自定义鉴定流程；</w:t>
            </w:r>
          </w:p>
        </w:tc>
      </w:tr>
      <w:tr w14:paraId="080D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ECFD3E">
            <w:pPr>
              <w:rPr>
                <w:rFonts w:ascii="宋体" w:hAnsi="宋体" w:eastAsia="宋体" w:cs="宋体"/>
                <w:color w:val="auto"/>
                <w:sz w:val="20"/>
                <w:szCs w:val="20"/>
                <w:highlight w:val="none"/>
              </w:rPr>
            </w:pPr>
          </w:p>
        </w:tc>
        <w:tc>
          <w:tcPr>
            <w:tcW w:w="8569" w:type="dxa"/>
          </w:tcPr>
          <w:p w14:paraId="5B5A01F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所有流程完成后可自动盖章；</w:t>
            </w:r>
          </w:p>
        </w:tc>
      </w:tr>
      <w:tr w14:paraId="3B4A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BA97B67">
            <w:pPr>
              <w:rPr>
                <w:rFonts w:ascii="宋体" w:hAnsi="宋体" w:eastAsia="宋体" w:cs="宋体"/>
                <w:color w:val="auto"/>
                <w:sz w:val="20"/>
                <w:szCs w:val="20"/>
                <w:highlight w:val="none"/>
              </w:rPr>
            </w:pPr>
          </w:p>
        </w:tc>
        <w:tc>
          <w:tcPr>
            <w:tcW w:w="8569" w:type="dxa"/>
          </w:tcPr>
          <w:p w14:paraId="3652B9A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支持全院权限评价每年的最终评级结果；</w:t>
            </w:r>
          </w:p>
        </w:tc>
      </w:tr>
      <w:tr w14:paraId="1DF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3CE2C9">
            <w:pPr>
              <w:rPr>
                <w:rFonts w:ascii="宋体" w:hAnsi="宋体" w:eastAsia="宋体" w:cs="宋体"/>
                <w:color w:val="auto"/>
                <w:sz w:val="20"/>
                <w:szCs w:val="20"/>
                <w:highlight w:val="none"/>
              </w:rPr>
            </w:pPr>
          </w:p>
        </w:tc>
        <w:tc>
          <w:tcPr>
            <w:tcW w:w="8569" w:type="dxa"/>
          </w:tcPr>
          <w:p w14:paraId="1A341BA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支持查看用户自己所有技术鉴定内容和处理进度，并支持打印导出。</w:t>
            </w:r>
          </w:p>
        </w:tc>
      </w:tr>
      <w:tr w14:paraId="5F61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F8A26F4">
            <w:pPr>
              <w:rPr>
                <w:rFonts w:ascii="宋体" w:hAnsi="宋体" w:eastAsia="宋体" w:cs="宋体"/>
                <w:color w:val="auto"/>
                <w:sz w:val="20"/>
                <w:szCs w:val="20"/>
                <w:highlight w:val="none"/>
              </w:rPr>
            </w:pPr>
          </w:p>
        </w:tc>
        <w:tc>
          <w:tcPr>
            <w:tcW w:w="8569" w:type="dxa"/>
          </w:tcPr>
          <w:p w14:paraId="399677A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活动经历</w:t>
            </w:r>
          </w:p>
        </w:tc>
      </w:tr>
      <w:tr w14:paraId="496D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6C4E835">
            <w:pPr>
              <w:rPr>
                <w:rFonts w:ascii="宋体" w:hAnsi="宋体" w:eastAsia="宋体" w:cs="宋体"/>
                <w:color w:val="auto"/>
                <w:sz w:val="20"/>
                <w:szCs w:val="20"/>
                <w:highlight w:val="none"/>
              </w:rPr>
            </w:pPr>
          </w:p>
        </w:tc>
        <w:tc>
          <w:tcPr>
            <w:tcW w:w="8569" w:type="dxa"/>
          </w:tcPr>
          <w:p w14:paraId="4DC19A5F">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重大医疗活动：记录该</w:t>
            </w:r>
            <w:r>
              <w:rPr>
                <w:rStyle w:val="25"/>
                <w:rFonts w:hint="default"/>
                <w:color w:val="auto"/>
                <w:highlight w:val="none"/>
                <w:lang w:bidi="ar"/>
              </w:rPr>
              <w:t>专业技术人员</w:t>
            </w:r>
            <w:r>
              <w:rPr>
                <w:rStyle w:val="24"/>
                <w:rFonts w:hint="default"/>
                <w:color w:val="auto"/>
                <w:highlight w:val="none"/>
                <w:lang w:bidi="ar"/>
              </w:rPr>
              <w:t>参与的所有重大医疗活动情况，如：医疗活动名称、活动规模、参与人、参与人科室、担任角色、主办单位、活动开始时间、活动结束时间、添加时间等内容；</w:t>
            </w:r>
          </w:p>
        </w:tc>
      </w:tr>
      <w:tr w14:paraId="6604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7A2182">
            <w:pPr>
              <w:rPr>
                <w:rFonts w:ascii="宋体" w:hAnsi="宋体" w:eastAsia="宋体" w:cs="宋体"/>
                <w:color w:val="auto"/>
                <w:sz w:val="20"/>
                <w:szCs w:val="20"/>
                <w:highlight w:val="none"/>
              </w:rPr>
            </w:pPr>
          </w:p>
        </w:tc>
        <w:tc>
          <w:tcPr>
            <w:tcW w:w="8569" w:type="dxa"/>
          </w:tcPr>
          <w:p w14:paraId="0353422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重大学术活动：记录</w:t>
            </w:r>
            <w:r>
              <w:rPr>
                <w:rStyle w:val="27"/>
                <w:rFonts w:hint="eastAsia" w:eastAsia="宋体"/>
                <w:color w:val="auto"/>
                <w:highlight w:val="none"/>
                <w:lang w:eastAsia="zh-CN" w:bidi="ar"/>
              </w:rPr>
              <w:t>医务人员</w:t>
            </w:r>
            <w:r>
              <w:rPr>
                <w:rStyle w:val="27"/>
                <w:rFonts w:hint="default"/>
                <w:color w:val="auto"/>
                <w:highlight w:val="none"/>
                <w:lang w:bidi="ar"/>
              </w:rPr>
              <w:t>参与的所有重大学术活动情况，如：学术活动名称、活动规模、参与人、参与人科室、担任角色、主办单位、活动开始时间、活动结束时间等内容；</w:t>
            </w:r>
            <w:r>
              <w:rPr>
                <w:rStyle w:val="27"/>
                <w:rFonts w:hint="eastAsia" w:eastAsia="宋体"/>
                <w:color w:val="auto"/>
                <w:highlight w:val="none"/>
                <w:lang w:val="en-US" w:eastAsia="zh-CN" w:bidi="ar"/>
              </w:rPr>
              <w:t xml:space="preserve"> </w:t>
            </w:r>
          </w:p>
        </w:tc>
      </w:tr>
      <w:tr w14:paraId="08A1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82B195E">
            <w:pPr>
              <w:rPr>
                <w:rFonts w:ascii="宋体" w:hAnsi="宋体" w:eastAsia="宋体" w:cs="宋体"/>
                <w:color w:val="auto"/>
                <w:sz w:val="20"/>
                <w:szCs w:val="20"/>
                <w:highlight w:val="none"/>
              </w:rPr>
            </w:pPr>
          </w:p>
        </w:tc>
        <w:tc>
          <w:tcPr>
            <w:tcW w:w="8569" w:type="dxa"/>
          </w:tcPr>
          <w:p w14:paraId="79445D21">
            <w:pPr>
              <w:widowControl/>
              <w:textAlignment w:val="top"/>
              <w:rPr>
                <w:rFonts w:hint="eastAsia" w:ascii="Wingdings" w:hAnsi="Wingdings" w:eastAsia="宋体" w:cs="Wingdings"/>
                <w:color w:val="auto"/>
                <w:sz w:val="20"/>
                <w:szCs w:val="20"/>
                <w:highlight w:val="none"/>
                <w:lang w:val="en-US" w:eastAsia="zh-CN"/>
              </w:rPr>
            </w:pPr>
            <w:r>
              <w:rPr>
                <w:rStyle w:val="26"/>
                <w:rFonts w:eastAsia="宋体"/>
                <w:color w:val="auto"/>
                <w:highlight w:val="none"/>
                <w:lang w:bidi="ar"/>
              </w:rPr>
              <w:t></w:t>
            </w:r>
            <w:r>
              <w:rPr>
                <w:rStyle w:val="27"/>
                <w:rFonts w:hint="default"/>
                <w:color w:val="auto"/>
                <w:highlight w:val="none"/>
                <w:lang w:bidi="ar"/>
              </w:rPr>
              <w:t>技术比赛：记录</w:t>
            </w:r>
            <w:r>
              <w:rPr>
                <w:rStyle w:val="27"/>
                <w:rFonts w:hint="eastAsia" w:eastAsia="宋体"/>
                <w:color w:val="auto"/>
                <w:highlight w:val="none"/>
                <w:lang w:eastAsia="zh-CN" w:bidi="ar"/>
              </w:rPr>
              <w:t>医务人员</w:t>
            </w:r>
            <w:r>
              <w:rPr>
                <w:rStyle w:val="27"/>
                <w:rFonts w:hint="default"/>
                <w:color w:val="auto"/>
                <w:highlight w:val="none"/>
                <w:lang w:bidi="ar"/>
              </w:rPr>
              <w:t>参与的所有技术比赛情况，如：技术比赛名称、比赛规模、参与人、参与人科室、所获奖项、主办单位、比赛开始时间、比赛结束时间等内容。</w:t>
            </w:r>
            <w:r>
              <w:rPr>
                <w:rStyle w:val="27"/>
                <w:rFonts w:hint="eastAsia" w:eastAsia="宋体"/>
                <w:color w:val="auto"/>
                <w:highlight w:val="none"/>
                <w:lang w:val="en-US" w:eastAsia="zh-CN" w:bidi="ar"/>
              </w:rPr>
              <w:t xml:space="preserve"> </w:t>
            </w:r>
          </w:p>
        </w:tc>
      </w:tr>
      <w:tr w14:paraId="03AC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463C2F">
            <w:pPr>
              <w:rPr>
                <w:rFonts w:ascii="宋体" w:hAnsi="宋体" w:eastAsia="宋体" w:cs="宋体"/>
                <w:color w:val="auto"/>
                <w:sz w:val="20"/>
                <w:szCs w:val="20"/>
                <w:highlight w:val="none"/>
              </w:rPr>
            </w:pPr>
          </w:p>
        </w:tc>
        <w:tc>
          <w:tcPr>
            <w:tcW w:w="8569" w:type="dxa"/>
          </w:tcPr>
          <w:p w14:paraId="53CCF8C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政治面貌</w:t>
            </w:r>
          </w:p>
        </w:tc>
      </w:tr>
      <w:tr w14:paraId="417A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3B8B8E1">
            <w:pPr>
              <w:rPr>
                <w:rFonts w:ascii="宋体" w:hAnsi="宋体" w:eastAsia="宋体" w:cs="宋体"/>
                <w:color w:val="auto"/>
                <w:sz w:val="20"/>
                <w:szCs w:val="20"/>
                <w:highlight w:val="none"/>
              </w:rPr>
            </w:pPr>
          </w:p>
        </w:tc>
        <w:tc>
          <w:tcPr>
            <w:tcW w:w="8569" w:type="dxa"/>
          </w:tcPr>
          <w:p w14:paraId="4146A4C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支持添加和管理政治面貌和开始日期以及资料附件，从而形成政治面貌档案。</w:t>
            </w:r>
          </w:p>
        </w:tc>
      </w:tr>
      <w:tr w14:paraId="7F3F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B42938">
            <w:pPr>
              <w:rPr>
                <w:rFonts w:ascii="宋体" w:hAnsi="宋体" w:eastAsia="宋体" w:cs="宋体"/>
                <w:color w:val="auto"/>
                <w:sz w:val="20"/>
                <w:szCs w:val="20"/>
                <w:highlight w:val="none"/>
              </w:rPr>
            </w:pPr>
          </w:p>
        </w:tc>
        <w:tc>
          <w:tcPr>
            <w:tcW w:w="8569" w:type="dxa"/>
          </w:tcPr>
          <w:p w14:paraId="6A37700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委员会管理</w:t>
            </w:r>
          </w:p>
        </w:tc>
      </w:tr>
      <w:tr w14:paraId="3328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2FBB3C">
            <w:pPr>
              <w:rPr>
                <w:rFonts w:ascii="宋体" w:hAnsi="宋体" w:eastAsia="宋体" w:cs="宋体"/>
                <w:color w:val="auto"/>
                <w:sz w:val="20"/>
                <w:szCs w:val="20"/>
                <w:highlight w:val="none"/>
              </w:rPr>
            </w:pPr>
          </w:p>
        </w:tc>
        <w:tc>
          <w:tcPr>
            <w:tcW w:w="8569" w:type="dxa"/>
          </w:tcPr>
          <w:p w14:paraId="129FEAF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可查看用户本人自己参与的委员会情况，包括参与委员会名称、任职职务、任职开始日期、任职结束日期、任职年限、委员会级别、是否属于八大、目前任职情况等；</w:t>
            </w:r>
          </w:p>
        </w:tc>
      </w:tr>
      <w:tr w14:paraId="410D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D1A68C0">
            <w:pPr>
              <w:rPr>
                <w:rFonts w:ascii="宋体" w:hAnsi="宋体" w:eastAsia="宋体" w:cs="宋体"/>
                <w:color w:val="auto"/>
                <w:sz w:val="20"/>
                <w:szCs w:val="20"/>
                <w:highlight w:val="none"/>
              </w:rPr>
            </w:pPr>
          </w:p>
        </w:tc>
        <w:tc>
          <w:tcPr>
            <w:tcW w:w="8569" w:type="dxa"/>
          </w:tcPr>
          <w:p w14:paraId="19FDAF5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支持登录用户通过APP进行人员档案维护自己的基本信息；</w:t>
            </w:r>
          </w:p>
        </w:tc>
      </w:tr>
      <w:tr w14:paraId="437F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5F2C166">
            <w:pPr>
              <w:rPr>
                <w:rFonts w:ascii="宋体" w:hAnsi="宋体" w:eastAsia="宋体" w:cs="宋体"/>
                <w:color w:val="auto"/>
                <w:sz w:val="20"/>
                <w:szCs w:val="20"/>
                <w:highlight w:val="none"/>
              </w:rPr>
            </w:pPr>
          </w:p>
        </w:tc>
        <w:tc>
          <w:tcPr>
            <w:tcW w:w="8569" w:type="dxa"/>
          </w:tcPr>
          <w:p w14:paraId="232A67D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支持科室和全院管理者在APP中进行自己管理权限内人员档案的查看。</w:t>
            </w:r>
          </w:p>
        </w:tc>
      </w:tr>
      <w:tr w14:paraId="723C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7C2519B">
            <w:pPr>
              <w:rPr>
                <w:rFonts w:ascii="宋体" w:hAnsi="宋体" w:eastAsia="宋体" w:cs="宋体"/>
                <w:color w:val="auto"/>
                <w:sz w:val="20"/>
                <w:szCs w:val="20"/>
                <w:highlight w:val="none"/>
              </w:rPr>
            </w:pPr>
          </w:p>
        </w:tc>
        <w:tc>
          <w:tcPr>
            <w:tcW w:w="8569" w:type="dxa"/>
          </w:tcPr>
          <w:p w14:paraId="0B3A0AFB">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各种证件上传：近期个人免冠正面照片、包括身份证、执业证、资格证、职称证等。支持PDF/EXCEL/JPG格式上传。</w:t>
            </w:r>
          </w:p>
        </w:tc>
      </w:tr>
      <w:tr w14:paraId="5C9F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C17A332">
            <w:pPr>
              <w:rPr>
                <w:rFonts w:ascii="宋体" w:hAnsi="宋体" w:eastAsia="宋体" w:cs="宋体"/>
                <w:color w:val="auto"/>
                <w:sz w:val="20"/>
                <w:szCs w:val="20"/>
                <w:highlight w:val="none"/>
              </w:rPr>
            </w:pPr>
          </w:p>
        </w:tc>
        <w:tc>
          <w:tcPr>
            <w:tcW w:w="8569" w:type="dxa"/>
          </w:tcPr>
          <w:p w14:paraId="3857C71C">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系统可根据执业证书、资格证书等各类证件自动抓取信息、填充相应字段，无需人工填写（系统自动识别填充后，弹框由上传者确认）。</w:t>
            </w:r>
          </w:p>
        </w:tc>
      </w:tr>
      <w:tr w14:paraId="234E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4B8F7D4">
            <w:pPr>
              <w:rPr>
                <w:rFonts w:ascii="宋体" w:hAnsi="宋体" w:eastAsia="宋体" w:cs="宋体"/>
                <w:color w:val="auto"/>
                <w:sz w:val="20"/>
                <w:szCs w:val="20"/>
                <w:highlight w:val="none"/>
              </w:rPr>
            </w:pPr>
          </w:p>
        </w:tc>
        <w:tc>
          <w:tcPr>
            <w:tcW w:w="8569" w:type="dxa"/>
          </w:tcPr>
          <w:p w14:paraId="3D2A6D5F">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支持用户个人随时更新自身的档案信息，并可导出打印。</w:t>
            </w:r>
          </w:p>
        </w:tc>
      </w:tr>
      <w:tr w14:paraId="034C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0C90DA6">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1.1.2 人员信息查询</w:t>
            </w:r>
          </w:p>
        </w:tc>
        <w:tc>
          <w:tcPr>
            <w:tcW w:w="8569" w:type="dxa"/>
          </w:tcPr>
          <w:p w14:paraId="217B6DCD">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全院/科室人员信息，进行多条件混合查询和字段自由组合公式合并汇总为人员信息表单</w:t>
            </w:r>
            <w:r>
              <w:rPr>
                <w:rStyle w:val="25"/>
                <w:rFonts w:hint="default"/>
                <w:color w:val="auto"/>
                <w:highlight w:val="none"/>
                <w:lang w:bidi="ar"/>
              </w:rPr>
              <w:t>或数据图表</w:t>
            </w:r>
            <w:r>
              <w:rPr>
                <w:rStyle w:val="24"/>
                <w:rFonts w:hint="default"/>
                <w:color w:val="auto"/>
                <w:highlight w:val="none"/>
                <w:lang w:bidi="ar"/>
              </w:rPr>
              <w:t>，如：姓名、性别、学历、职称、</w:t>
            </w:r>
            <w:r>
              <w:rPr>
                <w:rStyle w:val="25"/>
                <w:rFonts w:hint="default"/>
                <w:color w:val="auto"/>
                <w:highlight w:val="none"/>
                <w:lang w:bidi="ar"/>
              </w:rPr>
              <w:t>执业类别、</w:t>
            </w:r>
            <w:r>
              <w:rPr>
                <w:rStyle w:val="24"/>
                <w:rFonts w:hint="default"/>
                <w:color w:val="auto"/>
                <w:highlight w:val="none"/>
                <w:lang w:bidi="ar"/>
              </w:rPr>
              <w:t>生育情况、胎次等信息条件；</w:t>
            </w:r>
          </w:p>
        </w:tc>
      </w:tr>
      <w:tr w14:paraId="6D6B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9BC3B3">
            <w:pPr>
              <w:rPr>
                <w:rFonts w:ascii="宋体" w:hAnsi="宋体" w:eastAsia="宋体" w:cs="宋体"/>
                <w:color w:val="auto"/>
                <w:sz w:val="20"/>
                <w:szCs w:val="20"/>
                <w:highlight w:val="none"/>
              </w:rPr>
            </w:pPr>
          </w:p>
        </w:tc>
        <w:tc>
          <w:tcPr>
            <w:tcW w:w="8569" w:type="dxa"/>
          </w:tcPr>
          <w:p w14:paraId="4D08707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支持导出人员档案信息；</w:t>
            </w:r>
          </w:p>
        </w:tc>
      </w:tr>
      <w:tr w14:paraId="36C2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DEBD5B2">
            <w:pPr>
              <w:rPr>
                <w:rFonts w:ascii="宋体" w:hAnsi="宋体" w:eastAsia="宋体" w:cs="宋体"/>
                <w:color w:val="auto"/>
                <w:sz w:val="20"/>
                <w:szCs w:val="20"/>
                <w:highlight w:val="none"/>
              </w:rPr>
            </w:pPr>
          </w:p>
        </w:tc>
        <w:tc>
          <w:tcPr>
            <w:tcW w:w="8569" w:type="dxa"/>
          </w:tcPr>
          <w:p w14:paraId="3D512F7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支持自定义项目导出；</w:t>
            </w:r>
          </w:p>
        </w:tc>
      </w:tr>
      <w:tr w14:paraId="7C70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6A573D">
            <w:pPr>
              <w:rPr>
                <w:rFonts w:ascii="宋体" w:hAnsi="宋体" w:eastAsia="宋体" w:cs="宋体"/>
                <w:color w:val="auto"/>
                <w:sz w:val="20"/>
                <w:szCs w:val="20"/>
                <w:highlight w:val="none"/>
              </w:rPr>
            </w:pPr>
          </w:p>
        </w:tc>
        <w:tc>
          <w:tcPr>
            <w:tcW w:w="8569" w:type="dxa"/>
          </w:tcPr>
          <w:p w14:paraId="22A95FA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可跳转查看对应人员档案；</w:t>
            </w:r>
          </w:p>
        </w:tc>
      </w:tr>
      <w:tr w14:paraId="611E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7C1BE73">
            <w:pPr>
              <w:rPr>
                <w:rFonts w:ascii="宋体" w:hAnsi="宋体" w:eastAsia="宋体" w:cs="宋体"/>
                <w:color w:val="auto"/>
                <w:sz w:val="20"/>
                <w:szCs w:val="20"/>
                <w:highlight w:val="none"/>
              </w:rPr>
            </w:pPr>
          </w:p>
        </w:tc>
        <w:tc>
          <w:tcPr>
            <w:tcW w:w="8569" w:type="dxa"/>
          </w:tcPr>
          <w:p w14:paraId="3671EEE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支持敏感数据脱敏导出。</w:t>
            </w:r>
          </w:p>
        </w:tc>
      </w:tr>
      <w:tr w14:paraId="2B87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C6B68F4">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1.1.3 档案审批</w:t>
            </w:r>
          </w:p>
        </w:tc>
        <w:tc>
          <w:tcPr>
            <w:tcW w:w="8569" w:type="dxa"/>
          </w:tcPr>
          <w:p w14:paraId="50E857A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支持手机端提交档案修改申请；</w:t>
            </w:r>
          </w:p>
        </w:tc>
      </w:tr>
      <w:tr w14:paraId="0FC6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0A89E39F">
            <w:pPr>
              <w:rPr>
                <w:rFonts w:ascii="宋体" w:hAnsi="宋体" w:eastAsia="宋体" w:cs="宋体"/>
                <w:color w:val="auto"/>
                <w:sz w:val="20"/>
                <w:szCs w:val="20"/>
                <w:highlight w:val="none"/>
              </w:rPr>
            </w:pPr>
          </w:p>
        </w:tc>
        <w:tc>
          <w:tcPr>
            <w:tcW w:w="8569" w:type="dxa"/>
          </w:tcPr>
          <w:p w14:paraId="76DB2A00">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管理部门审批、编辑、重新提交的档案信息，支持手机端；</w:t>
            </w:r>
          </w:p>
        </w:tc>
      </w:tr>
      <w:tr w14:paraId="1045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E11525E">
            <w:pPr>
              <w:rPr>
                <w:rFonts w:ascii="宋体" w:hAnsi="宋体" w:eastAsia="宋体" w:cs="宋体"/>
                <w:color w:val="auto"/>
                <w:sz w:val="20"/>
                <w:szCs w:val="20"/>
                <w:highlight w:val="none"/>
              </w:rPr>
            </w:pPr>
          </w:p>
        </w:tc>
        <w:tc>
          <w:tcPr>
            <w:tcW w:w="8569" w:type="dxa"/>
          </w:tcPr>
          <w:p w14:paraId="28B299F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支持分字段分系统分部门进行审批，审批权限可控。</w:t>
            </w:r>
          </w:p>
        </w:tc>
      </w:tr>
      <w:tr w14:paraId="08FF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53E27F">
            <w:pPr>
              <w:rPr>
                <w:rFonts w:ascii="宋体" w:hAnsi="宋体" w:eastAsia="宋体" w:cs="宋体"/>
                <w:color w:val="auto"/>
                <w:sz w:val="20"/>
                <w:szCs w:val="20"/>
                <w:highlight w:val="none"/>
              </w:rPr>
            </w:pPr>
          </w:p>
        </w:tc>
        <w:tc>
          <w:tcPr>
            <w:tcW w:w="8569" w:type="dxa"/>
          </w:tcPr>
          <w:p w14:paraId="062B29A2">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支持管理端人员自定义增加或删减字段</w:t>
            </w:r>
          </w:p>
        </w:tc>
      </w:tr>
      <w:tr w14:paraId="7A95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346B253">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1.1.4 总住院医师</w:t>
            </w:r>
          </w:p>
        </w:tc>
        <w:tc>
          <w:tcPr>
            <w:tcW w:w="8569" w:type="dxa"/>
          </w:tcPr>
          <w:p w14:paraId="5CF9B1F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支持申请担任总住院，可管理者直接任命，也可由医师自主申请，并可打印导出；</w:t>
            </w:r>
          </w:p>
        </w:tc>
      </w:tr>
      <w:tr w14:paraId="7521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9C1019">
            <w:pPr>
              <w:rPr>
                <w:rFonts w:ascii="宋体" w:hAnsi="宋体" w:eastAsia="宋体" w:cs="宋体"/>
                <w:color w:val="auto"/>
                <w:sz w:val="20"/>
                <w:szCs w:val="20"/>
                <w:highlight w:val="none"/>
              </w:rPr>
            </w:pPr>
          </w:p>
        </w:tc>
        <w:tc>
          <w:tcPr>
            <w:tcW w:w="8569" w:type="dxa"/>
          </w:tcPr>
          <w:p w14:paraId="135B54E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全院总住院医生一览：可随时查看现任职所有总住院医师联系方式和任职情况，并可打印导出；</w:t>
            </w:r>
          </w:p>
        </w:tc>
      </w:tr>
      <w:tr w14:paraId="47FF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40EAF3">
            <w:pPr>
              <w:rPr>
                <w:rFonts w:ascii="宋体" w:hAnsi="宋体" w:eastAsia="宋体" w:cs="宋体"/>
                <w:color w:val="auto"/>
                <w:sz w:val="20"/>
                <w:szCs w:val="20"/>
                <w:highlight w:val="none"/>
              </w:rPr>
            </w:pPr>
          </w:p>
        </w:tc>
        <w:tc>
          <w:tcPr>
            <w:tcW w:w="8569" w:type="dxa"/>
          </w:tcPr>
          <w:p w14:paraId="1266E2B5">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总值班信息：支持分内科值班表、外科值班表、急诊值班表</w:t>
            </w:r>
            <w:r>
              <w:rPr>
                <w:rStyle w:val="25"/>
                <w:rFonts w:hint="default"/>
                <w:color w:val="auto"/>
                <w:highlight w:val="none"/>
                <w:lang w:bidi="ar"/>
              </w:rPr>
              <w:t>或每日各科室值班人员表</w:t>
            </w:r>
            <w:r>
              <w:rPr>
                <w:rStyle w:val="24"/>
                <w:rFonts w:hint="default"/>
                <w:color w:val="auto"/>
                <w:highlight w:val="none"/>
                <w:lang w:bidi="ar"/>
              </w:rPr>
              <w:t>等自定义值班表进行编辑和发布，并可打印导出：</w:t>
            </w:r>
          </w:p>
        </w:tc>
      </w:tr>
      <w:tr w14:paraId="306D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4A99D3">
            <w:pPr>
              <w:rPr>
                <w:rFonts w:ascii="宋体" w:hAnsi="宋体" w:eastAsia="宋体" w:cs="宋体"/>
                <w:color w:val="auto"/>
                <w:sz w:val="20"/>
                <w:szCs w:val="20"/>
                <w:highlight w:val="none"/>
              </w:rPr>
            </w:pPr>
          </w:p>
        </w:tc>
        <w:tc>
          <w:tcPr>
            <w:tcW w:w="8569" w:type="dxa"/>
          </w:tcPr>
          <w:p w14:paraId="71700E5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支持APP上进行总住院的申请、审批、撤回、退出、查看值班表、联系对应总住院医师等操作。</w:t>
            </w:r>
          </w:p>
        </w:tc>
      </w:tr>
      <w:tr w14:paraId="348F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D27C813">
            <w:pPr>
              <w:rPr>
                <w:rFonts w:ascii="宋体" w:hAnsi="宋体" w:eastAsia="宋体" w:cs="宋体"/>
                <w:color w:val="auto"/>
                <w:sz w:val="20"/>
                <w:szCs w:val="20"/>
                <w:highlight w:val="none"/>
              </w:rPr>
            </w:pPr>
          </w:p>
        </w:tc>
        <w:tc>
          <w:tcPr>
            <w:tcW w:w="8569" w:type="dxa"/>
          </w:tcPr>
          <w:p w14:paraId="0A2DB52B">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支持住院总任职期间特殊情况请休假申请（住院总上传佐证）、相关行政部门审批操作</w:t>
            </w:r>
          </w:p>
        </w:tc>
      </w:tr>
      <w:tr w14:paraId="5877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FCE7253">
            <w:pPr>
              <w:rPr>
                <w:rFonts w:ascii="宋体" w:hAnsi="宋体" w:eastAsia="宋体" w:cs="宋体"/>
                <w:color w:val="auto"/>
                <w:sz w:val="20"/>
                <w:szCs w:val="20"/>
                <w:highlight w:val="none"/>
              </w:rPr>
            </w:pPr>
          </w:p>
        </w:tc>
        <w:tc>
          <w:tcPr>
            <w:tcW w:w="8569" w:type="dxa"/>
          </w:tcPr>
          <w:p w14:paraId="158022F6">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与排班系统、请休假系统联动,支持总住院医师查询并导出打印任职住院总期间科室考勤记录,包括本科室每天各人员排班情况，一、二、三值等。</w:t>
            </w:r>
          </w:p>
        </w:tc>
      </w:tr>
      <w:tr w14:paraId="17B0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566FA0A">
            <w:pPr>
              <w:rPr>
                <w:rFonts w:ascii="宋体" w:hAnsi="宋体" w:eastAsia="宋体" w:cs="宋体"/>
                <w:color w:val="auto"/>
                <w:sz w:val="20"/>
                <w:szCs w:val="20"/>
                <w:highlight w:val="none"/>
              </w:rPr>
            </w:pPr>
          </w:p>
        </w:tc>
        <w:tc>
          <w:tcPr>
            <w:tcW w:w="8569" w:type="dxa"/>
          </w:tcPr>
          <w:p w14:paraId="0D21AAB9">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支持上传总住院医师任职考评表</w:t>
            </w:r>
          </w:p>
        </w:tc>
      </w:tr>
      <w:tr w14:paraId="46FC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restart"/>
            <w:vAlign w:val="center"/>
          </w:tcPr>
          <w:p w14:paraId="64067AF6">
            <w:pPr>
              <w:widowControl/>
              <w:textAlignment w:val="center"/>
              <w:rPr>
                <w:rFonts w:hint="eastAsia" w:ascii="宋体" w:hAnsi="宋体" w:eastAsia="宋体" w:cs="宋体"/>
                <w:color w:val="auto"/>
                <w:sz w:val="20"/>
                <w:szCs w:val="20"/>
                <w:highlight w:val="none"/>
                <w:lang w:eastAsia="zh-CN"/>
              </w:rPr>
            </w:pPr>
            <w:r>
              <w:rPr>
                <w:rStyle w:val="27"/>
                <w:rFonts w:hint="default"/>
                <w:color w:val="auto"/>
                <w:highlight w:val="none"/>
                <w:lang w:bidi="ar"/>
              </w:rPr>
              <w:t>1.1.5 请假</w:t>
            </w:r>
            <w:r>
              <w:rPr>
                <w:rStyle w:val="27"/>
                <w:rFonts w:hint="eastAsia" w:eastAsia="宋体"/>
                <w:color w:val="auto"/>
                <w:highlight w:val="none"/>
                <w:lang w:eastAsia="zh-CN" w:bidi="ar"/>
              </w:rPr>
              <w:t>数据</w:t>
            </w:r>
          </w:p>
        </w:tc>
        <w:tc>
          <w:tcPr>
            <w:tcW w:w="8569" w:type="dxa"/>
          </w:tcPr>
          <w:p w14:paraId="00A5AEA5">
            <w:pPr>
              <w:rPr>
                <w:rFonts w:hint="default"/>
                <w:highlight w:val="none"/>
                <w:lang w:val="en-US" w:eastAsia="zh-CN"/>
              </w:rPr>
            </w:pPr>
            <w:r>
              <w:rPr>
                <w:rStyle w:val="27"/>
                <w:rFonts w:hint="eastAsia"/>
                <w:color w:val="auto"/>
                <w:highlight w:val="none"/>
                <w:lang w:eastAsia="zh-CN" w:bidi="ar"/>
              </w:rPr>
              <w:t>支持对接当前院方的</w:t>
            </w:r>
            <w:r>
              <w:rPr>
                <w:rStyle w:val="27"/>
                <w:rFonts w:hint="eastAsia"/>
                <w:color w:val="auto"/>
                <w:highlight w:val="none"/>
                <w:lang w:val="en-US" w:eastAsia="zh-CN" w:bidi="ar"/>
              </w:rPr>
              <w:t>OA</w:t>
            </w:r>
            <w:r>
              <w:rPr>
                <w:rStyle w:val="27"/>
                <w:rFonts w:hint="eastAsia"/>
                <w:color w:val="FF0000"/>
                <w:highlight w:val="none"/>
                <w:lang w:val="en-US" w:eastAsia="zh-CN" w:bidi="ar"/>
              </w:rPr>
              <w:t>或人事系统</w:t>
            </w:r>
            <w:r>
              <w:rPr>
                <w:rStyle w:val="27"/>
                <w:rFonts w:hint="eastAsia"/>
                <w:color w:val="auto"/>
                <w:highlight w:val="none"/>
                <w:lang w:val="en-US" w:eastAsia="zh-CN" w:bidi="ar"/>
              </w:rPr>
              <w:t>相关请假（包括进修、外出）数据，并</w:t>
            </w:r>
            <w:r>
              <w:rPr>
                <w:rStyle w:val="27"/>
                <w:rFonts w:hint="default"/>
                <w:color w:val="auto"/>
                <w:highlight w:val="none"/>
                <w:lang w:eastAsia="zh-CN" w:bidi="ar"/>
              </w:rPr>
              <w:t>支持休假与排班系统自动联动</w:t>
            </w:r>
            <w:r>
              <w:rPr>
                <w:rStyle w:val="27"/>
                <w:rFonts w:hint="eastAsia"/>
                <w:color w:val="auto"/>
                <w:highlight w:val="none"/>
                <w:lang w:val="en-US" w:eastAsia="zh-CN" w:bidi="ar"/>
              </w:rPr>
              <w:t>。</w:t>
            </w:r>
          </w:p>
        </w:tc>
      </w:tr>
      <w:tr w14:paraId="211B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55839F">
            <w:pPr>
              <w:rPr>
                <w:rFonts w:ascii="宋体" w:hAnsi="宋体" w:eastAsia="宋体" w:cs="宋体"/>
                <w:color w:val="auto"/>
                <w:sz w:val="20"/>
                <w:szCs w:val="20"/>
                <w:highlight w:val="none"/>
              </w:rPr>
            </w:pPr>
          </w:p>
        </w:tc>
        <w:tc>
          <w:tcPr>
            <w:tcW w:w="8569" w:type="dxa"/>
          </w:tcPr>
          <w:p w14:paraId="38B07A4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可查看年休假人数统计表和年休假每人每天统计表，并支持下载；</w:t>
            </w:r>
          </w:p>
        </w:tc>
      </w:tr>
      <w:tr w14:paraId="1436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764CB37">
            <w:pPr>
              <w:rPr>
                <w:rFonts w:ascii="宋体" w:hAnsi="宋体" w:eastAsia="宋体" w:cs="宋体"/>
                <w:color w:val="auto"/>
                <w:sz w:val="20"/>
                <w:szCs w:val="20"/>
                <w:highlight w:val="none"/>
              </w:rPr>
            </w:pPr>
          </w:p>
        </w:tc>
        <w:tc>
          <w:tcPr>
            <w:tcW w:w="8569" w:type="dxa"/>
          </w:tcPr>
          <w:p w14:paraId="76A4CD3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支持查看</w:t>
            </w:r>
            <w:r>
              <w:rPr>
                <w:rStyle w:val="27"/>
                <w:rFonts w:hint="eastAsia" w:eastAsia="宋体"/>
                <w:color w:val="auto"/>
                <w:highlight w:val="none"/>
                <w:lang w:eastAsia="zh-CN" w:bidi="ar"/>
              </w:rPr>
              <w:t>医疗人员</w:t>
            </w:r>
            <w:r>
              <w:rPr>
                <w:rStyle w:val="27"/>
                <w:rFonts w:hint="default"/>
                <w:color w:val="auto"/>
                <w:highlight w:val="none"/>
                <w:lang w:bidi="ar"/>
              </w:rPr>
              <w:t>请休假统计报表和各种关键指标，病区年度统计、每人休假种类数据比对等，并支持导出;</w:t>
            </w:r>
          </w:p>
        </w:tc>
      </w:tr>
      <w:tr w14:paraId="6044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BAE0BD">
            <w:pPr>
              <w:rPr>
                <w:rFonts w:ascii="宋体" w:hAnsi="宋体" w:eastAsia="宋体" w:cs="宋体"/>
                <w:color w:val="auto"/>
                <w:sz w:val="20"/>
                <w:szCs w:val="20"/>
                <w:highlight w:val="none"/>
              </w:rPr>
            </w:pPr>
          </w:p>
        </w:tc>
        <w:tc>
          <w:tcPr>
            <w:tcW w:w="8569" w:type="dxa"/>
          </w:tcPr>
          <w:p w14:paraId="69E69A4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支持休假与排班系统自动联动；</w:t>
            </w:r>
          </w:p>
        </w:tc>
      </w:tr>
      <w:tr w14:paraId="493E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F4909A">
            <w:pPr>
              <w:rPr>
                <w:rFonts w:ascii="宋体" w:hAnsi="宋体" w:eastAsia="宋体" w:cs="宋体"/>
                <w:color w:val="auto"/>
                <w:sz w:val="20"/>
                <w:szCs w:val="20"/>
                <w:highlight w:val="none"/>
              </w:rPr>
            </w:pPr>
          </w:p>
        </w:tc>
        <w:tc>
          <w:tcPr>
            <w:tcW w:w="8569" w:type="dxa"/>
          </w:tcPr>
          <w:p w14:paraId="669C3F1B">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可查看个人各假期类型的休假天数等详情</w:t>
            </w:r>
          </w:p>
        </w:tc>
      </w:tr>
      <w:tr w14:paraId="4D03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485167B">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1.1.6 院内人力支援</w:t>
            </w:r>
          </w:p>
        </w:tc>
        <w:tc>
          <w:tcPr>
            <w:tcW w:w="8569" w:type="dxa"/>
          </w:tcPr>
          <w:p w14:paraId="7387C81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当科室有人力支援需求时,可在已与对方科室协商确定指定支援医生进行申请人力支援至本科室；</w:t>
            </w:r>
          </w:p>
        </w:tc>
      </w:tr>
      <w:tr w14:paraId="00FF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BF6C06">
            <w:pPr>
              <w:rPr>
                <w:rFonts w:ascii="宋体" w:hAnsi="宋体" w:eastAsia="宋体" w:cs="宋体"/>
                <w:color w:val="auto"/>
                <w:sz w:val="20"/>
                <w:szCs w:val="20"/>
                <w:highlight w:val="none"/>
              </w:rPr>
            </w:pPr>
          </w:p>
        </w:tc>
        <w:tc>
          <w:tcPr>
            <w:tcW w:w="8569" w:type="dxa"/>
          </w:tcPr>
          <w:p w14:paraId="19F4921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未协商情况下，可输入需要支援人员条件，级别、人数进行申请；</w:t>
            </w:r>
          </w:p>
        </w:tc>
      </w:tr>
      <w:tr w14:paraId="51E8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D31FFA3">
            <w:pPr>
              <w:rPr>
                <w:rFonts w:ascii="宋体" w:hAnsi="宋体" w:eastAsia="宋体" w:cs="宋体"/>
                <w:color w:val="auto"/>
                <w:sz w:val="20"/>
                <w:szCs w:val="20"/>
                <w:highlight w:val="none"/>
              </w:rPr>
            </w:pPr>
          </w:p>
        </w:tc>
        <w:tc>
          <w:tcPr>
            <w:tcW w:w="8569" w:type="dxa"/>
          </w:tcPr>
          <w:p w14:paraId="16578C2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支持事后补录支援信息；</w:t>
            </w:r>
          </w:p>
        </w:tc>
      </w:tr>
      <w:tr w14:paraId="7C07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49665F">
            <w:pPr>
              <w:rPr>
                <w:rFonts w:ascii="宋体" w:hAnsi="宋体" w:eastAsia="宋体" w:cs="宋体"/>
                <w:color w:val="auto"/>
                <w:sz w:val="20"/>
                <w:szCs w:val="20"/>
                <w:highlight w:val="none"/>
              </w:rPr>
            </w:pPr>
          </w:p>
        </w:tc>
        <w:tc>
          <w:tcPr>
            <w:tcW w:w="8569" w:type="dxa"/>
          </w:tcPr>
          <w:p w14:paraId="4CD056E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可自定义审批流程；</w:t>
            </w:r>
          </w:p>
        </w:tc>
      </w:tr>
      <w:tr w14:paraId="3302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3798E7">
            <w:pPr>
              <w:rPr>
                <w:rFonts w:ascii="宋体" w:hAnsi="宋体" w:eastAsia="宋体" w:cs="宋体"/>
                <w:color w:val="auto"/>
                <w:sz w:val="20"/>
                <w:szCs w:val="20"/>
                <w:highlight w:val="none"/>
              </w:rPr>
            </w:pPr>
          </w:p>
        </w:tc>
        <w:tc>
          <w:tcPr>
            <w:tcW w:w="8569" w:type="dxa"/>
          </w:tcPr>
          <w:p w14:paraId="0A6356F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管理者查看调配审批信息，进行审批和调整支援信息，并可导出打印；</w:t>
            </w:r>
          </w:p>
        </w:tc>
      </w:tr>
      <w:tr w14:paraId="4BE7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A8F67D">
            <w:pPr>
              <w:rPr>
                <w:rFonts w:ascii="宋体" w:hAnsi="宋体" w:eastAsia="宋体" w:cs="宋体"/>
                <w:color w:val="auto"/>
                <w:sz w:val="20"/>
                <w:szCs w:val="20"/>
                <w:highlight w:val="none"/>
              </w:rPr>
            </w:pPr>
          </w:p>
        </w:tc>
        <w:tc>
          <w:tcPr>
            <w:tcW w:w="8569" w:type="dxa"/>
          </w:tcPr>
          <w:p w14:paraId="16FB7CD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可直接查看科室对外支援记录；</w:t>
            </w:r>
          </w:p>
        </w:tc>
      </w:tr>
      <w:tr w14:paraId="2FE9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C24F26">
            <w:pPr>
              <w:rPr>
                <w:rFonts w:ascii="宋体" w:hAnsi="宋体" w:eastAsia="宋体" w:cs="宋体"/>
                <w:color w:val="auto"/>
                <w:sz w:val="20"/>
                <w:szCs w:val="20"/>
                <w:highlight w:val="none"/>
              </w:rPr>
            </w:pPr>
          </w:p>
        </w:tc>
        <w:tc>
          <w:tcPr>
            <w:tcW w:w="8569" w:type="dxa"/>
          </w:tcPr>
          <w:p w14:paraId="7444B21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支持APP进行人力支援管理和人力支援审批。</w:t>
            </w:r>
          </w:p>
        </w:tc>
      </w:tr>
      <w:tr w14:paraId="44A6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7FDDA2D1">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1.1.7 异动管理</w:t>
            </w:r>
          </w:p>
        </w:tc>
        <w:tc>
          <w:tcPr>
            <w:tcW w:w="8569" w:type="dxa"/>
          </w:tcPr>
          <w:p w14:paraId="27417F0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管理者可以发起人员科室调整；</w:t>
            </w:r>
          </w:p>
        </w:tc>
      </w:tr>
      <w:tr w14:paraId="38E8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9471C8">
            <w:pPr>
              <w:rPr>
                <w:rFonts w:ascii="宋体" w:hAnsi="宋体" w:eastAsia="宋体" w:cs="宋体"/>
                <w:color w:val="auto"/>
                <w:sz w:val="20"/>
                <w:szCs w:val="20"/>
                <w:highlight w:val="none"/>
              </w:rPr>
            </w:pPr>
          </w:p>
        </w:tc>
        <w:tc>
          <w:tcPr>
            <w:tcW w:w="8569" w:type="dxa"/>
          </w:tcPr>
          <w:p w14:paraId="66B53E1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支持排班联动处理；</w:t>
            </w:r>
          </w:p>
        </w:tc>
      </w:tr>
      <w:tr w14:paraId="1A7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4B3572">
            <w:pPr>
              <w:rPr>
                <w:rFonts w:ascii="宋体" w:hAnsi="宋体" w:eastAsia="宋体" w:cs="宋体"/>
                <w:color w:val="auto"/>
                <w:sz w:val="20"/>
                <w:szCs w:val="20"/>
                <w:highlight w:val="none"/>
              </w:rPr>
            </w:pPr>
          </w:p>
        </w:tc>
        <w:tc>
          <w:tcPr>
            <w:tcW w:w="8569" w:type="dxa"/>
          </w:tcPr>
          <w:p w14:paraId="30C377F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工作经历自动调整；</w:t>
            </w:r>
          </w:p>
        </w:tc>
      </w:tr>
      <w:tr w14:paraId="6B7F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0E352BF">
            <w:pPr>
              <w:rPr>
                <w:rFonts w:ascii="宋体" w:hAnsi="宋体" w:eastAsia="宋体" w:cs="宋体"/>
                <w:color w:val="auto"/>
                <w:sz w:val="20"/>
                <w:szCs w:val="20"/>
                <w:highlight w:val="none"/>
              </w:rPr>
            </w:pPr>
          </w:p>
        </w:tc>
        <w:tc>
          <w:tcPr>
            <w:tcW w:w="8569" w:type="dxa"/>
          </w:tcPr>
          <w:p w14:paraId="44309C1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可自动定时调整科室；</w:t>
            </w:r>
          </w:p>
        </w:tc>
      </w:tr>
      <w:tr w14:paraId="76C3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923913">
            <w:pPr>
              <w:rPr>
                <w:rFonts w:ascii="宋体" w:hAnsi="宋体" w:eastAsia="宋体" w:cs="宋体"/>
                <w:color w:val="auto"/>
                <w:sz w:val="20"/>
                <w:szCs w:val="20"/>
                <w:highlight w:val="none"/>
              </w:rPr>
            </w:pPr>
          </w:p>
        </w:tc>
        <w:tc>
          <w:tcPr>
            <w:tcW w:w="8569" w:type="dxa"/>
          </w:tcPr>
          <w:p w14:paraId="46D4199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支持系统定时异动人员，支持三天内反悔操作；</w:t>
            </w:r>
          </w:p>
        </w:tc>
      </w:tr>
      <w:tr w14:paraId="5751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40BDDBE">
            <w:pPr>
              <w:rPr>
                <w:rFonts w:ascii="宋体" w:hAnsi="宋体" w:eastAsia="宋体" w:cs="宋体"/>
                <w:color w:val="auto"/>
                <w:sz w:val="20"/>
                <w:szCs w:val="20"/>
                <w:highlight w:val="none"/>
              </w:rPr>
            </w:pPr>
          </w:p>
        </w:tc>
        <w:tc>
          <w:tcPr>
            <w:tcW w:w="8569" w:type="dxa"/>
          </w:tcPr>
          <w:p w14:paraId="6F9FDB3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有历史台账记录信息。</w:t>
            </w:r>
          </w:p>
        </w:tc>
      </w:tr>
      <w:tr w14:paraId="3ABB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9B35E56">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 xml:space="preserve">1.1.8 </w:t>
            </w:r>
            <w:r>
              <w:rPr>
                <w:rStyle w:val="27"/>
                <w:rFonts w:hint="eastAsia" w:eastAsia="宋体"/>
                <w:color w:val="auto"/>
                <w:highlight w:val="none"/>
                <w:lang w:eastAsia="zh-CN" w:bidi="ar"/>
              </w:rPr>
              <w:t>人员状态</w:t>
            </w:r>
            <w:r>
              <w:rPr>
                <w:rStyle w:val="27"/>
                <w:rFonts w:hint="default"/>
                <w:color w:val="auto"/>
                <w:highlight w:val="none"/>
                <w:lang w:bidi="ar"/>
              </w:rPr>
              <w:t>管理</w:t>
            </w:r>
          </w:p>
        </w:tc>
        <w:tc>
          <w:tcPr>
            <w:tcW w:w="8569" w:type="dxa"/>
          </w:tcPr>
          <w:p w14:paraId="20695E6B">
            <w:pPr>
              <w:widowControl/>
              <w:textAlignment w:val="top"/>
              <w:rPr>
                <w:rFonts w:hint="eastAsia" w:ascii="Wingdings" w:hAnsi="Wingdings" w:eastAsia="宋体" w:cs="Wingdings"/>
                <w:color w:val="auto"/>
                <w:sz w:val="20"/>
                <w:szCs w:val="20"/>
                <w:highlight w:val="none"/>
                <w:lang w:val="en-US" w:eastAsia="zh-CN"/>
              </w:rPr>
            </w:pPr>
            <w:r>
              <w:rPr>
                <w:rStyle w:val="26"/>
                <w:rFonts w:eastAsia="宋体"/>
                <w:color w:val="auto"/>
                <w:highlight w:val="none"/>
                <w:lang w:bidi="ar"/>
              </w:rPr>
              <w:t></w:t>
            </w:r>
            <w:r>
              <w:rPr>
                <w:rStyle w:val="27"/>
                <w:rFonts w:hint="eastAsia"/>
                <w:color w:val="auto"/>
                <w:highlight w:val="none"/>
                <w:lang w:val="en-US" w:eastAsia="zh-CN" w:bidi="ar"/>
              </w:rPr>
              <w:t>支持设置并显示</w:t>
            </w:r>
            <w:r>
              <w:rPr>
                <w:rStyle w:val="27"/>
                <w:rFonts w:hint="eastAsia"/>
                <w:color w:val="auto"/>
                <w:highlight w:val="none"/>
                <w:lang w:eastAsia="zh-CN" w:bidi="ar"/>
              </w:rPr>
              <w:t>记录人员状态（</w:t>
            </w:r>
            <w:r>
              <w:rPr>
                <w:rStyle w:val="27"/>
                <w:rFonts w:hint="eastAsia"/>
                <w:color w:val="auto"/>
                <w:highlight w:val="none"/>
                <w:lang w:val="en-US" w:eastAsia="zh-CN" w:bidi="ar"/>
              </w:rPr>
              <w:t>如</w:t>
            </w:r>
            <w:r>
              <w:rPr>
                <w:rStyle w:val="27"/>
                <w:rFonts w:hint="eastAsia"/>
                <w:color w:val="auto"/>
                <w:highlight w:val="none"/>
                <w:lang w:eastAsia="zh-CN" w:bidi="ar"/>
              </w:rPr>
              <w:t>院方</w:t>
            </w:r>
            <w:r>
              <w:rPr>
                <w:rStyle w:val="27"/>
                <w:rFonts w:hint="eastAsia"/>
                <w:color w:val="auto"/>
                <w:highlight w:val="none"/>
                <w:lang w:val="en-US" w:eastAsia="zh-CN" w:bidi="ar"/>
              </w:rPr>
              <w:t>开放</w:t>
            </w:r>
            <w:r>
              <w:rPr>
                <w:rStyle w:val="27"/>
                <w:rFonts w:hint="eastAsia"/>
                <w:color w:val="auto"/>
                <w:highlight w:val="none"/>
                <w:lang w:eastAsia="zh-CN" w:bidi="ar"/>
              </w:rPr>
              <w:t>当前</w:t>
            </w:r>
            <w:r>
              <w:rPr>
                <w:rStyle w:val="27"/>
                <w:rFonts w:hint="eastAsia"/>
                <w:color w:val="auto"/>
                <w:highlight w:val="none"/>
                <w:lang w:val="en-US" w:eastAsia="zh-CN" w:bidi="ar"/>
              </w:rPr>
              <w:t>OA请假类审批和人事系统相关数据接口的情况下也可对接获取相关数据</w:t>
            </w:r>
            <w:r>
              <w:rPr>
                <w:rStyle w:val="27"/>
                <w:rFonts w:hint="eastAsia"/>
                <w:color w:val="auto"/>
                <w:highlight w:val="none"/>
                <w:lang w:eastAsia="zh-CN" w:bidi="ar"/>
              </w:rPr>
              <w:t>）：如在岗、</w:t>
            </w:r>
            <w:r>
              <w:rPr>
                <w:rStyle w:val="27"/>
                <w:rFonts w:hint="eastAsia"/>
                <w:color w:val="auto"/>
                <w:highlight w:val="none"/>
                <w:lang w:val="en-US" w:eastAsia="zh-CN" w:bidi="ar"/>
              </w:rPr>
              <w:t>进修、休假、</w:t>
            </w:r>
            <w:r>
              <w:rPr>
                <w:rStyle w:val="27"/>
                <w:rFonts w:hint="default"/>
                <w:color w:val="auto"/>
                <w:highlight w:val="none"/>
                <w:lang w:bidi="ar"/>
              </w:rPr>
              <w:t>辞职、辞退、退休</w:t>
            </w:r>
            <w:r>
              <w:rPr>
                <w:rStyle w:val="27"/>
                <w:rFonts w:hint="eastAsia"/>
                <w:color w:val="auto"/>
                <w:highlight w:val="none"/>
                <w:lang w:eastAsia="zh-CN" w:bidi="ar"/>
              </w:rPr>
              <w:t>等。</w:t>
            </w:r>
          </w:p>
        </w:tc>
      </w:tr>
      <w:tr w14:paraId="2744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F54E4C">
            <w:pPr>
              <w:rPr>
                <w:rFonts w:ascii="宋体" w:hAnsi="宋体" w:eastAsia="宋体" w:cs="宋体"/>
                <w:color w:val="auto"/>
                <w:sz w:val="20"/>
                <w:szCs w:val="20"/>
                <w:highlight w:val="none"/>
              </w:rPr>
            </w:pPr>
          </w:p>
        </w:tc>
        <w:tc>
          <w:tcPr>
            <w:tcW w:w="8569" w:type="dxa"/>
          </w:tcPr>
          <w:p w14:paraId="68352B1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离职类型：辞职、辞退、退休等管理；</w:t>
            </w:r>
          </w:p>
        </w:tc>
      </w:tr>
      <w:tr w14:paraId="2DE7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B1DE59D">
            <w:pPr>
              <w:rPr>
                <w:rFonts w:ascii="宋体" w:hAnsi="宋体" w:eastAsia="宋体" w:cs="宋体"/>
                <w:color w:val="auto"/>
                <w:sz w:val="20"/>
                <w:szCs w:val="20"/>
                <w:highlight w:val="none"/>
              </w:rPr>
            </w:pPr>
          </w:p>
        </w:tc>
        <w:tc>
          <w:tcPr>
            <w:tcW w:w="8569" w:type="dxa"/>
          </w:tcPr>
          <w:p w14:paraId="08EFC41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w:t>
            </w:r>
            <w:r>
              <w:rPr>
                <w:rStyle w:val="27"/>
                <w:rFonts w:hint="eastAsia" w:eastAsia="宋体"/>
                <w:color w:val="auto"/>
                <w:highlight w:val="none"/>
                <w:lang w:eastAsia="zh-CN" w:bidi="ar"/>
              </w:rPr>
              <w:t>人员状态</w:t>
            </w:r>
            <w:r>
              <w:rPr>
                <w:rStyle w:val="27"/>
                <w:rFonts w:hint="default"/>
                <w:color w:val="auto"/>
                <w:highlight w:val="none"/>
                <w:lang w:bidi="ar"/>
              </w:rPr>
              <w:t>统计分析图并可以进行下载；</w:t>
            </w:r>
          </w:p>
        </w:tc>
      </w:tr>
      <w:tr w14:paraId="6A17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69" w:type="dxa"/>
            <w:vMerge w:val="restart"/>
            <w:vAlign w:val="center"/>
          </w:tcPr>
          <w:p w14:paraId="35A5C8ED">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1.1.9 岗位说明书</w:t>
            </w:r>
          </w:p>
        </w:tc>
        <w:tc>
          <w:tcPr>
            <w:tcW w:w="8569" w:type="dxa"/>
          </w:tcPr>
          <w:p w14:paraId="402786E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支持上传、维护各岗位职能说明书；</w:t>
            </w:r>
          </w:p>
        </w:tc>
      </w:tr>
      <w:tr w14:paraId="12C1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C19D25">
            <w:pPr>
              <w:rPr>
                <w:rFonts w:ascii="宋体" w:hAnsi="宋体" w:eastAsia="宋体" w:cs="宋体"/>
                <w:color w:val="auto"/>
                <w:sz w:val="20"/>
                <w:szCs w:val="20"/>
                <w:highlight w:val="none"/>
              </w:rPr>
            </w:pPr>
          </w:p>
        </w:tc>
        <w:tc>
          <w:tcPr>
            <w:tcW w:w="8569" w:type="dxa"/>
          </w:tcPr>
          <w:p w14:paraId="6585704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可自定义分科室、分角色、分职称、分岗位、分人员自定义岗位说明书适用范围；</w:t>
            </w:r>
          </w:p>
        </w:tc>
      </w:tr>
      <w:tr w14:paraId="3323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7655F7">
            <w:pPr>
              <w:rPr>
                <w:rFonts w:ascii="宋体" w:hAnsi="宋体" w:eastAsia="宋体" w:cs="宋体"/>
                <w:color w:val="auto"/>
                <w:sz w:val="20"/>
                <w:szCs w:val="20"/>
                <w:highlight w:val="none"/>
              </w:rPr>
            </w:pPr>
          </w:p>
        </w:tc>
        <w:tc>
          <w:tcPr>
            <w:tcW w:w="8569" w:type="dxa"/>
          </w:tcPr>
          <w:p w14:paraId="267A055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岗位说明书同步对应人员档案；</w:t>
            </w:r>
          </w:p>
        </w:tc>
      </w:tr>
      <w:tr w14:paraId="2640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B2D685">
            <w:pPr>
              <w:rPr>
                <w:rFonts w:ascii="宋体" w:hAnsi="宋体" w:eastAsia="宋体" w:cs="宋体"/>
                <w:color w:val="auto"/>
                <w:sz w:val="20"/>
                <w:szCs w:val="20"/>
                <w:highlight w:val="none"/>
              </w:rPr>
            </w:pPr>
          </w:p>
        </w:tc>
        <w:tc>
          <w:tcPr>
            <w:tcW w:w="8569" w:type="dxa"/>
          </w:tcPr>
          <w:p w14:paraId="3412DF6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支持APP查看对应岗位说明书，可随时学习。</w:t>
            </w:r>
          </w:p>
        </w:tc>
      </w:tr>
      <w:tr w14:paraId="7D94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9" w:type="dxa"/>
            <w:vMerge w:val="restart"/>
            <w:vAlign w:val="center"/>
          </w:tcPr>
          <w:p w14:paraId="4C8A5B0F">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1.1.10 员工兼职自查</w:t>
            </w:r>
          </w:p>
        </w:tc>
        <w:tc>
          <w:tcPr>
            <w:tcW w:w="8569" w:type="dxa"/>
          </w:tcPr>
          <w:p w14:paraId="416C990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我的上报：医师可自行上报兼职信息，并提供兼职台账详情进行查询，如：兼职单位名称、兼职单位职务、兼职内容、兼职单位地址、兼职开始时间、兼职结束时间、坐诊时间、每周在外兼职时长(小时)、是否获取薪酬、取酬金额(万元/年)、是否有兼职单位正式邀请函、是否有与兼职单位签订的合同(协议/意向书)、是否向相关部门报备(具体科室名)、附件等信息，并签字确认；</w:t>
            </w:r>
          </w:p>
        </w:tc>
      </w:tr>
      <w:tr w14:paraId="1F98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C57F9E7">
            <w:pPr>
              <w:rPr>
                <w:rFonts w:ascii="宋体" w:hAnsi="宋体" w:eastAsia="宋体" w:cs="宋体"/>
                <w:color w:val="auto"/>
                <w:sz w:val="20"/>
                <w:szCs w:val="20"/>
                <w:highlight w:val="none"/>
              </w:rPr>
            </w:pPr>
          </w:p>
        </w:tc>
        <w:tc>
          <w:tcPr>
            <w:tcW w:w="8569" w:type="dxa"/>
          </w:tcPr>
          <w:p w14:paraId="2A3F23C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汇总：可统计全科室各科室已上报、有兼职、无兼职、无上报、兼职汇总数量等统计，并支持查询打印导出；</w:t>
            </w:r>
          </w:p>
        </w:tc>
      </w:tr>
      <w:tr w14:paraId="104F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632C49">
            <w:pPr>
              <w:rPr>
                <w:rFonts w:ascii="宋体" w:hAnsi="宋体" w:eastAsia="宋体" w:cs="宋体"/>
                <w:color w:val="auto"/>
                <w:sz w:val="20"/>
                <w:szCs w:val="20"/>
                <w:highlight w:val="none"/>
              </w:rPr>
            </w:pPr>
          </w:p>
        </w:tc>
        <w:tc>
          <w:tcPr>
            <w:tcW w:w="8569" w:type="dxa"/>
          </w:tcPr>
          <w:p w14:paraId="1D02FEB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兼职明细：提供员工兼职上报明细查询，汇总兼职上报数据，生成有兼职、无兼职、没有上报等明细报表，并支持打印导出；</w:t>
            </w:r>
          </w:p>
        </w:tc>
      </w:tr>
      <w:tr w14:paraId="1C72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CCB7F45">
            <w:pPr>
              <w:rPr>
                <w:rFonts w:ascii="宋体" w:hAnsi="宋体" w:eastAsia="宋体" w:cs="宋体"/>
                <w:color w:val="auto"/>
                <w:sz w:val="20"/>
                <w:szCs w:val="20"/>
                <w:highlight w:val="none"/>
              </w:rPr>
            </w:pPr>
          </w:p>
        </w:tc>
        <w:tc>
          <w:tcPr>
            <w:tcW w:w="8569" w:type="dxa"/>
          </w:tcPr>
          <w:p w14:paraId="245EB7A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支持APP进行上报、签字、查看台账等操作。</w:t>
            </w:r>
          </w:p>
        </w:tc>
      </w:tr>
      <w:tr w14:paraId="3265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69" w:type="dxa"/>
            <w:vMerge w:val="restart"/>
            <w:vAlign w:val="center"/>
          </w:tcPr>
          <w:p w14:paraId="55F4359C">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1.1.11 技术鉴定考核</w:t>
            </w:r>
          </w:p>
        </w:tc>
        <w:tc>
          <w:tcPr>
            <w:tcW w:w="8569" w:type="dxa"/>
          </w:tcPr>
          <w:p w14:paraId="7CA1B4FA">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每年可对人员进行职称、职务、院外学习、专业职称变动、院内理论操作考核、科研、著作论文写作与发表情况、技术奖励、处分情况、业务技术自我鉴定等各方面各情况进行鉴定，可由系统自动调出和填入，也可由用户自主修改；</w:t>
            </w:r>
            <w:r>
              <w:rPr>
                <w:rStyle w:val="25"/>
                <w:rFonts w:hint="default"/>
                <w:color w:val="auto"/>
                <w:highlight w:val="none"/>
                <w:lang w:bidi="ar"/>
              </w:rPr>
              <w:t>（考核表中用户填写的信息也可以回传到系统中对应的部分，例如用户填写的新发论文数据未在档案中更新，用户在考核表中填写后，档案相应部分也自动更新。或者将档案更新和年度考核绑定，每年度考核前要求先更新档案，不更新则无法申请考核。）</w:t>
            </w:r>
          </w:p>
        </w:tc>
      </w:tr>
      <w:tr w14:paraId="21A2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A21C10">
            <w:pPr>
              <w:rPr>
                <w:rFonts w:ascii="宋体" w:hAnsi="宋体" w:eastAsia="宋体" w:cs="宋体"/>
                <w:color w:val="auto"/>
                <w:sz w:val="20"/>
                <w:szCs w:val="20"/>
                <w:highlight w:val="none"/>
              </w:rPr>
            </w:pPr>
          </w:p>
        </w:tc>
        <w:tc>
          <w:tcPr>
            <w:tcW w:w="8569" w:type="dxa"/>
          </w:tcPr>
          <w:p w14:paraId="6F79649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可自定义鉴定步骤，如自我填写提交后，再由科室填写意见、医务部填写意见、技术小组填写意见等；</w:t>
            </w:r>
          </w:p>
        </w:tc>
      </w:tr>
      <w:tr w14:paraId="4466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6656797">
            <w:pPr>
              <w:rPr>
                <w:rFonts w:ascii="宋体" w:hAnsi="宋体" w:eastAsia="宋体" w:cs="宋体"/>
                <w:color w:val="auto"/>
                <w:sz w:val="20"/>
                <w:szCs w:val="20"/>
                <w:highlight w:val="none"/>
              </w:rPr>
            </w:pPr>
          </w:p>
        </w:tc>
        <w:tc>
          <w:tcPr>
            <w:tcW w:w="8569" w:type="dxa"/>
          </w:tcPr>
          <w:p w14:paraId="04D7C91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管理者可进行年终考核的评级，并支持修改和存档；</w:t>
            </w:r>
          </w:p>
        </w:tc>
      </w:tr>
      <w:tr w14:paraId="73A3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0094CFE">
            <w:pPr>
              <w:rPr>
                <w:rFonts w:ascii="宋体" w:hAnsi="宋体" w:eastAsia="宋体" w:cs="宋体"/>
                <w:color w:val="auto"/>
                <w:sz w:val="20"/>
                <w:szCs w:val="20"/>
                <w:highlight w:val="none"/>
              </w:rPr>
            </w:pPr>
          </w:p>
        </w:tc>
        <w:tc>
          <w:tcPr>
            <w:tcW w:w="8569" w:type="dxa"/>
          </w:tcPr>
          <w:p w14:paraId="7B5009C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提供年终评价分析，可按姓名模式和按数量模式，统计每年鉴定情况，并支持打印导出；</w:t>
            </w:r>
          </w:p>
        </w:tc>
      </w:tr>
      <w:tr w14:paraId="3C4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C7C352">
            <w:pPr>
              <w:rPr>
                <w:rFonts w:ascii="宋体" w:hAnsi="宋体" w:eastAsia="宋体" w:cs="宋体"/>
                <w:color w:val="auto"/>
                <w:sz w:val="20"/>
                <w:szCs w:val="20"/>
                <w:highlight w:val="none"/>
              </w:rPr>
            </w:pPr>
          </w:p>
        </w:tc>
        <w:tc>
          <w:tcPr>
            <w:tcW w:w="8569" w:type="dxa"/>
          </w:tcPr>
          <w:p w14:paraId="2C5AE3A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评级等级支持自定义进行分级。</w:t>
            </w:r>
          </w:p>
        </w:tc>
      </w:tr>
      <w:tr w14:paraId="7689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5869B58">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1.1.12 轮科管理</w:t>
            </w:r>
          </w:p>
        </w:tc>
        <w:tc>
          <w:tcPr>
            <w:tcW w:w="8569" w:type="dxa"/>
          </w:tcPr>
          <w:p w14:paraId="7C1030D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支持批量人员进行连续科室异动安排；</w:t>
            </w:r>
          </w:p>
        </w:tc>
      </w:tr>
      <w:tr w14:paraId="5B74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0A40B68">
            <w:pPr>
              <w:rPr>
                <w:rFonts w:ascii="宋体" w:hAnsi="宋体" w:eastAsia="宋体" w:cs="宋体"/>
                <w:color w:val="auto"/>
                <w:sz w:val="20"/>
                <w:szCs w:val="20"/>
                <w:highlight w:val="none"/>
              </w:rPr>
            </w:pPr>
          </w:p>
        </w:tc>
        <w:tc>
          <w:tcPr>
            <w:tcW w:w="8569" w:type="dxa"/>
          </w:tcPr>
          <w:p w14:paraId="0774056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支持根据排班设置规则一键生成轮换表；</w:t>
            </w:r>
          </w:p>
        </w:tc>
      </w:tr>
      <w:tr w14:paraId="6F64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1BC3F74">
            <w:pPr>
              <w:rPr>
                <w:rFonts w:ascii="宋体" w:hAnsi="宋体" w:eastAsia="宋体" w:cs="宋体"/>
                <w:color w:val="auto"/>
                <w:sz w:val="20"/>
                <w:szCs w:val="20"/>
                <w:highlight w:val="none"/>
              </w:rPr>
            </w:pPr>
          </w:p>
        </w:tc>
        <w:tc>
          <w:tcPr>
            <w:tcW w:w="8569" w:type="dxa"/>
          </w:tcPr>
          <w:p w14:paraId="1131DDD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可调整轮换表细节并进行生成；</w:t>
            </w:r>
          </w:p>
        </w:tc>
      </w:tr>
      <w:tr w14:paraId="54F6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3EA76B1">
            <w:pPr>
              <w:rPr>
                <w:rFonts w:ascii="宋体" w:hAnsi="宋体" w:eastAsia="宋体" w:cs="宋体"/>
                <w:color w:val="auto"/>
                <w:sz w:val="20"/>
                <w:szCs w:val="20"/>
                <w:highlight w:val="none"/>
              </w:rPr>
            </w:pPr>
          </w:p>
        </w:tc>
        <w:tc>
          <w:tcPr>
            <w:tcW w:w="8569" w:type="dxa"/>
          </w:tcPr>
          <w:p w14:paraId="2077BDE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会联动系统档案和排班等其他业务。</w:t>
            </w:r>
          </w:p>
        </w:tc>
      </w:tr>
      <w:tr w14:paraId="14B5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F20E4A">
            <w:pPr>
              <w:rPr>
                <w:rFonts w:ascii="宋体" w:hAnsi="宋体" w:eastAsia="宋体" w:cs="宋体"/>
                <w:color w:val="auto"/>
                <w:sz w:val="20"/>
                <w:szCs w:val="20"/>
                <w:highlight w:val="none"/>
              </w:rPr>
            </w:pPr>
          </w:p>
        </w:tc>
        <w:tc>
          <w:tcPr>
            <w:tcW w:w="8569" w:type="dxa"/>
          </w:tcPr>
          <w:p w14:paraId="36F1EEAB">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支持科室轮转计划制定与发布、提供轮转排班冲突检测功能、实现轮换自动提醒与交接</w:t>
            </w:r>
          </w:p>
        </w:tc>
      </w:tr>
      <w:tr w14:paraId="3179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66F86B6">
            <w:pPr>
              <w:rPr>
                <w:rFonts w:ascii="宋体" w:hAnsi="宋体" w:eastAsia="宋体" w:cs="宋体"/>
                <w:color w:val="auto"/>
                <w:sz w:val="20"/>
                <w:szCs w:val="20"/>
                <w:highlight w:val="none"/>
              </w:rPr>
            </w:pPr>
          </w:p>
        </w:tc>
        <w:tc>
          <w:tcPr>
            <w:tcW w:w="8569" w:type="dxa"/>
          </w:tcPr>
          <w:p w14:paraId="11808322">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记录轮转医师考勤与在岗情况、支持轮转评价与反馈收集、提供轮转任务完成情况跟踪</w:t>
            </w:r>
          </w:p>
        </w:tc>
      </w:tr>
      <w:tr w14:paraId="290F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9DEC6FB">
            <w:pPr>
              <w:rPr>
                <w:rFonts w:ascii="宋体" w:hAnsi="宋体" w:eastAsia="宋体" w:cs="宋体"/>
                <w:color w:val="auto"/>
                <w:sz w:val="20"/>
                <w:szCs w:val="20"/>
                <w:highlight w:val="none"/>
              </w:rPr>
            </w:pPr>
          </w:p>
        </w:tc>
        <w:tc>
          <w:tcPr>
            <w:tcW w:w="8569" w:type="dxa"/>
          </w:tcPr>
          <w:p w14:paraId="75C9118C">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提供科室带教工作量统计、支持轮转质量评估报表</w:t>
            </w:r>
          </w:p>
        </w:tc>
      </w:tr>
      <w:tr w14:paraId="2377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F59BB47">
            <w:pPr>
              <w:rPr>
                <w:rFonts w:ascii="宋体" w:hAnsi="宋体" w:eastAsia="宋体" w:cs="宋体"/>
                <w:color w:val="auto"/>
                <w:sz w:val="20"/>
                <w:szCs w:val="20"/>
                <w:highlight w:val="none"/>
              </w:rPr>
            </w:pPr>
          </w:p>
        </w:tc>
        <w:tc>
          <w:tcPr>
            <w:tcW w:w="8569" w:type="dxa"/>
          </w:tcPr>
          <w:p w14:paraId="4B240A4F">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与人事系统、排班系统数据互通、支持移动端轮转管理、提供轮转档案电子化管理</w:t>
            </w:r>
          </w:p>
        </w:tc>
      </w:tr>
      <w:tr w14:paraId="30FA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4588CA8">
            <w:pPr>
              <w:widowControl/>
              <w:textAlignment w:val="center"/>
              <w:rPr>
                <w:rFonts w:ascii="宋体" w:hAnsi="宋体" w:eastAsia="宋体" w:cs="宋体"/>
                <w:color w:val="0000FF"/>
                <w:sz w:val="20"/>
                <w:szCs w:val="20"/>
                <w:highlight w:val="none"/>
              </w:rPr>
            </w:pPr>
            <w:r>
              <w:rPr>
                <w:rStyle w:val="27"/>
                <w:rFonts w:hint="default"/>
                <w:color w:val="0000FF"/>
                <w:highlight w:val="none"/>
                <w:lang w:bidi="ar"/>
              </w:rPr>
              <w:t>1.1.13 委员会管理</w:t>
            </w:r>
          </w:p>
        </w:tc>
        <w:tc>
          <w:tcPr>
            <w:tcW w:w="8569" w:type="dxa"/>
          </w:tcPr>
          <w:p w14:paraId="3ABB86A8">
            <w:pPr>
              <w:widowControl/>
              <w:textAlignment w:val="top"/>
              <w:rPr>
                <w:rFonts w:hint="eastAsia" w:ascii="Wingdings" w:hAnsi="Wingdings" w:eastAsia="宋体" w:cs="Wingdings"/>
                <w:color w:val="0000FF"/>
                <w:sz w:val="20"/>
                <w:szCs w:val="20"/>
                <w:highlight w:val="none"/>
              </w:rPr>
            </w:pPr>
            <w:r>
              <w:rPr>
                <w:rStyle w:val="26"/>
                <w:rFonts w:eastAsia="宋体"/>
                <w:color w:val="0000FF"/>
                <w:highlight w:val="none"/>
                <w:lang w:bidi="ar"/>
              </w:rPr>
              <w:t></w:t>
            </w:r>
            <w:r>
              <w:rPr>
                <w:rStyle w:val="27"/>
                <w:rFonts w:hint="default"/>
                <w:color w:val="0000FF"/>
                <w:highlight w:val="none"/>
                <w:lang w:bidi="ar"/>
              </w:rPr>
              <w:t>可自定义创建委员会名称；</w:t>
            </w:r>
          </w:p>
        </w:tc>
      </w:tr>
      <w:tr w14:paraId="26C1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2E65206">
            <w:pPr>
              <w:rPr>
                <w:rFonts w:ascii="宋体" w:hAnsi="宋体" w:eastAsia="宋体" w:cs="宋体"/>
                <w:color w:val="0000FF"/>
                <w:sz w:val="20"/>
                <w:szCs w:val="20"/>
                <w:highlight w:val="none"/>
              </w:rPr>
            </w:pPr>
          </w:p>
        </w:tc>
        <w:tc>
          <w:tcPr>
            <w:tcW w:w="8569" w:type="dxa"/>
          </w:tcPr>
          <w:p w14:paraId="312FE69C">
            <w:pPr>
              <w:widowControl/>
              <w:textAlignment w:val="top"/>
              <w:rPr>
                <w:rFonts w:hint="eastAsia" w:ascii="Wingdings" w:hAnsi="Wingdings" w:eastAsia="宋体" w:cs="Wingdings"/>
                <w:color w:val="0000FF"/>
                <w:sz w:val="20"/>
                <w:szCs w:val="20"/>
                <w:highlight w:val="none"/>
              </w:rPr>
            </w:pPr>
            <w:r>
              <w:rPr>
                <w:rStyle w:val="26"/>
                <w:rFonts w:eastAsia="宋体"/>
                <w:color w:val="0000FF"/>
                <w:highlight w:val="none"/>
                <w:lang w:bidi="ar"/>
              </w:rPr>
              <w:t></w:t>
            </w:r>
            <w:r>
              <w:rPr>
                <w:rStyle w:val="27"/>
                <w:rFonts w:hint="default"/>
                <w:color w:val="0000FF"/>
                <w:highlight w:val="none"/>
                <w:lang w:bidi="ar"/>
              </w:rPr>
              <w:t>支持医生自主申请加入委员会，也可由管理层管理；</w:t>
            </w:r>
          </w:p>
        </w:tc>
      </w:tr>
      <w:tr w14:paraId="797A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2D9345">
            <w:pPr>
              <w:rPr>
                <w:rFonts w:ascii="宋体" w:hAnsi="宋体" w:eastAsia="宋体" w:cs="宋体"/>
                <w:color w:val="0000FF"/>
                <w:sz w:val="20"/>
                <w:szCs w:val="20"/>
                <w:highlight w:val="none"/>
              </w:rPr>
            </w:pPr>
          </w:p>
        </w:tc>
        <w:tc>
          <w:tcPr>
            <w:tcW w:w="8569" w:type="dxa"/>
          </w:tcPr>
          <w:p w14:paraId="02347D48">
            <w:pPr>
              <w:widowControl/>
              <w:textAlignment w:val="top"/>
              <w:rPr>
                <w:rFonts w:hint="eastAsia" w:ascii="Wingdings" w:hAnsi="Wingdings" w:eastAsia="宋体" w:cs="Wingdings"/>
                <w:color w:val="0000FF"/>
                <w:sz w:val="20"/>
                <w:szCs w:val="20"/>
                <w:highlight w:val="none"/>
              </w:rPr>
            </w:pPr>
            <w:r>
              <w:rPr>
                <w:rStyle w:val="26"/>
                <w:rFonts w:eastAsia="宋体"/>
                <w:color w:val="0000FF"/>
                <w:highlight w:val="none"/>
                <w:lang w:bidi="ar"/>
              </w:rPr>
              <w:t></w:t>
            </w:r>
            <w:r>
              <w:rPr>
                <w:rStyle w:val="27"/>
                <w:rFonts w:hint="default"/>
                <w:color w:val="0000FF"/>
                <w:highlight w:val="none"/>
                <w:lang w:bidi="ar"/>
              </w:rPr>
              <w:t>支持申请人、委员会、任职时间、任职年限、任职职务、发证单位、级别等详情管理；</w:t>
            </w:r>
          </w:p>
        </w:tc>
      </w:tr>
      <w:tr w14:paraId="0475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92301B">
            <w:pPr>
              <w:rPr>
                <w:rFonts w:ascii="宋体" w:hAnsi="宋体" w:eastAsia="宋体" w:cs="宋体"/>
                <w:color w:val="0000FF"/>
                <w:sz w:val="20"/>
                <w:szCs w:val="20"/>
                <w:highlight w:val="none"/>
              </w:rPr>
            </w:pPr>
          </w:p>
        </w:tc>
        <w:tc>
          <w:tcPr>
            <w:tcW w:w="8569" w:type="dxa"/>
          </w:tcPr>
          <w:p w14:paraId="3B24FF61">
            <w:pPr>
              <w:widowControl/>
              <w:textAlignment w:val="top"/>
              <w:rPr>
                <w:rFonts w:hint="eastAsia" w:ascii="Wingdings" w:hAnsi="Wingdings" w:eastAsia="宋体" w:cs="Wingdings"/>
                <w:color w:val="0000FF"/>
                <w:sz w:val="20"/>
                <w:szCs w:val="20"/>
                <w:highlight w:val="none"/>
              </w:rPr>
            </w:pPr>
            <w:r>
              <w:rPr>
                <w:rStyle w:val="26"/>
                <w:rFonts w:eastAsia="宋体"/>
                <w:color w:val="0000FF"/>
                <w:highlight w:val="none"/>
                <w:lang w:bidi="ar"/>
              </w:rPr>
              <w:t></w:t>
            </w:r>
            <w:r>
              <w:rPr>
                <w:rStyle w:val="27"/>
                <w:rFonts w:hint="default"/>
                <w:color w:val="0000FF"/>
                <w:highlight w:val="none"/>
                <w:lang w:bidi="ar"/>
              </w:rPr>
              <w:t>可通过姓名/工号、委员会名称、任职状态等信息进行查询；</w:t>
            </w:r>
          </w:p>
        </w:tc>
      </w:tr>
      <w:tr w14:paraId="50C8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66B76F">
            <w:pPr>
              <w:rPr>
                <w:rFonts w:ascii="宋体" w:hAnsi="宋体" w:eastAsia="宋体" w:cs="宋体"/>
                <w:color w:val="0000FF"/>
                <w:sz w:val="20"/>
                <w:szCs w:val="20"/>
                <w:highlight w:val="none"/>
              </w:rPr>
            </w:pPr>
          </w:p>
        </w:tc>
        <w:tc>
          <w:tcPr>
            <w:tcW w:w="8569" w:type="dxa"/>
          </w:tcPr>
          <w:p w14:paraId="12BFB35E">
            <w:pPr>
              <w:widowControl/>
              <w:textAlignment w:val="top"/>
              <w:rPr>
                <w:rFonts w:hint="eastAsia" w:ascii="Wingdings" w:hAnsi="Wingdings" w:eastAsia="宋体" w:cs="Wingdings"/>
                <w:color w:val="0000FF"/>
                <w:sz w:val="20"/>
                <w:szCs w:val="20"/>
                <w:highlight w:val="none"/>
              </w:rPr>
            </w:pPr>
            <w:r>
              <w:rPr>
                <w:rStyle w:val="26"/>
                <w:rFonts w:eastAsia="宋体"/>
                <w:color w:val="0000FF"/>
                <w:highlight w:val="none"/>
                <w:lang w:bidi="ar"/>
              </w:rPr>
              <w:t></w:t>
            </w:r>
            <w:r>
              <w:rPr>
                <w:rStyle w:val="27"/>
                <w:rFonts w:hint="default"/>
                <w:color w:val="0000FF"/>
                <w:highlight w:val="none"/>
                <w:lang w:bidi="ar"/>
              </w:rPr>
              <w:t>提供申请记录台账，并可打印和导出；</w:t>
            </w:r>
          </w:p>
        </w:tc>
      </w:tr>
      <w:tr w14:paraId="5A0A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147073">
            <w:pPr>
              <w:rPr>
                <w:rFonts w:ascii="宋体" w:hAnsi="宋体" w:eastAsia="宋体" w:cs="宋体"/>
                <w:color w:val="0000FF"/>
                <w:sz w:val="20"/>
                <w:szCs w:val="20"/>
                <w:highlight w:val="none"/>
              </w:rPr>
            </w:pPr>
          </w:p>
        </w:tc>
        <w:tc>
          <w:tcPr>
            <w:tcW w:w="8569" w:type="dxa"/>
          </w:tcPr>
          <w:p w14:paraId="5050E0B7">
            <w:pPr>
              <w:widowControl/>
              <w:textAlignment w:val="top"/>
              <w:rPr>
                <w:rFonts w:hint="eastAsia" w:ascii="Wingdings" w:hAnsi="Wingdings" w:eastAsia="宋体" w:cs="Wingdings"/>
                <w:color w:val="0000FF"/>
                <w:sz w:val="20"/>
                <w:szCs w:val="20"/>
                <w:highlight w:val="none"/>
              </w:rPr>
            </w:pPr>
            <w:r>
              <w:rPr>
                <w:rStyle w:val="26"/>
                <w:rFonts w:eastAsia="宋体"/>
                <w:color w:val="0000FF"/>
                <w:highlight w:val="none"/>
                <w:lang w:bidi="ar"/>
              </w:rPr>
              <w:t></w:t>
            </w:r>
            <w:r>
              <w:rPr>
                <w:rStyle w:val="27"/>
                <w:rFonts w:hint="default"/>
                <w:color w:val="0000FF"/>
                <w:highlight w:val="none"/>
                <w:lang w:bidi="ar"/>
              </w:rPr>
              <w:t>提供委员会汇总分析，可查看任职中和全部委员会汇总信息，并支持打印导出。</w:t>
            </w:r>
          </w:p>
        </w:tc>
      </w:tr>
      <w:tr w14:paraId="298E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B25008D">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1.1.14 数据分析</w:t>
            </w:r>
          </w:p>
        </w:tc>
        <w:tc>
          <w:tcPr>
            <w:tcW w:w="8569" w:type="dxa"/>
          </w:tcPr>
          <w:p w14:paraId="29A5C0C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档案未完成统计</w:t>
            </w:r>
          </w:p>
        </w:tc>
      </w:tr>
      <w:tr w14:paraId="3952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0CD66CB">
            <w:pPr>
              <w:rPr>
                <w:rFonts w:ascii="宋体" w:hAnsi="宋体" w:eastAsia="宋体" w:cs="宋体"/>
                <w:color w:val="auto"/>
                <w:sz w:val="20"/>
                <w:szCs w:val="20"/>
                <w:highlight w:val="none"/>
              </w:rPr>
            </w:pPr>
          </w:p>
        </w:tc>
        <w:tc>
          <w:tcPr>
            <w:tcW w:w="8569" w:type="dxa"/>
          </w:tcPr>
          <w:p w14:paraId="01080F2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支持按科室、按内容进行查询统计；</w:t>
            </w:r>
          </w:p>
        </w:tc>
      </w:tr>
      <w:tr w14:paraId="360A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EC0245">
            <w:pPr>
              <w:rPr>
                <w:rFonts w:ascii="宋体" w:hAnsi="宋体" w:eastAsia="宋体" w:cs="宋体"/>
                <w:color w:val="auto"/>
                <w:sz w:val="20"/>
                <w:szCs w:val="20"/>
                <w:highlight w:val="none"/>
              </w:rPr>
            </w:pPr>
          </w:p>
        </w:tc>
        <w:tc>
          <w:tcPr>
            <w:tcW w:w="8569" w:type="dxa"/>
          </w:tcPr>
          <w:p w14:paraId="6A03DE2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可设置不参与统计的内容，从而自定义未完成统计表单；</w:t>
            </w:r>
          </w:p>
        </w:tc>
      </w:tr>
      <w:tr w14:paraId="7E0B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2FFCC3">
            <w:pPr>
              <w:rPr>
                <w:rFonts w:ascii="宋体" w:hAnsi="宋体" w:eastAsia="宋体" w:cs="宋体"/>
                <w:color w:val="auto"/>
                <w:sz w:val="20"/>
                <w:szCs w:val="20"/>
                <w:highlight w:val="none"/>
              </w:rPr>
            </w:pPr>
          </w:p>
        </w:tc>
        <w:tc>
          <w:tcPr>
            <w:tcW w:w="8569" w:type="dxa"/>
          </w:tcPr>
          <w:p w14:paraId="19D5F4A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可进行未完成统计总数进行排序，并支持导出、打印。</w:t>
            </w:r>
          </w:p>
        </w:tc>
      </w:tr>
      <w:tr w14:paraId="6A0C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9135E43">
            <w:pPr>
              <w:rPr>
                <w:rFonts w:ascii="宋体" w:hAnsi="宋体" w:eastAsia="宋体" w:cs="宋体"/>
                <w:color w:val="auto"/>
                <w:sz w:val="20"/>
                <w:szCs w:val="20"/>
                <w:highlight w:val="none"/>
              </w:rPr>
            </w:pPr>
          </w:p>
        </w:tc>
        <w:tc>
          <w:tcPr>
            <w:tcW w:w="8569" w:type="dxa"/>
          </w:tcPr>
          <w:p w14:paraId="3C0258F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其他资格证统计</w:t>
            </w:r>
          </w:p>
        </w:tc>
      </w:tr>
      <w:tr w14:paraId="29C3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2A6206">
            <w:pPr>
              <w:rPr>
                <w:rFonts w:ascii="宋体" w:hAnsi="宋体" w:eastAsia="宋体" w:cs="宋体"/>
                <w:color w:val="auto"/>
                <w:sz w:val="20"/>
                <w:szCs w:val="20"/>
                <w:highlight w:val="none"/>
              </w:rPr>
            </w:pPr>
          </w:p>
        </w:tc>
        <w:tc>
          <w:tcPr>
            <w:tcW w:w="8569" w:type="dxa"/>
          </w:tcPr>
          <w:p w14:paraId="5F9D2E6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提供医师资格证的到期时间统计列表，并支持导出和打印；</w:t>
            </w:r>
          </w:p>
        </w:tc>
      </w:tr>
      <w:tr w14:paraId="33BC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CFD154A">
            <w:pPr>
              <w:rPr>
                <w:rFonts w:ascii="宋体" w:hAnsi="宋体" w:eastAsia="宋体" w:cs="宋体"/>
                <w:color w:val="auto"/>
                <w:sz w:val="20"/>
                <w:szCs w:val="20"/>
                <w:highlight w:val="none"/>
              </w:rPr>
            </w:pPr>
          </w:p>
        </w:tc>
        <w:tc>
          <w:tcPr>
            <w:tcW w:w="8569" w:type="dxa"/>
          </w:tcPr>
          <w:p w14:paraId="22042C2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可进行科室、姓名、资格证名称、到期时间、签发日期、证书状态等查询；</w:t>
            </w:r>
          </w:p>
        </w:tc>
      </w:tr>
      <w:tr w14:paraId="6A01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768FED">
            <w:pPr>
              <w:rPr>
                <w:rFonts w:ascii="宋体" w:hAnsi="宋体" w:eastAsia="宋体" w:cs="宋体"/>
                <w:color w:val="auto"/>
                <w:sz w:val="20"/>
                <w:szCs w:val="20"/>
                <w:highlight w:val="none"/>
              </w:rPr>
            </w:pPr>
          </w:p>
        </w:tc>
        <w:tc>
          <w:tcPr>
            <w:tcW w:w="8569" w:type="dxa"/>
          </w:tcPr>
          <w:p w14:paraId="7F55E1B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支持全院医师资格证的到期统计；</w:t>
            </w:r>
          </w:p>
        </w:tc>
      </w:tr>
      <w:tr w14:paraId="09F9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861188">
            <w:pPr>
              <w:rPr>
                <w:rFonts w:ascii="宋体" w:hAnsi="宋体" w:eastAsia="宋体" w:cs="宋体"/>
                <w:color w:val="auto"/>
                <w:sz w:val="20"/>
                <w:szCs w:val="20"/>
                <w:highlight w:val="none"/>
              </w:rPr>
            </w:pPr>
          </w:p>
        </w:tc>
        <w:tc>
          <w:tcPr>
            <w:tcW w:w="8569" w:type="dxa"/>
          </w:tcPr>
          <w:p w14:paraId="66833DB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可进行其他资格证的统计和查询，并支持其他资格证统计图的下载。</w:t>
            </w:r>
          </w:p>
        </w:tc>
      </w:tr>
      <w:tr w14:paraId="1756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20A82682">
            <w:pPr>
              <w:rPr>
                <w:rFonts w:hint="eastAsia" w:ascii="宋体" w:hAnsi="宋体" w:eastAsia="宋体" w:cs="宋体"/>
                <w:color w:val="FF0000"/>
                <w:sz w:val="20"/>
                <w:szCs w:val="20"/>
                <w:highlight w:val="none"/>
                <w:lang w:val="en-US" w:eastAsia="zh-CN"/>
              </w:rPr>
            </w:pPr>
            <w:r>
              <w:rPr>
                <w:rFonts w:hint="eastAsia" w:ascii="宋体" w:hAnsi="宋体" w:eastAsia="宋体" w:cs="宋体"/>
                <w:color w:val="FF0000"/>
                <w:sz w:val="20"/>
                <w:szCs w:val="20"/>
                <w:highlight w:val="none"/>
                <w:lang w:val="en-US" w:eastAsia="zh-CN"/>
              </w:rPr>
              <w:t>数据对接</w:t>
            </w:r>
          </w:p>
        </w:tc>
        <w:tc>
          <w:tcPr>
            <w:tcW w:w="8569" w:type="dxa"/>
          </w:tcPr>
          <w:p w14:paraId="45879F1D">
            <w:pPr>
              <w:numPr>
                <w:ilvl w:val="0"/>
                <w:numId w:val="3"/>
              </w:numPr>
              <w:bidi w:val="0"/>
              <w:rPr>
                <w:rFonts w:hint="eastAsia"/>
                <w:color w:val="FF0000"/>
                <w:highlight w:val="none"/>
                <w:lang w:eastAsia="zh-CN"/>
              </w:rPr>
            </w:pPr>
            <w:r>
              <w:rPr>
                <w:rFonts w:hint="eastAsia"/>
                <w:color w:val="FF0000"/>
                <w:highlight w:val="none"/>
                <w:lang w:eastAsia="zh-CN"/>
              </w:rPr>
              <w:t>支持对接当前院方人事系统，获取人员等信息数据；</w:t>
            </w:r>
          </w:p>
          <w:p w14:paraId="47FA0F24">
            <w:pPr>
              <w:numPr>
                <w:ilvl w:val="0"/>
                <w:numId w:val="3"/>
              </w:numPr>
              <w:bidi w:val="0"/>
              <w:rPr>
                <w:color w:val="FF0000"/>
                <w:highlight w:val="none"/>
              </w:rPr>
            </w:pPr>
            <w:r>
              <w:rPr>
                <w:rFonts w:hint="eastAsia"/>
                <w:color w:val="FF0000"/>
                <w:highlight w:val="none"/>
                <w:lang w:eastAsia="zh-CN"/>
              </w:rPr>
              <w:t>支持对接获取当前院方</w:t>
            </w:r>
            <w:r>
              <w:rPr>
                <w:rFonts w:hint="eastAsia"/>
                <w:color w:val="FF0000"/>
                <w:highlight w:val="none"/>
                <w:lang w:val="en-US" w:eastAsia="zh-CN"/>
              </w:rPr>
              <w:t>OA系统中请假、外出人员、岗位说明书等相关信息。</w:t>
            </w:r>
          </w:p>
          <w:p w14:paraId="74228ED5">
            <w:pPr>
              <w:numPr>
                <w:ilvl w:val="0"/>
                <w:numId w:val="3"/>
              </w:numPr>
              <w:bidi w:val="0"/>
              <w:rPr>
                <w:rFonts w:hint="eastAsia" w:eastAsia="宋体"/>
                <w:color w:val="FF0000"/>
                <w:highlight w:val="none"/>
                <w:lang w:eastAsia="zh-CN"/>
              </w:rPr>
            </w:pPr>
            <w:r>
              <w:rPr>
                <w:rFonts w:hint="eastAsia"/>
                <w:color w:val="FF0000"/>
                <w:highlight w:val="none"/>
                <w:lang w:val="en-US" w:eastAsia="zh-CN"/>
              </w:rPr>
              <w:t>支持对接获取</w:t>
            </w:r>
            <w:r>
              <w:rPr>
                <w:rFonts w:hint="eastAsia"/>
                <w:color w:val="FF0000"/>
                <w:highlight w:val="none"/>
                <w:lang w:eastAsia="zh-CN"/>
              </w:rPr>
              <w:t>院方</w:t>
            </w:r>
            <w:r>
              <w:rPr>
                <w:rFonts w:hint="eastAsia"/>
                <w:color w:val="FF0000"/>
                <w:highlight w:val="none"/>
                <w:lang w:val="en-US" w:eastAsia="zh-CN"/>
              </w:rPr>
              <w:t>教育系统人员进修、学分、外出学习等相关数据（如建设有）。</w:t>
            </w:r>
          </w:p>
        </w:tc>
      </w:tr>
    </w:tbl>
    <w:p w14:paraId="28A30720">
      <w:pPr>
        <w:pStyle w:val="8"/>
        <w:ind w:left="1" w:leftChars="-295" w:hanging="620" w:firstLineChars="0"/>
      </w:pPr>
    </w:p>
    <w:p w14:paraId="229D2568">
      <w:pPr>
        <w:pStyle w:val="7"/>
        <w:widowControl/>
        <w:jc w:val="left"/>
        <w:textAlignment w:val="center"/>
        <w:outlineLvl w:val="1"/>
        <w:rPr>
          <w:rFonts w:hint="eastAsia"/>
          <w:highlight w:val="none"/>
        </w:rPr>
      </w:pPr>
      <w:bookmarkStart w:id="4" w:name="_Toc23657"/>
      <w:r>
        <w:rPr>
          <w:rFonts w:hint="eastAsia"/>
          <w:highlight w:val="none"/>
        </w:rPr>
        <w:t>1.2 排班考勤管理</w:t>
      </w:r>
      <w:r>
        <w:rPr>
          <w:rFonts w:hint="eastAsia"/>
          <w:highlight w:val="none"/>
          <w:lang w:eastAsia="zh-CN"/>
        </w:rPr>
        <w:t>（</w:t>
      </w:r>
      <w:r>
        <w:rPr>
          <w:rFonts w:hint="eastAsia"/>
          <w:highlight w:val="none"/>
          <w:lang w:val="en-US" w:eastAsia="zh-CN"/>
        </w:rPr>
        <w:t>支持全院临床和平台科室排班管理</w:t>
      </w:r>
      <w:r>
        <w:rPr>
          <w:rFonts w:hint="eastAsia"/>
          <w:highlight w:val="none"/>
          <w:lang w:eastAsia="zh-CN"/>
        </w:rPr>
        <w:t>）</w:t>
      </w:r>
      <w:bookmarkEnd w:id="4"/>
    </w:p>
    <w:p w14:paraId="6BFEEB73">
      <w:pPr>
        <w:widowControl/>
        <w:jc w:val="center"/>
        <w:textAlignment w:val="center"/>
        <w:rPr>
          <w:highlight w:val="none"/>
        </w:rPr>
      </w:pPr>
    </w:p>
    <w:tbl>
      <w:tblPr>
        <w:tblStyle w:val="20"/>
        <w:tblW w:w="1013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6503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38" w:type="dxa"/>
            <w:gridSpan w:val="2"/>
            <w:shd w:val="clear" w:color="auto" w:fill="FFFF00"/>
            <w:vAlign w:val="center"/>
          </w:tcPr>
          <w:p w14:paraId="2141F185">
            <w:pPr>
              <w:widowControl/>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kern w:val="0"/>
                <w:sz w:val="20"/>
                <w:szCs w:val="20"/>
                <w:highlight w:val="none"/>
                <w:lang w:bidi="ar"/>
              </w:rPr>
              <w:t>1.2 排班考勤管理</w:t>
            </w:r>
            <w:r>
              <w:rPr>
                <w:rFonts w:hint="eastAsia" w:ascii="宋体" w:hAnsi="宋体" w:eastAsia="宋体" w:cs="宋体"/>
                <w:b/>
                <w:bCs/>
                <w:color w:val="auto"/>
                <w:kern w:val="0"/>
                <w:sz w:val="20"/>
                <w:szCs w:val="20"/>
                <w:highlight w:val="none"/>
                <w:lang w:eastAsia="zh-CN" w:bidi="ar"/>
              </w:rPr>
              <w:t>（</w:t>
            </w:r>
            <w:r>
              <w:rPr>
                <w:rFonts w:hint="eastAsia" w:ascii="宋体" w:hAnsi="宋体" w:eastAsia="宋体" w:cs="宋体"/>
                <w:b/>
                <w:bCs/>
                <w:color w:val="auto"/>
                <w:kern w:val="0"/>
                <w:sz w:val="20"/>
                <w:szCs w:val="20"/>
                <w:highlight w:val="none"/>
                <w:lang w:val="en-US" w:eastAsia="zh-CN" w:bidi="ar"/>
              </w:rPr>
              <w:t>支持全院临床和平台科室排班管理</w:t>
            </w:r>
            <w:r>
              <w:rPr>
                <w:rFonts w:hint="eastAsia" w:ascii="宋体" w:hAnsi="宋体" w:eastAsia="宋体" w:cs="宋体"/>
                <w:b/>
                <w:bCs/>
                <w:color w:val="auto"/>
                <w:kern w:val="0"/>
                <w:sz w:val="20"/>
                <w:szCs w:val="20"/>
                <w:highlight w:val="none"/>
                <w:lang w:eastAsia="zh-CN" w:bidi="ar"/>
              </w:rPr>
              <w:t>）</w:t>
            </w:r>
          </w:p>
        </w:tc>
      </w:tr>
      <w:tr w14:paraId="37DF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7D3C72AC">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1.2.1 我的排班</w:t>
            </w:r>
          </w:p>
        </w:tc>
        <w:tc>
          <w:tcPr>
            <w:tcW w:w="8569" w:type="dxa"/>
          </w:tcPr>
          <w:p w14:paraId="38C564B8">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个人排班，并支持导出打印</w:t>
            </w:r>
          </w:p>
        </w:tc>
      </w:tr>
      <w:tr w14:paraId="1CE0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3EB07B">
            <w:pPr>
              <w:rPr>
                <w:rFonts w:ascii="宋体" w:hAnsi="宋体" w:eastAsia="宋体" w:cs="宋体"/>
                <w:color w:val="auto"/>
                <w:sz w:val="20"/>
                <w:szCs w:val="20"/>
                <w:highlight w:val="none"/>
              </w:rPr>
            </w:pPr>
          </w:p>
        </w:tc>
        <w:tc>
          <w:tcPr>
            <w:tcW w:w="8569" w:type="dxa"/>
          </w:tcPr>
          <w:p w14:paraId="7CA487DB">
            <w:pPr>
              <w:widowControl/>
              <w:textAlignment w:val="top"/>
              <w:rPr>
                <w:highlight w:val="none"/>
              </w:rPr>
            </w:pPr>
            <w:r>
              <w:rPr>
                <w:rStyle w:val="26"/>
                <w:rFonts w:eastAsia="宋体"/>
                <w:color w:val="auto"/>
                <w:highlight w:val="none"/>
                <w:lang w:bidi="ar"/>
              </w:rPr>
              <w:t></w:t>
            </w:r>
            <w:r>
              <w:rPr>
                <w:rStyle w:val="27"/>
                <w:rFonts w:hint="default"/>
                <w:color w:val="auto"/>
                <w:highlight w:val="none"/>
                <w:lang w:bidi="ar"/>
              </w:rPr>
              <w:t>支持用户个人进行期望排班、调班申请、改班申请、加扣班申请；</w:t>
            </w:r>
          </w:p>
          <w:p w14:paraId="1A9457B5">
            <w:pPr>
              <w:widowControl/>
              <w:textAlignment w:val="top"/>
              <w:rPr>
                <w:rFonts w:hint="eastAsia"/>
                <w:highlight w:val="none"/>
              </w:rPr>
            </w:pPr>
          </w:p>
        </w:tc>
      </w:tr>
      <w:tr w14:paraId="5F98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899FEAE">
            <w:pPr>
              <w:rPr>
                <w:rFonts w:ascii="宋体" w:hAnsi="宋体" w:eastAsia="宋体" w:cs="宋体"/>
                <w:color w:val="auto"/>
                <w:sz w:val="20"/>
                <w:szCs w:val="20"/>
                <w:highlight w:val="none"/>
              </w:rPr>
            </w:pPr>
          </w:p>
        </w:tc>
        <w:tc>
          <w:tcPr>
            <w:tcW w:w="8569" w:type="dxa"/>
          </w:tcPr>
          <w:p w14:paraId="73C85386">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查看用户个人的月班次类型汇总、排班汇总、休班汇总等，并支持导出打印；</w:t>
            </w:r>
          </w:p>
        </w:tc>
      </w:tr>
      <w:tr w14:paraId="1475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F5B3DE">
            <w:pPr>
              <w:rPr>
                <w:rFonts w:ascii="宋体" w:hAnsi="宋体" w:eastAsia="宋体" w:cs="宋体"/>
                <w:color w:val="auto"/>
                <w:sz w:val="20"/>
                <w:szCs w:val="20"/>
                <w:highlight w:val="none"/>
              </w:rPr>
            </w:pPr>
          </w:p>
        </w:tc>
        <w:tc>
          <w:tcPr>
            <w:tcW w:w="8569" w:type="dxa"/>
          </w:tcPr>
          <w:p w14:paraId="4C61644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查看个人记录排班休假视图和排班详情等记录。</w:t>
            </w:r>
          </w:p>
        </w:tc>
      </w:tr>
      <w:tr w14:paraId="4D04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941C51">
            <w:pPr>
              <w:rPr>
                <w:rFonts w:ascii="宋体" w:hAnsi="宋体" w:eastAsia="宋体" w:cs="宋体"/>
                <w:color w:val="auto"/>
                <w:sz w:val="20"/>
                <w:szCs w:val="20"/>
                <w:highlight w:val="none"/>
              </w:rPr>
            </w:pPr>
          </w:p>
        </w:tc>
        <w:tc>
          <w:tcPr>
            <w:tcW w:w="8569" w:type="dxa"/>
          </w:tcPr>
          <w:p w14:paraId="3EED36C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全科排班视图</w:t>
            </w:r>
          </w:p>
        </w:tc>
      </w:tr>
      <w:tr w14:paraId="7523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E10B9EE">
            <w:pPr>
              <w:rPr>
                <w:rFonts w:ascii="宋体" w:hAnsi="宋体" w:eastAsia="宋体" w:cs="宋体"/>
                <w:color w:val="auto"/>
                <w:sz w:val="20"/>
                <w:szCs w:val="20"/>
                <w:highlight w:val="none"/>
              </w:rPr>
            </w:pPr>
          </w:p>
        </w:tc>
        <w:tc>
          <w:tcPr>
            <w:tcW w:w="8569" w:type="dxa"/>
          </w:tcPr>
          <w:p w14:paraId="6F7AF80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支持查看科室排班情况和排班历史记录，以及余假、余假累计、工时欠存等情况；</w:t>
            </w:r>
          </w:p>
        </w:tc>
      </w:tr>
      <w:tr w14:paraId="164D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A645C3">
            <w:pPr>
              <w:rPr>
                <w:rFonts w:ascii="宋体" w:hAnsi="宋体" w:eastAsia="宋体" w:cs="宋体"/>
                <w:color w:val="auto"/>
                <w:sz w:val="20"/>
                <w:szCs w:val="20"/>
                <w:highlight w:val="none"/>
              </w:rPr>
            </w:pPr>
          </w:p>
        </w:tc>
        <w:tc>
          <w:tcPr>
            <w:tcW w:w="8569" w:type="dxa"/>
          </w:tcPr>
          <w:p w14:paraId="10CA94A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支持查看排床信息和详情管床情况。</w:t>
            </w:r>
          </w:p>
        </w:tc>
      </w:tr>
      <w:tr w14:paraId="4DAC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ABA0C6">
            <w:pPr>
              <w:rPr>
                <w:rFonts w:ascii="宋体" w:hAnsi="宋体" w:eastAsia="宋体" w:cs="宋体"/>
                <w:color w:val="auto"/>
                <w:sz w:val="20"/>
                <w:szCs w:val="20"/>
                <w:highlight w:val="none"/>
              </w:rPr>
            </w:pPr>
          </w:p>
        </w:tc>
        <w:tc>
          <w:tcPr>
            <w:tcW w:w="8569" w:type="dxa"/>
          </w:tcPr>
          <w:p w14:paraId="73153DD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0000FF"/>
                <w:highlight w:val="none"/>
                <w:lang w:bidi="ar"/>
              </w:rPr>
              <w:t>支持我的排班进行所有排班申请和值班信息、排班统计、提醒设置、周重点等信息</w:t>
            </w:r>
            <w:r>
              <w:rPr>
                <w:rStyle w:val="27"/>
                <w:rFonts w:hint="default"/>
                <w:color w:val="auto"/>
                <w:highlight w:val="none"/>
                <w:lang w:bidi="ar"/>
              </w:rPr>
              <w:t>。</w:t>
            </w:r>
          </w:p>
        </w:tc>
      </w:tr>
      <w:tr w14:paraId="3370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172C9CF">
            <w:pPr>
              <w:rPr>
                <w:rFonts w:ascii="宋体" w:hAnsi="宋体" w:eastAsia="宋体" w:cs="宋体"/>
                <w:color w:val="auto"/>
                <w:sz w:val="20"/>
                <w:szCs w:val="20"/>
                <w:highlight w:val="none"/>
              </w:rPr>
            </w:pPr>
          </w:p>
        </w:tc>
        <w:tc>
          <w:tcPr>
            <w:tcW w:w="8569" w:type="dxa"/>
          </w:tcPr>
          <w:p w14:paraId="383C6B43">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支持用户个人查看本科室某时间段/某天的值班人员、排班员是谁的信息。</w:t>
            </w:r>
          </w:p>
        </w:tc>
      </w:tr>
      <w:tr w14:paraId="20EB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D3513A">
            <w:pPr>
              <w:rPr>
                <w:rFonts w:ascii="宋体" w:hAnsi="宋体" w:eastAsia="宋体" w:cs="宋体"/>
                <w:color w:val="auto"/>
                <w:sz w:val="20"/>
                <w:szCs w:val="20"/>
                <w:highlight w:val="none"/>
              </w:rPr>
            </w:pPr>
          </w:p>
        </w:tc>
        <w:tc>
          <w:tcPr>
            <w:tcW w:w="8569" w:type="dxa"/>
          </w:tcPr>
          <w:p w14:paraId="0A96A3B1">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点击具体日期可查看详细排班信息，显示值班科室/病区，显示同班次同事信息</w:t>
            </w:r>
          </w:p>
        </w:tc>
      </w:tr>
      <w:tr w14:paraId="5654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3EF3C87">
            <w:pPr>
              <w:rPr>
                <w:rFonts w:ascii="宋体" w:hAnsi="宋体" w:eastAsia="宋体" w:cs="宋体"/>
                <w:color w:val="auto"/>
                <w:sz w:val="20"/>
                <w:szCs w:val="20"/>
                <w:highlight w:val="none"/>
              </w:rPr>
            </w:pPr>
          </w:p>
        </w:tc>
        <w:tc>
          <w:tcPr>
            <w:tcW w:w="8569" w:type="dxa"/>
          </w:tcPr>
          <w:p w14:paraId="20037F16">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已完成班次标志、特殊班次（如节假日）特殊标识</w:t>
            </w:r>
          </w:p>
        </w:tc>
      </w:tr>
      <w:tr w14:paraId="3474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642808">
            <w:pPr>
              <w:rPr>
                <w:rFonts w:ascii="宋体" w:hAnsi="宋体" w:eastAsia="宋体" w:cs="宋体"/>
                <w:color w:val="auto"/>
                <w:sz w:val="20"/>
                <w:szCs w:val="20"/>
                <w:highlight w:val="none"/>
              </w:rPr>
            </w:pPr>
          </w:p>
        </w:tc>
        <w:tc>
          <w:tcPr>
            <w:tcW w:w="8569" w:type="dxa"/>
          </w:tcPr>
          <w:p w14:paraId="53BB963B">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即将到来的班次提醒、班次变更通知提醒、交班提醒功能</w:t>
            </w:r>
          </w:p>
        </w:tc>
      </w:tr>
      <w:tr w14:paraId="4EEA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75CA087B">
            <w:pPr>
              <w:rPr>
                <w:rFonts w:ascii="宋体" w:hAnsi="宋体" w:eastAsia="宋体" w:cs="宋体"/>
                <w:color w:val="auto"/>
                <w:sz w:val="20"/>
                <w:szCs w:val="20"/>
                <w:highlight w:val="none"/>
              </w:rPr>
            </w:pPr>
          </w:p>
        </w:tc>
        <w:tc>
          <w:tcPr>
            <w:tcW w:w="8569" w:type="dxa"/>
          </w:tcPr>
          <w:p w14:paraId="43048DD5">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按月份/周次/班次等类型筛选自身的排班信息</w:t>
            </w:r>
          </w:p>
        </w:tc>
      </w:tr>
      <w:tr w14:paraId="223D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E06C962">
            <w:pPr>
              <w:rPr>
                <w:rFonts w:ascii="宋体" w:hAnsi="宋体" w:eastAsia="宋体" w:cs="宋体"/>
                <w:color w:val="auto"/>
                <w:sz w:val="20"/>
                <w:szCs w:val="20"/>
                <w:highlight w:val="none"/>
              </w:rPr>
            </w:pPr>
          </w:p>
        </w:tc>
        <w:tc>
          <w:tcPr>
            <w:tcW w:w="8569" w:type="dxa"/>
          </w:tcPr>
          <w:p w14:paraId="50E83FE0">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可统计自身当月值班次数/季度值班次数/夜班次数/节假日值班</w:t>
            </w:r>
          </w:p>
        </w:tc>
      </w:tr>
      <w:tr w14:paraId="5902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91D408">
            <w:pPr>
              <w:rPr>
                <w:rFonts w:ascii="宋体" w:hAnsi="宋体" w:eastAsia="宋体" w:cs="宋体"/>
                <w:color w:val="auto"/>
                <w:sz w:val="20"/>
                <w:szCs w:val="20"/>
                <w:highlight w:val="none"/>
              </w:rPr>
            </w:pPr>
          </w:p>
        </w:tc>
        <w:tc>
          <w:tcPr>
            <w:tcW w:w="8569" w:type="dxa"/>
          </w:tcPr>
          <w:p w14:paraId="77A60253">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设置值班问题反馈通道，支持管理端查看。</w:t>
            </w:r>
          </w:p>
        </w:tc>
      </w:tr>
      <w:tr w14:paraId="3147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893BE01">
            <w:pPr>
              <w:rPr>
                <w:rFonts w:ascii="宋体" w:hAnsi="宋体" w:eastAsia="宋体" w:cs="宋体"/>
                <w:color w:val="auto"/>
                <w:sz w:val="20"/>
                <w:szCs w:val="20"/>
                <w:highlight w:val="none"/>
              </w:rPr>
            </w:pPr>
          </w:p>
        </w:tc>
        <w:tc>
          <w:tcPr>
            <w:tcW w:w="8569" w:type="dxa"/>
          </w:tcPr>
          <w:p w14:paraId="0B64BA60">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个人排班冲突提示</w:t>
            </w:r>
          </w:p>
        </w:tc>
      </w:tr>
      <w:tr w14:paraId="3AD0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3DFCA86">
            <w:pPr>
              <w:rPr>
                <w:rFonts w:ascii="宋体" w:hAnsi="宋体" w:eastAsia="宋体" w:cs="宋体"/>
                <w:color w:val="auto"/>
                <w:sz w:val="20"/>
                <w:szCs w:val="20"/>
                <w:highlight w:val="none"/>
              </w:rPr>
            </w:pPr>
          </w:p>
        </w:tc>
        <w:tc>
          <w:tcPr>
            <w:tcW w:w="8569" w:type="dxa"/>
          </w:tcPr>
          <w:p w14:paraId="07EC2B4B">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支持用户间进行换班，申请人填写申请人的班次及日期信息和换班人的班次和日期信息后，排班员审核通过后，自动进行换班（系统自动修改排班表）</w:t>
            </w:r>
          </w:p>
        </w:tc>
      </w:tr>
      <w:tr w14:paraId="2700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B14E0B6">
            <w:pPr>
              <w:rPr>
                <w:rFonts w:ascii="宋体" w:hAnsi="宋体" w:eastAsia="宋体" w:cs="宋体"/>
                <w:color w:val="auto"/>
                <w:sz w:val="20"/>
                <w:szCs w:val="20"/>
                <w:highlight w:val="none"/>
              </w:rPr>
            </w:pPr>
          </w:p>
        </w:tc>
        <w:tc>
          <w:tcPr>
            <w:tcW w:w="8569" w:type="dxa"/>
          </w:tcPr>
          <w:p w14:paraId="4D904E2E">
            <w:pPr>
              <w:widowControl/>
              <w:numPr>
                <w:ilvl w:val="0"/>
                <w:numId w:val="0"/>
              </w:numPr>
              <w:ind w:leftChars="0"/>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个人可查看与自身相关的排班变更历史记录。</w:t>
            </w:r>
          </w:p>
        </w:tc>
      </w:tr>
      <w:tr w14:paraId="6403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4AB01E1">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1.2.2 病区排班</w:t>
            </w:r>
          </w:p>
        </w:tc>
        <w:tc>
          <w:tcPr>
            <w:tcW w:w="8569" w:type="dxa"/>
          </w:tcPr>
          <w:p w14:paraId="606F9A6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班次设置</w:t>
            </w:r>
          </w:p>
        </w:tc>
      </w:tr>
      <w:tr w14:paraId="3E86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C823F85">
            <w:pPr>
              <w:rPr>
                <w:rFonts w:ascii="宋体" w:hAnsi="宋体" w:eastAsia="宋体" w:cs="宋体"/>
                <w:color w:val="auto"/>
                <w:sz w:val="20"/>
                <w:szCs w:val="20"/>
                <w:highlight w:val="none"/>
              </w:rPr>
            </w:pPr>
          </w:p>
        </w:tc>
        <w:tc>
          <w:tcPr>
            <w:tcW w:w="8569" w:type="dxa"/>
          </w:tcPr>
          <w:p w14:paraId="793B469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支持科室配置班次、班次属性、班次颜色、班次类型、考勤时段、岗位类型等；</w:t>
            </w:r>
          </w:p>
        </w:tc>
      </w:tr>
      <w:tr w14:paraId="37EE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A5467C3">
            <w:pPr>
              <w:rPr>
                <w:rFonts w:ascii="宋体" w:hAnsi="宋体" w:eastAsia="宋体" w:cs="宋体"/>
                <w:color w:val="auto"/>
                <w:sz w:val="20"/>
                <w:szCs w:val="20"/>
                <w:highlight w:val="none"/>
              </w:rPr>
            </w:pPr>
          </w:p>
        </w:tc>
        <w:tc>
          <w:tcPr>
            <w:tcW w:w="8569" w:type="dxa"/>
          </w:tcPr>
          <w:p w14:paraId="6922FF4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支持设置漏班基数和超班提醒，可提醒管理者排班合理性；</w:t>
            </w:r>
          </w:p>
        </w:tc>
      </w:tr>
      <w:tr w14:paraId="5A8B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7F16BE8">
            <w:pPr>
              <w:rPr>
                <w:rFonts w:ascii="宋体" w:hAnsi="宋体" w:eastAsia="宋体" w:cs="宋体"/>
                <w:color w:val="auto"/>
                <w:sz w:val="20"/>
                <w:szCs w:val="20"/>
                <w:highlight w:val="none"/>
              </w:rPr>
            </w:pPr>
          </w:p>
        </w:tc>
        <w:tc>
          <w:tcPr>
            <w:tcW w:w="8569" w:type="dxa"/>
          </w:tcPr>
          <w:p w14:paraId="0084579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支持班次绩效设置，如：有效工时、出勤天数、班次系数、绩效系数等；</w:t>
            </w:r>
          </w:p>
        </w:tc>
      </w:tr>
      <w:tr w14:paraId="5F34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410FD53">
            <w:pPr>
              <w:rPr>
                <w:rFonts w:ascii="宋体" w:hAnsi="宋体" w:eastAsia="宋体" w:cs="宋体"/>
                <w:color w:val="auto"/>
                <w:sz w:val="20"/>
                <w:szCs w:val="20"/>
                <w:highlight w:val="none"/>
              </w:rPr>
            </w:pPr>
          </w:p>
        </w:tc>
        <w:tc>
          <w:tcPr>
            <w:tcW w:w="8569" w:type="dxa"/>
          </w:tcPr>
          <w:p w14:paraId="40731CF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可设置排床跟随班次进行分配。</w:t>
            </w:r>
          </w:p>
        </w:tc>
      </w:tr>
      <w:tr w14:paraId="2E6D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ACCF6CA">
            <w:pPr>
              <w:rPr>
                <w:rFonts w:ascii="宋体" w:hAnsi="宋体" w:eastAsia="宋体" w:cs="宋体"/>
                <w:color w:val="auto"/>
                <w:sz w:val="20"/>
                <w:szCs w:val="20"/>
                <w:highlight w:val="none"/>
              </w:rPr>
            </w:pPr>
          </w:p>
        </w:tc>
        <w:tc>
          <w:tcPr>
            <w:tcW w:w="8569" w:type="dxa"/>
          </w:tcPr>
          <w:p w14:paraId="7515A6D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组合班次设置：支持设置常用的班次安排规律进行组合，排班时可一键填入；</w:t>
            </w:r>
          </w:p>
        </w:tc>
      </w:tr>
      <w:tr w14:paraId="283B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93997DD">
            <w:pPr>
              <w:rPr>
                <w:rFonts w:ascii="宋体" w:hAnsi="宋体" w:eastAsia="宋体" w:cs="宋体"/>
                <w:color w:val="auto"/>
                <w:sz w:val="20"/>
                <w:szCs w:val="20"/>
                <w:highlight w:val="none"/>
              </w:rPr>
            </w:pPr>
          </w:p>
        </w:tc>
        <w:tc>
          <w:tcPr>
            <w:tcW w:w="8569" w:type="dxa"/>
          </w:tcPr>
          <w:p w14:paraId="15D42CF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用户分组：支持新增、编辑、删除、管理分组名称、组长和副组长等；</w:t>
            </w:r>
            <w:r>
              <w:rPr>
                <w:rStyle w:val="27"/>
                <w:rFonts w:hint="eastAsia" w:eastAsia="宋体"/>
                <w:color w:val="auto"/>
                <w:highlight w:val="none"/>
                <w:lang w:val="en-US" w:eastAsia="zh-CN" w:bidi="ar"/>
              </w:rPr>
              <w:t xml:space="preserve"> </w:t>
            </w:r>
          </w:p>
        </w:tc>
      </w:tr>
      <w:tr w14:paraId="7FB3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2CB37AE">
            <w:pPr>
              <w:rPr>
                <w:rFonts w:ascii="宋体" w:hAnsi="宋体" w:eastAsia="宋体" w:cs="宋体"/>
                <w:color w:val="auto"/>
                <w:sz w:val="20"/>
                <w:szCs w:val="20"/>
                <w:highlight w:val="none"/>
              </w:rPr>
            </w:pPr>
          </w:p>
        </w:tc>
        <w:tc>
          <w:tcPr>
            <w:tcW w:w="8569" w:type="dxa"/>
          </w:tcPr>
          <w:p w14:paraId="0A17066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管理者可审批医师提出的排班申请，如：加扣班、改班等；</w:t>
            </w:r>
          </w:p>
        </w:tc>
      </w:tr>
      <w:tr w14:paraId="7DDE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207F7B">
            <w:pPr>
              <w:rPr>
                <w:rFonts w:ascii="宋体" w:hAnsi="宋体" w:eastAsia="宋体" w:cs="宋体"/>
                <w:color w:val="auto"/>
                <w:sz w:val="20"/>
                <w:szCs w:val="20"/>
                <w:highlight w:val="none"/>
              </w:rPr>
            </w:pPr>
          </w:p>
        </w:tc>
        <w:tc>
          <w:tcPr>
            <w:tcW w:w="8569" w:type="dxa"/>
          </w:tcPr>
          <w:p w14:paraId="292C530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初始值设置：支持设置年初到系统上线之间排班累计工时和年结余工时的初始值，为当年排班统计提供历史记录初始值;</w:t>
            </w:r>
          </w:p>
        </w:tc>
      </w:tr>
      <w:tr w14:paraId="1E88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B8F6DD">
            <w:pPr>
              <w:rPr>
                <w:rFonts w:ascii="宋体" w:hAnsi="宋体" w:eastAsia="宋体" w:cs="宋体"/>
                <w:color w:val="auto"/>
                <w:sz w:val="20"/>
                <w:szCs w:val="20"/>
                <w:highlight w:val="none"/>
              </w:rPr>
            </w:pPr>
          </w:p>
        </w:tc>
        <w:tc>
          <w:tcPr>
            <w:tcW w:w="8569" w:type="dxa"/>
          </w:tcPr>
          <w:p w14:paraId="2C6D708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公休假初始值设置：支持以年为单位设置医师当年公休假总数；支持按照医院的规则自动生成公休假初始值；</w:t>
            </w:r>
          </w:p>
        </w:tc>
      </w:tr>
      <w:tr w14:paraId="10C9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4F75F3">
            <w:pPr>
              <w:rPr>
                <w:rFonts w:ascii="宋体" w:hAnsi="宋体" w:eastAsia="宋体" w:cs="宋体"/>
                <w:color w:val="auto"/>
                <w:sz w:val="20"/>
                <w:szCs w:val="20"/>
                <w:highlight w:val="none"/>
              </w:rPr>
            </w:pPr>
          </w:p>
        </w:tc>
        <w:tc>
          <w:tcPr>
            <w:tcW w:w="8569" w:type="dxa"/>
          </w:tcPr>
          <w:p w14:paraId="4B0ADC1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支持排班检查，统计本周排班个班次个数；</w:t>
            </w:r>
          </w:p>
        </w:tc>
      </w:tr>
      <w:tr w14:paraId="4825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6123E6D">
            <w:pPr>
              <w:rPr>
                <w:rFonts w:ascii="宋体" w:hAnsi="宋体" w:eastAsia="宋体" w:cs="宋体"/>
                <w:color w:val="auto"/>
                <w:sz w:val="20"/>
                <w:szCs w:val="20"/>
                <w:highlight w:val="none"/>
              </w:rPr>
            </w:pPr>
          </w:p>
        </w:tc>
        <w:tc>
          <w:tcPr>
            <w:tcW w:w="8569" w:type="dxa"/>
          </w:tcPr>
          <w:p w14:paraId="45D678F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科室按周排班：</w:t>
            </w:r>
          </w:p>
        </w:tc>
      </w:tr>
      <w:tr w14:paraId="4F44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B8E6388">
            <w:pPr>
              <w:rPr>
                <w:rFonts w:ascii="宋体" w:hAnsi="宋体" w:eastAsia="宋体" w:cs="宋体"/>
                <w:color w:val="auto"/>
                <w:sz w:val="20"/>
                <w:szCs w:val="20"/>
                <w:highlight w:val="none"/>
              </w:rPr>
            </w:pPr>
          </w:p>
        </w:tc>
        <w:tc>
          <w:tcPr>
            <w:tcW w:w="8569" w:type="dxa"/>
          </w:tcPr>
          <w:p w14:paraId="167FA09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支持一次操作多人、复制粘贴备注等功能；</w:t>
            </w:r>
          </w:p>
        </w:tc>
      </w:tr>
      <w:tr w14:paraId="55C3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9ED252">
            <w:pPr>
              <w:rPr>
                <w:rFonts w:ascii="宋体" w:hAnsi="宋体" w:eastAsia="宋体" w:cs="宋体"/>
                <w:color w:val="auto"/>
                <w:sz w:val="20"/>
                <w:szCs w:val="20"/>
                <w:highlight w:val="none"/>
              </w:rPr>
            </w:pPr>
          </w:p>
        </w:tc>
        <w:tc>
          <w:tcPr>
            <w:tcW w:w="8569" w:type="dxa"/>
          </w:tcPr>
          <w:p w14:paraId="342E59A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病区可自定分病区、分人员按周填报每天排班数据；</w:t>
            </w:r>
          </w:p>
        </w:tc>
      </w:tr>
      <w:tr w14:paraId="5AE5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7DFDA8">
            <w:pPr>
              <w:rPr>
                <w:rFonts w:ascii="宋体" w:hAnsi="宋体" w:eastAsia="宋体" w:cs="宋体"/>
                <w:color w:val="auto"/>
                <w:sz w:val="20"/>
                <w:szCs w:val="20"/>
                <w:highlight w:val="none"/>
              </w:rPr>
            </w:pPr>
          </w:p>
        </w:tc>
        <w:tc>
          <w:tcPr>
            <w:tcW w:w="8569" w:type="dxa"/>
          </w:tcPr>
          <w:p w14:paraId="1B9FB90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可编辑个人备注和复制上周个人备注；</w:t>
            </w:r>
          </w:p>
        </w:tc>
      </w:tr>
      <w:tr w14:paraId="1A25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6CC4B5">
            <w:pPr>
              <w:rPr>
                <w:rFonts w:ascii="宋体" w:hAnsi="宋体" w:eastAsia="宋体" w:cs="宋体"/>
                <w:color w:val="auto"/>
                <w:sz w:val="20"/>
                <w:szCs w:val="20"/>
                <w:highlight w:val="none"/>
              </w:rPr>
            </w:pPr>
          </w:p>
        </w:tc>
        <w:tc>
          <w:tcPr>
            <w:tcW w:w="8569" w:type="dxa"/>
          </w:tcPr>
          <w:p w14:paraId="44D817E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病区可自定义人员排序、班次颜色等，允许病区人员调出；</w:t>
            </w:r>
          </w:p>
        </w:tc>
      </w:tr>
      <w:tr w14:paraId="53C8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F95B3BE">
            <w:pPr>
              <w:rPr>
                <w:rFonts w:ascii="宋体" w:hAnsi="宋体" w:eastAsia="宋体" w:cs="宋体"/>
                <w:color w:val="auto"/>
                <w:sz w:val="20"/>
                <w:szCs w:val="20"/>
                <w:highlight w:val="none"/>
              </w:rPr>
            </w:pPr>
          </w:p>
        </w:tc>
        <w:tc>
          <w:tcPr>
            <w:tcW w:w="8569" w:type="dxa"/>
          </w:tcPr>
          <w:p w14:paraId="4D608AA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特殊班次天数统计，例：产休(1)~产休(120)；</w:t>
            </w:r>
          </w:p>
        </w:tc>
      </w:tr>
      <w:tr w14:paraId="211B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253EF3">
            <w:pPr>
              <w:rPr>
                <w:rFonts w:ascii="宋体" w:hAnsi="宋体" w:eastAsia="宋体" w:cs="宋体"/>
                <w:color w:val="auto"/>
                <w:sz w:val="20"/>
                <w:szCs w:val="20"/>
                <w:highlight w:val="none"/>
              </w:rPr>
            </w:pPr>
          </w:p>
        </w:tc>
        <w:tc>
          <w:tcPr>
            <w:tcW w:w="8569" w:type="dxa"/>
          </w:tcPr>
          <w:p w14:paraId="3A9EA06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支持拖拽复制粘贴班次；</w:t>
            </w:r>
          </w:p>
        </w:tc>
      </w:tr>
      <w:tr w14:paraId="2808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8470D6A">
            <w:pPr>
              <w:rPr>
                <w:rFonts w:ascii="宋体" w:hAnsi="宋体" w:eastAsia="宋体" w:cs="宋体"/>
                <w:color w:val="auto"/>
                <w:sz w:val="20"/>
                <w:szCs w:val="20"/>
                <w:highlight w:val="none"/>
              </w:rPr>
            </w:pPr>
          </w:p>
        </w:tc>
        <w:tc>
          <w:tcPr>
            <w:tcW w:w="8569" w:type="dxa"/>
          </w:tcPr>
          <w:p w14:paraId="6A95E50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可排班按周期套班复制；</w:t>
            </w:r>
          </w:p>
        </w:tc>
      </w:tr>
      <w:tr w14:paraId="746E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17238A">
            <w:pPr>
              <w:rPr>
                <w:rFonts w:ascii="宋体" w:hAnsi="宋体" w:eastAsia="宋体" w:cs="宋体"/>
                <w:color w:val="auto"/>
                <w:sz w:val="20"/>
                <w:szCs w:val="20"/>
                <w:highlight w:val="none"/>
              </w:rPr>
            </w:pPr>
          </w:p>
        </w:tc>
        <w:tc>
          <w:tcPr>
            <w:tcW w:w="8569" w:type="dxa"/>
          </w:tcPr>
          <w:p w14:paraId="077A382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手机可随时随地排班；</w:t>
            </w:r>
          </w:p>
        </w:tc>
      </w:tr>
      <w:tr w14:paraId="369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54AB4A">
            <w:pPr>
              <w:rPr>
                <w:rFonts w:ascii="宋体" w:hAnsi="宋体" w:eastAsia="宋体" w:cs="宋体"/>
                <w:color w:val="auto"/>
                <w:sz w:val="20"/>
                <w:szCs w:val="20"/>
                <w:highlight w:val="none"/>
              </w:rPr>
            </w:pPr>
          </w:p>
        </w:tc>
        <w:tc>
          <w:tcPr>
            <w:tcW w:w="8569" w:type="dxa"/>
          </w:tcPr>
          <w:p w14:paraId="51D51E2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一键清空排班，重新进行编辑；</w:t>
            </w:r>
          </w:p>
        </w:tc>
      </w:tr>
      <w:tr w14:paraId="371E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8D59DD4">
            <w:pPr>
              <w:rPr>
                <w:rFonts w:ascii="宋体" w:hAnsi="宋体" w:eastAsia="宋体" w:cs="宋体"/>
                <w:color w:val="auto"/>
                <w:sz w:val="20"/>
                <w:szCs w:val="20"/>
                <w:highlight w:val="none"/>
              </w:rPr>
            </w:pPr>
          </w:p>
        </w:tc>
        <w:tc>
          <w:tcPr>
            <w:tcW w:w="8569" w:type="dxa"/>
          </w:tcPr>
          <w:p w14:paraId="39BF10D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班次发布后，通过手机自动发送班次查看消息，提醒全科所有医师查看排班表；</w:t>
            </w:r>
          </w:p>
        </w:tc>
      </w:tr>
      <w:tr w14:paraId="6278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9EE06E7">
            <w:pPr>
              <w:rPr>
                <w:rFonts w:ascii="宋体" w:hAnsi="宋体" w:eastAsia="宋体" w:cs="宋体"/>
                <w:color w:val="auto"/>
                <w:sz w:val="20"/>
                <w:szCs w:val="20"/>
                <w:highlight w:val="none"/>
              </w:rPr>
            </w:pPr>
          </w:p>
        </w:tc>
        <w:tc>
          <w:tcPr>
            <w:tcW w:w="8569" w:type="dxa"/>
          </w:tcPr>
          <w:p w14:paraId="08B1C57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支持手动、自动统计周工时、历史存假、最新余欠、加班工时等；</w:t>
            </w:r>
          </w:p>
        </w:tc>
      </w:tr>
      <w:tr w14:paraId="4F98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590384">
            <w:pPr>
              <w:rPr>
                <w:rFonts w:ascii="宋体" w:hAnsi="宋体" w:eastAsia="宋体" w:cs="宋体"/>
                <w:color w:val="auto"/>
                <w:sz w:val="20"/>
                <w:szCs w:val="20"/>
                <w:highlight w:val="none"/>
              </w:rPr>
            </w:pPr>
          </w:p>
        </w:tc>
        <w:tc>
          <w:tcPr>
            <w:tcW w:w="8569" w:type="dxa"/>
          </w:tcPr>
          <w:p w14:paraId="5296248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排床表：可根据班次进行排床设置，也可跟随个人进行排床分配，并支持打印和批量设置；</w:t>
            </w:r>
          </w:p>
        </w:tc>
      </w:tr>
      <w:tr w14:paraId="0682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3C9ADD">
            <w:pPr>
              <w:rPr>
                <w:rFonts w:ascii="宋体" w:hAnsi="宋体" w:eastAsia="宋体" w:cs="宋体"/>
                <w:color w:val="auto"/>
                <w:sz w:val="20"/>
                <w:szCs w:val="20"/>
                <w:highlight w:val="none"/>
              </w:rPr>
            </w:pPr>
          </w:p>
        </w:tc>
        <w:tc>
          <w:tcPr>
            <w:tcW w:w="8569" w:type="dxa"/>
          </w:tcPr>
          <w:p w14:paraId="64A0384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可自定义隐藏/显示实习生、临时人员、进修生等人员；</w:t>
            </w:r>
          </w:p>
        </w:tc>
      </w:tr>
      <w:tr w14:paraId="71C9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B43C3BE">
            <w:pPr>
              <w:rPr>
                <w:rFonts w:ascii="宋体" w:hAnsi="宋体" w:eastAsia="宋体" w:cs="宋体"/>
                <w:color w:val="auto"/>
                <w:sz w:val="20"/>
                <w:szCs w:val="20"/>
                <w:highlight w:val="none"/>
              </w:rPr>
            </w:pPr>
          </w:p>
        </w:tc>
        <w:tc>
          <w:tcPr>
            <w:tcW w:w="8569" w:type="dxa"/>
          </w:tcPr>
          <w:p w14:paraId="7262B82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可个性化打印排班信息；</w:t>
            </w:r>
          </w:p>
        </w:tc>
      </w:tr>
      <w:tr w14:paraId="15B6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93B21C">
            <w:pPr>
              <w:rPr>
                <w:rFonts w:ascii="宋体" w:hAnsi="宋体" w:eastAsia="宋体" w:cs="宋体"/>
                <w:color w:val="auto"/>
                <w:sz w:val="20"/>
                <w:szCs w:val="20"/>
                <w:highlight w:val="none"/>
              </w:rPr>
            </w:pPr>
          </w:p>
        </w:tc>
        <w:tc>
          <w:tcPr>
            <w:tcW w:w="8569" w:type="dxa"/>
          </w:tcPr>
          <w:p w14:paraId="6108444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支持开启分页排班、界面字体偏大偏小等，个性化操作；</w:t>
            </w:r>
          </w:p>
        </w:tc>
      </w:tr>
      <w:tr w14:paraId="0195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591C42">
            <w:pPr>
              <w:rPr>
                <w:rFonts w:ascii="宋体" w:hAnsi="宋体" w:eastAsia="宋体" w:cs="宋体"/>
                <w:color w:val="auto"/>
                <w:sz w:val="20"/>
                <w:szCs w:val="20"/>
                <w:highlight w:val="none"/>
              </w:rPr>
            </w:pPr>
          </w:p>
        </w:tc>
        <w:tc>
          <w:tcPr>
            <w:tcW w:w="8569" w:type="dxa"/>
          </w:tcPr>
          <w:p w14:paraId="04F9A1F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给予权限，用户可帮助其他科室进行排班；</w:t>
            </w:r>
          </w:p>
        </w:tc>
      </w:tr>
      <w:tr w14:paraId="410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D54BD5">
            <w:pPr>
              <w:rPr>
                <w:rFonts w:ascii="宋体" w:hAnsi="宋体" w:eastAsia="宋体" w:cs="宋体"/>
                <w:color w:val="auto"/>
                <w:sz w:val="20"/>
                <w:szCs w:val="20"/>
                <w:highlight w:val="none"/>
              </w:rPr>
            </w:pPr>
          </w:p>
        </w:tc>
        <w:tc>
          <w:tcPr>
            <w:tcW w:w="8569" w:type="dxa"/>
          </w:tcPr>
          <w:p w14:paraId="36DE645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可自定义周备注内容，并可直接引用工作计划总结中的周备注，自动填入；</w:t>
            </w:r>
          </w:p>
        </w:tc>
      </w:tr>
      <w:tr w14:paraId="0994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F01B05F">
            <w:pPr>
              <w:rPr>
                <w:rFonts w:ascii="宋体" w:hAnsi="宋体" w:eastAsia="宋体" w:cs="宋体"/>
                <w:color w:val="auto"/>
                <w:sz w:val="20"/>
                <w:szCs w:val="20"/>
                <w:highlight w:val="none"/>
              </w:rPr>
            </w:pPr>
          </w:p>
        </w:tc>
        <w:tc>
          <w:tcPr>
            <w:tcW w:w="8569" w:type="dxa"/>
          </w:tcPr>
          <w:p w14:paraId="47B8E32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值班信息统计：可统计二线班、三线班、四线班等值班的排班情况；</w:t>
            </w:r>
          </w:p>
        </w:tc>
      </w:tr>
      <w:tr w14:paraId="29C8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7E1D58F">
            <w:pPr>
              <w:rPr>
                <w:rFonts w:ascii="宋体" w:hAnsi="宋体" w:eastAsia="宋体" w:cs="宋体"/>
                <w:color w:val="auto"/>
                <w:sz w:val="20"/>
                <w:szCs w:val="20"/>
                <w:highlight w:val="none"/>
              </w:rPr>
            </w:pPr>
          </w:p>
        </w:tc>
        <w:tc>
          <w:tcPr>
            <w:tcW w:w="8569" w:type="dxa"/>
          </w:tcPr>
          <w:p w14:paraId="5B639B0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可在排班表中对应天直接进行加扣班；</w:t>
            </w:r>
          </w:p>
        </w:tc>
      </w:tr>
      <w:tr w14:paraId="348D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6905CF">
            <w:pPr>
              <w:rPr>
                <w:rFonts w:ascii="宋体" w:hAnsi="宋体" w:eastAsia="宋体" w:cs="宋体"/>
                <w:color w:val="auto"/>
                <w:sz w:val="20"/>
                <w:szCs w:val="20"/>
                <w:highlight w:val="none"/>
              </w:rPr>
            </w:pPr>
          </w:p>
        </w:tc>
        <w:tc>
          <w:tcPr>
            <w:tcW w:w="8569" w:type="dxa"/>
          </w:tcPr>
          <w:p w14:paraId="23198E7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排班公告管理：可设置各科室排班需要注意的信息，进行公告并且在排班界面循环广播；</w:t>
            </w:r>
          </w:p>
        </w:tc>
      </w:tr>
      <w:tr w14:paraId="35E0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F994C25">
            <w:pPr>
              <w:rPr>
                <w:rFonts w:ascii="宋体" w:hAnsi="宋体" w:eastAsia="宋体" w:cs="宋体"/>
                <w:color w:val="auto"/>
                <w:sz w:val="20"/>
                <w:szCs w:val="20"/>
                <w:highlight w:val="none"/>
              </w:rPr>
            </w:pPr>
          </w:p>
        </w:tc>
        <w:tc>
          <w:tcPr>
            <w:tcW w:w="8569" w:type="dxa"/>
          </w:tcPr>
          <w:p w14:paraId="7EA1366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支持进行门诊班次设置，便于门诊老师为其他参与门诊的医生进行排班，并与病区排班信息互联互通；</w:t>
            </w:r>
          </w:p>
        </w:tc>
      </w:tr>
      <w:tr w14:paraId="5B90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BE280A6">
            <w:pPr>
              <w:rPr>
                <w:rFonts w:ascii="宋体" w:hAnsi="宋体" w:eastAsia="宋体" w:cs="宋体"/>
                <w:color w:val="auto"/>
                <w:sz w:val="20"/>
                <w:szCs w:val="20"/>
                <w:highlight w:val="none"/>
              </w:rPr>
            </w:pPr>
          </w:p>
        </w:tc>
        <w:tc>
          <w:tcPr>
            <w:tcW w:w="8569" w:type="dxa"/>
          </w:tcPr>
          <w:p w14:paraId="08100B2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法定节假日配置，便于自动核算出节假日的排班状况；</w:t>
            </w:r>
          </w:p>
        </w:tc>
      </w:tr>
      <w:tr w14:paraId="6228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8F6C714">
            <w:pPr>
              <w:rPr>
                <w:rFonts w:ascii="宋体" w:hAnsi="宋体" w:eastAsia="宋体" w:cs="宋体"/>
                <w:color w:val="auto"/>
                <w:sz w:val="20"/>
                <w:szCs w:val="20"/>
                <w:highlight w:val="none"/>
              </w:rPr>
            </w:pPr>
          </w:p>
        </w:tc>
        <w:tc>
          <w:tcPr>
            <w:tcW w:w="8569" w:type="dxa"/>
          </w:tcPr>
          <w:p w14:paraId="6BDCC69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排班记录：支持各病区医师长</w:t>
            </w:r>
            <w:r>
              <w:rPr>
                <w:rStyle w:val="27"/>
                <w:rFonts w:hint="eastAsia" w:eastAsia="宋体"/>
                <w:color w:val="auto"/>
                <w:highlight w:val="none"/>
                <w:lang w:eastAsia="zh-CN" w:bidi="ar"/>
              </w:rPr>
              <w:t>、</w:t>
            </w:r>
            <w:r>
              <w:rPr>
                <w:rStyle w:val="27"/>
                <w:rFonts w:hint="eastAsia" w:eastAsia="宋体"/>
                <w:color w:val="auto"/>
                <w:highlight w:val="none"/>
                <w:lang w:val="en-US" w:eastAsia="zh-CN" w:bidi="ar"/>
              </w:rPr>
              <w:t>护长</w:t>
            </w:r>
            <w:r>
              <w:rPr>
                <w:rStyle w:val="27"/>
                <w:rFonts w:hint="default"/>
                <w:color w:val="auto"/>
                <w:highlight w:val="none"/>
                <w:lang w:bidi="ar"/>
              </w:rPr>
              <w:t>进行排班、排床维护，查看排班。</w:t>
            </w:r>
          </w:p>
        </w:tc>
      </w:tr>
      <w:tr w14:paraId="6605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B023AC">
            <w:pPr>
              <w:rPr>
                <w:rFonts w:ascii="宋体" w:hAnsi="宋体" w:eastAsia="宋体" w:cs="宋体"/>
                <w:color w:val="auto"/>
                <w:sz w:val="20"/>
                <w:szCs w:val="20"/>
                <w:highlight w:val="none"/>
              </w:rPr>
            </w:pPr>
          </w:p>
        </w:tc>
        <w:tc>
          <w:tcPr>
            <w:tcW w:w="8569" w:type="dxa"/>
          </w:tcPr>
          <w:p w14:paraId="5C2EB40A">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支持科室排班员添加/删除本科室的成员（如新入职、已离职的职工）。</w:t>
            </w:r>
          </w:p>
        </w:tc>
      </w:tr>
      <w:tr w14:paraId="5CCD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DAFD833">
            <w:pPr>
              <w:rPr>
                <w:rFonts w:ascii="宋体" w:hAnsi="宋体" w:eastAsia="宋体" w:cs="宋体"/>
                <w:color w:val="auto"/>
                <w:sz w:val="20"/>
                <w:szCs w:val="20"/>
                <w:highlight w:val="none"/>
              </w:rPr>
            </w:pPr>
          </w:p>
        </w:tc>
        <w:tc>
          <w:tcPr>
            <w:tcW w:w="8569" w:type="dxa"/>
          </w:tcPr>
          <w:p w14:paraId="31C6A6B4">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支持科室考勤员/排班员签名确认月班表，或设置“提交”键（一经提交班表后不允许修改），逾期未操作的系统将自动提交。</w:t>
            </w:r>
          </w:p>
        </w:tc>
      </w:tr>
      <w:tr w14:paraId="4D0C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98B5177">
            <w:pPr>
              <w:rPr>
                <w:rFonts w:ascii="宋体" w:hAnsi="宋体" w:eastAsia="宋体" w:cs="宋体"/>
                <w:color w:val="auto"/>
                <w:sz w:val="20"/>
                <w:szCs w:val="20"/>
                <w:highlight w:val="none"/>
              </w:rPr>
            </w:pPr>
          </w:p>
        </w:tc>
        <w:tc>
          <w:tcPr>
            <w:tcW w:w="8569" w:type="dxa"/>
          </w:tcPr>
          <w:p w14:paraId="61702B30">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支持医务管理端修改/添加/删除某科室排班员，并为其分配/取消相关权限。</w:t>
            </w:r>
          </w:p>
        </w:tc>
      </w:tr>
      <w:tr w14:paraId="76F8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69" w:type="dxa"/>
            <w:vMerge w:val="continue"/>
            <w:vAlign w:val="center"/>
          </w:tcPr>
          <w:p w14:paraId="2F965466">
            <w:pPr>
              <w:rPr>
                <w:rFonts w:ascii="宋体" w:hAnsi="宋体" w:eastAsia="宋体" w:cs="宋体"/>
                <w:color w:val="auto"/>
                <w:sz w:val="20"/>
                <w:szCs w:val="20"/>
                <w:highlight w:val="none"/>
              </w:rPr>
            </w:pPr>
          </w:p>
        </w:tc>
        <w:tc>
          <w:tcPr>
            <w:tcW w:w="8569" w:type="dxa"/>
          </w:tcPr>
          <w:p w14:paraId="4509D157">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支持医务管理端设置科室排班完成截止时间及修改排班时间，如要求科室在每月5日前完成更新上个月班表并确认，逾期系统将自动提交。</w:t>
            </w:r>
          </w:p>
        </w:tc>
      </w:tr>
      <w:tr w14:paraId="1763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2CCCD0">
            <w:pPr>
              <w:rPr>
                <w:rFonts w:ascii="宋体" w:hAnsi="宋体" w:eastAsia="宋体" w:cs="宋体"/>
                <w:color w:val="auto"/>
                <w:sz w:val="20"/>
                <w:szCs w:val="20"/>
                <w:highlight w:val="none"/>
              </w:rPr>
            </w:pPr>
          </w:p>
        </w:tc>
        <w:tc>
          <w:tcPr>
            <w:tcW w:w="8569" w:type="dxa"/>
          </w:tcPr>
          <w:p w14:paraId="69205115">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操作日志可追溯（谁在何时修改了排班）。</w:t>
            </w:r>
          </w:p>
        </w:tc>
      </w:tr>
      <w:tr w14:paraId="2700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91F456E">
            <w:pPr>
              <w:rPr>
                <w:rFonts w:ascii="宋体" w:hAnsi="宋体" w:eastAsia="宋体" w:cs="宋体"/>
                <w:color w:val="auto"/>
                <w:sz w:val="20"/>
                <w:szCs w:val="20"/>
                <w:highlight w:val="none"/>
              </w:rPr>
            </w:pPr>
          </w:p>
        </w:tc>
        <w:tc>
          <w:tcPr>
            <w:tcW w:w="8569" w:type="dxa"/>
          </w:tcPr>
          <w:p w14:paraId="100A28A3">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Style w:val="32"/>
                <w:color w:val="auto"/>
                <w:highlight w:val="none"/>
                <w:lang w:bidi="ar"/>
              </w:rPr>
              <w:t>排班调整后实时同步至所有终端（含移动端）。</w:t>
            </w:r>
          </w:p>
        </w:tc>
      </w:tr>
      <w:tr w14:paraId="2FE6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9" w:type="dxa"/>
            <w:vMerge w:val="continue"/>
            <w:vAlign w:val="center"/>
          </w:tcPr>
          <w:p w14:paraId="5B12BE2E">
            <w:pPr>
              <w:rPr>
                <w:rFonts w:ascii="宋体" w:hAnsi="宋体" w:eastAsia="宋体" w:cs="宋体"/>
                <w:color w:val="auto"/>
                <w:sz w:val="20"/>
                <w:szCs w:val="20"/>
                <w:highlight w:val="none"/>
              </w:rPr>
            </w:pPr>
          </w:p>
        </w:tc>
        <w:tc>
          <w:tcPr>
            <w:tcW w:w="8569" w:type="dxa"/>
          </w:tcPr>
          <w:p w14:paraId="135DA18F">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系统支持排班员以下操作：按个人进行每月1日到31日按天进行排班，排班需要支持双班次，例如同一天的半天上班，半天休息的情况;支持使用套班进行快速排班；支持收藏套班（将某几天的班次收藏以便下次使用该套班进行快速排班）；支持清空排班，用户可以通过排班清空指定时间的所有班次；支持快速添加班次，包括按日期添加或按空白单元添加两种方式；支持将某个人的排班复制给多个其它成员；支持班次往月初或月未进行指定天数的移动。</w:t>
            </w:r>
          </w:p>
        </w:tc>
      </w:tr>
      <w:tr w14:paraId="3A44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BE4D4D3">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1.2.3 值班分析</w:t>
            </w:r>
          </w:p>
        </w:tc>
        <w:tc>
          <w:tcPr>
            <w:tcW w:w="8569" w:type="dxa"/>
          </w:tcPr>
          <w:p w14:paraId="4F89902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可查看对应科室值班信息汇总表；</w:t>
            </w:r>
          </w:p>
        </w:tc>
      </w:tr>
      <w:tr w14:paraId="3B8B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0D8678">
            <w:pPr>
              <w:rPr>
                <w:rFonts w:ascii="宋体" w:hAnsi="宋体" w:eastAsia="宋体" w:cs="宋体"/>
                <w:color w:val="auto"/>
                <w:sz w:val="20"/>
                <w:szCs w:val="20"/>
                <w:highlight w:val="none"/>
              </w:rPr>
            </w:pPr>
          </w:p>
        </w:tc>
        <w:tc>
          <w:tcPr>
            <w:tcW w:w="8569" w:type="dxa"/>
          </w:tcPr>
          <w:p w14:paraId="3FE401C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可按周次或按月份进行汇总；</w:t>
            </w:r>
          </w:p>
        </w:tc>
      </w:tr>
      <w:tr w14:paraId="3344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0AE4B1">
            <w:pPr>
              <w:rPr>
                <w:rFonts w:ascii="宋体" w:hAnsi="宋体" w:eastAsia="宋体" w:cs="宋体"/>
                <w:color w:val="auto"/>
                <w:sz w:val="20"/>
                <w:szCs w:val="20"/>
                <w:highlight w:val="none"/>
              </w:rPr>
            </w:pPr>
          </w:p>
        </w:tc>
        <w:tc>
          <w:tcPr>
            <w:tcW w:w="8569" w:type="dxa"/>
          </w:tcPr>
          <w:p w14:paraId="1C5FB02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支持查看所有历史汇总值班表。</w:t>
            </w:r>
          </w:p>
        </w:tc>
      </w:tr>
      <w:tr w14:paraId="7678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B2151F2">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1.2.4 排班查询</w:t>
            </w:r>
          </w:p>
        </w:tc>
        <w:tc>
          <w:tcPr>
            <w:tcW w:w="8569" w:type="dxa"/>
          </w:tcPr>
          <w:p w14:paraId="3564E6D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支持按组织架构树查看全院人员排班情况，并展示组名、工号、层级、人员姓名、余假、余假累计、工时欠存、备注、自定义周备注等信息；</w:t>
            </w:r>
          </w:p>
        </w:tc>
      </w:tr>
      <w:tr w14:paraId="0F90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59D8F1D">
            <w:pPr>
              <w:rPr>
                <w:rFonts w:ascii="宋体" w:hAnsi="宋体" w:eastAsia="宋体" w:cs="宋体"/>
                <w:color w:val="auto"/>
                <w:sz w:val="20"/>
                <w:szCs w:val="20"/>
                <w:highlight w:val="none"/>
              </w:rPr>
            </w:pPr>
          </w:p>
        </w:tc>
        <w:tc>
          <w:tcPr>
            <w:tcW w:w="8569" w:type="dxa"/>
          </w:tcPr>
          <w:p w14:paraId="0979005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可自定义设置打印内容，并支持打印导出；</w:t>
            </w:r>
          </w:p>
        </w:tc>
      </w:tr>
      <w:tr w14:paraId="23A8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FB4598">
            <w:pPr>
              <w:rPr>
                <w:rFonts w:ascii="宋体" w:hAnsi="宋体" w:eastAsia="宋体" w:cs="宋体"/>
                <w:color w:val="auto"/>
                <w:sz w:val="20"/>
                <w:szCs w:val="20"/>
                <w:highlight w:val="none"/>
              </w:rPr>
            </w:pPr>
          </w:p>
        </w:tc>
        <w:tc>
          <w:tcPr>
            <w:tcW w:w="8569" w:type="dxa"/>
          </w:tcPr>
          <w:p w14:paraId="3981690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可进行表格边框加深、打印间距等自定义调整；</w:t>
            </w:r>
          </w:p>
        </w:tc>
      </w:tr>
      <w:tr w14:paraId="1849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29AEC8B">
            <w:pPr>
              <w:rPr>
                <w:rFonts w:ascii="宋体" w:hAnsi="宋体" w:eastAsia="宋体" w:cs="宋体"/>
                <w:color w:val="auto"/>
                <w:sz w:val="20"/>
                <w:szCs w:val="20"/>
                <w:highlight w:val="none"/>
              </w:rPr>
            </w:pPr>
          </w:p>
        </w:tc>
        <w:tc>
          <w:tcPr>
            <w:tcW w:w="8569" w:type="dxa"/>
          </w:tcPr>
          <w:p w14:paraId="3C99E61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 xml:space="preserve">  支持排班公告管理设置，方便在规定科室范围展示通知对应的排班公告信息，支持APP中公告查询。</w:t>
            </w:r>
          </w:p>
        </w:tc>
      </w:tr>
      <w:tr w14:paraId="074F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89D324E">
            <w:pPr>
              <w:rPr>
                <w:rFonts w:ascii="宋体" w:hAnsi="宋体" w:eastAsia="宋体" w:cs="宋体"/>
                <w:color w:val="auto"/>
                <w:sz w:val="20"/>
                <w:szCs w:val="20"/>
                <w:highlight w:val="none"/>
              </w:rPr>
            </w:pPr>
          </w:p>
        </w:tc>
        <w:tc>
          <w:tcPr>
            <w:tcW w:w="8569" w:type="dxa"/>
          </w:tcPr>
          <w:p w14:paraId="61F6737B">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支持智能检索。如：XXX科X医生下周的夜班。</w:t>
            </w:r>
          </w:p>
        </w:tc>
      </w:tr>
      <w:tr w14:paraId="1249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60C93BD">
            <w:pPr>
              <w:rPr>
                <w:rFonts w:ascii="宋体" w:hAnsi="宋体" w:eastAsia="宋体" w:cs="宋体"/>
                <w:color w:val="auto"/>
                <w:sz w:val="20"/>
                <w:szCs w:val="20"/>
                <w:highlight w:val="none"/>
              </w:rPr>
            </w:pPr>
          </w:p>
        </w:tc>
        <w:tc>
          <w:tcPr>
            <w:tcW w:w="8569" w:type="dxa"/>
          </w:tcPr>
          <w:p w14:paraId="06C17FE3">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 xml:space="preserve">按日期/周/月/自定义时段查询排班表 </w:t>
            </w:r>
          </w:p>
        </w:tc>
      </w:tr>
      <w:tr w14:paraId="76E0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B49EBF">
            <w:pPr>
              <w:rPr>
                <w:rFonts w:ascii="宋体" w:hAnsi="宋体" w:eastAsia="宋体" w:cs="宋体"/>
                <w:color w:val="auto"/>
                <w:sz w:val="20"/>
                <w:szCs w:val="20"/>
                <w:highlight w:val="none"/>
              </w:rPr>
            </w:pPr>
          </w:p>
        </w:tc>
        <w:tc>
          <w:tcPr>
            <w:tcW w:w="8569" w:type="dxa"/>
          </w:tcPr>
          <w:p w14:paraId="57B376C1">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 xml:space="preserve">支持按科室、病区、职称筛选  </w:t>
            </w:r>
          </w:p>
        </w:tc>
      </w:tr>
      <w:tr w14:paraId="09C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EF9796">
            <w:pPr>
              <w:rPr>
                <w:rFonts w:ascii="宋体" w:hAnsi="宋体" w:eastAsia="宋体" w:cs="宋体"/>
                <w:color w:val="auto"/>
                <w:sz w:val="20"/>
                <w:szCs w:val="20"/>
                <w:highlight w:val="none"/>
              </w:rPr>
            </w:pPr>
          </w:p>
        </w:tc>
        <w:tc>
          <w:tcPr>
            <w:tcW w:w="8569" w:type="dxa"/>
          </w:tcPr>
          <w:p w14:paraId="2B9EB877">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 xml:space="preserve">显示班次类型（如白班、夜班、备班）、时间区间、值班地点  </w:t>
            </w:r>
          </w:p>
        </w:tc>
      </w:tr>
      <w:tr w14:paraId="2AEC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0C1E735">
            <w:pPr>
              <w:rPr>
                <w:rFonts w:ascii="宋体" w:hAnsi="宋体" w:eastAsia="宋体" w:cs="宋体"/>
                <w:color w:val="auto"/>
                <w:sz w:val="20"/>
                <w:szCs w:val="20"/>
                <w:highlight w:val="none"/>
              </w:rPr>
            </w:pPr>
          </w:p>
        </w:tc>
        <w:tc>
          <w:tcPr>
            <w:tcW w:w="8569" w:type="dxa"/>
          </w:tcPr>
          <w:p w14:paraId="3720EECE">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 xml:space="preserve">按姓名、工号查询个人排班（含历史排班记录）  </w:t>
            </w:r>
          </w:p>
        </w:tc>
      </w:tr>
      <w:tr w14:paraId="62B4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96EC37">
            <w:pPr>
              <w:rPr>
                <w:rFonts w:ascii="宋体" w:hAnsi="宋体" w:eastAsia="宋体" w:cs="宋体"/>
                <w:color w:val="auto"/>
                <w:sz w:val="20"/>
                <w:szCs w:val="20"/>
                <w:highlight w:val="none"/>
              </w:rPr>
            </w:pPr>
          </w:p>
        </w:tc>
        <w:tc>
          <w:tcPr>
            <w:tcW w:w="8569" w:type="dxa"/>
          </w:tcPr>
          <w:p w14:paraId="78FBBF94">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 xml:space="preserve">支持跨科室查询（如多科室兼职人员）  </w:t>
            </w:r>
          </w:p>
        </w:tc>
      </w:tr>
      <w:tr w14:paraId="4C29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9" w:type="dxa"/>
            <w:vMerge w:val="continue"/>
            <w:vAlign w:val="center"/>
          </w:tcPr>
          <w:p w14:paraId="60986372">
            <w:pPr>
              <w:rPr>
                <w:rFonts w:ascii="宋体" w:hAnsi="宋体" w:eastAsia="宋体" w:cs="宋体"/>
                <w:color w:val="auto"/>
                <w:sz w:val="20"/>
                <w:szCs w:val="20"/>
                <w:highlight w:val="none"/>
              </w:rPr>
            </w:pPr>
          </w:p>
        </w:tc>
        <w:tc>
          <w:tcPr>
            <w:tcW w:w="8569" w:type="dxa"/>
          </w:tcPr>
          <w:p w14:paraId="629B62F2">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 xml:space="preserve">自动标红显示排班冲突（如同一人同一时间重复排班）  </w:t>
            </w:r>
          </w:p>
        </w:tc>
      </w:tr>
      <w:tr w14:paraId="3E2A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CE78A5">
            <w:pPr>
              <w:rPr>
                <w:rFonts w:ascii="宋体" w:hAnsi="宋体" w:eastAsia="宋体" w:cs="宋体"/>
                <w:color w:val="auto"/>
                <w:sz w:val="20"/>
                <w:szCs w:val="20"/>
                <w:highlight w:val="none"/>
              </w:rPr>
            </w:pPr>
          </w:p>
        </w:tc>
        <w:tc>
          <w:tcPr>
            <w:tcW w:w="8569" w:type="dxa"/>
          </w:tcPr>
          <w:p w14:paraId="4C14D14A">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支持医务管理端或科室考勤员（排班员）查看全科排班视图（支持导出Excel/PDF）</w:t>
            </w:r>
          </w:p>
        </w:tc>
      </w:tr>
      <w:tr w14:paraId="53AE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7CB06B2">
            <w:pPr>
              <w:rPr>
                <w:rFonts w:ascii="宋体" w:hAnsi="宋体" w:eastAsia="宋体" w:cs="宋体"/>
                <w:color w:val="auto"/>
                <w:sz w:val="20"/>
                <w:szCs w:val="20"/>
                <w:highlight w:val="none"/>
              </w:rPr>
            </w:pPr>
          </w:p>
        </w:tc>
        <w:tc>
          <w:tcPr>
            <w:tcW w:w="8569" w:type="dxa"/>
          </w:tcPr>
          <w:p w14:paraId="3ACECA16">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支持查询个人的出勤时长，请休假情况，值班情况等信息。</w:t>
            </w:r>
          </w:p>
        </w:tc>
      </w:tr>
      <w:tr w14:paraId="5B4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D04EF41">
            <w:pPr>
              <w:rPr>
                <w:rFonts w:ascii="宋体" w:hAnsi="宋体" w:eastAsia="宋体" w:cs="宋体"/>
                <w:color w:val="auto"/>
                <w:sz w:val="20"/>
                <w:szCs w:val="20"/>
                <w:highlight w:val="none"/>
              </w:rPr>
            </w:pPr>
          </w:p>
        </w:tc>
        <w:tc>
          <w:tcPr>
            <w:tcW w:w="8569" w:type="dxa"/>
          </w:tcPr>
          <w:p w14:paraId="763B54E7">
            <w:pPr>
              <w:widowControl/>
              <w:textAlignment w:val="top"/>
              <w:rPr>
                <w:rFonts w:ascii="宋体" w:hAnsi="宋体" w:eastAsia="宋体" w:cs="宋体"/>
                <w:color w:val="auto"/>
                <w:sz w:val="20"/>
                <w:szCs w:val="20"/>
                <w:highlight w:val="none"/>
              </w:rPr>
            </w:pPr>
            <w:r>
              <w:rPr>
                <w:rStyle w:val="26"/>
                <w:rFonts w:eastAsia="宋体"/>
                <w:color w:val="auto"/>
                <w:highlight w:val="none"/>
                <w:lang w:bidi="ar"/>
              </w:rPr>
              <w:t></w:t>
            </w:r>
            <w:r>
              <w:rPr>
                <w:rFonts w:ascii="宋体" w:hAnsi="宋体" w:eastAsia="宋体" w:cs="宋体"/>
                <w:color w:val="auto"/>
                <w:kern w:val="0"/>
                <w:sz w:val="20"/>
                <w:szCs w:val="20"/>
                <w:highlight w:val="none"/>
                <w:lang w:bidi="ar"/>
              </w:rPr>
              <w:t>支持医务管理端多维度自定义查询字段，如：某时间段某科室一值、二值、三值的名单；某时间段全院科室一值名单，等等。并支持导出打印。</w:t>
            </w:r>
          </w:p>
        </w:tc>
      </w:tr>
      <w:tr w14:paraId="215C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4770C88">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1.2.5 排班统计</w:t>
            </w:r>
          </w:p>
        </w:tc>
        <w:tc>
          <w:tcPr>
            <w:tcW w:w="8569" w:type="dxa"/>
          </w:tcPr>
          <w:p w14:paraId="3108D69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月出勤</w:t>
            </w:r>
          </w:p>
        </w:tc>
      </w:tr>
      <w:tr w14:paraId="650B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9B9805">
            <w:pPr>
              <w:rPr>
                <w:rFonts w:ascii="宋体" w:hAnsi="宋体" w:eastAsia="宋体" w:cs="宋体"/>
                <w:color w:val="auto"/>
                <w:sz w:val="20"/>
                <w:szCs w:val="20"/>
                <w:highlight w:val="none"/>
              </w:rPr>
            </w:pPr>
          </w:p>
        </w:tc>
        <w:tc>
          <w:tcPr>
            <w:tcW w:w="8569" w:type="dxa"/>
          </w:tcPr>
          <w:p w14:paraId="23C65C4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可查看自定义统计时间段内的科室每人每日考勤情况并自动联动外出进修、异动、支援等业务；</w:t>
            </w:r>
          </w:p>
        </w:tc>
      </w:tr>
      <w:tr w14:paraId="3D97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E2E789">
            <w:pPr>
              <w:rPr>
                <w:rFonts w:ascii="宋体" w:hAnsi="宋体" w:eastAsia="宋体" w:cs="宋体"/>
                <w:color w:val="auto"/>
                <w:sz w:val="20"/>
                <w:szCs w:val="20"/>
                <w:highlight w:val="none"/>
              </w:rPr>
            </w:pPr>
          </w:p>
        </w:tc>
        <w:tc>
          <w:tcPr>
            <w:tcW w:w="8569" w:type="dxa"/>
          </w:tcPr>
          <w:p w14:paraId="186978B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可自动统计统计时间段内，公休、休假、白班、晚班、夜班、行政班、辅助班、门诊班、加班、扣班、请假天数、总出勤天数等情况；</w:t>
            </w:r>
          </w:p>
        </w:tc>
      </w:tr>
      <w:tr w14:paraId="3FFC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4E6B70">
            <w:pPr>
              <w:rPr>
                <w:rFonts w:ascii="宋体" w:hAnsi="宋体" w:eastAsia="宋体" w:cs="宋体"/>
                <w:color w:val="auto"/>
                <w:sz w:val="20"/>
                <w:szCs w:val="20"/>
                <w:highlight w:val="none"/>
              </w:rPr>
            </w:pPr>
          </w:p>
        </w:tc>
        <w:tc>
          <w:tcPr>
            <w:tcW w:w="8569" w:type="dxa"/>
          </w:tcPr>
          <w:p w14:paraId="3ED817A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支持统计表表头自定义设置和导出；</w:t>
            </w:r>
          </w:p>
        </w:tc>
      </w:tr>
      <w:tr w14:paraId="7703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308491">
            <w:pPr>
              <w:rPr>
                <w:rFonts w:ascii="宋体" w:hAnsi="宋体" w:eastAsia="宋体" w:cs="宋体"/>
                <w:color w:val="auto"/>
                <w:sz w:val="20"/>
                <w:szCs w:val="20"/>
                <w:highlight w:val="none"/>
              </w:rPr>
            </w:pPr>
          </w:p>
        </w:tc>
        <w:tc>
          <w:tcPr>
            <w:tcW w:w="8569" w:type="dxa"/>
          </w:tcPr>
          <w:p w14:paraId="4BFCB48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法定假期会特殊标记进行标红；</w:t>
            </w:r>
          </w:p>
        </w:tc>
      </w:tr>
      <w:tr w14:paraId="0F78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2E467A">
            <w:pPr>
              <w:rPr>
                <w:rFonts w:ascii="宋体" w:hAnsi="宋体" w:eastAsia="宋体" w:cs="宋体"/>
                <w:color w:val="auto"/>
                <w:sz w:val="20"/>
                <w:szCs w:val="20"/>
                <w:highlight w:val="none"/>
              </w:rPr>
            </w:pPr>
          </w:p>
        </w:tc>
        <w:tc>
          <w:tcPr>
            <w:tcW w:w="8569" w:type="dxa"/>
          </w:tcPr>
          <w:p w14:paraId="4D79392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支持临时人员的月出勤统计。</w:t>
            </w:r>
          </w:p>
        </w:tc>
      </w:tr>
      <w:tr w14:paraId="3EDE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93156A">
            <w:pPr>
              <w:rPr>
                <w:rFonts w:ascii="宋体" w:hAnsi="宋体" w:eastAsia="宋体" w:cs="宋体"/>
                <w:color w:val="auto"/>
                <w:sz w:val="20"/>
                <w:szCs w:val="20"/>
                <w:highlight w:val="none"/>
              </w:rPr>
            </w:pPr>
          </w:p>
        </w:tc>
        <w:tc>
          <w:tcPr>
            <w:tcW w:w="8569" w:type="dxa"/>
          </w:tcPr>
          <w:p w14:paraId="78CBD40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节假日排班</w:t>
            </w:r>
          </w:p>
        </w:tc>
      </w:tr>
      <w:tr w14:paraId="5DD7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9078009">
            <w:pPr>
              <w:rPr>
                <w:rFonts w:ascii="宋体" w:hAnsi="宋体" w:eastAsia="宋体" w:cs="宋体"/>
                <w:color w:val="auto"/>
                <w:sz w:val="20"/>
                <w:szCs w:val="20"/>
                <w:highlight w:val="none"/>
              </w:rPr>
            </w:pPr>
          </w:p>
        </w:tc>
        <w:tc>
          <w:tcPr>
            <w:tcW w:w="8569" w:type="dxa"/>
          </w:tcPr>
          <w:p w14:paraId="7FC2C20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支持所有法定节假日的各科室值班人员统计，如：元旦、除夕、春节、清明节、劳动节、端午节、中秋节、国庆节等；</w:t>
            </w:r>
          </w:p>
        </w:tc>
      </w:tr>
      <w:tr w14:paraId="1643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8A0AD0A">
            <w:pPr>
              <w:rPr>
                <w:rFonts w:ascii="宋体" w:hAnsi="宋体" w:eastAsia="宋体" w:cs="宋体"/>
                <w:color w:val="auto"/>
                <w:sz w:val="20"/>
                <w:szCs w:val="20"/>
                <w:highlight w:val="none"/>
              </w:rPr>
            </w:pPr>
          </w:p>
        </w:tc>
        <w:tc>
          <w:tcPr>
            <w:tcW w:w="8569" w:type="dxa"/>
          </w:tcPr>
          <w:p w14:paraId="25E7193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支持值班类型和人员的自定义筛选，并可打印导出。</w:t>
            </w:r>
          </w:p>
        </w:tc>
      </w:tr>
      <w:tr w14:paraId="7365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69" w:type="dxa"/>
            <w:vMerge w:val="continue"/>
            <w:vAlign w:val="center"/>
          </w:tcPr>
          <w:p w14:paraId="526C829A">
            <w:pPr>
              <w:rPr>
                <w:rFonts w:ascii="宋体" w:hAnsi="宋体" w:eastAsia="宋体" w:cs="宋体"/>
                <w:color w:val="auto"/>
                <w:sz w:val="20"/>
                <w:szCs w:val="20"/>
                <w:highlight w:val="none"/>
              </w:rPr>
            </w:pPr>
          </w:p>
        </w:tc>
        <w:tc>
          <w:tcPr>
            <w:tcW w:w="8569" w:type="dxa"/>
          </w:tcPr>
          <w:p w14:paraId="4BFCF6A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绩效系数</w:t>
            </w:r>
          </w:p>
        </w:tc>
      </w:tr>
      <w:tr w14:paraId="324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B39C631">
            <w:pPr>
              <w:rPr>
                <w:rFonts w:ascii="宋体" w:hAnsi="宋体" w:eastAsia="宋体" w:cs="宋体"/>
                <w:color w:val="auto"/>
                <w:sz w:val="20"/>
                <w:szCs w:val="20"/>
                <w:highlight w:val="none"/>
              </w:rPr>
            </w:pPr>
          </w:p>
        </w:tc>
        <w:tc>
          <w:tcPr>
            <w:tcW w:w="8569" w:type="dxa"/>
          </w:tcPr>
          <w:p w14:paraId="6DA687A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根据班次设置中每个班次类型对应的绩效系数进行统计；</w:t>
            </w:r>
          </w:p>
        </w:tc>
      </w:tr>
      <w:tr w14:paraId="54AB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E68D58">
            <w:pPr>
              <w:rPr>
                <w:rFonts w:ascii="宋体" w:hAnsi="宋体" w:eastAsia="宋体" w:cs="宋体"/>
                <w:color w:val="auto"/>
                <w:sz w:val="20"/>
                <w:szCs w:val="20"/>
                <w:highlight w:val="none"/>
              </w:rPr>
            </w:pPr>
          </w:p>
        </w:tc>
        <w:tc>
          <w:tcPr>
            <w:tcW w:w="8569" w:type="dxa"/>
          </w:tcPr>
          <w:p w14:paraId="77A8540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可切换对应科室，可统计时间进行查询统计；</w:t>
            </w:r>
          </w:p>
        </w:tc>
      </w:tr>
      <w:tr w14:paraId="1ABD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C63996">
            <w:pPr>
              <w:rPr>
                <w:rFonts w:ascii="宋体" w:hAnsi="宋体" w:eastAsia="宋体" w:cs="宋体"/>
                <w:color w:val="auto"/>
                <w:sz w:val="20"/>
                <w:szCs w:val="20"/>
                <w:highlight w:val="none"/>
              </w:rPr>
            </w:pPr>
          </w:p>
        </w:tc>
        <w:tc>
          <w:tcPr>
            <w:tcW w:w="8569" w:type="dxa"/>
          </w:tcPr>
          <w:p w14:paraId="238DEA4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统计人员姓名、对应班次总系数、对应班次总工时、对应班次总班种数等信息并支持导出。</w:t>
            </w:r>
          </w:p>
        </w:tc>
      </w:tr>
      <w:tr w14:paraId="0D20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630CC59">
            <w:pPr>
              <w:rPr>
                <w:rFonts w:ascii="宋体" w:hAnsi="宋体" w:eastAsia="宋体" w:cs="宋体"/>
                <w:color w:val="auto"/>
                <w:sz w:val="20"/>
                <w:szCs w:val="20"/>
                <w:highlight w:val="none"/>
              </w:rPr>
            </w:pPr>
          </w:p>
        </w:tc>
        <w:tc>
          <w:tcPr>
            <w:tcW w:w="8569" w:type="dxa"/>
          </w:tcPr>
          <w:p w14:paraId="65C6111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6"/>
                <w:rFonts w:hint="eastAsia" w:eastAsia="宋体"/>
                <w:color w:val="auto"/>
                <w:highlight w:val="none"/>
                <w:lang w:eastAsia="zh-CN" w:bidi="ar"/>
              </w:rPr>
              <w:t>执业医务人员</w:t>
            </w:r>
            <w:r>
              <w:rPr>
                <w:rStyle w:val="27"/>
                <w:rFonts w:hint="default"/>
                <w:color w:val="auto"/>
                <w:highlight w:val="none"/>
                <w:lang w:bidi="ar"/>
              </w:rPr>
              <w:t>上班小时数</w:t>
            </w:r>
          </w:p>
        </w:tc>
      </w:tr>
      <w:tr w14:paraId="6077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7AC32C9">
            <w:pPr>
              <w:rPr>
                <w:rFonts w:ascii="宋体" w:hAnsi="宋体" w:eastAsia="宋体" w:cs="宋体"/>
                <w:color w:val="auto"/>
                <w:sz w:val="20"/>
                <w:szCs w:val="20"/>
                <w:highlight w:val="none"/>
              </w:rPr>
            </w:pPr>
          </w:p>
        </w:tc>
        <w:tc>
          <w:tcPr>
            <w:tcW w:w="8569" w:type="dxa"/>
          </w:tcPr>
          <w:p w14:paraId="3A82EBF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按月、按年查询，每个科室的具体执业</w:t>
            </w:r>
            <w:r>
              <w:rPr>
                <w:rStyle w:val="27"/>
                <w:rFonts w:hint="eastAsia" w:eastAsia="宋体"/>
                <w:color w:val="auto"/>
                <w:highlight w:val="none"/>
                <w:lang w:eastAsia="zh-CN" w:bidi="ar"/>
              </w:rPr>
              <w:t>人员</w:t>
            </w:r>
            <w:r>
              <w:rPr>
                <w:rStyle w:val="27"/>
                <w:rFonts w:hint="default"/>
                <w:color w:val="auto"/>
                <w:highlight w:val="none"/>
                <w:lang w:bidi="ar"/>
              </w:rPr>
              <w:t>上报小时数，并支持合计和导出。</w:t>
            </w:r>
          </w:p>
        </w:tc>
      </w:tr>
      <w:tr w14:paraId="44B7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7586CA">
            <w:pPr>
              <w:rPr>
                <w:rFonts w:ascii="宋体" w:hAnsi="宋体" w:eastAsia="宋体" w:cs="宋体"/>
                <w:color w:val="auto"/>
                <w:sz w:val="20"/>
                <w:szCs w:val="20"/>
                <w:highlight w:val="none"/>
              </w:rPr>
            </w:pPr>
          </w:p>
        </w:tc>
        <w:tc>
          <w:tcPr>
            <w:tcW w:w="8569" w:type="dxa"/>
          </w:tcPr>
          <w:p w14:paraId="56507ED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月班次类型个数统计</w:t>
            </w:r>
          </w:p>
        </w:tc>
      </w:tr>
      <w:tr w14:paraId="47F9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CBB61F1">
            <w:pPr>
              <w:rPr>
                <w:rFonts w:ascii="宋体" w:hAnsi="宋体" w:eastAsia="宋体" w:cs="宋体"/>
                <w:color w:val="auto"/>
                <w:sz w:val="20"/>
                <w:szCs w:val="20"/>
                <w:highlight w:val="none"/>
              </w:rPr>
            </w:pPr>
          </w:p>
        </w:tc>
        <w:tc>
          <w:tcPr>
            <w:tcW w:w="8569" w:type="dxa"/>
          </w:tcPr>
          <w:p w14:paraId="1A1CEBF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科室汇总模式：通过科室模式进行白班、晚班、夜班、行政班、辅助班、门诊班、按班次系数计算，统计各科室每月的情况，并支持导出；</w:t>
            </w:r>
          </w:p>
        </w:tc>
      </w:tr>
      <w:tr w14:paraId="1826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744221E">
            <w:pPr>
              <w:rPr>
                <w:rFonts w:ascii="宋体" w:hAnsi="宋体" w:eastAsia="宋体" w:cs="宋体"/>
                <w:color w:val="auto"/>
                <w:sz w:val="20"/>
                <w:szCs w:val="20"/>
                <w:highlight w:val="none"/>
              </w:rPr>
            </w:pPr>
          </w:p>
        </w:tc>
        <w:tc>
          <w:tcPr>
            <w:tcW w:w="8569" w:type="dxa"/>
          </w:tcPr>
          <w:p w14:paraId="66E90FD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科室班次模式：通过所有科室排班的班次类型名称进行每月每个班次每人分布情况进行统计，并支持打印导出；</w:t>
            </w:r>
          </w:p>
        </w:tc>
      </w:tr>
      <w:tr w14:paraId="7A87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AFB648">
            <w:pPr>
              <w:rPr>
                <w:rFonts w:ascii="宋体" w:hAnsi="宋体" w:eastAsia="宋体" w:cs="宋体"/>
                <w:color w:val="auto"/>
                <w:sz w:val="20"/>
                <w:szCs w:val="20"/>
                <w:highlight w:val="none"/>
              </w:rPr>
            </w:pPr>
          </w:p>
        </w:tc>
        <w:tc>
          <w:tcPr>
            <w:tcW w:w="8569" w:type="dxa"/>
          </w:tcPr>
          <w:p w14:paraId="727A544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个人模式：按个人为单位，查看每人每月上白班、晚班、夜班、门诊班、行政班、辅助班等情况，并支持导出。</w:t>
            </w:r>
          </w:p>
        </w:tc>
      </w:tr>
      <w:tr w14:paraId="7A03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43AED5">
            <w:pPr>
              <w:rPr>
                <w:rFonts w:ascii="宋体" w:hAnsi="宋体" w:eastAsia="宋体" w:cs="宋体"/>
                <w:color w:val="auto"/>
                <w:sz w:val="20"/>
                <w:szCs w:val="20"/>
                <w:highlight w:val="none"/>
              </w:rPr>
            </w:pPr>
          </w:p>
        </w:tc>
        <w:tc>
          <w:tcPr>
            <w:tcW w:w="8569" w:type="dxa"/>
          </w:tcPr>
          <w:p w14:paraId="018D9A4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节假日上班天数统计</w:t>
            </w:r>
          </w:p>
        </w:tc>
      </w:tr>
      <w:tr w14:paraId="3689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E9DA43">
            <w:pPr>
              <w:rPr>
                <w:rFonts w:ascii="宋体" w:hAnsi="宋体" w:eastAsia="宋体" w:cs="宋体"/>
                <w:color w:val="auto"/>
                <w:sz w:val="20"/>
                <w:szCs w:val="20"/>
                <w:highlight w:val="none"/>
              </w:rPr>
            </w:pPr>
          </w:p>
        </w:tc>
        <w:tc>
          <w:tcPr>
            <w:tcW w:w="8569" w:type="dxa"/>
          </w:tcPr>
          <w:p w14:paraId="7D6C4A6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支持按人为单位进行每人每年，节假日上班天数，如：元旦、除夕、春节、清明节、劳动节、端午节、中秋节、国庆节和合计等情况；</w:t>
            </w:r>
          </w:p>
        </w:tc>
      </w:tr>
      <w:tr w14:paraId="0436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FE81720">
            <w:pPr>
              <w:rPr>
                <w:rFonts w:ascii="宋体" w:hAnsi="宋体" w:eastAsia="宋体" w:cs="宋体"/>
                <w:color w:val="auto"/>
                <w:sz w:val="20"/>
                <w:szCs w:val="20"/>
                <w:highlight w:val="none"/>
              </w:rPr>
            </w:pPr>
          </w:p>
        </w:tc>
        <w:tc>
          <w:tcPr>
            <w:tcW w:w="8569" w:type="dxa"/>
          </w:tcPr>
          <w:p w14:paraId="6DCFEF7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提供按科室、按年份进行查询统计，并支持打印导出。</w:t>
            </w:r>
          </w:p>
        </w:tc>
      </w:tr>
      <w:tr w14:paraId="2183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B034CA8">
            <w:pPr>
              <w:rPr>
                <w:rFonts w:ascii="宋体" w:hAnsi="宋体" w:eastAsia="宋体" w:cs="宋体"/>
                <w:color w:val="auto"/>
                <w:sz w:val="20"/>
                <w:szCs w:val="20"/>
                <w:highlight w:val="none"/>
              </w:rPr>
            </w:pPr>
          </w:p>
        </w:tc>
        <w:tc>
          <w:tcPr>
            <w:tcW w:w="8569" w:type="dxa"/>
          </w:tcPr>
          <w:p w14:paraId="379B50E4">
            <w:pPr>
              <w:widowControl/>
              <w:textAlignment w:val="top"/>
              <w:rPr>
                <w:rFonts w:hint="eastAsia" w:ascii="Wingdings" w:hAnsi="Wingdings" w:eastAsia="宋体" w:cs="Wingdings"/>
                <w:color w:val="auto"/>
                <w:sz w:val="20"/>
                <w:szCs w:val="20"/>
                <w:highlight w:val="none"/>
                <w:lang w:eastAsia="zh-CN"/>
              </w:rPr>
            </w:pPr>
            <w:r>
              <w:rPr>
                <w:rStyle w:val="26"/>
                <w:rFonts w:eastAsia="宋体"/>
                <w:color w:val="auto"/>
                <w:highlight w:val="none"/>
                <w:lang w:bidi="ar"/>
              </w:rPr>
              <w:t></w:t>
            </w:r>
            <w:r>
              <w:rPr>
                <w:rStyle w:val="27"/>
                <w:rFonts w:hint="default"/>
                <w:color w:val="auto"/>
                <w:highlight w:val="none"/>
                <w:lang w:bidi="ar"/>
              </w:rPr>
              <w:t>门诊出勤统计</w:t>
            </w:r>
            <w:r>
              <w:rPr>
                <w:rStyle w:val="27"/>
                <w:rFonts w:hint="eastAsia" w:eastAsia="宋体"/>
                <w:color w:val="auto"/>
                <w:highlight w:val="none"/>
                <w:lang w:eastAsia="zh-CN" w:bidi="ar"/>
              </w:rPr>
              <w:t>（在院方开放医生排班接口情况下，支持获取医生出诊数据）</w:t>
            </w:r>
          </w:p>
        </w:tc>
      </w:tr>
      <w:tr w14:paraId="4254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5C72C0">
            <w:pPr>
              <w:rPr>
                <w:rFonts w:ascii="宋体" w:hAnsi="宋体" w:eastAsia="宋体" w:cs="宋体"/>
                <w:color w:val="auto"/>
                <w:sz w:val="20"/>
                <w:szCs w:val="20"/>
                <w:highlight w:val="none"/>
              </w:rPr>
            </w:pPr>
          </w:p>
        </w:tc>
        <w:tc>
          <w:tcPr>
            <w:tcW w:w="8569" w:type="dxa"/>
          </w:tcPr>
          <w:p w14:paraId="331AABD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自动形成门诊月排班统计明细；</w:t>
            </w:r>
          </w:p>
        </w:tc>
      </w:tr>
      <w:tr w14:paraId="2EA0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4ED6492">
            <w:pPr>
              <w:rPr>
                <w:rFonts w:ascii="宋体" w:hAnsi="宋体" w:eastAsia="宋体" w:cs="宋体"/>
                <w:color w:val="auto"/>
                <w:sz w:val="20"/>
                <w:szCs w:val="20"/>
                <w:highlight w:val="none"/>
              </w:rPr>
            </w:pPr>
          </w:p>
        </w:tc>
        <w:tc>
          <w:tcPr>
            <w:tcW w:w="8569" w:type="dxa"/>
          </w:tcPr>
          <w:p w14:paraId="7E48166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支持按科室、按日期进行查询。</w:t>
            </w:r>
          </w:p>
        </w:tc>
      </w:tr>
      <w:tr w14:paraId="3417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3F8B9EE2">
            <w:pP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数据开放</w:t>
            </w:r>
          </w:p>
        </w:tc>
        <w:tc>
          <w:tcPr>
            <w:tcW w:w="8569" w:type="dxa"/>
          </w:tcPr>
          <w:p w14:paraId="675326E1">
            <w:pPr>
              <w:widowControl/>
              <w:textAlignment w:val="top"/>
              <w:rPr>
                <w:rStyle w:val="26"/>
                <w:rFonts w:hint="default" w:ascii="宋体" w:hAnsi="宋体" w:eastAsia="宋体" w:cs="宋体"/>
                <w:color w:val="auto"/>
                <w:highlight w:val="none"/>
                <w:lang w:val="en-US" w:eastAsia="zh-CN" w:bidi="ar"/>
              </w:rPr>
            </w:pPr>
            <w:r>
              <w:rPr>
                <w:rStyle w:val="26"/>
                <w:rFonts w:hint="eastAsia" w:ascii="宋体" w:hAnsi="宋体" w:eastAsia="宋体" w:cs="宋体"/>
                <w:color w:val="auto"/>
                <w:highlight w:val="none"/>
                <w:lang w:val="en-US" w:eastAsia="zh-CN" w:bidi="ar"/>
              </w:rPr>
              <w:t>支持开放院方指定的数据接口，院内其他系统有可能对接获取部分数据。</w:t>
            </w:r>
          </w:p>
        </w:tc>
      </w:tr>
    </w:tbl>
    <w:p w14:paraId="48A53A62">
      <w:pPr>
        <w:widowControl/>
        <w:jc w:val="both"/>
        <w:textAlignment w:val="center"/>
        <w:rPr>
          <w:highlight w:val="none"/>
        </w:rPr>
      </w:pPr>
    </w:p>
    <w:p w14:paraId="1210E2FB">
      <w:pPr>
        <w:pStyle w:val="7"/>
        <w:widowControl/>
        <w:jc w:val="left"/>
        <w:textAlignment w:val="center"/>
        <w:outlineLvl w:val="1"/>
        <w:rPr>
          <w:rFonts w:hint="eastAsia"/>
          <w:highlight w:val="none"/>
        </w:rPr>
      </w:pPr>
      <w:bookmarkStart w:id="5" w:name="_Toc12432"/>
      <w:r>
        <w:rPr>
          <w:rFonts w:hint="eastAsia"/>
          <w:highlight w:val="none"/>
        </w:rPr>
        <w:t>1.3 资质授权准入</w:t>
      </w:r>
      <w:bookmarkEnd w:id="5"/>
    </w:p>
    <w:tbl>
      <w:tblPr>
        <w:tblStyle w:val="20"/>
        <w:tblW w:w="10138"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37B3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138" w:type="dxa"/>
            <w:gridSpan w:val="2"/>
            <w:shd w:val="clear" w:color="auto" w:fill="FFFF00"/>
            <w:vAlign w:val="center"/>
          </w:tcPr>
          <w:p w14:paraId="10CF3CC3">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1"/>
                <w:szCs w:val="21"/>
                <w:highlight w:val="none"/>
                <w:lang w:bidi="ar"/>
              </w:rPr>
              <w:t>1.3 资质授权准入</w:t>
            </w:r>
          </w:p>
        </w:tc>
      </w:tr>
      <w:tr w14:paraId="28F6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Align w:val="center"/>
          </w:tcPr>
          <w:p w14:paraId="0AD58A43">
            <w:pPr>
              <w:jc w:val="center"/>
              <w:rPr>
                <w:rStyle w:val="27"/>
                <w:rFonts w:hint="default"/>
                <w:b/>
                <w:bCs/>
                <w:color w:val="auto"/>
                <w:highlight w:val="none"/>
                <w:lang w:bidi="ar"/>
              </w:rPr>
            </w:pPr>
            <w:r>
              <w:rPr>
                <w:rFonts w:hint="eastAsia"/>
                <w:b/>
                <w:bCs/>
                <w:color w:val="FF0000"/>
                <w:highlight w:val="none"/>
                <w:lang w:eastAsia="zh-CN"/>
              </w:rPr>
              <w:t>总体要求</w:t>
            </w:r>
          </w:p>
        </w:tc>
        <w:tc>
          <w:tcPr>
            <w:tcW w:w="8569" w:type="dxa"/>
            <w:vAlign w:val="center"/>
          </w:tcPr>
          <w:p w14:paraId="064CD55A">
            <w:pPr>
              <w:widowControl/>
              <w:textAlignment w:val="center"/>
              <w:rPr>
                <w:rStyle w:val="27"/>
                <w:rFonts w:hint="eastAsia"/>
                <w:b/>
                <w:bCs/>
                <w:color w:val="auto"/>
                <w:highlight w:val="none"/>
                <w:lang w:bidi="ar"/>
              </w:rPr>
            </w:pPr>
            <w:r>
              <w:rPr>
                <w:rFonts w:hint="eastAsia" w:ascii="宋体" w:hAnsi="宋体" w:eastAsia="宋体" w:cs="宋体"/>
                <w:b w:val="0"/>
                <w:bCs w:val="0"/>
                <w:i w:val="0"/>
                <w:iCs w:val="0"/>
                <w:caps w:val="0"/>
                <w:color w:val="0F1115"/>
                <w:spacing w:val="0"/>
                <w:sz w:val="21"/>
                <w:szCs w:val="21"/>
                <w:highlight w:val="none"/>
                <w:shd w:val="clear" w:fill="FFFFFF"/>
                <w:lang w:eastAsia="zh-CN"/>
              </w:rPr>
              <w:t>本模块维护的</w:t>
            </w:r>
            <w:r>
              <w:rPr>
                <w:rFonts w:hint="eastAsia" w:ascii="宋体" w:hAnsi="宋体" w:eastAsia="宋体" w:cs="宋体"/>
                <w:b w:val="0"/>
                <w:bCs w:val="0"/>
                <w:i w:val="0"/>
                <w:iCs w:val="0"/>
                <w:caps w:val="0"/>
                <w:color w:val="0F1115"/>
                <w:spacing w:val="0"/>
                <w:sz w:val="21"/>
                <w:szCs w:val="21"/>
                <w:highlight w:val="none"/>
                <w:shd w:val="clear" w:fill="FFFFFF"/>
              </w:rPr>
              <w:t>各类资质与操作授权信息</w:t>
            </w:r>
            <w:r>
              <w:rPr>
                <w:rFonts w:ascii="Segoe UI" w:hAnsi="Segoe UI" w:eastAsia="Segoe UI" w:cs="Segoe UI"/>
                <w:b/>
                <w:bCs/>
                <w:i w:val="0"/>
                <w:iCs w:val="0"/>
                <w:caps w:val="0"/>
                <w:color w:val="FF0000"/>
                <w:spacing w:val="0"/>
                <w:sz w:val="24"/>
                <w:szCs w:val="24"/>
                <w:shd w:val="clear" w:fill="FFFFFF"/>
              </w:rPr>
              <w:t>需与HIS保持</w:t>
            </w:r>
            <w:r>
              <w:rPr>
                <w:rStyle w:val="22"/>
                <w:rFonts w:hint="default" w:ascii="Segoe UI" w:hAnsi="Segoe UI" w:eastAsia="Segoe UI" w:cs="Segoe UI"/>
                <w:b/>
                <w:bCs/>
                <w:i w:val="0"/>
                <w:iCs w:val="0"/>
                <w:caps w:val="0"/>
                <w:color w:val="FF0000"/>
                <w:spacing w:val="0"/>
                <w:sz w:val="24"/>
                <w:szCs w:val="24"/>
                <w:shd w:val="clear" w:fill="FFFFFF"/>
              </w:rPr>
              <w:t>动态同步</w:t>
            </w:r>
            <w:r>
              <w:rPr>
                <w:rFonts w:hint="default" w:ascii="Segoe UI" w:hAnsi="Segoe UI" w:eastAsia="Segoe UI" w:cs="Segoe UI"/>
                <w:b w:val="0"/>
                <w:bCs w:val="0"/>
                <w:i w:val="0"/>
                <w:iCs w:val="0"/>
                <w:caps w:val="0"/>
                <w:color w:val="0F1115"/>
                <w:spacing w:val="0"/>
                <w:sz w:val="24"/>
                <w:szCs w:val="24"/>
                <w:shd w:val="clear" w:fill="FFFFFF"/>
              </w:rPr>
              <w:t>，使HIS可依据此信息进行</w:t>
            </w:r>
            <w:r>
              <w:rPr>
                <w:rStyle w:val="22"/>
                <w:rFonts w:hint="default" w:ascii="Segoe UI" w:hAnsi="Segoe UI" w:eastAsia="Segoe UI" w:cs="Segoe UI"/>
                <w:b/>
                <w:bCs/>
                <w:i w:val="0"/>
                <w:iCs w:val="0"/>
                <w:caps w:val="0"/>
                <w:color w:val="FF0000"/>
                <w:spacing w:val="0"/>
                <w:sz w:val="24"/>
                <w:szCs w:val="24"/>
                <w:shd w:val="clear" w:fill="FFFFFF"/>
              </w:rPr>
              <w:t>联动权限控制</w:t>
            </w:r>
            <w:r>
              <w:rPr>
                <w:rFonts w:hint="default" w:ascii="Segoe UI" w:hAnsi="Segoe UI" w:eastAsia="Segoe UI" w:cs="Segoe UI"/>
                <w:b w:val="0"/>
                <w:bCs w:val="0"/>
                <w:i w:val="0"/>
                <w:iCs w:val="0"/>
                <w:caps w:val="0"/>
                <w:color w:val="0F1115"/>
                <w:spacing w:val="0"/>
                <w:sz w:val="24"/>
                <w:szCs w:val="24"/>
                <w:shd w:val="clear" w:fill="FFFFFF"/>
              </w:rPr>
              <w:t>。</w:t>
            </w:r>
          </w:p>
        </w:tc>
      </w:tr>
      <w:tr w14:paraId="1BB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1C986AD">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1.3.1 医疗临床操作技术管理</w:t>
            </w:r>
          </w:p>
        </w:tc>
        <w:tc>
          <w:tcPr>
            <w:tcW w:w="8569" w:type="dxa"/>
          </w:tcPr>
          <w:p w14:paraId="671FDF3F">
            <w:pPr>
              <w:widowControl/>
              <w:textAlignment w:val="top"/>
              <w:rPr>
                <w:rStyle w:val="27"/>
                <w:rFonts w:hint="eastAsia"/>
                <w:color w:val="auto"/>
                <w:highlight w:val="none"/>
                <w:lang w:bidi="ar"/>
              </w:rPr>
            </w:pPr>
            <w:r>
              <w:rPr>
                <w:rStyle w:val="26"/>
                <w:rFonts w:eastAsia="宋体"/>
                <w:color w:val="auto"/>
                <w:highlight w:val="none"/>
                <w:lang w:bidi="ar"/>
              </w:rPr>
              <w:t></w:t>
            </w:r>
            <w:r>
              <w:rPr>
                <w:rStyle w:val="27"/>
                <w:rFonts w:hint="default"/>
                <w:color w:val="auto"/>
                <w:highlight w:val="none"/>
                <w:lang w:bidi="ar"/>
              </w:rPr>
              <w:t>可自定义管理操作技术类型与具体目录；</w:t>
            </w:r>
          </w:p>
        </w:tc>
      </w:tr>
      <w:tr w14:paraId="2DA3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CB077CC">
            <w:pPr>
              <w:rPr>
                <w:rFonts w:ascii="宋体" w:hAnsi="宋体" w:eastAsia="宋体" w:cs="宋体"/>
                <w:color w:val="auto"/>
                <w:sz w:val="20"/>
                <w:szCs w:val="20"/>
                <w:highlight w:val="none"/>
              </w:rPr>
            </w:pPr>
          </w:p>
        </w:tc>
        <w:tc>
          <w:tcPr>
            <w:tcW w:w="8569" w:type="dxa"/>
          </w:tcPr>
          <w:p w14:paraId="4A259F40">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w:t>
            </w:r>
            <w:r>
              <w:rPr>
                <w:rStyle w:val="25"/>
                <w:rFonts w:hint="default"/>
                <w:color w:val="auto"/>
                <w:highlight w:val="none"/>
                <w:lang w:bidi="ar"/>
              </w:rPr>
              <w:t>专业技术人员（医技药</w:t>
            </w:r>
            <w:r>
              <w:rPr>
                <w:rStyle w:val="25"/>
                <w:rFonts w:hint="eastAsia" w:eastAsia="宋体"/>
                <w:color w:val="auto"/>
                <w:highlight w:val="none"/>
                <w:lang w:val="en-US" w:eastAsia="zh-CN" w:bidi="ar"/>
              </w:rPr>
              <w:t>护</w:t>
            </w:r>
            <w:r>
              <w:rPr>
                <w:rStyle w:val="25"/>
                <w:rFonts w:hint="default"/>
                <w:color w:val="auto"/>
                <w:highlight w:val="none"/>
                <w:lang w:bidi="ar"/>
              </w:rPr>
              <w:t>）</w:t>
            </w:r>
            <w:r>
              <w:rPr>
                <w:rStyle w:val="24"/>
                <w:rFonts w:hint="default"/>
                <w:color w:val="auto"/>
                <w:highlight w:val="none"/>
                <w:lang w:bidi="ar"/>
              </w:rPr>
              <w:t>自主申请操作技术</w:t>
            </w:r>
            <w:r>
              <w:rPr>
                <w:rStyle w:val="25"/>
                <w:rFonts w:hint="default"/>
                <w:color w:val="auto"/>
                <w:highlight w:val="none"/>
                <w:lang w:bidi="ar"/>
              </w:rPr>
              <w:t>（针对不同类型人员和科室定制申请表单）</w:t>
            </w:r>
            <w:r>
              <w:rPr>
                <w:rStyle w:val="24"/>
                <w:rFonts w:hint="default"/>
                <w:color w:val="auto"/>
                <w:highlight w:val="none"/>
                <w:lang w:bidi="ar"/>
              </w:rPr>
              <w:t>，也可由管理层授予操作技术权限；</w:t>
            </w:r>
          </w:p>
        </w:tc>
      </w:tr>
      <w:tr w14:paraId="49B8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F07D0A">
            <w:pPr>
              <w:rPr>
                <w:rFonts w:ascii="宋体" w:hAnsi="宋体" w:eastAsia="宋体" w:cs="宋体"/>
                <w:color w:val="auto"/>
                <w:sz w:val="20"/>
                <w:szCs w:val="20"/>
                <w:highlight w:val="none"/>
              </w:rPr>
            </w:pPr>
          </w:p>
        </w:tc>
        <w:tc>
          <w:tcPr>
            <w:tcW w:w="8569" w:type="dxa"/>
          </w:tcPr>
          <w:p w14:paraId="444BD3B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支持全院操作技术数据分析图并可以下载；</w:t>
            </w:r>
          </w:p>
        </w:tc>
      </w:tr>
      <w:tr w14:paraId="0AAE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00BB26">
            <w:pPr>
              <w:rPr>
                <w:rFonts w:ascii="宋体" w:hAnsi="宋体" w:eastAsia="宋体" w:cs="宋体"/>
                <w:color w:val="auto"/>
                <w:sz w:val="20"/>
                <w:szCs w:val="20"/>
                <w:highlight w:val="none"/>
              </w:rPr>
            </w:pPr>
          </w:p>
        </w:tc>
        <w:tc>
          <w:tcPr>
            <w:tcW w:w="8569" w:type="dxa"/>
          </w:tcPr>
          <w:p w14:paraId="7739EFC8">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可通过姓名、审批状态、操作技能、科室等信息进行查询；</w:t>
            </w:r>
          </w:p>
        </w:tc>
      </w:tr>
      <w:tr w14:paraId="5964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A1364A">
            <w:pPr>
              <w:rPr>
                <w:rFonts w:ascii="宋体" w:hAnsi="宋体" w:eastAsia="宋体" w:cs="宋体"/>
                <w:color w:val="auto"/>
                <w:sz w:val="20"/>
                <w:szCs w:val="20"/>
                <w:highlight w:val="none"/>
              </w:rPr>
            </w:pPr>
          </w:p>
        </w:tc>
        <w:tc>
          <w:tcPr>
            <w:tcW w:w="8569" w:type="dxa"/>
          </w:tcPr>
          <w:p w14:paraId="5797E5B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提供申请记录台账，并可打印和导出；</w:t>
            </w:r>
          </w:p>
        </w:tc>
      </w:tr>
      <w:tr w14:paraId="1883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998D6E">
            <w:pPr>
              <w:rPr>
                <w:rFonts w:ascii="宋体" w:hAnsi="宋体" w:eastAsia="宋体" w:cs="宋体"/>
                <w:color w:val="auto"/>
                <w:sz w:val="20"/>
                <w:szCs w:val="20"/>
                <w:highlight w:val="none"/>
              </w:rPr>
            </w:pPr>
          </w:p>
        </w:tc>
        <w:tc>
          <w:tcPr>
            <w:tcW w:w="8569" w:type="dxa"/>
          </w:tcPr>
          <w:p w14:paraId="09C1DC1D">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支持申请操作技能类型权限由</w:t>
            </w:r>
            <w:r>
              <w:rPr>
                <w:rStyle w:val="25"/>
                <w:rFonts w:hint="default"/>
                <w:color w:val="auto"/>
                <w:highlight w:val="none"/>
                <w:lang w:bidi="ar"/>
              </w:rPr>
              <w:t>专业技术人员</w:t>
            </w:r>
            <w:r>
              <w:rPr>
                <w:rStyle w:val="24"/>
                <w:rFonts w:hint="default"/>
                <w:color w:val="auto"/>
                <w:highlight w:val="none"/>
                <w:lang w:bidi="ar"/>
              </w:rPr>
              <w:t>自主退出；</w:t>
            </w:r>
          </w:p>
        </w:tc>
      </w:tr>
      <w:tr w14:paraId="1137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6D0DE004">
            <w:pPr>
              <w:rPr>
                <w:rFonts w:ascii="宋体" w:hAnsi="宋体" w:eastAsia="宋体" w:cs="宋体"/>
                <w:color w:val="auto"/>
                <w:sz w:val="20"/>
                <w:szCs w:val="20"/>
                <w:highlight w:val="none"/>
              </w:rPr>
            </w:pPr>
          </w:p>
        </w:tc>
        <w:tc>
          <w:tcPr>
            <w:tcW w:w="8569" w:type="dxa"/>
          </w:tcPr>
          <w:p w14:paraId="7BB15C9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个人用户档案中会显示其对应的拥有操作技能情况；</w:t>
            </w:r>
          </w:p>
        </w:tc>
      </w:tr>
      <w:tr w14:paraId="0492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B766A33">
            <w:pPr>
              <w:rPr>
                <w:rFonts w:ascii="宋体" w:hAnsi="宋体" w:eastAsia="宋体" w:cs="宋体"/>
                <w:color w:val="auto"/>
                <w:sz w:val="20"/>
                <w:szCs w:val="20"/>
                <w:highlight w:val="none"/>
              </w:rPr>
            </w:pPr>
          </w:p>
        </w:tc>
        <w:tc>
          <w:tcPr>
            <w:tcW w:w="8569" w:type="dxa"/>
          </w:tcPr>
          <w:p w14:paraId="71D077F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APP上也可进行申请、审批、撤回、退出等操作。</w:t>
            </w:r>
          </w:p>
        </w:tc>
      </w:tr>
      <w:tr w14:paraId="14C5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A73B7BC">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1.3.2 抗菌药物管理</w:t>
            </w:r>
          </w:p>
        </w:tc>
        <w:tc>
          <w:tcPr>
            <w:tcW w:w="8569" w:type="dxa"/>
          </w:tcPr>
          <w:p w14:paraId="331C0F1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可自定义管理抗菌药物目录；</w:t>
            </w:r>
          </w:p>
        </w:tc>
      </w:tr>
      <w:tr w14:paraId="7851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69C44D">
            <w:pPr>
              <w:rPr>
                <w:rFonts w:ascii="宋体" w:hAnsi="宋体" w:eastAsia="宋体" w:cs="宋体"/>
                <w:color w:val="auto"/>
                <w:sz w:val="20"/>
                <w:szCs w:val="20"/>
                <w:highlight w:val="none"/>
              </w:rPr>
            </w:pPr>
          </w:p>
        </w:tc>
        <w:tc>
          <w:tcPr>
            <w:tcW w:w="8569" w:type="dxa"/>
          </w:tcPr>
          <w:p w14:paraId="3ADA7EF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支持医师自主申请抗菌药使用权，也可由管理层授予权限；</w:t>
            </w:r>
          </w:p>
        </w:tc>
      </w:tr>
      <w:tr w14:paraId="28E0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9643C0">
            <w:pPr>
              <w:rPr>
                <w:rFonts w:ascii="宋体" w:hAnsi="宋体" w:eastAsia="宋体" w:cs="宋体"/>
                <w:color w:val="auto"/>
                <w:sz w:val="20"/>
                <w:szCs w:val="20"/>
                <w:highlight w:val="none"/>
              </w:rPr>
            </w:pPr>
          </w:p>
        </w:tc>
        <w:tc>
          <w:tcPr>
            <w:tcW w:w="8569" w:type="dxa"/>
          </w:tcPr>
          <w:p w14:paraId="5983147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支持全院抗菌药使用权数据分析图并可以下载；</w:t>
            </w:r>
          </w:p>
        </w:tc>
      </w:tr>
      <w:tr w14:paraId="5494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E6ED8E">
            <w:pPr>
              <w:rPr>
                <w:rFonts w:ascii="宋体" w:hAnsi="宋体" w:eastAsia="宋体" w:cs="宋体"/>
                <w:color w:val="auto"/>
                <w:sz w:val="20"/>
                <w:szCs w:val="20"/>
                <w:highlight w:val="none"/>
              </w:rPr>
            </w:pPr>
          </w:p>
        </w:tc>
        <w:tc>
          <w:tcPr>
            <w:tcW w:w="8569" w:type="dxa"/>
          </w:tcPr>
          <w:p w14:paraId="59CD324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可通过姓名、审批状态、操作技能等信息进行查询；</w:t>
            </w:r>
          </w:p>
        </w:tc>
      </w:tr>
      <w:tr w14:paraId="7333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7908E75">
            <w:pPr>
              <w:rPr>
                <w:rFonts w:ascii="宋体" w:hAnsi="宋体" w:eastAsia="宋体" w:cs="宋体"/>
                <w:color w:val="auto"/>
                <w:sz w:val="20"/>
                <w:szCs w:val="20"/>
                <w:highlight w:val="none"/>
              </w:rPr>
            </w:pPr>
          </w:p>
        </w:tc>
        <w:tc>
          <w:tcPr>
            <w:tcW w:w="8569" w:type="dxa"/>
          </w:tcPr>
          <w:p w14:paraId="40FCBAD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提供申请记录台账，并可打印和导出；</w:t>
            </w:r>
          </w:p>
        </w:tc>
      </w:tr>
      <w:tr w14:paraId="1F62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F0D808">
            <w:pPr>
              <w:rPr>
                <w:rFonts w:ascii="宋体" w:hAnsi="宋体" w:eastAsia="宋体" w:cs="宋体"/>
                <w:color w:val="auto"/>
                <w:sz w:val="20"/>
                <w:szCs w:val="20"/>
                <w:highlight w:val="none"/>
              </w:rPr>
            </w:pPr>
          </w:p>
        </w:tc>
        <w:tc>
          <w:tcPr>
            <w:tcW w:w="8569" w:type="dxa"/>
          </w:tcPr>
          <w:p w14:paraId="64925FA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支持抗菌药使用权限由医师自主退出；</w:t>
            </w:r>
          </w:p>
        </w:tc>
      </w:tr>
      <w:tr w14:paraId="6038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A47151A">
            <w:pPr>
              <w:rPr>
                <w:rFonts w:ascii="宋体" w:hAnsi="宋体" w:eastAsia="宋体" w:cs="宋体"/>
                <w:color w:val="auto"/>
                <w:sz w:val="20"/>
                <w:szCs w:val="20"/>
                <w:highlight w:val="none"/>
              </w:rPr>
            </w:pPr>
          </w:p>
        </w:tc>
        <w:tc>
          <w:tcPr>
            <w:tcW w:w="8569" w:type="dxa"/>
          </w:tcPr>
          <w:p w14:paraId="110D920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个人用户档案中会显示其对应的拥有抗菌药使用权情况；</w:t>
            </w:r>
          </w:p>
        </w:tc>
      </w:tr>
      <w:tr w14:paraId="1E7A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521227">
            <w:pPr>
              <w:rPr>
                <w:rFonts w:ascii="宋体" w:hAnsi="宋体" w:eastAsia="宋体" w:cs="宋体"/>
                <w:color w:val="auto"/>
                <w:sz w:val="20"/>
                <w:szCs w:val="20"/>
                <w:highlight w:val="none"/>
              </w:rPr>
            </w:pPr>
          </w:p>
        </w:tc>
        <w:tc>
          <w:tcPr>
            <w:tcW w:w="8569" w:type="dxa"/>
          </w:tcPr>
          <w:p w14:paraId="015C05E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APP上也可进行申请、审批、撤回、退出等操作。</w:t>
            </w:r>
          </w:p>
        </w:tc>
      </w:tr>
      <w:tr w14:paraId="080C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221683">
            <w:pPr>
              <w:rPr>
                <w:rFonts w:ascii="宋体" w:hAnsi="宋体" w:eastAsia="宋体" w:cs="宋体"/>
                <w:color w:val="auto"/>
                <w:sz w:val="20"/>
                <w:szCs w:val="20"/>
                <w:highlight w:val="none"/>
              </w:rPr>
            </w:pPr>
          </w:p>
        </w:tc>
        <w:tc>
          <w:tcPr>
            <w:tcW w:w="8569" w:type="dxa"/>
          </w:tcPr>
          <w:p w14:paraId="637DF1A3">
            <w:pPr>
              <w:widowControl/>
              <w:textAlignment w:val="top"/>
              <w:rPr>
                <w:rStyle w:val="27"/>
                <w:rFonts w:hint="default"/>
                <w:color w:val="auto"/>
                <w:highlight w:val="none"/>
                <w:lang w:bidi="ar"/>
              </w:rPr>
            </w:pPr>
            <w:r>
              <w:rPr>
                <w:rStyle w:val="27"/>
                <w:rFonts w:hint="eastAsia"/>
                <w:color w:val="auto"/>
                <w:highlight w:val="none"/>
                <w:lang w:bidi="ar"/>
              </w:rPr>
              <w:t>支持在线创建考核计划，并可通过系统一键推送考核通知至目标医生APP账号；支持补考，支持线上考核及线下考核结果录入，考核结果可根据不同范围导出。</w:t>
            </w:r>
            <w:r>
              <w:rPr>
                <w:rStyle w:val="27"/>
                <w:rFonts w:hint="eastAsia"/>
                <w:color w:val="auto"/>
                <w:highlight w:val="none"/>
                <w:lang w:val="en-US" w:eastAsia="zh-CN" w:bidi="ar"/>
              </w:rPr>
              <w:t xml:space="preserve"> </w:t>
            </w:r>
          </w:p>
        </w:tc>
      </w:tr>
      <w:tr w14:paraId="70EE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2E90722">
            <w:pPr>
              <w:rPr>
                <w:rFonts w:ascii="宋体" w:hAnsi="宋体" w:eastAsia="宋体" w:cs="宋体"/>
                <w:color w:val="auto"/>
                <w:sz w:val="20"/>
                <w:szCs w:val="20"/>
                <w:highlight w:val="none"/>
              </w:rPr>
            </w:pPr>
          </w:p>
        </w:tc>
        <w:tc>
          <w:tcPr>
            <w:tcW w:w="8569" w:type="dxa"/>
          </w:tcPr>
          <w:p w14:paraId="082DF141">
            <w:pPr>
              <w:widowControl/>
              <w:textAlignment w:val="top"/>
              <w:rPr>
                <w:rStyle w:val="27"/>
                <w:rFonts w:hint="default"/>
                <w:color w:val="auto"/>
                <w:highlight w:val="none"/>
                <w:lang w:bidi="ar"/>
              </w:rPr>
            </w:pPr>
            <w:r>
              <w:rPr>
                <w:rStyle w:val="27"/>
                <w:rFonts w:hint="eastAsia"/>
                <w:color w:val="auto"/>
                <w:highlight w:val="none"/>
                <w:lang w:bidi="ar"/>
              </w:rPr>
              <w:t>支持根据科室、职称等生成考核授权名单，按照等级自动关联医生账号或可批量导入名单进行统一授权和续权，可设置权限有效期，授权状态需实时同步至医院系统。</w:t>
            </w:r>
          </w:p>
        </w:tc>
      </w:tr>
      <w:tr w14:paraId="76A6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453306">
            <w:pPr>
              <w:rPr>
                <w:rFonts w:ascii="宋体" w:hAnsi="宋体" w:eastAsia="宋体" w:cs="宋体"/>
                <w:color w:val="auto"/>
                <w:sz w:val="20"/>
                <w:szCs w:val="20"/>
                <w:highlight w:val="none"/>
              </w:rPr>
            </w:pPr>
          </w:p>
        </w:tc>
        <w:tc>
          <w:tcPr>
            <w:tcW w:w="8569" w:type="dxa"/>
          </w:tcPr>
          <w:p w14:paraId="0A29126F">
            <w:pPr>
              <w:widowControl/>
              <w:textAlignment w:val="top"/>
              <w:rPr>
                <w:rStyle w:val="27"/>
                <w:rFonts w:hint="default"/>
                <w:color w:val="auto"/>
                <w:highlight w:val="none"/>
                <w:lang w:bidi="ar"/>
              </w:rPr>
            </w:pPr>
            <w:r>
              <w:rPr>
                <w:rStyle w:val="27"/>
                <w:rFonts w:hint="eastAsia"/>
                <w:color w:val="auto"/>
                <w:highlight w:val="none"/>
                <w:lang w:bidi="ar"/>
              </w:rPr>
              <w:t>考核开始后以APP形式定期向未参与考核人员发送倒计时提醒；权限到期前一月，向医生及医务科发送续权提醒；取消授权前一周，向未考核和未合格医生发送预警通知。</w:t>
            </w:r>
          </w:p>
        </w:tc>
      </w:tr>
      <w:tr w14:paraId="7F32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3BD3C0">
            <w:pPr>
              <w:rPr>
                <w:rFonts w:ascii="宋体" w:hAnsi="宋体" w:eastAsia="宋体" w:cs="宋体"/>
                <w:color w:val="auto"/>
                <w:sz w:val="20"/>
                <w:szCs w:val="20"/>
                <w:highlight w:val="none"/>
              </w:rPr>
            </w:pPr>
          </w:p>
        </w:tc>
        <w:tc>
          <w:tcPr>
            <w:tcW w:w="8569" w:type="dxa"/>
          </w:tcPr>
          <w:p w14:paraId="326FAB9B">
            <w:pPr>
              <w:widowControl/>
              <w:textAlignment w:val="top"/>
              <w:rPr>
                <w:rStyle w:val="27"/>
                <w:rFonts w:hint="default"/>
                <w:color w:val="auto"/>
                <w:highlight w:val="none"/>
                <w:lang w:bidi="ar"/>
              </w:rPr>
            </w:pPr>
            <w:r>
              <w:rPr>
                <w:rStyle w:val="27"/>
                <w:rFonts w:hint="eastAsia"/>
                <w:color w:val="auto"/>
                <w:highlight w:val="none"/>
                <w:lang w:bidi="ar"/>
              </w:rPr>
              <w:t>自动记录抗菌药物授权、续权、取消权限操作的时间、操作人日志。</w:t>
            </w:r>
          </w:p>
        </w:tc>
      </w:tr>
      <w:tr w14:paraId="05A5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AC29725">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1.3.3 抗肿瘤药物管理</w:t>
            </w:r>
          </w:p>
        </w:tc>
        <w:tc>
          <w:tcPr>
            <w:tcW w:w="8569" w:type="dxa"/>
          </w:tcPr>
          <w:p w14:paraId="25F3093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可自定义管理抗肿瘤药物目录；</w:t>
            </w:r>
          </w:p>
        </w:tc>
      </w:tr>
      <w:tr w14:paraId="6F1D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A3FB666">
            <w:pPr>
              <w:rPr>
                <w:rFonts w:ascii="宋体" w:hAnsi="宋体" w:eastAsia="宋体" w:cs="宋体"/>
                <w:color w:val="auto"/>
                <w:sz w:val="20"/>
                <w:szCs w:val="20"/>
                <w:highlight w:val="none"/>
              </w:rPr>
            </w:pPr>
          </w:p>
        </w:tc>
        <w:tc>
          <w:tcPr>
            <w:tcW w:w="8569" w:type="dxa"/>
          </w:tcPr>
          <w:p w14:paraId="53D7293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支持医师自主申请抗肿瘤药使用权，也可由管理层授予权限；</w:t>
            </w:r>
          </w:p>
        </w:tc>
      </w:tr>
      <w:tr w14:paraId="7CC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7D5BEA">
            <w:pPr>
              <w:rPr>
                <w:rFonts w:ascii="宋体" w:hAnsi="宋体" w:eastAsia="宋体" w:cs="宋体"/>
                <w:color w:val="auto"/>
                <w:sz w:val="20"/>
                <w:szCs w:val="20"/>
                <w:highlight w:val="none"/>
              </w:rPr>
            </w:pPr>
          </w:p>
        </w:tc>
        <w:tc>
          <w:tcPr>
            <w:tcW w:w="8569" w:type="dxa"/>
          </w:tcPr>
          <w:p w14:paraId="3F5E890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支持全院抗肿瘤药使用权数据分析图并可以下载；</w:t>
            </w:r>
          </w:p>
        </w:tc>
      </w:tr>
      <w:tr w14:paraId="5F2E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A26D76">
            <w:pPr>
              <w:rPr>
                <w:rFonts w:ascii="宋体" w:hAnsi="宋体" w:eastAsia="宋体" w:cs="宋体"/>
                <w:color w:val="auto"/>
                <w:sz w:val="20"/>
                <w:szCs w:val="20"/>
                <w:highlight w:val="none"/>
              </w:rPr>
            </w:pPr>
          </w:p>
        </w:tc>
        <w:tc>
          <w:tcPr>
            <w:tcW w:w="8569" w:type="dxa"/>
          </w:tcPr>
          <w:p w14:paraId="0FCD6F1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可通过姓名、审批状态、操作技能等信息进行查询；</w:t>
            </w:r>
          </w:p>
        </w:tc>
      </w:tr>
      <w:tr w14:paraId="06B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072C7F">
            <w:pPr>
              <w:rPr>
                <w:rFonts w:ascii="宋体" w:hAnsi="宋体" w:eastAsia="宋体" w:cs="宋体"/>
                <w:color w:val="auto"/>
                <w:sz w:val="20"/>
                <w:szCs w:val="20"/>
                <w:highlight w:val="none"/>
              </w:rPr>
            </w:pPr>
          </w:p>
        </w:tc>
        <w:tc>
          <w:tcPr>
            <w:tcW w:w="8569" w:type="dxa"/>
          </w:tcPr>
          <w:p w14:paraId="5679ACB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提供申请记录台账，并可打印和导出；</w:t>
            </w:r>
          </w:p>
        </w:tc>
      </w:tr>
      <w:tr w14:paraId="5645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849BDD">
            <w:pPr>
              <w:rPr>
                <w:rFonts w:ascii="宋体" w:hAnsi="宋体" w:eastAsia="宋体" w:cs="宋体"/>
                <w:color w:val="auto"/>
                <w:sz w:val="20"/>
                <w:szCs w:val="20"/>
                <w:highlight w:val="none"/>
              </w:rPr>
            </w:pPr>
          </w:p>
        </w:tc>
        <w:tc>
          <w:tcPr>
            <w:tcW w:w="8569" w:type="dxa"/>
          </w:tcPr>
          <w:p w14:paraId="2AB9FDB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支持抗肿瘤药使用权限由医师自主退出；</w:t>
            </w:r>
          </w:p>
        </w:tc>
      </w:tr>
      <w:tr w14:paraId="7381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20DEFBD">
            <w:pPr>
              <w:rPr>
                <w:rFonts w:ascii="宋体" w:hAnsi="宋体" w:eastAsia="宋体" w:cs="宋体"/>
                <w:color w:val="auto"/>
                <w:sz w:val="20"/>
                <w:szCs w:val="20"/>
                <w:highlight w:val="none"/>
              </w:rPr>
            </w:pPr>
          </w:p>
        </w:tc>
        <w:tc>
          <w:tcPr>
            <w:tcW w:w="8569" w:type="dxa"/>
          </w:tcPr>
          <w:p w14:paraId="233B17B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个人用户档案中会显示其对应的拥有抗肿瘤药使用权情况；</w:t>
            </w:r>
          </w:p>
        </w:tc>
      </w:tr>
      <w:tr w14:paraId="1BF2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1E5EE0E">
            <w:pPr>
              <w:rPr>
                <w:rFonts w:ascii="宋体" w:hAnsi="宋体" w:eastAsia="宋体" w:cs="宋体"/>
                <w:color w:val="auto"/>
                <w:sz w:val="20"/>
                <w:szCs w:val="20"/>
                <w:highlight w:val="none"/>
              </w:rPr>
            </w:pPr>
          </w:p>
        </w:tc>
        <w:tc>
          <w:tcPr>
            <w:tcW w:w="8569" w:type="dxa"/>
          </w:tcPr>
          <w:p w14:paraId="0BE77DF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APP上也可进行申请、审批、撤回、退出等操作。</w:t>
            </w:r>
          </w:p>
        </w:tc>
      </w:tr>
      <w:tr w14:paraId="6E46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7FB2F2">
            <w:pPr>
              <w:rPr>
                <w:rFonts w:ascii="宋体" w:hAnsi="宋体" w:eastAsia="宋体" w:cs="宋体"/>
                <w:color w:val="auto"/>
                <w:sz w:val="20"/>
                <w:szCs w:val="20"/>
                <w:highlight w:val="none"/>
              </w:rPr>
            </w:pPr>
          </w:p>
        </w:tc>
        <w:tc>
          <w:tcPr>
            <w:tcW w:w="8569" w:type="dxa"/>
          </w:tcPr>
          <w:p w14:paraId="5C86862D">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支持在线创建考核计划，并可通过系统一键推送考核通知至目标医生APP账号；支持补考，支持线上考核及线下考核结果录入，考核结果可根据不同范围导出。</w:t>
            </w:r>
          </w:p>
        </w:tc>
      </w:tr>
      <w:tr w14:paraId="6F0E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46B399A">
            <w:pPr>
              <w:rPr>
                <w:rFonts w:ascii="宋体" w:hAnsi="宋体" w:eastAsia="宋体" w:cs="宋体"/>
                <w:color w:val="auto"/>
                <w:sz w:val="20"/>
                <w:szCs w:val="20"/>
                <w:highlight w:val="none"/>
              </w:rPr>
            </w:pPr>
          </w:p>
        </w:tc>
        <w:tc>
          <w:tcPr>
            <w:tcW w:w="8569" w:type="dxa"/>
          </w:tcPr>
          <w:p w14:paraId="0EAB8725">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支持根据科室、职称等生成考核授权名单，按照等级自动关联医生账号或可批量导入名单进行统一授权和续权，可设置权限有效期，授权状态需实时同步至医院系统。</w:t>
            </w:r>
          </w:p>
        </w:tc>
      </w:tr>
      <w:tr w14:paraId="2B28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7A245DF">
            <w:pPr>
              <w:rPr>
                <w:rFonts w:ascii="宋体" w:hAnsi="宋体" w:eastAsia="宋体" w:cs="宋体"/>
                <w:color w:val="auto"/>
                <w:sz w:val="20"/>
                <w:szCs w:val="20"/>
                <w:highlight w:val="none"/>
              </w:rPr>
            </w:pPr>
          </w:p>
        </w:tc>
        <w:tc>
          <w:tcPr>
            <w:tcW w:w="8569" w:type="dxa"/>
          </w:tcPr>
          <w:p w14:paraId="63BDF84D">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考核开始后</w:t>
            </w:r>
            <w:r>
              <w:rPr>
                <w:rStyle w:val="26"/>
                <w:rFonts w:hint="eastAsia" w:eastAsia="宋体"/>
                <w:color w:val="auto"/>
                <w:highlight w:val="none"/>
                <w:lang w:eastAsia="zh-CN" w:bidi="ar"/>
              </w:rPr>
              <w:t>以企业信息</w:t>
            </w:r>
            <w:r>
              <w:rPr>
                <w:rStyle w:val="26"/>
                <w:rFonts w:hint="eastAsia" w:eastAsia="宋体"/>
                <w:color w:val="auto"/>
                <w:highlight w:val="none"/>
                <w:lang w:bidi="ar"/>
              </w:rPr>
              <w:t>定期向未参与考核人员发送倒计时提醒；权限到期前一月，向医生及医务科发送续权提醒；取消授权前一周，向未考核和未合格医生发送预警通知。</w:t>
            </w:r>
          </w:p>
        </w:tc>
      </w:tr>
      <w:tr w14:paraId="6F7E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09550CA">
            <w:pPr>
              <w:rPr>
                <w:rFonts w:ascii="宋体" w:hAnsi="宋体" w:eastAsia="宋体" w:cs="宋体"/>
                <w:color w:val="auto"/>
                <w:sz w:val="20"/>
                <w:szCs w:val="20"/>
                <w:highlight w:val="none"/>
              </w:rPr>
            </w:pPr>
          </w:p>
        </w:tc>
        <w:tc>
          <w:tcPr>
            <w:tcW w:w="8569" w:type="dxa"/>
          </w:tcPr>
          <w:p w14:paraId="7E832CF2">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自动记录抗肿瘤药物授权、续权、取消权限操作的时间、操作人日志。</w:t>
            </w:r>
          </w:p>
        </w:tc>
      </w:tr>
      <w:tr w14:paraId="3077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EE09B6">
            <w:pPr>
              <w:rPr>
                <w:rFonts w:ascii="宋体" w:hAnsi="宋体" w:eastAsia="宋体" w:cs="宋体"/>
                <w:color w:val="auto"/>
                <w:sz w:val="20"/>
                <w:szCs w:val="20"/>
                <w:highlight w:val="none"/>
              </w:rPr>
            </w:pPr>
          </w:p>
        </w:tc>
        <w:tc>
          <w:tcPr>
            <w:tcW w:w="8569" w:type="dxa"/>
          </w:tcPr>
          <w:p w14:paraId="470DEB0C">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支持医生申请抗肿瘤药物处方权时上传审批附件（包括职称年限和抗肿瘤工作年限），经科主任及医务科审批后且考核通过后方可进行相应级别授权。</w:t>
            </w:r>
          </w:p>
        </w:tc>
      </w:tr>
      <w:tr w14:paraId="4D54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164B3C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1.3.4 麻精毒药物管理</w:t>
            </w:r>
          </w:p>
        </w:tc>
        <w:tc>
          <w:tcPr>
            <w:tcW w:w="8569" w:type="dxa"/>
          </w:tcPr>
          <w:p w14:paraId="1882BBFD">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可自定义管理麻精毒药物目录；</w:t>
            </w:r>
          </w:p>
        </w:tc>
      </w:tr>
      <w:tr w14:paraId="1D52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8C462E6">
            <w:pPr>
              <w:jc w:val="center"/>
              <w:rPr>
                <w:rFonts w:ascii="宋体" w:hAnsi="宋体" w:eastAsia="宋体" w:cs="宋体"/>
                <w:color w:val="auto"/>
                <w:sz w:val="20"/>
                <w:szCs w:val="20"/>
                <w:highlight w:val="none"/>
              </w:rPr>
            </w:pPr>
          </w:p>
        </w:tc>
        <w:tc>
          <w:tcPr>
            <w:tcW w:w="8569" w:type="dxa"/>
          </w:tcPr>
          <w:p w14:paraId="2043418E">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支持医师自主申请麻精毒药品使用权，也可由管理层授予权限；</w:t>
            </w:r>
          </w:p>
        </w:tc>
      </w:tr>
      <w:tr w14:paraId="69E9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B3F9CE">
            <w:pPr>
              <w:jc w:val="center"/>
              <w:rPr>
                <w:rFonts w:ascii="宋体" w:hAnsi="宋体" w:eastAsia="宋体" w:cs="宋体"/>
                <w:color w:val="auto"/>
                <w:sz w:val="20"/>
                <w:szCs w:val="20"/>
                <w:highlight w:val="none"/>
              </w:rPr>
            </w:pPr>
          </w:p>
        </w:tc>
        <w:tc>
          <w:tcPr>
            <w:tcW w:w="8569" w:type="dxa"/>
          </w:tcPr>
          <w:p w14:paraId="0C5CD975">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支持全院麻精毒药品使用权数据分析图并可以下载；</w:t>
            </w:r>
          </w:p>
        </w:tc>
      </w:tr>
      <w:tr w14:paraId="06B2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9089CE">
            <w:pPr>
              <w:jc w:val="center"/>
              <w:rPr>
                <w:rFonts w:ascii="宋体" w:hAnsi="宋体" w:eastAsia="宋体" w:cs="宋体"/>
                <w:color w:val="auto"/>
                <w:sz w:val="20"/>
                <w:szCs w:val="20"/>
                <w:highlight w:val="none"/>
              </w:rPr>
            </w:pPr>
          </w:p>
        </w:tc>
        <w:tc>
          <w:tcPr>
            <w:tcW w:w="8569" w:type="dxa"/>
          </w:tcPr>
          <w:p w14:paraId="29892156">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可通过姓名、审批状态、操作技能等信息进行查询；</w:t>
            </w:r>
          </w:p>
        </w:tc>
      </w:tr>
      <w:tr w14:paraId="7943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5065AD">
            <w:pPr>
              <w:jc w:val="center"/>
              <w:rPr>
                <w:rFonts w:ascii="宋体" w:hAnsi="宋体" w:eastAsia="宋体" w:cs="宋体"/>
                <w:color w:val="auto"/>
                <w:sz w:val="20"/>
                <w:szCs w:val="20"/>
                <w:highlight w:val="none"/>
              </w:rPr>
            </w:pPr>
          </w:p>
        </w:tc>
        <w:tc>
          <w:tcPr>
            <w:tcW w:w="8569" w:type="dxa"/>
          </w:tcPr>
          <w:p w14:paraId="0A8B9B36">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提供申请记录台账，并可打印和导出；</w:t>
            </w:r>
          </w:p>
        </w:tc>
      </w:tr>
      <w:tr w14:paraId="6CA4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D7388A5">
            <w:pPr>
              <w:jc w:val="center"/>
              <w:rPr>
                <w:rFonts w:ascii="宋体" w:hAnsi="宋体" w:eastAsia="宋体" w:cs="宋体"/>
                <w:color w:val="auto"/>
                <w:sz w:val="20"/>
                <w:szCs w:val="20"/>
                <w:highlight w:val="none"/>
              </w:rPr>
            </w:pPr>
          </w:p>
        </w:tc>
        <w:tc>
          <w:tcPr>
            <w:tcW w:w="8569" w:type="dxa"/>
          </w:tcPr>
          <w:p w14:paraId="630F79A8">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支持麻精毒药品使用权限由医师自主退出；</w:t>
            </w:r>
          </w:p>
        </w:tc>
      </w:tr>
      <w:tr w14:paraId="5F1B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D930543">
            <w:pPr>
              <w:jc w:val="center"/>
              <w:rPr>
                <w:rFonts w:ascii="宋体" w:hAnsi="宋体" w:eastAsia="宋体" w:cs="宋体"/>
                <w:color w:val="auto"/>
                <w:sz w:val="20"/>
                <w:szCs w:val="20"/>
                <w:highlight w:val="none"/>
              </w:rPr>
            </w:pPr>
          </w:p>
        </w:tc>
        <w:tc>
          <w:tcPr>
            <w:tcW w:w="8569" w:type="dxa"/>
          </w:tcPr>
          <w:p w14:paraId="5EBD0344">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个人用户档案中会显示其对应的拥有麻精毒药品使用权情况；</w:t>
            </w:r>
          </w:p>
        </w:tc>
      </w:tr>
      <w:tr w14:paraId="44C7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63E8AB">
            <w:pPr>
              <w:jc w:val="center"/>
              <w:rPr>
                <w:rFonts w:ascii="宋体" w:hAnsi="宋体" w:eastAsia="宋体" w:cs="宋体"/>
                <w:color w:val="auto"/>
                <w:sz w:val="20"/>
                <w:szCs w:val="20"/>
                <w:highlight w:val="none"/>
              </w:rPr>
            </w:pPr>
          </w:p>
        </w:tc>
        <w:tc>
          <w:tcPr>
            <w:tcW w:w="8569" w:type="dxa"/>
          </w:tcPr>
          <w:p w14:paraId="1D8C543E">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eastAsia="zh-CN" w:bidi="ar"/>
              </w:rPr>
              <w:t>在系统</w:t>
            </w:r>
            <w:r>
              <w:rPr>
                <w:rStyle w:val="26"/>
                <w:rFonts w:hint="eastAsia" w:eastAsia="宋体"/>
                <w:color w:val="auto"/>
                <w:highlight w:val="none"/>
                <w:lang w:bidi="ar"/>
              </w:rPr>
              <w:t>上也可进行申请、审批、撤回、退出等操作。</w:t>
            </w:r>
          </w:p>
        </w:tc>
      </w:tr>
      <w:tr w14:paraId="7996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ADA8C3">
            <w:pPr>
              <w:jc w:val="center"/>
              <w:rPr>
                <w:rFonts w:ascii="宋体" w:hAnsi="宋体" w:eastAsia="宋体" w:cs="宋体"/>
                <w:color w:val="auto"/>
                <w:sz w:val="20"/>
                <w:szCs w:val="20"/>
                <w:highlight w:val="none"/>
              </w:rPr>
            </w:pPr>
          </w:p>
        </w:tc>
        <w:tc>
          <w:tcPr>
            <w:tcW w:w="8569" w:type="dxa"/>
          </w:tcPr>
          <w:p w14:paraId="747EF6AD">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支持在线创建考核计划，并可通过系统一键推送考核通知至目标医生APP账号；支持补考，支持线上考核及线下考核结果录入，考核结果可根据不同范围导出。</w:t>
            </w:r>
          </w:p>
        </w:tc>
      </w:tr>
      <w:tr w14:paraId="6D7E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239A54">
            <w:pPr>
              <w:jc w:val="center"/>
              <w:rPr>
                <w:rFonts w:ascii="宋体" w:hAnsi="宋体" w:eastAsia="宋体" w:cs="宋体"/>
                <w:color w:val="auto"/>
                <w:sz w:val="20"/>
                <w:szCs w:val="20"/>
                <w:highlight w:val="none"/>
              </w:rPr>
            </w:pPr>
          </w:p>
        </w:tc>
        <w:tc>
          <w:tcPr>
            <w:tcW w:w="8569" w:type="dxa"/>
          </w:tcPr>
          <w:p w14:paraId="13CB55D7">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支持根据科室、职称等生成考核授权名单，自动关联医生账号或可批量导入名单进行统一授权和续权，可设置权限有效期，授权状态需实时同步至医院系统。</w:t>
            </w:r>
          </w:p>
        </w:tc>
      </w:tr>
      <w:tr w14:paraId="77CA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BE37061">
            <w:pPr>
              <w:jc w:val="center"/>
              <w:rPr>
                <w:rFonts w:ascii="宋体" w:hAnsi="宋体" w:eastAsia="宋体" w:cs="宋体"/>
                <w:color w:val="auto"/>
                <w:sz w:val="20"/>
                <w:szCs w:val="20"/>
                <w:highlight w:val="none"/>
              </w:rPr>
            </w:pPr>
          </w:p>
        </w:tc>
        <w:tc>
          <w:tcPr>
            <w:tcW w:w="8569" w:type="dxa"/>
          </w:tcPr>
          <w:p w14:paraId="51B7EAB0">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考核开始后以形式定期向未参与考核人员发送倒计时提醒；权限到期前一月，向</w:t>
            </w:r>
            <w:r>
              <w:rPr>
                <w:rStyle w:val="26"/>
                <w:rFonts w:hint="eastAsia" w:eastAsia="宋体"/>
                <w:color w:val="auto"/>
                <w:highlight w:val="none"/>
                <w:lang w:eastAsia="zh-CN" w:bidi="ar"/>
              </w:rPr>
              <w:t>相应人员</w:t>
            </w:r>
            <w:r>
              <w:rPr>
                <w:rStyle w:val="26"/>
                <w:rFonts w:hint="eastAsia" w:eastAsia="宋体"/>
                <w:color w:val="auto"/>
                <w:highlight w:val="none"/>
                <w:lang w:bidi="ar"/>
              </w:rPr>
              <w:t>及医务科发送续权提醒；取消授权前一周，向未考核和未合格</w:t>
            </w:r>
            <w:r>
              <w:rPr>
                <w:rStyle w:val="26"/>
                <w:rFonts w:hint="eastAsia" w:eastAsia="宋体"/>
                <w:color w:val="auto"/>
                <w:highlight w:val="none"/>
                <w:lang w:eastAsia="zh-CN" w:bidi="ar"/>
              </w:rPr>
              <w:t>医务人员</w:t>
            </w:r>
            <w:r>
              <w:rPr>
                <w:rStyle w:val="26"/>
                <w:rFonts w:hint="eastAsia" w:eastAsia="宋体"/>
                <w:color w:val="auto"/>
                <w:highlight w:val="none"/>
                <w:lang w:bidi="ar"/>
              </w:rPr>
              <w:t>发送预警通知。</w:t>
            </w:r>
          </w:p>
        </w:tc>
      </w:tr>
      <w:tr w14:paraId="59DA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90D49F2">
            <w:pPr>
              <w:jc w:val="center"/>
              <w:rPr>
                <w:rFonts w:ascii="宋体" w:hAnsi="宋体" w:eastAsia="宋体" w:cs="宋体"/>
                <w:color w:val="auto"/>
                <w:sz w:val="20"/>
                <w:szCs w:val="20"/>
                <w:highlight w:val="none"/>
              </w:rPr>
            </w:pPr>
          </w:p>
        </w:tc>
        <w:tc>
          <w:tcPr>
            <w:tcW w:w="8569" w:type="dxa"/>
          </w:tcPr>
          <w:p w14:paraId="185B937E">
            <w:pPr>
              <w:widowControl/>
              <w:numPr>
                <w:ilvl w:val="0"/>
                <w:numId w:val="4"/>
              </w:numPr>
              <w:ind w:left="420" w:leftChars="0" w:hanging="420" w:firstLineChars="0"/>
              <w:textAlignment w:val="top"/>
              <w:rPr>
                <w:rStyle w:val="26"/>
                <w:rFonts w:eastAsia="宋体"/>
                <w:color w:val="auto"/>
                <w:highlight w:val="none"/>
                <w:lang w:bidi="ar"/>
              </w:rPr>
            </w:pPr>
            <w:r>
              <w:rPr>
                <w:rStyle w:val="26"/>
                <w:rFonts w:hint="eastAsia" w:eastAsia="宋体"/>
                <w:color w:val="auto"/>
                <w:highlight w:val="none"/>
                <w:lang w:bidi="ar"/>
              </w:rPr>
              <w:t>自动记录麻精毒药品授权、续权、取消权限操作的时间、操作人日志。</w:t>
            </w:r>
          </w:p>
        </w:tc>
      </w:tr>
      <w:tr w14:paraId="5CE3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1273836">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1.3.5 处方权管理</w:t>
            </w:r>
          </w:p>
        </w:tc>
        <w:tc>
          <w:tcPr>
            <w:tcW w:w="8569" w:type="dxa"/>
          </w:tcPr>
          <w:p w14:paraId="3CEC12E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可自定义管理处方权类型；</w:t>
            </w:r>
          </w:p>
        </w:tc>
      </w:tr>
      <w:tr w14:paraId="467F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21B6D8A">
            <w:pPr>
              <w:rPr>
                <w:rFonts w:ascii="宋体" w:hAnsi="宋体" w:eastAsia="宋体" w:cs="宋体"/>
                <w:color w:val="auto"/>
                <w:sz w:val="20"/>
                <w:szCs w:val="20"/>
                <w:highlight w:val="none"/>
              </w:rPr>
            </w:pPr>
          </w:p>
        </w:tc>
        <w:tc>
          <w:tcPr>
            <w:tcW w:w="8569" w:type="dxa"/>
          </w:tcPr>
          <w:p w14:paraId="38E230B3">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支持医师</w:t>
            </w:r>
            <w:r>
              <w:rPr>
                <w:rStyle w:val="25"/>
                <w:rFonts w:hint="default"/>
                <w:color w:val="auto"/>
                <w:highlight w:val="none"/>
                <w:lang w:bidi="ar"/>
              </w:rPr>
              <w:t>（包括研究生、进修医师等）</w:t>
            </w:r>
            <w:r>
              <w:rPr>
                <w:rStyle w:val="24"/>
                <w:rFonts w:hint="default"/>
                <w:color w:val="auto"/>
                <w:highlight w:val="none"/>
                <w:lang w:bidi="ar"/>
              </w:rPr>
              <w:t>自主申请处方权权限，也可由管理层授予权限；</w:t>
            </w:r>
          </w:p>
        </w:tc>
      </w:tr>
      <w:tr w14:paraId="03D7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36C070">
            <w:pPr>
              <w:rPr>
                <w:rFonts w:ascii="宋体" w:hAnsi="宋体" w:eastAsia="宋体" w:cs="宋体"/>
                <w:color w:val="auto"/>
                <w:sz w:val="20"/>
                <w:szCs w:val="20"/>
                <w:highlight w:val="none"/>
              </w:rPr>
            </w:pPr>
          </w:p>
        </w:tc>
        <w:tc>
          <w:tcPr>
            <w:tcW w:w="8569" w:type="dxa"/>
          </w:tcPr>
          <w:p w14:paraId="45E4765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支持全院处</w:t>
            </w:r>
            <w:r>
              <w:rPr>
                <w:rStyle w:val="27"/>
                <w:rFonts w:hint="eastAsia" w:eastAsia="宋体"/>
                <w:color w:val="auto"/>
                <w:highlight w:val="none"/>
                <w:lang w:eastAsia="zh-CN" w:bidi="ar"/>
              </w:rPr>
              <w:t>方</w:t>
            </w:r>
            <w:r>
              <w:rPr>
                <w:rStyle w:val="27"/>
                <w:rFonts w:hint="default"/>
                <w:color w:val="auto"/>
                <w:highlight w:val="none"/>
                <w:lang w:bidi="ar"/>
              </w:rPr>
              <w:t>权数据分析图并可以下载；</w:t>
            </w:r>
          </w:p>
        </w:tc>
      </w:tr>
      <w:tr w14:paraId="005B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EEC3F2">
            <w:pPr>
              <w:rPr>
                <w:rFonts w:ascii="宋体" w:hAnsi="宋体" w:eastAsia="宋体" w:cs="宋体"/>
                <w:color w:val="auto"/>
                <w:sz w:val="20"/>
                <w:szCs w:val="20"/>
                <w:highlight w:val="none"/>
              </w:rPr>
            </w:pPr>
          </w:p>
        </w:tc>
        <w:tc>
          <w:tcPr>
            <w:tcW w:w="8569" w:type="dxa"/>
          </w:tcPr>
          <w:p w14:paraId="7126A01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可通过姓名、审批状态、操作技能等信息进行查询；</w:t>
            </w:r>
          </w:p>
        </w:tc>
      </w:tr>
      <w:tr w14:paraId="0BA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94AC50">
            <w:pPr>
              <w:rPr>
                <w:rFonts w:ascii="宋体" w:hAnsi="宋体" w:eastAsia="宋体" w:cs="宋体"/>
                <w:color w:val="auto"/>
                <w:sz w:val="20"/>
                <w:szCs w:val="20"/>
                <w:highlight w:val="none"/>
              </w:rPr>
            </w:pPr>
          </w:p>
        </w:tc>
        <w:tc>
          <w:tcPr>
            <w:tcW w:w="8569" w:type="dxa"/>
          </w:tcPr>
          <w:p w14:paraId="3718D79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提供申请记录台账，并可打印和导出；</w:t>
            </w:r>
          </w:p>
        </w:tc>
      </w:tr>
      <w:tr w14:paraId="3C2B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9C1B596">
            <w:pPr>
              <w:rPr>
                <w:rFonts w:ascii="宋体" w:hAnsi="宋体" w:eastAsia="宋体" w:cs="宋体"/>
                <w:color w:val="auto"/>
                <w:sz w:val="20"/>
                <w:szCs w:val="20"/>
                <w:highlight w:val="none"/>
              </w:rPr>
            </w:pPr>
          </w:p>
        </w:tc>
        <w:tc>
          <w:tcPr>
            <w:tcW w:w="8569" w:type="dxa"/>
          </w:tcPr>
          <w:p w14:paraId="057BB469">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支持处</w:t>
            </w:r>
            <w:r>
              <w:rPr>
                <w:rFonts w:hint="eastAsia" w:ascii="宋体" w:hAnsi="宋体" w:eastAsia="宋体" w:cs="宋体"/>
                <w:color w:val="auto"/>
                <w:kern w:val="0"/>
                <w:sz w:val="20"/>
                <w:szCs w:val="20"/>
                <w:highlight w:val="none"/>
                <w:lang w:eastAsia="zh-CN" w:bidi="ar"/>
              </w:rPr>
              <w:t>方</w:t>
            </w:r>
            <w:r>
              <w:rPr>
                <w:rFonts w:ascii="宋体" w:hAnsi="宋体" w:eastAsia="宋体" w:cs="宋体"/>
                <w:color w:val="auto"/>
                <w:kern w:val="0"/>
                <w:sz w:val="20"/>
                <w:szCs w:val="20"/>
                <w:highlight w:val="none"/>
                <w:lang w:bidi="ar"/>
              </w:rPr>
              <w:t>权限由医师自主退出；</w:t>
            </w:r>
          </w:p>
        </w:tc>
      </w:tr>
      <w:tr w14:paraId="528F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DE42864">
            <w:pPr>
              <w:rPr>
                <w:rFonts w:ascii="宋体" w:hAnsi="宋体" w:eastAsia="宋体" w:cs="宋体"/>
                <w:color w:val="auto"/>
                <w:sz w:val="20"/>
                <w:szCs w:val="20"/>
                <w:highlight w:val="none"/>
              </w:rPr>
            </w:pPr>
          </w:p>
        </w:tc>
        <w:tc>
          <w:tcPr>
            <w:tcW w:w="8569" w:type="dxa"/>
          </w:tcPr>
          <w:p w14:paraId="6416D6E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个人用户档案中会显示其对应的拥有处</w:t>
            </w:r>
            <w:r>
              <w:rPr>
                <w:rStyle w:val="27"/>
                <w:rFonts w:hint="eastAsia" w:eastAsia="宋体"/>
                <w:color w:val="auto"/>
                <w:highlight w:val="none"/>
                <w:lang w:eastAsia="zh-CN" w:bidi="ar"/>
              </w:rPr>
              <w:t>方</w:t>
            </w:r>
            <w:r>
              <w:rPr>
                <w:rStyle w:val="27"/>
                <w:rFonts w:hint="default"/>
                <w:color w:val="auto"/>
                <w:highlight w:val="none"/>
                <w:lang w:bidi="ar"/>
              </w:rPr>
              <w:t>权情况；</w:t>
            </w:r>
          </w:p>
        </w:tc>
      </w:tr>
      <w:tr w14:paraId="6960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1261301">
            <w:pPr>
              <w:rPr>
                <w:rFonts w:ascii="宋体" w:hAnsi="宋体" w:eastAsia="宋体" w:cs="宋体"/>
                <w:color w:val="auto"/>
                <w:sz w:val="20"/>
                <w:szCs w:val="20"/>
                <w:highlight w:val="none"/>
              </w:rPr>
            </w:pPr>
          </w:p>
        </w:tc>
        <w:tc>
          <w:tcPr>
            <w:tcW w:w="8569" w:type="dxa"/>
          </w:tcPr>
          <w:p w14:paraId="3712D9E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APP上也可进行申请、审批、撤回、退出等操作。</w:t>
            </w:r>
          </w:p>
        </w:tc>
      </w:tr>
      <w:tr w14:paraId="5297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2336094">
            <w:pPr>
              <w:rPr>
                <w:rFonts w:ascii="宋体" w:hAnsi="宋体" w:eastAsia="宋体" w:cs="宋体"/>
                <w:color w:val="auto"/>
                <w:sz w:val="20"/>
                <w:szCs w:val="20"/>
                <w:highlight w:val="none"/>
              </w:rPr>
            </w:pPr>
          </w:p>
        </w:tc>
        <w:tc>
          <w:tcPr>
            <w:tcW w:w="8569" w:type="dxa"/>
          </w:tcPr>
          <w:p w14:paraId="596C1C91">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医务管理端修改处方权限留痕（记录修改人、时间）</w:t>
            </w:r>
          </w:p>
        </w:tc>
      </w:tr>
      <w:tr w14:paraId="1BA8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734A59">
            <w:pPr>
              <w:rPr>
                <w:rFonts w:ascii="宋体" w:hAnsi="宋体" w:eastAsia="宋体" w:cs="宋体"/>
                <w:color w:val="auto"/>
                <w:sz w:val="20"/>
                <w:szCs w:val="20"/>
                <w:highlight w:val="none"/>
              </w:rPr>
            </w:pPr>
          </w:p>
        </w:tc>
        <w:tc>
          <w:tcPr>
            <w:tcW w:w="8569" w:type="dxa"/>
          </w:tcPr>
          <w:p w14:paraId="1CD618DA">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支持新增/删减：检查医嘱、检验医嘱、治疗医嘱、计生药品处方权</w:t>
            </w:r>
          </w:p>
        </w:tc>
      </w:tr>
      <w:tr w14:paraId="6D9D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D63DC03">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1.3.6 手术分级</w:t>
            </w:r>
          </w:p>
        </w:tc>
        <w:tc>
          <w:tcPr>
            <w:tcW w:w="8569" w:type="dxa"/>
          </w:tcPr>
          <w:p w14:paraId="475A4F5A">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国临手术目录：系统支持展现国临手术目录，包括手术名称、手术编码、操作类型、是否微创管理、是否国家微创手术、是否限制类技术、是否介入手术、手术级别等信息；支持将选定的手术复制为院内手术目录；支持选择的手术是否已经被院内目录引用；系统支持选定的目录对应院内手术目录。</w:t>
            </w:r>
          </w:p>
        </w:tc>
      </w:tr>
      <w:tr w14:paraId="0100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7340DA9">
            <w:pPr>
              <w:rPr>
                <w:rFonts w:ascii="宋体" w:hAnsi="宋体" w:eastAsia="宋体" w:cs="宋体"/>
                <w:color w:val="auto"/>
                <w:sz w:val="20"/>
                <w:szCs w:val="20"/>
                <w:highlight w:val="none"/>
              </w:rPr>
            </w:pPr>
          </w:p>
        </w:tc>
        <w:tc>
          <w:tcPr>
            <w:tcW w:w="8569" w:type="dxa"/>
          </w:tcPr>
          <w:p w14:paraId="4294C10F">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国家限制类技术目录：系统支持展现国家限制类技术目录，包括技术编码、技术名称、版本号、技术定义等信息；系统支持选定的目录对应的深圳手术目录；系统支持选定的目录对应院内手术目录；系统支持选定的目录对应国临手术目录。</w:t>
            </w:r>
          </w:p>
        </w:tc>
      </w:tr>
      <w:tr w14:paraId="17ED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344BE3">
            <w:pPr>
              <w:rPr>
                <w:rFonts w:ascii="宋体" w:hAnsi="宋体" w:eastAsia="宋体" w:cs="宋体"/>
                <w:color w:val="auto"/>
                <w:sz w:val="20"/>
                <w:szCs w:val="20"/>
                <w:highlight w:val="none"/>
              </w:rPr>
            </w:pPr>
          </w:p>
        </w:tc>
        <w:tc>
          <w:tcPr>
            <w:tcW w:w="8569" w:type="dxa"/>
          </w:tcPr>
          <w:p w14:paraId="6398D266">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广东省限制类技术目录：系统支持展现广东省限制类技术目录，包括一级目录、二级目录；系统支持选定的目录对应国临手术目录；系统支持选定的目录对应深圳手术目录；系统支持选定的手术对应院内手术目录。</w:t>
            </w:r>
          </w:p>
        </w:tc>
      </w:tr>
      <w:tr w14:paraId="4B9B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A42797">
            <w:pPr>
              <w:rPr>
                <w:rFonts w:ascii="宋体" w:hAnsi="宋体" w:eastAsia="宋体" w:cs="宋体"/>
                <w:color w:val="auto"/>
                <w:sz w:val="20"/>
                <w:szCs w:val="20"/>
                <w:highlight w:val="none"/>
              </w:rPr>
            </w:pPr>
          </w:p>
        </w:tc>
        <w:tc>
          <w:tcPr>
            <w:tcW w:w="8569" w:type="dxa"/>
          </w:tcPr>
          <w:p w14:paraId="20ED1715">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院内手术目录：系统支持展现院内手术目录，包括唯一识别、手术编码、手术名称、标准名称、深圳级别、院内级别、手术目录来源、操作类型、使用该专科的科室、对照深圳手术目录、对照国临手术目录、对照广东省限制类技术目录、对照国家限制类技术目录、手术标签化管理（包括是否微创管理、是否国家微创类手术、是否重大手术、是否限制类技术等），显示该手术引用的科室及医生；支持对院内手术目录进行启用和关闭操作。</w:t>
            </w:r>
          </w:p>
        </w:tc>
      </w:tr>
      <w:tr w14:paraId="27D5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D2CACAD">
            <w:pPr>
              <w:rPr>
                <w:rFonts w:ascii="宋体" w:hAnsi="宋体" w:eastAsia="宋体" w:cs="宋体"/>
                <w:color w:val="auto"/>
                <w:sz w:val="20"/>
                <w:szCs w:val="20"/>
                <w:highlight w:val="none"/>
              </w:rPr>
            </w:pPr>
          </w:p>
        </w:tc>
        <w:tc>
          <w:tcPr>
            <w:tcW w:w="8569" w:type="dxa"/>
          </w:tcPr>
          <w:p w14:paraId="5AFDDBDB">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如目录更新，需按照我院要求添加更新。</w:t>
            </w:r>
          </w:p>
        </w:tc>
      </w:tr>
      <w:tr w14:paraId="720E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4D5B856">
            <w:pPr>
              <w:rPr>
                <w:rFonts w:ascii="宋体" w:hAnsi="宋体" w:eastAsia="宋体" w:cs="宋体"/>
                <w:color w:val="auto"/>
                <w:sz w:val="20"/>
                <w:szCs w:val="20"/>
                <w:highlight w:val="none"/>
              </w:rPr>
            </w:pPr>
          </w:p>
        </w:tc>
        <w:tc>
          <w:tcPr>
            <w:tcW w:w="8569" w:type="dxa"/>
          </w:tcPr>
          <w:p w14:paraId="54B7092C">
            <w:pPr>
              <w:widowControl/>
              <w:jc w:val="left"/>
              <w:textAlignment w:val="top"/>
              <w:rPr>
                <w:rFonts w:hint="default" w:ascii="Wingdings" w:hAnsi="Wingdings" w:eastAsia="宋体" w:cs="Wingdings"/>
                <w:color w:val="auto"/>
                <w:sz w:val="20"/>
                <w:szCs w:val="20"/>
                <w:highlight w:val="none"/>
                <w:lang w:val="en-US"/>
              </w:rPr>
            </w:pPr>
            <w:r>
              <w:rPr>
                <w:rFonts w:ascii="Wingdings" w:hAnsi="Wingdings" w:eastAsia="宋体" w:cs="Wingdings"/>
                <w:color w:val="auto"/>
                <w:kern w:val="0"/>
                <w:sz w:val="20"/>
                <w:szCs w:val="20"/>
                <w:highlight w:val="none"/>
                <w:lang w:bidi="ar"/>
              </w:rPr>
              <w:t>科级手术授权目录：系统支持展现科室手术授权目录，包括关联科室、手术唯一识别、手术名称、手术编码、院内级别、科内级别、操作类型、手术目录来源、是否是日间手术、是否限制类手术、是否微创管理、是否管理微创手术、是否介入造影、是否母婴技术、是否国考目录、对照国临目录、对照院内目录及引用成员；可按手术医生显示手术开展情况；可按助手显示手术开展情况；支持对科级手术目录进行启用和关闭操作。</w:t>
            </w:r>
            <w:r>
              <w:rPr>
                <w:rFonts w:hint="eastAsia" w:ascii="Wingdings" w:hAnsi="Wingdings" w:eastAsia="宋体" w:cs="Wingdings"/>
                <w:color w:val="auto"/>
                <w:kern w:val="0"/>
                <w:sz w:val="20"/>
                <w:szCs w:val="20"/>
                <w:highlight w:val="none"/>
                <w:lang w:val="en-US" w:eastAsia="zh-CN" w:bidi="ar"/>
              </w:rPr>
              <w:t xml:space="preserve">            </w:t>
            </w:r>
          </w:p>
        </w:tc>
      </w:tr>
      <w:tr w14:paraId="1106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DE3EA7E">
            <w:pPr>
              <w:rPr>
                <w:rFonts w:ascii="宋体" w:hAnsi="宋体" w:eastAsia="宋体" w:cs="宋体"/>
                <w:color w:val="auto"/>
                <w:sz w:val="20"/>
                <w:szCs w:val="20"/>
                <w:highlight w:val="none"/>
              </w:rPr>
            </w:pPr>
          </w:p>
        </w:tc>
        <w:tc>
          <w:tcPr>
            <w:tcW w:w="8569" w:type="dxa"/>
          </w:tcPr>
          <w:p w14:paraId="3CFBCFC7">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个人手术授权目录：系统支持展现个人手术授权目录，包括授权方式、关联科室、关联医生、医师分级、科内级别、院内级别、授权开始日期、授权结束日期、剩余有效天数、手术编码、手术名称、操作类型、手术目录来源、唯一识别等信息；系统支持管理员对选定的手术进行暂停授权操作；系统支持管理对选定的手术进行吊销授权操作；系统支持对选定的手术进行取消授权操作；系统支持用户对选定的手术目录进行再授权操作。</w:t>
            </w:r>
            <w:r>
              <w:rPr>
                <w:rFonts w:hint="eastAsia" w:ascii="Wingdings" w:hAnsi="Wingdings" w:eastAsia="宋体" w:cs="Wingdings"/>
                <w:color w:val="auto"/>
                <w:kern w:val="0"/>
                <w:sz w:val="20"/>
                <w:szCs w:val="20"/>
                <w:highlight w:val="none"/>
                <w:lang w:val="en-US" w:eastAsia="zh-CN" w:bidi="ar"/>
              </w:rPr>
              <w:t xml:space="preserve">         </w:t>
            </w:r>
          </w:p>
        </w:tc>
      </w:tr>
      <w:tr w14:paraId="2E57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4D8A68">
            <w:pPr>
              <w:rPr>
                <w:rFonts w:ascii="宋体" w:hAnsi="宋体" w:eastAsia="宋体" w:cs="宋体"/>
                <w:color w:val="auto"/>
                <w:sz w:val="20"/>
                <w:szCs w:val="20"/>
                <w:highlight w:val="none"/>
              </w:rPr>
            </w:pPr>
          </w:p>
        </w:tc>
        <w:tc>
          <w:tcPr>
            <w:tcW w:w="8569" w:type="dxa"/>
          </w:tcPr>
          <w:p w14:paraId="79465172">
            <w:pPr>
              <w:widowControl/>
              <w:jc w:val="left"/>
              <w:textAlignment w:val="top"/>
              <w:rPr>
                <w:rFonts w:hint="default" w:ascii="Wingdings" w:hAnsi="Wingdings" w:eastAsia="宋体" w:cs="Wingdings"/>
                <w:color w:val="auto"/>
                <w:sz w:val="20"/>
                <w:szCs w:val="20"/>
                <w:highlight w:val="none"/>
                <w:lang w:val="en-US" w:eastAsia="zh-CN"/>
              </w:rPr>
            </w:pPr>
            <w:r>
              <w:rPr>
                <w:rFonts w:ascii="Wingdings" w:hAnsi="Wingdings" w:eastAsia="宋体" w:cs="Wingdings"/>
                <w:color w:val="auto"/>
                <w:kern w:val="0"/>
                <w:sz w:val="20"/>
                <w:szCs w:val="20"/>
                <w:highlight w:val="none"/>
                <w:lang w:bidi="ar"/>
              </w:rPr>
              <w:t>手术开展情况：系统支持自动通过接口获取手术在临床的开展情况，包括档案号、住院流水号、患者姓名、住院号、性别、年龄、入院时间、出院时间、是否附加手术、手术编码、手术名称、手术级别、手术开始时间、手术结束时间、手术用时、切口等级、手术医生、助手、麻醉方式、麻醉分级、麻醉开始时间、麻醉结束时间、麻醉时长、麻醉医生，对照国临手术目录，对照院内手术目录、对照科内手术目录、对照个人手术目录等信息；系统支持科室或医生进行的授权后更新科内手术目录及个人手术目录；系统支持未对照科内手术目录的记录申请为科室手术目录申请；系统支持未对照个人手术目录的记录申请为个人手术目录。</w:t>
            </w:r>
            <w:r>
              <w:rPr>
                <w:rFonts w:hint="eastAsia" w:ascii="Wingdings" w:hAnsi="Wingdings" w:eastAsia="宋体" w:cs="Wingdings"/>
                <w:color w:val="auto"/>
                <w:kern w:val="0"/>
                <w:sz w:val="20"/>
                <w:szCs w:val="20"/>
                <w:highlight w:val="none"/>
                <w:lang w:val="en-US" w:eastAsia="zh-CN" w:bidi="ar"/>
              </w:rPr>
              <w:t xml:space="preserve">  </w:t>
            </w:r>
            <w:r>
              <w:rPr>
                <w:rFonts w:hint="eastAsia" w:eastAsia="宋体"/>
                <w:highlight w:val="none"/>
                <w:lang w:val="en-US" w:eastAsia="zh-CN"/>
              </w:rPr>
              <w:t xml:space="preserve">             </w:t>
            </w:r>
          </w:p>
        </w:tc>
      </w:tr>
      <w:tr w14:paraId="2BEC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96B0C0">
            <w:pPr>
              <w:rPr>
                <w:rFonts w:ascii="宋体" w:hAnsi="宋体" w:eastAsia="宋体" w:cs="宋体"/>
                <w:color w:val="auto"/>
                <w:sz w:val="20"/>
                <w:szCs w:val="20"/>
                <w:highlight w:val="none"/>
              </w:rPr>
            </w:pPr>
          </w:p>
        </w:tc>
        <w:tc>
          <w:tcPr>
            <w:tcW w:w="8569" w:type="dxa"/>
          </w:tcPr>
          <w:p w14:paraId="755E4498">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科内目录申请：系统支持用户创建科内手术目录申请，包括申请日期、申请人、申请科室、申请明细（包括手术名称、手术编码、手术目录来源、院内级别、科内级别、国临手术目录对照、操作类型等信息）；支持用户提交审核后由科室主任及医务等进行审核，审核成功后自动更新科级手术授权目录。</w:t>
            </w:r>
          </w:p>
        </w:tc>
      </w:tr>
      <w:tr w14:paraId="5A63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3E8FC01">
            <w:pPr>
              <w:rPr>
                <w:rFonts w:ascii="宋体" w:hAnsi="宋体" w:eastAsia="宋体" w:cs="宋体"/>
                <w:color w:val="auto"/>
                <w:sz w:val="20"/>
                <w:szCs w:val="20"/>
                <w:highlight w:val="none"/>
              </w:rPr>
            </w:pPr>
          </w:p>
        </w:tc>
        <w:tc>
          <w:tcPr>
            <w:tcW w:w="8569" w:type="dxa"/>
          </w:tcPr>
          <w:p w14:paraId="1AE61A5D">
            <w:pPr>
              <w:widowControl/>
              <w:jc w:val="left"/>
              <w:textAlignment w:val="top"/>
              <w:rPr>
                <w:rFonts w:ascii="宋体" w:hAnsi="宋体" w:eastAsia="宋体" w:cs="宋体"/>
                <w:color w:val="auto"/>
                <w:sz w:val="20"/>
                <w:szCs w:val="20"/>
                <w:highlight w:val="none"/>
              </w:rPr>
            </w:pPr>
            <w:r>
              <w:rPr>
                <w:rStyle w:val="33"/>
                <w:rFonts w:eastAsia="宋体"/>
                <w:color w:val="auto"/>
                <w:highlight w:val="none"/>
                <w:lang w:bidi="ar"/>
              </w:rPr>
              <w:t>个人手术目录授权申请：系统支持用户创建个人手术目录授权申请，包括授权方式、申请科室、申请医生、年龄、手机、性别、学历信息、职称信息、获现职称后从事专业时间、执业类别、医师分级、申请形式、申请人层次、原最高授权级别、拟申请最高级别、常规手术目录（关联手术、院内级别、科内级别、手术目录来源、操作类型、手术名称胶手术编码等）、日间手术目录（关联手术、院内级别、科内级别、手术目录来源、操作类型、手术名称及手术编码等）、限制类手术目录（关联手术、院内级别、科内级别、手术目录来源、操作类型、手术名称及手术编码等）、申请成员自我考评、上传科室医疗技术管理小组会议纪要、申请人签名（手写），支持各审核节点填写审核意见并进行手写签名；支持导出</w:t>
            </w:r>
            <w:r>
              <w:rPr>
                <w:rStyle w:val="34"/>
                <w:color w:val="auto"/>
                <w:highlight w:val="none"/>
                <w:lang w:bidi="ar"/>
              </w:rPr>
              <w:t>WORD</w:t>
            </w:r>
            <w:r>
              <w:rPr>
                <w:rStyle w:val="33"/>
                <w:rFonts w:eastAsia="宋体"/>
                <w:color w:val="auto"/>
                <w:highlight w:val="none"/>
                <w:lang w:bidi="ar"/>
              </w:rPr>
              <w:t>版本的申请文件。如申请的手术目录中含限制类技术，需提醒提交培训证等材料。如跨级别申请手术需提醒确认。对于限制类技术及跨级别手术可于流程最后反馈上会意见。如为科室未开展的限制类技术，则在提交环节提醒走新技术审批流程。申请目录中如果出现已授权手术目录，需有提醒功能，并标注已授权手术名称。</w:t>
            </w:r>
          </w:p>
        </w:tc>
      </w:tr>
      <w:tr w14:paraId="76D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B07D63">
            <w:pPr>
              <w:rPr>
                <w:rFonts w:ascii="宋体" w:hAnsi="宋体" w:eastAsia="宋体" w:cs="宋体"/>
                <w:color w:val="auto"/>
                <w:sz w:val="20"/>
                <w:szCs w:val="20"/>
                <w:highlight w:val="none"/>
              </w:rPr>
            </w:pPr>
          </w:p>
        </w:tc>
        <w:tc>
          <w:tcPr>
            <w:tcW w:w="8569" w:type="dxa"/>
          </w:tcPr>
          <w:p w14:paraId="15E5F246">
            <w:pPr>
              <w:widowControl/>
              <w:jc w:val="left"/>
              <w:textAlignment w:val="top"/>
              <w:rPr>
                <w:rFonts w:ascii="宋体" w:hAnsi="宋体" w:eastAsia="宋体" w:cs="宋体"/>
                <w:color w:val="auto"/>
                <w:sz w:val="20"/>
                <w:szCs w:val="20"/>
                <w:highlight w:val="none"/>
              </w:rPr>
            </w:pPr>
            <w:r>
              <w:rPr>
                <w:rStyle w:val="33"/>
                <w:rFonts w:eastAsia="宋体"/>
                <w:color w:val="auto"/>
                <w:highlight w:val="none"/>
                <w:lang w:bidi="ar"/>
              </w:rPr>
              <w:t>与医院集成平台接口：对接医院集成平台，实时将医生的授权手术目录同步给</w:t>
            </w:r>
            <w:r>
              <w:rPr>
                <w:rStyle w:val="34"/>
                <w:color w:val="auto"/>
                <w:highlight w:val="none"/>
                <w:lang w:bidi="ar"/>
              </w:rPr>
              <w:t>HIS、EMR</w:t>
            </w:r>
            <w:r>
              <w:rPr>
                <w:rStyle w:val="33"/>
                <w:rFonts w:eastAsia="宋体"/>
                <w:color w:val="auto"/>
                <w:highlight w:val="none"/>
                <w:lang w:bidi="ar"/>
              </w:rPr>
              <w:t>及手麻系统；对接医院集成平台，实时获取手麻系统手术系统同步给手术授权的手术开展情况。</w:t>
            </w:r>
          </w:p>
        </w:tc>
      </w:tr>
      <w:tr w14:paraId="3EB1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B040E8">
            <w:pPr>
              <w:rPr>
                <w:rFonts w:ascii="宋体" w:hAnsi="宋体" w:eastAsia="宋体" w:cs="宋体"/>
                <w:color w:val="auto"/>
                <w:sz w:val="20"/>
                <w:szCs w:val="20"/>
                <w:highlight w:val="none"/>
              </w:rPr>
            </w:pPr>
          </w:p>
        </w:tc>
        <w:tc>
          <w:tcPr>
            <w:tcW w:w="8569" w:type="dxa"/>
          </w:tcPr>
          <w:p w14:paraId="71DC46CE">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所有目录台账，均支持导出功能。</w:t>
            </w:r>
          </w:p>
        </w:tc>
      </w:tr>
      <w:tr w14:paraId="3859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CDFBF9">
            <w:pPr>
              <w:rPr>
                <w:rFonts w:ascii="宋体" w:hAnsi="宋体" w:eastAsia="宋体" w:cs="宋体"/>
                <w:color w:val="auto"/>
                <w:sz w:val="20"/>
                <w:szCs w:val="20"/>
                <w:highlight w:val="none"/>
              </w:rPr>
            </w:pPr>
          </w:p>
        </w:tc>
        <w:tc>
          <w:tcPr>
            <w:tcW w:w="8569" w:type="dxa"/>
          </w:tcPr>
          <w:p w14:paraId="36EA4DCC">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可通过科室、姓名、审批状态、手术级别、是否限制类技术等信息进行搜索查询及统计；</w:t>
            </w:r>
          </w:p>
        </w:tc>
      </w:tr>
      <w:tr w14:paraId="0FC8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4FF24CC">
            <w:pPr>
              <w:rPr>
                <w:rFonts w:ascii="宋体" w:hAnsi="宋体" w:eastAsia="宋体" w:cs="宋体"/>
                <w:color w:val="auto"/>
                <w:sz w:val="20"/>
                <w:szCs w:val="20"/>
                <w:highlight w:val="none"/>
              </w:rPr>
            </w:pPr>
          </w:p>
        </w:tc>
        <w:tc>
          <w:tcPr>
            <w:tcW w:w="8569" w:type="dxa"/>
          </w:tcPr>
          <w:p w14:paraId="522F7000">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手术质量相关指标统计及分析报告生成：实现各科室手术相关指标统计，并支持明细下钻，支持按时间、科室、按职称、按姓名进行筛选，包括但不限于：各级手术占比、各级手术并发症发生率、非计划再次手术发生率、死亡率等。（含限制类技术的以上指标展示）</w:t>
            </w:r>
          </w:p>
        </w:tc>
      </w:tr>
      <w:tr w14:paraId="1C8D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709569">
            <w:pPr>
              <w:rPr>
                <w:rFonts w:ascii="宋体" w:hAnsi="宋体" w:eastAsia="宋体" w:cs="宋体"/>
                <w:color w:val="auto"/>
                <w:sz w:val="20"/>
                <w:szCs w:val="20"/>
                <w:highlight w:val="none"/>
              </w:rPr>
            </w:pPr>
          </w:p>
        </w:tc>
        <w:tc>
          <w:tcPr>
            <w:tcW w:w="8569" w:type="dxa"/>
          </w:tcPr>
          <w:p w14:paraId="68779686">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所有医师信息支持自动带入分级授权板块内容，在授权个人用户档案中会显示其对应的拥有检查检验分级权限情况；</w:t>
            </w:r>
          </w:p>
        </w:tc>
      </w:tr>
      <w:tr w14:paraId="3A4C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DCD5A67">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1.3.7 麻醉分级</w:t>
            </w:r>
          </w:p>
        </w:tc>
        <w:tc>
          <w:tcPr>
            <w:tcW w:w="8569" w:type="dxa"/>
          </w:tcPr>
          <w:p w14:paraId="4A85293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可自定义管理麻醉目录；</w:t>
            </w:r>
          </w:p>
        </w:tc>
      </w:tr>
      <w:tr w14:paraId="73C2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13A762">
            <w:pPr>
              <w:rPr>
                <w:rFonts w:ascii="宋体" w:hAnsi="宋体" w:eastAsia="宋体" w:cs="宋体"/>
                <w:color w:val="auto"/>
                <w:sz w:val="20"/>
                <w:szCs w:val="20"/>
                <w:highlight w:val="none"/>
              </w:rPr>
            </w:pPr>
          </w:p>
        </w:tc>
        <w:tc>
          <w:tcPr>
            <w:tcW w:w="8569" w:type="dxa"/>
          </w:tcPr>
          <w:p w14:paraId="2D4833E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支持医师自主申请麻醉级别（低年资，高年资）、手术级别匹配、ASA分级；</w:t>
            </w:r>
          </w:p>
        </w:tc>
      </w:tr>
      <w:tr w14:paraId="1A7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2542206">
            <w:pPr>
              <w:rPr>
                <w:rFonts w:ascii="宋体" w:hAnsi="宋体" w:eastAsia="宋体" w:cs="宋体"/>
                <w:color w:val="auto"/>
                <w:sz w:val="20"/>
                <w:szCs w:val="20"/>
                <w:highlight w:val="none"/>
              </w:rPr>
            </w:pPr>
          </w:p>
        </w:tc>
        <w:tc>
          <w:tcPr>
            <w:tcW w:w="8569" w:type="dxa"/>
          </w:tcPr>
          <w:p w14:paraId="295FA59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提供申请记录台账，并可打印和导出；</w:t>
            </w:r>
          </w:p>
        </w:tc>
      </w:tr>
      <w:tr w14:paraId="67EF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A62331">
            <w:pPr>
              <w:rPr>
                <w:rFonts w:ascii="宋体" w:hAnsi="宋体" w:eastAsia="宋体" w:cs="宋体"/>
                <w:color w:val="auto"/>
                <w:sz w:val="20"/>
                <w:szCs w:val="20"/>
                <w:highlight w:val="none"/>
              </w:rPr>
            </w:pPr>
          </w:p>
        </w:tc>
        <w:tc>
          <w:tcPr>
            <w:tcW w:w="8569" w:type="dxa"/>
          </w:tcPr>
          <w:p w14:paraId="2F09176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可由管理层授予权限；</w:t>
            </w:r>
          </w:p>
        </w:tc>
      </w:tr>
      <w:tr w14:paraId="43EB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29A6482">
            <w:pPr>
              <w:rPr>
                <w:rFonts w:ascii="宋体" w:hAnsi="宋体" w:eastAsia="宋体" w:cs="宋体"/>
                <w:color w:val="auto"/>
                <w:sz w:val="20"/>
                <w:szCs w:val="20"/>
                <w:highlight w:val="none"/>
              </w:rPr>
            </w:pPr>
          </w:p>
        </w:tc>
        <w:tc>
          <w:tcPr>
            <w:tcW w:w="8569" w:type="dxa"/>
          </w:tcPr>
          <w:p w14:paraId="385E0B2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提供麻醉级别授权人数分析图、可开展匹配手术级别麻醉操作人数分析图、匹配ASA分级人数比例分析图并可以下载；</w:t>
            </w:r>
          </w:p>
        </w:tc>
      </w:tr>
      <w:tr w14:paraId="0BEC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5BE1009">
            <w:pPr>
              <w:rPr>
                <w:rFonts w:ascii="宋体" w:hAnsi="宋体" w:eastAsia="宋体" w:cs="宋体"/>
                <w:color w:val="auto"/>
                <w:sz w:val="20"/>
                <w:szCs w:val="20"/>
                <w:highlight w:val="none"/>
              </w:rPr>
            </w:pPr>
          </w:p>
        </w:tc>
        <w:tc>
          <w:tcPr>
            <w:tcW w:w="8569" w:type="dxa"/>
          </w:tcPr>
          <w:p w14:paraId="549B1E4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可通过姓名、科室、ASA分级、麻醉级别等信息进行查询；</w:t>
            </w:r>
          </w:p>
        </w:tc>
      </w:tr>
      <w:tr w14:paraId="70F5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88185A">
            <w:pPr>
              <w:rPr>
                <w:rFonts w:ascii="宋体" w:hAnsi="宋体" w:eastAsia="宋体" w:cs="宋体"/>
                <w:color w:val="auto"/>
                <w:sz w:val="20"/>
                <w:szCs w:val="20"/>
                <w:highlight w:val="none"/>
              </w:rPr>
            </w:pPr>
          </w:p>
        </w:tc>
        <w:tc>
          <w:tcPr>
            <w:tcW w:w="8569" w:type="dxa"/>
          </w:tcPr>
          <w:p w14:paraId="7B6DCC0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支持麻醉权限由医师自主退出；</w:t>
            </w:r>
          </w:p>
        </w:tc>
      </w:tr>
      <w:tr w14:paraId="2D31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400B6C">
            <w:pPr>
              <w:rPr>
                <w:rFonts w:ascii="宋体" w:hAnsi="宋体" w:eastAsia="宋体" w:cs="宋体"/>
                <w:color w:val="auto"/>
                <w:sz w:val="20"/>
                <w:szCs w:val="20"/>
                <w:highlight w:val="none"/>
              </w:rPr>
            </w:pPr>
          </w:p>
        </w:tc>
        <w:tc>
          <w:tcPr>
            <w:tcW w:w="8569" w:type="dxa"/>
          </w:tcPr>
          <w:p w14:paraId="0530083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个人用户档案中会显示其对应的拥有麻醉权限情况；</w:t>
            </w:r>
          </w:p>
        </w:tc>
      </w:tr>
      <w:tr w14:paraId="364F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5D1144">
            <w:pPr>
              <w:rPr>
                <w:rFonts w:ascii="宋体" w:hAnsi="宋体" w:eastAsia="宋体" w:cs="宋体"/>
                <w:color w:val="auto"/>
                <w:sz w:val="20"/>
                <w:szCs w:val="20"/>
                <w:highlight w:val="none"/>
              </w:rPr>
            </w:pPr>
          </w:p>
        </w:tc>
        <w:tc>
          <w:tcPr>
            <w:tcW w:w="8569" w:type="dxa"/>
          </w:tcPr>
          <w:p w14:paraId="2297A9F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APP上也可进行申请、审批、撤回、退出等操作。</w:t>
            </w:r>
          </w:p>
        </w:tc>
      </w:tr>
      <w:tr w14:paraId="7DF9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C3E9078">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1.3.8 高风险诊疗技术</w:t>
            </w:r>
          </w:p>
        </w:tc>
        <w:tc>
          <w:tcPr>
            <w:tcW w:w="8569" w:type="dxa"/>
          </w:tcPr>
          <w:p w14:paraId="1A95159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可自定义管理高风险诊疗技术目录；</w:t>
            </w:r>
          </w:p>
        </w:tc>
      </w:tr>
      <w:tr w14:paraId="2548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0A0632">
            <w:pPr>
              <w:rPr>
                <w:rFonts w:ascii="宋体" w:hAnsi="宋体" w:eastAsia="宋体" w:cs="宋体"/>
                <w:color w:val="auto"/>
                <w:sz w:val="20"/>
                <w:szCs w:val="20"/>
                <w:highlight w:val="none"/>
              </w:rPr>
            </w:pPr>
          </w:p>
        </w:tc>
        <w:tc>
          <w:tcPr>
            <w:tcW w:w="8569" w:type="dxa"/>
          </w:tcPr>
          <w:p w14:paraId="7F884B9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支持医师自主申请具体高风险诊疗权限；</w:t>
            </w:r>
          </w:p>
        </w:tc>
      </w:tr>
      <w:tr w14:paraId="6E14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C55E99F">
            <w:pPr>
              <w:rPr>
                <w:rFonts w:ascii="宋体" w:hAnsi="宋体" w:eastAsia="宋体" w:cs="宋体"/>
                <w:color w:val="auto"/>
                <w:sz w:val="20"/>
                <w:szCs w:val="20"/>
                <w:highlight w:val="none"/>
              </w:rPr>
            </w:pPr>
          </w:p>
        </w:tc>
        <w:tc>
          <w:tcPr>
            <w:tcW w:w="8569" w:type="dxa"/>
          </w:tcPr>
          <w:p w14:paraId="6389381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提供申请记录台账，并可打印和导出；</w:t>
            </w:r>
          </w:p>
        </w:tc>
      </w:tr>
      <w:tr w14:paraId="1A66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066A25">
            <w:pPr>
              <w:rPr>
                <w:rFonts w:ascii="宋体" w:hAnsi="宋体" w:eastAsia="宋体" w:cs="宋体"/>
                <w:color w:val="auto"/>
                <w:sz w:val="20"/>
                <w:szCs w:val="20"/>
                <w:highlight w:val="none"/>
              </w:rPr>
            </w:pPr>
          </w:p>
        </w:tc>
        <w:tc>
          <w:tcPr>
            <w:tcW w:w="8569" w:type="dxa"/>
          </w:tcPr>
          <w:p w14:paraId="75F6789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可由管理层授予权限；</w:t>
            </w:r>
          </w:p>
        </w:tc>
      </w:tr>
      <w:tr w14:paraId="757F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4648091">
            <w:pPr>
              <w:rPr>
                <w:rFonts w:ascii="宋体" w:hAnsi="宋体" w:eastAsia="宋体" w:cs="宋体"/>
                <w:color w:val="auto"/>
                <w:sz w:val="20"/>
                <w:szCs w:val="20"/>
                <w:highlight w:val="none"/>
              </w:rPr>
            </w:pPr>
          </w:p>
        </w:tc>
        <w:tc>
          <w:tcPr>
            <w:tcW w:w="8569" w:type="dxa"/>
          </w:tcPr>
          <w:p w14:paraId="7A786A5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提供非限制类医疗技术分析图、限制类医疗技术分析图、禁止类医疗技术分析图并可以下载；</w:t>
            </w:r>
          </w:p>
        </w:tc>
      </w:tr>
      <w:tr w14:paraId="7BE2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C346EA6">
            <w:pPr>
              <w:rPr>
                <w:rFonts w:ascii="宋体" w:hAnsi="宋体" w:eastAsia="宋体" w:cs="宋体"/>
                <w:color w:val="auto"/>
                <w:sz w:val="20"/>
                <w:szCs w:val="20"/>
                <w:highlight w:val="none"/>
              </w:rPr>
            </w:pPr>
          </w:p>
        </w:tc>
        <w:tc>
          <w:tcPr>
            <w:tcW w:w="8569" w:type="dxa"/>
          </w:tcPr>
          <w:p w14:paraId="1D9D43B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可通过姓名、科室、申请内容、高风险诊疗技术类型等信息进行查询；</w:t>
            </w:r>
          </w:p>
        </w:tc>
      </w:tr>
      <w:tr w14:paraId="6D5B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33CA0DE">
            <w:pPr>
              <w:rPr>
                <w:rFonts w:ascii="宋体" w:hAnsi="宋体" w:eastAsia="宋体" w:cs="宋体"/>
                <w:color w:val="auto"/>
                <w:sz w:val="20"/>
                <w:szCs w:val="20"/>
                <w:highlight w:val="none"/>
              </w:rPr>
            </w:pPr>
          </w:p>
        </w:tc>
        <w:tc>
          <w:tcPr>
            <w:tcW w:w="8569" w:type="dxa"/>
          </w:tcPr>
          <w:p w14:paraId="2F81C20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支持高风险诊疗技术权限由医师自主退出；</w:t>
            </w:r>
          </w:p>
        </w:tc>
      </w:tr>
      <w:tr w14:paraId="3DB6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363D82">
            <w:pPr>
              <w:rPr>
                <w:rFonts w:ascii="宋体" w:hAnsi="宋体" w:eastAsia="宋体" w:cs="宋体"/>
                <w:color w:val="auto"/>
                <w:sz w:val="20"/>
                <w:szCs w:val="20"/>
                <w:highlight w:val="none"/>
              </w:rPr>
            </w:pPr>
          </w:p>
        </w:tc>
        <w:tc>
          <w:tcPr>
            <w:tcW w:w="8569" w:type="dxa"/>
          </w:tcPr>
          <w:p w14:paraId="59640D3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个人用户档案中会显示其对应的拥有高风险诊疗技术权限情况；</w:t>
            </w:r>
          </w:p>
        </w:tc>
      </w:tr>
      <w:tr w14:paraId="617D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E05818">
            <w:pPr>
              <w:rPr>
                <w:rFonts w:ascii="宋体" w:hAnsi="宋体" w:eastAsia="宋体" w:cs="宋体"/>
                <w:color w:val="auto"/>
                <w:sz w:val="20"/>
                <w:szCs w:val="20"/>
                <w:highlight w:val="none"/>
              </w:rPr>
            </w:pPr>
          </w:p>
        </w:tc>
        <w:tc>
          <w:tcPr>
            <w:tcW w:w="8569" w:type="dxa"/>
          </w:tcPr>
          <w:p w14:paraId="390A712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APP上也可进行申请、审批、撤回、退出等操作。</w:t>
            </w:r>
          </w:p>
        </w:tc>
      </w:tr>
      <w:tr w14:paraId="6F9F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1A7D7B60">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1.3.9 中医技术管理</w:t>
            </w:r>
          </w:p>
        </w:tc>
        <w:tc>
          <w:tcPr>
            <w:tcW w:w="8569" w:type="dxa"/>
          </w:tcPr>
          <w:p w14:paraId="56430A3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可自定义管理中医技术名称与中医技术类型等内容；</w:t>
            </w:r>
          </w:p>
        </w:tc>
      </w:tr>
      <w:tr w14:paraId="34BF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F30B88">
            <w:pPr>
              <w:rPr>
                <w:rFonts w:ascii="宋体" w:hAnsi="宋体" w:eastAsia="宋体" w:cs="宋体"/>
                <w:color w:val="auto"/>
                <w:sz w:val="20"/>
                <w:szCs w:val="20"/>
                <w:highlight w:val="none"/>
              </w:rPr>
            </w:pPr>
          </w:p>
        </w:tc>
        <w:tc>
          <w:tcPr>
            <w:tcW w:w="8569" w:type="dxa"/>
          </w:tcPr>
          <w:p w14:paraId="209FC04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支持医师</w:t>
            </w:r>
            <w:r>
              <w:rPr>
                <w:rStyle w:val="26"/>
                <w:rFonts w:hint="eastAsia" w:eastAsia="宋体"/>
                <w:color w:val="auto"/>
                <w:highlight w:val="none"/>
                <w:lang w:eastAsia="zh-CN" w:bidi="ar"/>
              </w:rPr>
              <w:t>、</w:t>
            </w:r>
            <w:r>
              <w:rPr>
                <w:rStyle w:val="26"/>
                <w:rFonts w:hint="eastAsia" w:eastAsia="宋体"/>
                <w:color w:val="auto"/>
                <w:highlight w:val="none"/>
                <w:lang w:val="en-US" w:eastAsia="zh-CN" w:bidi="ar"/>
              </w:rPr>
              <w:t>中医科护士</w:t>
            </w:r>
            <w:r>
              <w:rPr>
                <w:rStyle w:val="27"/>
                <w:rFonts w:hint="default"/>
                <w:color w:val="auto"/>
                <w:highlight w:val="none"/>
                <w:lang w:bidi="ar"/>
              </w:rPr>
              <w:t>自主申请各项中医技术名称和级别；</w:t>
            </w:r>
          </w:p>
        </w:tc>
      </w:tr>
      <w:tr w14:paraId="4BF8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3528629">
            <w:pPr>
              <w:rPr>
                <w:rFonts w:ascii="宋体" w:hAnsi="宋体" w:eastAsia="宋体" w:cs="宋体"/>
                <w:color w:val="auto"/>
                <w:sz w:val="20"/>
                <w:szCs w:val="20"/>
                <w:highlight w:val="none"/>
              </w:rPr>
            </w:pPr>
          </w:p>
        </w:tc>
        <w:tc>
          <w:tcPr>
            <w:tcW w:w="8569" w:type="dxa"/>
          </w:tcPr>
          <w:p w14:paraId="0789305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全院管理层可按科室、按个人、按手术目录进行权限调整管理，并支持导出打印；</w:t>
            </w:r>
          </w:p>
        </w:tc>
      </w:tr>
      <w:tr w14:paraId="2811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F7E2917">
            <w:pPr>
              <w:rPr>
                <w:rFonts w:ascii="宋体" w:hAnsi="宋体" w:eastAsia="宋体" w:cs="宋体"/>
                <w:color w:val="auto"/>
                <w:sz w:val="20"/>
                <w:szCs w:val="20"/>
                <w:highlight w:val="none"/>
              </w:rPr>
            </w:pPr>
          </w:p>
        </w:tc>
        <w:tc>
          <w:tcPr>
            <w:tcW w:w="8569" w:type="dxa"/>
          </w:tcPr>
          <w:p w14:paraId="65912ED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统计各科室具体人员拥有的中医技术名称并可导出；</w:t>
            </w:r>
          </w:p>
        </w:tc>
      </w:tr>
      <w:tr w14:paraId="609B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671B5D8">
            <w:pPr>
              <w:rPr>
                <w:rFonts w:ascii="宋体" w:hAnsi="宋体" w:eastAsia="宋体" w:cs="宋体"/>
                <w:color w:val="auto"/>
                <w:sz w:val="20"/>
                <w:szCs w:val="20"/>
                <w:highlight w:val="none"/>
              </w:rPr>
            </w:pPr>
          </w:p>
        </w:tc>
        <w:tc>
          <w:tcPr>
            <w:tcW w:w="8569" w:type="dxa"/>
          </w:tcPr>
          <w:p w14:paraId="75C4501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支持按科室、按个人进行统计各项中医技术级别，并可导出打印；</w:t>
            </w:r>
          </w:p>
        </w:tc>
      </w:tr>
      <w:tr w14:paraId="1D50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031A2F5">
            <w:pPr>
              <w:rPr>
                <w:rFonts w:ascii="宋体" w:hAnsi="宋体" w:eastAsia="宋体" w:cs="宋体"/>
                <w:color w:val="auto"/>
                <w:sz w:val="20"/>
                <w:szCs w:val="20"/>
                <w:highlight w:val="none"/>
              </w:rPr>
            </w:pPr>
          </w:p>
        </w:tc>
        <w:tc>
          <w:tcPr>
            <w:tcW w:w="8569" w:type="dxa"/>
          </w:tcPr>
          <w:p w14:paraId="69CE284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提供申请记录台账，并可打印和导出；</w:t>
            </w:r>
          </w:p>
        </w:tc>
      </w:tr>
      <w:tr w14:paraId="13FC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73CB9FC">
            <w:pPr>
              <w:rPr>
                <w:rFonts w:ascii="宋体" w:hAnsi="宋体" w:eastAsia="宋体" w:cs="宋体"/>
                <w:color w:val="auto"/>
                <w:sz w:val="20"/>
                <w:szCs w:val="20"/>
                <w:highlight w:val="none"/>
              </w:rPr>
            </w:pPr>
          </w:p>
        </w:tc>
        <w:tc>
          <w:tcPr>
            <w:tcW w:w="8569" w:type="dxa"/>
          </w:tcPr>
          <w:p w14:paraId="295667D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记录所有中医技术目录禁用、授予和启用的台账，并可打印导出；</w:t>
            </w:r>
          </w:p>
        </w:tc>
      </w:tr>
      <w:tr w14:paraId="666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B903933">
            <w:pPr>
              <w:rPr>
                <w:rFonts w:ascii="宋体" w:hAnsi="宋体" w:eastAsia="宋体" w:cs="宋体"/>
                <w:color w:val="auto"/>
                <w:sz w:val="20"/>
                <w:szCs w:val="20"/>
                <w:highlight w:val="none"/>
              </w:rPr>
            </w:pPr>
          </w:p>
        </w:tc>
        <w:tc>
          <w:tcPr>
            <w:tcW w:w="8569" w:type="dxa"/>
          </w:tcPr>
          <w:p w14:paraId="0E2723E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个人用户档案中会显示其对应的中医技术目录权限；</w:t>
            </w:r>
          </w:p>
        </w:tc>
      </w:tr>
      <w:tr w14:paraId="1297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68B551">
            <w:pPr>
              <w:rPr>
                <w:rFonts w:ascii="宋体" w:hAnsi="宋体" w:eastAsia="宋体" w:cs="宋体"/>
                <w:color w:val="auto"/>
                <w:sz w:val="20"/>
                <w:szCs w:val="20"/>
                <w:highlight w:val="none"/>
              </w:rPr>
            </w:pPr>
          </w:p>
        </w:tc>
        <w:tc>
          <w:tcPr>
            <w:tcW w:w="8569" w:type="dxa"/>
          </w:tcPr>
          <w:p w14:paraId="0D08246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APP上也可进行申请、审批、撤回、退出等操作。</w:t>
            </w:r>
          </w:p>
        </w:tc>
      </w:tr>
      <w:tr w14:paraId="5AC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E2DE993">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1.3.10 放射管理</w:t>
            </w:r>
          </w:p>
        </w:tc>
        <w:tc>
          <w:tcPr>
            <w:tcW w:w="8569" w:type="dxa"/>
          </w:tcPr>
          <w:p w14:paraId="45E6410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支持医师自主申请放射管理权限，管理层可进行权限审批管理；</w:t>
            </w:r>
          </w:p>
        </w:tc>
      </w:tr>
      <w:tr w14:paraId="20D5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6800BF">
            <w:pPr>
              <w:rPr>
                <w:rFonts w:ascii="宋体" w:hAnsi="宋体" w:eastAsia="宋体" w:cs="宋体"/>
                <w:color w:val="auto"/>
                <w:sz w:val="20"/>
                <w:szCs w:val="20"/>
                <w:highlight w:val="none"/>
              </w:rPr>
            </w:pPr>
          </w:p>
        </w:tc>
        <w:tc>
          <w:tcPr>
            <w:tcW w:w="8569" w:type="dxa"/>
          </w:tcPr>
          <w:p w14:paraId="7FE6E80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也可由管理层直接授予放射管理权限；</w:t>
            </w:r>
          </w:p>
        </w:tc>
      </w:tr>
      <w:tr w14:paraId="6C7C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C5B2D59">
            <w:pPr>
              <w:rPr>
                <w:rFonts w:ascii="宋体" w:hAnsi="宋体" w:eastAsia="宋体" w:cs="宋体"/>
                <w:color w:val="auto"/>
                <w:sz w:val="20"/>
                <w:szCs w:val="20"/>
                <w:highlight w:val="none"/>
              </w:rPr>
            </w:pPr>
          </w:p>
        </w:tc>
        <w:tc>
          <w:tcPr>
            <w:tcW w:w="8569" w:type="dxa"/>
          </w:tcPr>
          <w:p w14:paraId="6715A04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提供所有放射权限台账，可查看对应医生的职称、放射工作人员证、辐射证、授权日期、授权时长、人员状态等内容，并支持打印导出；</w:t>
            </w:r>
          </w:p>
        </w:tc>
      </w:tr>
      <w:tr w14:paraId="5873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0DD1262">
            <w:pPr>
              <w:rPr>
                <w:rFonts w:ascii="宋体" w:hAnsi="宋体" w:eastAsia="宋体" w:cs="宋体"/>
                <w:color w:val="auto"/>
                <w:sz w:val="20"/>
                <w:szCs w:val="20"/>
                <w:highlight w:val="none"/>
              </w:rPr>
            </w:pPr>
          </w:p>
        </w:tc>
        <w:tc>
          <w:tcPr>
            <w:tcW w:w="8569" w:type="dxa"/>
          </w:tcPr>
          <w:p w14:paraId="50DA0AE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医师可自主退出放射管理权限，并由审批流程管控；</w:t>
            </w:r>
          </w:p>
        </w:tc>
      </w:tr>
      <w:tr w14:paraId="03DC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5B06145">
            <w:pPr>
              <w:rPr>
                <w:rFonts w:ascii="宋体" w:hAnsi="宋体" w:eastAsia="宋体" w:cs="宋体"/>
                <w:color w:val="auto"/>
                <w:sz w:val="20"/>
                <w:szCs w:val="20"/>
                <w:highlight w:val="none"/>
              </w:rPr>
            </w:pPr>
          </w:p>
        </w:tc>
        <w:tc>
          <w:tcPr>
            <w:tcW w:w="8569" w:type="dxa"/>
          </w:tcPr>
          <w:p w14:paraId="66D5E1E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提供放射授权时长TOP10和授权人员状态分布图，并支持下载；</w:t>
            </w:r>
          </w:p>
        </w:tc>
      </w:tr>
      <w:tr w14:paraId="4A21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74B6F06">
            <w:pPr>
              <w:rPr>
                <w:rFonts w:ascii="宋体" w:hAnsi="宋体" w:eastAsia="宋体" w:cs="宋体"/>
                <w:color w:val="auto"/>
                <w:sz w:val="20"/>
                <w:szCs w:val="20"/>
                <w:highlight w:val="none"/>
              </w:rPr>
            </w:pPr>
          </w:p>
        </w:tc>
        <w:tc>
          <w:tcPr>
            <w:tcW w:w="8569" w:type="dxa"/>
          </w:tcPr>
          <w:p w14:paraId="62C62BC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放射诊疗资料管理，如：是否有放射工作人员执业健康体检（上岗前）、是否有放射工作人员执业健康体检（在岗期间）、是否有放射工作人员执业健康体检（离岗）、个人剂量送检情况、危害告知书、放射合同管理、环保要求的单位组织培训和考试辐射培训情况、环保要求的DSA工作人员辐射培训情况、放射防护知识培训情况等内容；</w:t>
            </w:r>
          </w:p>
        </w:tc>
      </w:tr>
      <w:tr w14:paraId="6EE9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E8B4BD">
            <w:pPr>
              <w:rPr>
                <w:rFonts w:ascii="宋体" w:hAnsi="宋体" w:eastAsia="宋体" w:cs="宋体"/>
                <w:color w:val="auto"/>
                <w:sz w:val="20"/>
                <w:szCs w:val="20"/>
                <w:highlight w:val="none"/>
              </w:rPr>
            </w:pPr>
          </w:p>
        </w:tc>
        <w:tc>
          <w:tcPr>
            <w:tcW w:w="8569" w:type="dxa"/>
          </w:tcPr>
          <w:p w14:paraId="0338EC8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放射信息汇总：可自定义汇总放射人员提供的所有资料并形成详细表单，并支持导出；</w:t>
            </w:r>
          </w:p>
        </w:tc>
      </w:tr>
      <w:tr w14:paraId="3361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96FC68">
            <w:pPr>
              <w:rPr>
                <w:rFonts w:ascii="宋体" w:hAnsi="宋体" w:eastAsia="宋体" w:cs="宋体"/>
                <w:color w:val="auto"/>
                <w:sz w:val="20"/>
                <w:szCs w:val="20"/>
                <w:highlight w:val="none"/>
              </w:rPr>
            </w:pPr>
          </w:p>
        </w:tc>
        <w:tc>
          <w:tcPr>
            <w:tcW w:w="8569" w:type="dxa"/>
          </w:tcPr>
          <w:p w14:paraId="140B4FB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资质调整日志：记录所有放射调整操作痕迹，如禁用和启用等；</w:t>
            </w:r>
          </w:p>
        </w:tc>
      </w:tr>
      <w:tr w14:paraId="3530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CC556A3">
            <w:pPr>
              <w:rPr>
                <w:rFonts w:ascii="宋体" w:hAnsi="宋体" w:eastAsia="宋体" w:cs="宋体"/>
                <w:color w:val="auto"/>
                <w:sz w:val="20"/>
                <w:szCs w:val="20"/>
                <w:highlight w:val="none"/>
              </w:rPr>
            </w:pPr>
          </w:p>
        </w:tc>
        <w:tc>
          <w:tcPr>
            <w:tcW w:w="8569" w:type="dxa"/>
          </w:tcPr>
          <w:p w14:paraId="12FA11A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支持APP上登记放射所有自定义信息、退出等操作。</w:t>
            </w:r>
          </w:p>
        </w:tc>
      </w:tr>
      <w:tr w14:paraId="0FFF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F5B84E4">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1.3.11 新技术新项目准入</w:t>
            </w:r>
          </w:p>
        </w:tc>
        <w:tc>
          <w:tcPr>
            <w:tcW w:w="8569" w:type="dxa"/>
          </w:tcPr>
          <w:p w14:paraId="3086EC2D">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2"/>
                <w:color w:val="auto"/>
                <w:highlight w:val="none"/>
                <w:lang w:bidi="ar"/>
              </w:rPr>
              <w:t>新技术新项目申请管理：支持个人对新技术新项目进行申请，授权申请单包括项目编号、申请科室、新技术新项目名称、新技术分类、医院技术标准、手术级别匹配、是否多学科、涉及专科、项目负责人、项目负责人手机、负责人性别、负责人年龄、负责人医师分级、是否重点学科、该技术的相关经验、负责人学历信息、负责人职称信息、职称、专业方向、技术类别、技术级别、项目类型、可行性分析报告、现在的工作基础和条件、是否存在院感风险、是否有物价编码等信息；支持添加多名助手，包括助手的关联员工信息、性别、出生日期、年龄、助手职称、助手学历、助手的相应经验、近两年本科室医疗争议、重大医疗差错、医疗事故情况、项目中使用医疗技术的风险评估及风险预防与处置预案等信息；支持添加设备使用情况，包括设备名称、是否已采购、资产编码、是否有采购需求、计划采购时间等信息；支持添加耗材使用情况，包括耗材名称、是否已采购、耗材编码、是否有采购需求、计划采购时间等信息。该技术项目目前在国内外或其它省、市医院临床应用基本情况、临床应用意义、适应症和禁忌症、社会效益、经济效益预测、新技术、新项目的诊疗常规及操作规范、科室技术力量、人力配备和设施、新技术新项目预见的风险评估及应急处理预案等内容；支持各审核节点填写审核意见并进行手写签名；支持导出word版本的申请文件。</w:t>
            </w:r>
          </w:p>
        </w:tc>
      </w:tr>
      <w:tr w14:paraId="5F1E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0540A1">
            <w:pPr>
              <w:rPr>
                <w:rFonts w:ascii="宋体" w:hAnsi="宋体" w:eastAsia="宋体" w:cs="宋体"/>
                <w:color w:val="auto"/>
                <w:sz w:val="20"/>
                <w:szCs w:val="20"/>
                <w:highlight w:val="none"/>
              </w:rPr>
            </w:pPr>
          </w:p>
        </w:tc>
        <w:tc>
          <w:tcPr>
            <w:tcW w:w="8569" w:type="dxa"/>
          </w:tcPr>
          <w:p w14:paraId="42824634">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2"/>
                <w:color w:val="auto"/>
                <w:highlight w:val="none"/>
                <w:lang w:bidi="ar"/>
              </w:rPr>
              <w:t>能查看新技术新项目相关制度文件，提醒上报医师申报规则；如申请新技术涉及国家及省级限制类技术，需提醒医师上传相关人员培训证书等人员资质文件。</w:t>
            </w:r>
          </w:p>
        </w:tc>
      </w:tr>
      <w:tr w14:paraId="77B8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787D861">
            <w:pPr>
              <w:rPr>
                <w:rFonts w:ascii="宋体" w:hAnsi="宋体" w:eastAsia="宋体" w:cs="宋体"/>
                <w:color w:val="auto"/>
                <w:sz w:val="20"/>
                <w:szCs w:val="20"/>
                <w:highlight w:val="none"/>
              </w:rPr>
            </w:pPr>
          </w:p>
        </w:tc>
        <w:tc>
          <w:tcPr>
            <w:tcW w:w="8569" w:type="dxa"/>
          </w:tcPr>
          <w:p w14:paraId="33376A74">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2"/>
                <w:color w:val="auto"/>
                <w:highlight w:val="none"/>
                <w:lang w:bidi="ar"/>
              </w:rPr>
              <w:t>新技术新项目应用评估：支持个人对审核通过的新技术新项目进行定期应用评估，包括门诊人数、住院病人数、好转率、治愈率、病死率、、患争议事件数、代表的病历号、经济效益、社会效益、学术情况、项目摘要及意见及建议等信息的录入及提交审核。</w:t>
            </w:r>
          </w:p>
        </w:tc>
      </w:tr>
      <w:tr w14:paraId="73C5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BD898B">
            <w:pPr>
              <w:rPr>
                <w:rFonts w:ascii="宋体" w:hAnsi="宋体" w:eastAsia="宋体" w:cs="宋体"/>
                <w:color w:val="auto"/>
                <w:sz w:val="20"/>
                <w:szCs w:val="20"/>
                <w:highlight w:val="none"/>
              </w:rPr>
            </w:pPr>
          </w:p>
        </w:tc>
        <w:tc>
          <w:tcPr>
            <w:tcW w:w="8569" w:type="dxa"/>
          </w:tcPr>
          <w:p w14:paraId="5F03FB1F">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2"/>
                <w:color w:val="auto"/>
                <w:highlight w:val="none"/>
                <w:lang w:bidi="ar"/>
              </w:rPr>
              <w:t>新技术新项目病例登记：支持用户对开展中的新技术新项目进行病历登记，包括档案号、姓名、性别、年龄、联系电话、是否签署知情同意书、预期效果及有无不良后果等信息录入及提交审核。</w:t>
            </w:r>
          </w:p>
        </w:tc>
      </w:tr>
      <w:tr w14:paraId="7764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824AA2F">
            <w:pPr>
              <w:rPr>
                <w:rFonts w:ascii="宋体" w:hAnsi="宋体" w:eastAsia="宋体" w:cs="宋体"/>
                <w:color w:val="auto"/>
                <w:sz w:val="20"/>
                <w:szCs w:val="20"/>
                <w:highlight w:val="none"/>
              </w:rPr>
            </w:pPr>
          </w:p>
        </w:tc>
        <w:tc>
          <w:tcPr>
            <w:tcW w:w="8569" w:type="dxa"/>
          </w:tcPr>
          <w:p w14:paraId="1021C79F">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2"/>
                <w:color w:val="auto"/>
                <w:highlight w:val="none"/>
                <w:lang w:bidi="ar"/>
              </w:rPr>
              <w:t>新技术新项目延期管理：支持个人对开展中的新技术新项目进行延期申请，包括关联项目、项目负责人、项目开始日期、项目结束日期、开展总例数、延期时间及项目延期理由等信息进行录入及提交审核。</w:t>
            </w:r>
          </w:p>
        </w:tc>
      </w:tr>
      <w:tr w14:paraId="18BF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9A4D77">
            <w:pPr>
              <w:rPr>
                <w:rFonts w:ascii="宋体" w:hAnsi="宋体" w:eastAsia="宋体" w:cs="宋体"/>
                <w:color w:val="auto"/>
                <w:sz w:val="20"/>
                <w:szCs w:val="20"/>
                <w:highlight w:val="none"/>
              </w:rPr>
            </w:pPr>
          </w:p>
        </w:tc>
        <w:tc>
          <w:tcPr>
            <w:tcW w:w="8569" w:type="dxa"/>
          </w:tcPr>
          <w:p w14:paraId="31E0DC74">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5"/>
                <w:rFonts w:hint="default"/>
                <w:color w:val="auto"/>
                <w:highlight w:val="none"/>
                <w:lang w:bidi="ar"/>
              </w:rPr>
              <w:t>新技术新项目终止管理：支持个人对开展中的新技术新项目进行终止项目申请，包括关联项目、项目负责人、项目开始日期、项目结束日期、开展总例数、及项目终止理由等信息进行录入及提交审核。</w:t>
            </w:r>
          </w:p>
        </w:tc>
      </w:tr>
      <w:tr w14:paraId="5988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6634F0">
            <w:pPr>
              <w:rPr>
                <w:rFonts w:ascii="宋体" w:hAnsi="宋体" w:eastAsia="宋体" w:cs="宋体"/>
                <w:color w:val="auto"/>
                <w:sz w:val="20"/>
                <w:szCs w:val="20"/>
                <w:highlight w:val="none"/>
              </w:rPr>
            </w:pPr>
          </w:p>
        </w:tc>
        <w:tc>
          <w:tcPr>
            <w:tcW w:w="8569" w:type="dxa"/>
          </w:tcPr>
          <w:p w14:paraId="66460E89">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新技术新项目转常规申请：支持个人对开展中的项目进行转常规项目申请，包括关联项目、项目编码、项目负责人、项目开始日期、项目结束日期、是否存在问题等信息；支持选择上传的病例信息。</w:t>
            </w:r>
          </w:p>
        </w:tc>
      </w:tr>
      <w:tr w14:paraId="5EA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E01CB4">
            <w:pPr>
              <w:rPr>
                <w:rFonts w:ascii="宋体" w:hAnsi="宋体" w:eastAsia="宋体" w:cs="宋体"/>
                <w:color w:val="auto"/>
                <w:sz w:val="20"/>
                <w:szCs w:val="20"/>
                <w:highlight w:val="none"/>
              </w:rPr>
            </w:pPr>
          </w:p>
        </w:tc>
        <w:tc>
          <w:tcPr>
            <w:tcW w:w="8569" w:type="dxa"/>
          </w:tcPr>
          <w:p w14:paraId="3F600C8F">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2"/>
                <w:color w:val="auto"/>
                <w:highlight w:val="none"/>
                <w:lang w:bidi="ar"/>
              </w:rPr>
              <w:t>新技术按照医院、科室、个人进行权限分类，支持查看所属内容、进度，支持导出明细。</w:t>
            </w:r>
          </w:p>
        </w:tc>
      </w:tr>
      <w:tr w14:paraId="1AB7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8472CCD">
            <w:pPr>
              <w:rPr>
                <w:rFonts w:ascii="宋体" w:hAnsi="宋体" w:eastAsia="宋体" w:cs="宋体"/>
                <w:color w:val="auto"/>
                <w:sz w:val="20"/>
                <w:szCs w:val="20"/>
                <w:highlight w:val="none"/>
              </w:rPr>
            </w:pPr>
          </w:p>
        </w:tc>
        <w:tc>
          <w:tcPr>
            <w:tcW w:w="8569" w:type="dxa"/>
          </w:tcPr>
          <w:p w14:paraId="4A32205C">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2"/>
                <w:color w:val="auto"/>
                <w:highlight w:val="none"/>
                <w:lang w:bidi="ar"/>
              </w:rPr>
              <w:t>新技术、转常规批件在审批流程结束后自动生成，并支持导出下载。</w:t>
            </w:r>
          </w:p>
        </w:tc>
      </w:tr>
      <w:tr w14:paraId="2FB3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CD25DD">
            <w:pPr>
              <w:rPr>
                <w:rFonts w:ascii="宋体" w:hAnsi="宋体" w:eastAsia="宋体" w:cs="宋体"/>
                <w:color w:val="auto"/>
                <w:sz w:val="20"/>
                <w:szCs w:val="20"/>
                <w:highlight w:val="none"/>
              </w:rPr>
            </w:pPr>
          </w:p>
        </w:tc>
        <w:tc>
          <w:tcPr>
            <w:tcW w:w="8569" w:type="dxa"/>
          </w:tcPr>
          <w:p w14:paraId="5067C371">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2"/>
                <w:color w:val="auto"/>
                <w:highlight w:val="none"/>
                <w:lang w:bidi="ar"/>
              </w:rPr>
              <w:t>新技术新项目驾驶仓：支持通过图标显示新技术新项目的情况，包括项目分布状态、职称分布状态、项目负责人分布状态、项目科室分布状态及项目申请日期分布状态等信息。</w:t>
            </w:r>
          </w:p>
        </w:tc>
      </w:tr>
      <w:tr w14:paraId="423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D34C5EC">
            <w:pPr>
              <w:rPr>
                <w:rFonts w:ascii="宋体" w:hAnsi="宋体" w:eastAsia="宋体" w:cs="宋体"/>
                <w:color w:val="auto"/>
                <w:sz w:val="20"/>
                <w:szCs w:val="20"/>
                <w:highlight w:val="none"/>
              </w:rPr>
            </w:pPr>
          </w:p>
        </w:tc>
        <w:tc>
          <w:tcPr>
            <w:tcW w:w="8569" w:type="dxa"/>
          </w:tcPr>
          <w:p w14:paraId="4F696A84">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5"/>
                <w:rFonts w:hint="default"/>
                <w:color w:val="auto"/>
                <w:highlight w:val="none"/>
                <w:lang w:bidi="ar"/>
              </w:rPr>
              <w:t>支持随时记录开展情况和随访评价情况；</w:t>
            </w:r>
          </w:p>
        </w:tc>
      </w:tr>
      <w:tr w14:paraId="68D0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F1A6CF">
            <w:pPr>
              <w:rPr>
                <w:rFonts w:ascii="宋体" w:hAnsi="宋体" w:eastAsia="宋体" w:cs="宋体"/>
                <w:color w:val="auto"/>
                <w:sz w:val="20"/>
                <w:szCs w:val="20"/>
                <w:highlight w:val="none"/>
              </w:rPr>
            </w:pPr>
          </w:p>
        </w:tc>
        <w:tc>
          <w:tcPr>
            <w:tcW w:w="8569" w:type="dxa"/>
          </w:tcPr>
          <w:p w14:paraId="3B9038D8">
            <w:pPr>
              <w:widowControl/>
              <w:textAlignment w:val="top"/>
              <w:rPr>
                <w:rFonts w:hint="eastAsia" w:ascii="Wingdings" w:hAnsi="Wingdings" w:eastAsia="宋体" w:cs="Wingdings"/>
                <w:color w:val="auto"/>
                <w:sz w:val="20"/>
                <w:szCs w:val="20"/>
                <w:highlight w:val="none"/>
              </w:rPr>
            </w:pPr>
            <w:r>
              <w:rPr>
                <w:rStyle w:val="33"/>
                <w:rFonts w:eastAsia="宋体"/>
                <w:color w:val="auto"/>
                <w:highlight w:val="none"/>
                <w:lang w:bidi="ar"/>
              </w:rPr>
              <w:t></w:t>
            </w:r>
            <w:r>
              <w:rPr>
                <w:rStyle w:val="35"/>
                <w:rFonts w:hint="default"/>
                <w:color w:val="auto"/>
                <w:highlight w:val="none"/>
                <w:lang w:bidi="ar"/>
              </w:rPr>
              <w:t>可查看所有新技术新项目的开展次数、日常汇报检查次数、达到次数、达标率、随访评价次数、随访达标次数、随访达标率等分析表，并支持打印导出。</w:t>
            </w:r>
          </w:p>
        </w:tc>
      </w:tr>
      <w:tr w14:paraId="0DFF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81FB36A">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1.3.12 会诊管理</w:t>
            </w:r>
          </w:p>
        </w:tc>
        <w:tc>
          <w:tcPr>
            <w:tcW w:w="8569" w:type="dxa"/>
          </w:tcPr>
          <w:p w14:paraId="0775C76D">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支持医师自主申请所有会诊资格，并可由</w:t>
            </w:r>
            <w:r>
              <w:rPr>
                <w:rStyle w:val="35"/>
                <w:rFonts w:hint="default"/>
                <w:color w:val="auto"/>
                <w:highlight w:val="none"/>
                <w:lang w:bidi="ar"/>
              </w:rPr>
              <w:t>科室负责人、医务科逐级</w:t>
            </w:r>
            <w:r>
              <w:rPr>
                <w:rStyle w:val="24"/>
                <w:rFonts w:hint="default"/>
                <w:color w:val="auto"/>
                <w:highlight w:val="none"/>
                <w:lang w:bidi="ar"/>
              </w:rPr>
              <w:t>进行审核，同意、驳回、撤回等操作，形成台账并可以打印导出；</w:t>
            </w:r>
          </w:p>
        </w:tc>
      </w:tr>
      <w:tr w14:paraId="3996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30744D">
            <w:pPr>
              <w:rPr>
                <w:rFonts w:ascii="宋体" w:hAnsi="宋体" w:eastAsia="宋体" w:cs="宋体"/>
                <w:color w:val="auto"/>
                <w:sz w:val="20"/>
                <w:szCs w:val="20"/>
                <w:highlight w:val="none"/>
              </w:rPr>
            </w:pPr>
          </w:p>
        </w:tc>
        <w:tc>
          <w:tcPr>
            <w:tcW w:w="8569" w:type="dxa"/>
          </w:tcPr>
          <w:p w14:paraId="3B1A5DF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会诊权限管理：管理层可直接取消资格，并提供联系电话、基本信息、获取资格时间、人员现状态等内容，并支持打印导出；</w:t>
            </w:r>
          </w:p>
        </w:tc>
      </w:tr>
      <w:tr w14:paraId="365A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8604F28">
            <w:pPr>
              <w:rPr>
                <w:rFonts w:ascii="宋体" w:hAnsi="宋体" w:eastAsia="宋体" w:cs="宋体"/>
                <w:color w:val="auto"/>
                <w:sz w:val="20"/>
                <w:szCs w:val="20"/>
                <w:highlight w:val="none"/>
              </w:rPr>
            </w:pPr>
          </w:p>
        </w:tc>
        <w:tc>
          <w:tcPr>
            <w:tcW w:w="8569" w:type="dxa"/>
          </w:tcPr>
          <w:p w14:paraId="0FA6063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资格调整记录：记录所有会诊调整操作痕迹，如禁用、启用、审批通过等；</w:t>
            </w:r>
          </w:p>
        </w:tc>
      </w:tr>
      <w:tr w14:paraId="24D3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78EAFD">
            <w:pPr>
              <w:rPr>
                <w:rFonts w:ascii="宋体" w:hAnsi="宋体" w:eastAsia="宋体" w:cs="宋体"/>
                <w:color w:val="auto"/>
                <w:sz w:val="20"/>
                <w:szCs w:val="20"/>
                <w:highlight w:val="none"/>
              </w:rPr>
            </w:pPr>
          </w:p>
        </w:tc>
        <w:tc>
          <w:tcPr>
            <w:tcW w:w="8569" w:type="dxa"/>
          </w:tcPr>
          <w:p w14:paraId="4B7CF52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全院会诊医师一览表：可查看全院各会诊权限各科室分布情况以及对应人员明细，并支持打印导出。</w:t>
            </w:r>
          </w:p>
        </w:tc>
      </w:tr>
      <w:tr w14:paraId="3040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67999A">
            <w:pPr>
              <w:rPr>
                <w:rFonts w:ascii="宋体" w:hAnsi="宋体" w:eastAsia="宋体" w:cs="宋体"/>
                <w:color w:val="auto"/>
                <w:sz w:val="20"/>
                <w:szCs w:val="20"/>
                <w:highlight w:val="none"/>
              </w:rPr>
            </w:pPr>
          </w:p>
        </w:tc>
        <w:tc>
          <w:tcPr>
            <w:tcW w:w="8569" w:type="dxa"/>
          </w:tcPr>
          <w:p w14:paraId="428BAC4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会议记录：可管理发起和补录，会议信息如：主持人科室、主持人、会议类型、会议结束日期、会议主题、会议地点、会议内容、会议资料等内容；</w:t>
            </w:r>
          </w:p>
        </w:tc>
      </w:tr>
      <w:tr w14:paraId="2CA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D68325">
            <w:pPr>
              <w:rPr>
                <w:rFonts w:ascii="宋体" w:hAnsi="宋体" w:eastAsia="宋体" w:cs="宋体"/>
                <w:color w:val="auto"/>
                <w:sz w:val="20"/>
                <w:szCs w:val="20"/>
                <w:highlight w:val="none"/>
              </w:rPr>
            </w:pPr>
          </w:p>
        </w:tc>
        <w:tc>
          <w:tcPr>
            <w:tcW w:w="8569" w:type="dxa"/>
          </w:tcPr>
          <w:p w14:paraId="464AB55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支持指定具体参会人和扫码报名、可快捷选择小组成员，管理签到、会护总结、参会报告等；</w:t>
            </w:r>
          </w:p>
        </w:tc>
      </w:tr>
      <w:tr w14:paraId="242E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7A3D246">
            <w:pPr>
              <w:rPr>
                <w:rFonts w:ascii="宋体" w:hAnsi="宋体" w:eastAsia="宋体" w:cs="宋体"/>
                <w:color w:val="auto"/>
                <w:sz w:val="20"/>
                <w:szCs w:val="20"/>
                <w:highlight w:val="none"/>
              </w:rPr>
            </w:pPr>
          </w:p>
        </w:tc>
        <w:tc>
          <w:tcPr>
            <w:tcW w:w="8569" w:type="dxa"/>
          </w:tcPr>
          <w:p w14:paraId="09802E5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支持会议消息推送，可定点定时推送参会人参会信息；</w:t>
            </w:r>
          </w:p>
        </w:tc>
      </w:tr>
      <w:tr w14:paraId="05B7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D62ACAB">
            <w:pPr>
              <w:rPr>
                <w:rFonts w:ascii="宋体" w:hAnsi="宋体" w:eastAsia="宋体" w:cs="宋体"/>
                <w:color w:val="auto"/>
                <w:sz w:val="20"/>
                <w:szCs w:val="20"/>
                <w:highlight w:val="none"/>
              </w:rPr>
            </w:pPr>
          </w:p>
        </w:tc>
        <w:tc>
          <w:tcPr>
            <w:tcW w:w="8569" w:type="dxa"/>
          </w:tcPr>
          <w:p w14:paraId="3AACD33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可自定义会议类型，如：会议考勤、医师长例会、科务会议记录、疑难病例讨论，每周医务隐患讨论等会议，支持适用多种会议；</w:t>
            </w:r>
          </w:p>
        </w:tc>
      </w:tr>
      <w:tr w14:paraId="5840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425D9E2">
            <w:pPr>
              <w:rPr>
                <w:rFonts w:ascii="宋体" w:hAnsi="宋体" w:eastAsia="宋体" w:cs="宋体"/>
                <w:color w:val="auto"/>
                <w:sz w:val="20"/>
                <w:szCs w:val="20"/>
                <w:highlight w:val="none"/>
              </w:rPr>
            </w:pPr>
          </w:p>
        </w:tc>
        <w:tc>
          <w:tcPr>
            <w:tcW w:w="8569" w:type="dxa"/>
          </w:tcPr>
          <w:p w14:paraId="13E2E0E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会议分析：提供会议数据统计分析图、平均签到率分析图、和各会议类型科室完成率；</w:t>
            </w:r>
          </w:p>
        </w:tc>
      </w:tr>
      <w:tr w14:paraId="4782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0F093FE">
            <w:pPr>
              <w:rPr>
                <w:rFonts w:ascii="宋体" w:hAnsi="宋体" w:eastAsia="宋体" w:cs="宋体"/>
                <w:color w:val="auto"/>
                <w:sz w:val="20"/>
                <w:szCs w:val="20"/>
                <w:highlight w:val="none"/>
              </w:rPr>
            </w:pPr>
          </w:p>
        </w:tc>
        <w:tc>
          <w:tcPr>
            <w:tcW w:w="8569" w:type="dxa"/>
          </w:tcPr>
          <w:p w14:paraId="4F1F547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支持APP进行会议发起、编辑、签到、会议总结、会议内容等操作。</w:t>
            </w:r>
          </w:p>
        </w:tc>
      </w:tr>
      <w:tr w14:paraId="6B0D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35AEF00">
            <w:pPr>
              <w:rPr>
                <w:rFonts w:ascii="宋体" w:hAnsi="宋体" w:eastAsia="宋体" w:cs="宋体"/>
                <w:color w:val="auto"/>
                <w:sz w:val="20"/>
                <w:szCs w:val="20"/>
                <w:highlight w:val="none"/>
              </w:rPr>
            </w:pPr>
          </w:p>
        </w:tc>
        <w:tc>
          <w:tcPr>
            <w:tcW w:w="8569" w:type="dxa"/>
          </w:tcPr>
          <w:p w14:paraId="40499375">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支持院内/院际会诊申请、审批、安排全流程电子化管理、提供会诊类型分类（普通/紧急/多学科会诊等）、自动关联患者电子病历信息</w:t>
            </w:r>
          </w:p>
        </w:tc>
      </w:tr>
      <w:tr w14:paraId="3B69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69" w:type="dxa"/>
            <w:vMerge w:val="continue"/>
            <w:vAlign w:val="center"/>
          </w:tcPr>
          <w:p w14:paraId="6A5DF0AC">
            <w:pPr>
              <w:rPr>
                <w:rFonts w:ascii="宋体" w:hAnsi="宋体" w:eastAsia="宋体" w:cs="宋体"/>
                <w:color w:val="auto"/>
                <w:sz w:val="20"/>
                <w:szCs w:val="20"/>
                <w:highlight w:val="none"/>
              </w:rPr>
            </w:pPr>
          </w:p>
        </w:tc>
        <w:tc>
          <w:tcPr>
            <w:tcW w:w="8569" w:type="dxa"/>
          </w:tcPr>
          <w:p w14:paraId="5C9997C8">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生成会诊响应时效统计报表、提供会诊科室/医师工作量分析、支持会诊质量评价数据采集</w:t>
            </w:r>
          </w:p>
        </w:tc>
      </w:tr>
      <w:tr w14:paraId="5681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558DF20">
            <w:pPr>
              <w:rPr>
                <w:rFonts w:ascii="宋体" w:hAnsi="宋体" w:eastAsia="宋体" w:cs="宋体"/>
                <w:color w:val="auto"/>
                <w:sz w:val="20"/>
                <w:szCs w:val="20"/>
                <w:highlight w:val="none"/>
              </w:rPr>
            </w:pPr>
          </w:p>
        </w:tc>
        <w:tc>
          <w:tcPr>
            <w:tcW w:w="8569" w:type="dxa"/>
          </w:tcPr>
          <w:p w14:paraId="57520E5E">
            <w:pPr>
              <w:widowControl/>
              <w:textAlignment w:val="top"/>
              <w:rPr>
                <w:rFonts w:ascii="宋体" w:hAnsi="宋体" w:eastAsia="宋体" w:cs="宋体"/>
                <w:color w:val="auto"/>
                <w:kern w:val="0"/>
                <w:sz w:val="20"/>
                <w:szCs w:val="20"/>
                <w:highlight w:val="none"/>
                <w:lang w:bidi="ar"/>
              </w:rPr>
            </w:pPr>
            <w:r>
              <w:rPr>
                <w:rFonts w:ascii="宋体" w:hAnsi="宋体" w:eastAsia="宋体" w:cs="宋体"/>
                <w:color w:val="auto"/>
                <w:kern w:val="0"/>
                <w:sz w:val="20"/>
                <w:szCs w:val="20"/>
                <w:highlight w:val="none"/>
                <w:lang w:bidi="ar"/>
              </w:rPr>
              <w:t>与HIS、EMR系统无缝对接、支持移动端会诊处理、提供会诊信息互联互通接口</w:t>
            </w:r>
          </w:p>
        </w:tc>
      </w:tr>
      <w:tr w14:paraId="315D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restart"/>
            <w:vAlign w:val="center"/>
          </w:tcPr>
          <w:p w14:paraId="3594FC9D">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1.3.13 检查检验分级授权</w:t>
            </w:r>
          </w:p>
        </w:tc>
        <w:tc>
          <w:tcPr>
            <w:tcW w:w="8569" w:type="dxa"/>
            <w:vAlign w:val="center"/>
          </w:tcPr>
          <w:p w14:paraId="3F8CA981">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可自定义管理检查检验技术目录；</w:t>
            </w:r>
          </w:p>
        </w:tc>
      </w:tr>
      <w:tr w14:paraId="0AC9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38FCF392">
            <w:pPr>
              <w:rPr>
                <w:rFonts w:ascii="宋体" w:hAnsi="宋体" w:eastAsia="宋体" w:cs="宋体"/>
                <w:color w:val="auto"/>
                <w:sz w:val="20"/>
                <w:szCs w:val="20"/>
                <w:highlight w:val="none"/>
              </w:rPr>
            </w:pPr>
          </w:p>
        </w:tc>
        <w:tc>
          <w:tcPr>
            <w:tcW w:w="8569" w:type="dxa"/>
            <w:vAlign w:val="center"/>
          </w:tcPr>
          <w:p w14:paraId="687823D2">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可自定义管理检查检验分级类型（普通级、特殊级）；</w:t>
            </w:r>
          </w:p>
        </w:tc>
      </w:tr>
      <w:tr w14:paraId="3CB0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21CF9176">
            <w:pPr>
              <w:rPr>
                <w:rFonts w:ascii="宋体" w:hAnsi="宋体" w:eastAsia="宋体" w:cs="宋体"/>
                <w:color w:val="auto"/>
                <w:sz w:val="20"/>
                <w:szCs w:val="20"/>
                <w:highlight w:val="none"/>
              </w:rPr>
            </w:pPr>
          </w:p>
        </w:tc>
        <w:tc>
          <w:tcPr>
            <w:tcW w:w="8569" w:type="dxa"/>
            <w:vAlign w:val="center"/>
          </w:tcPr>
          <w:p w14:paraId="30213ECC">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支持医师自主申请检查检验分级权限，也可由管理层授予分级权限类型；</w:t>
            </w:r>
          </w:p>
        </w:tc>
      </w:tr>
      <w:tr w14:paraId="212F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6C5E0B35">
            <w:pPr>
              <w:rPr>
                <w:rFonts w:ascii="宋体" w:hAnsi="宋体" w:eastAsia="宋体" w:cs="宋体"/>
                <w:color w:val="auto"/>
                <w:sz w:val="20"/>
                <w:szCs w:val="20"/>
                <w:highlight w:val="none"/>
              </w:rPr>
            </w:pPr>
          </w:p>
        </w:tc>
        <w:tc>
          <w:tcPr>
            <w:tcW w:w="8569" w:type="dxa"/>
            <w:vAlign w:val="center"/>
          </w:tcPr>
          <w:p w14:paraId="536BFE76">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支持全院检查检验分级权限数据分析图并可以下载；</w:t>
            </w:r>
          </w:p>
        </w:tc>
      </w:tr>
      <w:tr w14:paraId="3AFF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06EA4FD7">
            <w:pPr>
              <w:rPr>
                <w:rFonts w:ascii="宋体" w:hAnsi="宋体" w:eastAsia="宋体" w:cs="宋体"/>
                <w:color w:val="auto"/>
                <w:sz w:val="20"/>
                <w:szCs w:val="20"/>
                <w:highlight w:val="none"/>
              </w:rPr>
            </w:pPr>
          </w:p>
        </w:tc>
        <w:tc>
          <w:tcPr>
            <w:tcW w:w="8569" w:type="dxa"/>
            <w:vAlign w:val="center"/>
          </w:tcPr>
          <w:p w14:paraId="3C76EB15">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可通过姓名、审批状态、操作技能等信息进行查询；</w:t>
            </w:r>
          </w:p>
        </w:tc>
      </w:tr>
      <w:tr w14:paraId="1591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30D11627">
            <w:pPr>
              <w:rPr>
                <w:rFonts w:ascii="宋体" w:hAnsi="宋体" w:eastAsia="宋体" w:cs="宋体"/>
                <w:color w:val="auto"/>
                <w:sz w:val="20"/>
                <w:szCs w:val="20"/>
                <w:highlight w:val="none"/>
              </w:rPr>
            </w:pPr>
          </w:p>
        </w:tc>
        <w:tc>
          <w:tcPr>
            <w:tcW w:w="8569" w:type="dxa"/>
            <w:vAlign w:val="center"/>
          </w:tcPr>
          <w:p w14:paraId="667A48E8">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提供申请记录台账，并可打印和导出；</w:t>
            </w:r>
          </w:p>
        </w:tc>
      </w:tr>
      <w:tr w14:paraId="777D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6EED6578">
            <w:pPr>
              <w:rPr>
                <w:rFonts w:ascii="宋体" w:hAnsi="宋体" w:eastAsia="宋体" w:cs="宋体"/>
                <w:color w:val="auto"/>
                <w:sz w:val="20"/>
                <w:szCs w:val="20"/>
                <w:highlight w:val="none"/>
              </w:rPr>
            </w:pPr>
          </w:p>
        </w:tc>
        <w:tc>
          <w:tcPr>
            <w:tcW w:w="8569" w:type="dxa"/>
            <w:vAlign w:val="center"/>
          </w:tcPr>
          <w:p w14:paraId="755C4519">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支持检查检验分级权限由医师自主退出；</w:t>
            </w:r>
          </w:p>
        </w:tc>
      </w:tr>
      <w:tr w14:paraId="54F1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215A10F8">
            <w:pPr>
              <w:rPr>
                <w:rFonts w:ascii="宋体" w:hAnsi="宋体" w:eastAsia="宋体" w:cs="宋体"/>
                <w:color w:val="auto"/>
                <w:sz w:val="20"/>
                <w:szCs w:val="20"/>
                <w:highlight w:val="none"/>
              </w:rPr>
            </w:pPr>
          </w:p>
        </w:tc>
        <w:tc>
          <w:tcPr>
            <w:tcW w:w="8569" w:type="dxa"/>
            <w:vAlign w:val="center"/>
          </w:tcPr>
          <w:p w14:paraId="58412D5C">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个人用户档案中会显示其对应的拥有检查检验分级权限情况；</w:t>
            </w:r>
          </w:p>
        </w:tc>
      </w:tr>
      <w:tr w14:paraId="1066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7EAB970B">
            <w:pPr>
              <w:rPr>
                <w:rFonts w:ascii="宋体" w:hAnsi="宋体" w:eastAsia="宋体" w:cs="宋体"/>
                <w:color w:val="auto"/>
                <w:sz w:val="20"/>
                <w:szCs w:val="20"/>
                <w:highlight w:val="none"/>
              </w:rPr>
            </w:pPr>
          </w:p>
        </w:tc>
        <w:tc>
          <w:tcPr>
            <w:tcW w:w="8569" w:type="dxa"/>
            <w:vAlign w:val="center"/>
          </w:tcPr>
          <w:p w14:paraId="1CFEB5E5">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APP上也可进行申请、审批、撤回、退出等操作。</w:t>
            </w:r>
          </w:p>
        </w:tc>
      </w:tr>
      <w:tr w14:paraId="7A7E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restart"/>
            <w:vAlign w:val="center"/>
          </w:tcPr>
          <w:p w14:paraId="1237EE7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1.3.14输血申请及审批授权</w:t>
            </w:r>
          </w:p>
        </w:tc>
        <w:tc>
          <w:tcPr>
            <w:tcW w:w="8569" w:type="dxa"/>
            <w:vAlign w:val="center"/>
          </w:tcPr>
          <w:p w14:paraId="1A899B11">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支持根据申请类型，结合医师申请用血资质，实现申请、科室负责人、医务科逐级进行审核，同意、驳回、撤回等操作，形成台账并可以打印导出；</w:t>
            </w:r>
          </w:p>
        </w:tc>
      </w:tr>
      <w:tr w14:paraId="7104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41B1F0C3">
            <w:pPr>
              <w:jc w:val="center"/>
              <w:rPr>
                <w:rFonts w:ascii="宋体" w:hAnsi="宋体" w:eastAsia="宋体" w:cs="宋体"/>
                <w:color w:val="auto"/>
                <w:sz w:val="20"/>
                <w:szCs w:val="20"/>
                <w:highlight w:val="none"/>
              </w:rPr>
            </w:pPr>
          </w:p>
        </w:tc>
        <w:tc>
          <w:tcPr>
            <w:tcW w:w="8569" w:type="dxa"/>
            <w:vAlign w:val="center"/>
          </w:tcPr>
          <w:p w14:paraId="0EED9FA2">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用血申请权限管理：管理层可直接取消资格，并提供联系电话、基本信息、获取资格时间、人员现状态等内容，并支持打印导出；</w:t>
            </w:r>
          </w:p>
        </w:tc>
      </w:tr>
      <w:tr w14:paraId="4233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458684F7">
            <w:pPr>
              <w:jc w:val="center"/>
              <w:rPr>
                <w:rFonts w:ascii="宋体" w:hAnsi="宋体" w:eastAsia="宋体" w:cs="宋体"/>
                <w:color w:val="auto"/>
                <w:sz w:val="20"/>
                <w:szCs w:val="20"/>
                <w:highlight w:val="none"/>
              </w:rPr>
            </w:pPr>
          </w:p>
        </w:tc>
        <w:tc>
          <w:tcPr>
            <w:tcW w:w="8569" w:type="dxa"/>
            <w:vAlign w:val="center"/>
          </w:tcPr>
          <w:p w14:paraId="3FC9F9A3">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用血资格调整记录：记录调整操作痕迹，如禁用、启用、审批通过等；</w:t>
            </w:r>
          </w:p>
        </w:tc>
      </w:tr>
      <w:tr w14:paraId="5DCD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427D125B">
            <w:pPr>
              <w:jc w:val="center"/>
              <w:rPr>
                <w:rFonts w:ascii="宋体" w:hAnsi="宋体" w:eastAsia="宋体" w:cs="宋体"/>
                <w:color w:val="auto"/>
                <w:sz w:val="20"/>
                <w:szCs w:val="20"/>
                <w:highlight w:val="none"/>
              </w:rPr>
            </w:pPr>
          </w:p>
        </w:tc>
        <w:tc>
          <w:tcPr>
            <w:tcW w:w="8569" w:type="dxa"/>
            <w:vAlign w:val="center"/>
          </w:tcPr>
          <w:p w14:paraId="685617E8">
            <w:pPr>
              <w:widowControl/>
              <w:textAlignment w:val="center"/>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用血资质一览表：可查看全院用血权限各科室分布情况以及对应人员明细，并支持打印导出。</w:t>
            </w:r>
          </w:p>
        </w:tc>
      </w:tr>
    </w:tbl>
    <w:p w14:paraId="6D5940F7">
      <w:pPr>
        <w:rPr>
          <w:rFonts w:hint="default" w:eastAsiaTheme="minorEastAsia"/>
          <w:color w:val="0000FF"/>
          <w:highlight w:val="none"/>
          <w:lang w:val="en-US" w:eastAsia="zh-CN"/>
        </w:rPr>
      </w:pPr>
    </w:p>
    <w:p w14:paraId="70713326">
      <w:pPr>
        <w:pStyle w:val="7"/>
        <w:widowControl/>
        <w:jc w:val="left"/>
        <w:textAlignment w:val="center"/>
        <w:outlineLvl w:val="1"/>
        <w:rPr>
          <w:rFonts w:hint="eastAsia" w:ascii="宋体" w:hAnsi="宋体" w:eastAsia="宋体" w:cs="宋体"/>
          <w:b/>
          <w:bCs/>
          <w:color w:val="auto"/>
          <w:kern w:val="0"/>
          <w:sz w:val="20"/>
          <w:szCs w:val="20"/>
          <w:highlight w:val="none"/>
          <w:lang w:bidi="ar"/>
        </w:rPr>
      </w:pPr>
      <w:bookmarkStart w:id="6" w:name="_Toc18166"/>
      <w:r>
        <w:rPr>
          <w:rFonts w:hint="eastAsia"/>
          <w:highlight w:val="none"/>
        </w:rPr>
        <w:t>1.4 制度及文件</w:t>
      </w:r>
      <w:bookmarkEnd w:id="6"/>
    </w:p>
    <w:tbl>
      <w:tblPr>
        <w:tblStyle w:val="20"/>
        <w:tblW w:w="10138" w:type="dxa"/>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2269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138" w:type="dxa"/>
            <w:gridSpan w:val="2"/>
            <w:shd w:val="clear" w:color="auto" w:fill="FFFF00"/>
            <w:vAlign w:val="center"/>
          </w:tcPr>
          <w:p w14:paraId="708E30B8">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1.4 医务制度及文件</w:t>
            </w:r>
          </w:p>
        </w:tc>
      </w:tr>
      <w:tr w14:paraId="1A37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1B85B9B">
            <w:pPr>
              <w:widowControl/>
              <w:textAlignment w:val="center"/>
              <w:rPr>
                <w:rFonts w:hint="eastAsia" w:ascii="宋体" w:hAnsi="宋体" w:eastAsia="宋体" w:cs="宋体"/>
                <w:color w:val="auto"/>
                <w:sz w:val="20"/>
                <w:szCs w:val="20"/>
                <w:highlight w:val="none"/>
                <w:lang w:eastAsia="zh-CN"/>
              </w:rPr>
            </w:pPr>
            <w:r>
              <w:rPr>
                <w:rStyle w:val="27"/>
                <w:rFonts w:hint="default"/>
                <w:color w:val="auto"/>
                <w:highlight w:val="none"/>
                <w:lang w:bidi="ar"/>
              </w:rPr>
              <w:t>1.4.1 医务制度</w:t>
            </w:r>
          </w:p>
        </w:tc>
        <w:tc>
          <w:tcPr>
            <w:tcW w:w="8569" w:type="dxa"/>
          </w:tcPr>
          <w:p w14:paraId="48F1AB0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0000FF"/>
                <w:highlight w:val="none"/>
                <w:lang w:bidi="ar"/>
              </w:rPr>
              <w:t>支持创建树结构的目录，对制度文件分类管理，可进行搜索、添加子目录、删除、重命名操作；</w:t>
            </w:r>
          </w:p>
        </w:tc>
      </w:tr>
      <w:tr w14:paraId="374B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DF6BC43">
            <w:pPr>
              <w:rPr>
                <w:rFonts w:ascii="宋体" w:hAnsi="宋体" w:eastAsia="宋体" w:cs="宋体"/>
                <w:color w:val="auto"/>
                <w:sz w:val="20"/>
                <w:szCs w:val="20"/>
                <w:highlight w:val="none"/>
              </w:rPr>
            </w:pPr>
          </w:p>
        </w:tc>
        <w:tc>
          <w:tcPr>
            <w:tcW w:w="8569" w:type="dxa"/>
          </w:tcPr>
          <w:p w14:paraId="5DFDFF7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按月度统计阅读量趋势曲线图、阅读量排名前十文件(包含文件名称，阅读量 人/次，点评数量）、阅读次数排名前十人员名单（姓名、科室、阅读次数）；</w:t>
            </w:r>
          </w:p>
        </w:tc>
      </w:tr>
      <w:tr w14:paraId="33B3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43E1C6B">
            <w:pPr>
              <w:rPr>
                <w:rFonts w:ascii="宋体" w:hAnsi="宋体" w:eastAsia="宋体" w:cs="宋体"/>
                <w:color w:val="auto"/>
                <w:sz w:val="20"/>
                <w:szCs w:val="20"/>
                <w:highlight w:val="none"/>
              </w:rPr>
            </w:pPr>
          </w:p>
        </w:tc>
        <w:tc>
          <w:tcPr>
            <w:tcW w:w="8569" w:type="dxa"/>
          </w:tcPr>
          <w:p w14:paraId="7787654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上传各项制度供员工学习，允许设为私密，限定文件阅览权限；</w:t>
            </w:r>
          </w:p>
        </w:tc>
      </w:tr>
      <w:tr w14:paraId="13F7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9E18F6">
            <w:pPr>
              <w:rPr>
                <w:rFonts w:ascii="宋体" w:hAnsi="宋体" w:eastAsia="宋体" w:cs="宋体"/>
                <w:color w:val="auto"/>
                <w:sz w:val="20"/>
                <w:szCs w:val="20"/>
                <w:highlight w:val="none"/>
              </w:rPr>
            </w:pPr>
          </w:p>
        </w:tc>
        <w:tc>
          <w:tcPr>
            <w:tcW w:w="8569" w:type="dxa"/>
          </w:tcPr>
          <w:p w14:paraId="6EBFA33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记录文件上传的信息，包括上传时间，上传者；</w:t>
            </w:r>
          </w:p>
        </w:tc>
      </w:tr>
      <w:tr w14:paraId="214E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409098">
            <w:pPr>
              <w:rPr>
                <w:rFonts w:ascii="宋体" w:hAnsi="宋体" w:eastAsia="宋体" w:cs="宋体"/>
                <w:color w:val="auto"/>
                <w:sz w:val="20"/>
                <w:szCs w:val="20"/>
                <w:highlight w:val="none"/>
              </w:rPr>
            </w:pPr>
          </w:p>
        </w:tc>
        <w:tc>
          <w:tcPr>
            <w:tcW w:w="8569" w:type="dxa"/>
          </w:tcPr>
          <w:p w14:paraId="13DFA7C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员工可在PC或APP查阅、全屏浏览、下载、打印、点评文件；</w:t>
            </w:r>
          </w:p>
        </w:tc>
      </w:tr>
      <w:tr w14:paraId="5318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E15AC3">
            <w:pPr>
              <w:rPr>
                <w:rFonts w:ascii="宋体" w:hAnsi="宋体" w:eastAsia="宋体" w:cs="宋体"/>
                <w:color w:val="auto"/>
                <w:sz w:val="20"/>
                <w:szCs w:val="20"/>
                <w:highlight w:val="none"/>
              </w:rPr>
            </w:pPr>
          </w:p>
        </w:tc>
        <w:tc>
          <w:tcPr>
            <w:tcW w:w="8569" w:type="dxa"/>
          </w:tcPr>
          <w:p w14:paraId="2EC079A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阅读量统计，阅读留痕，可查看文件历史阅读信息，包括阅读者、科室、阅读时间、停留时长等内容。</w:t>
            </w:r>
          </w:p>
        </w:tc>
      </w:tr>
      <w:tr w14:paraId="3CB0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B80A8B5">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1.4.2 我的文件</w:t>
            </w:r>
          </w:p>
        </w:tc>
        <w:tc>
          <w:tcPr>
            <w:tcW w:w="8569" w:type="dxa"/>
          </w:tcPr>
          <w:p w14:paraId="36C0F03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可上传图片、视频、TXT、Word、Excle、PPT、PDF、等格式文件，记录上传时间和备注信息；创建文件夹，对文件进行分类管理；</w:t>
            </w:r>
          </w:p>
        </w:tc>
      </w:tr>
      <w:tr w14:paraId="7745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519EA9">
            <w:pPr>
              <w:rPr>
                <w:rFonts w:ascii="宋体" w:hAnsi="宋体" w:eastAsia="宋体" w:cs="宋体"/>
                <w:color w:val="auto"/>
                <w:sz w:val="20"/>
                <w:szCs w:val="20"/>
                <w:highlight w:val="none"/>
              </w:rPr>
            </w:pPr>
          </w:p>
        </w:tc>
        <w:tc>
          <w:tcPr>
            <w:tcW w:w="8569" w:type="dxa"/>
          </w:tcPr>
          <w:p w14:paraId="4B5D4FC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支持全部文件、最近访问、星标文件、加密文件、回收站、他人分享、自己分享的文件目录分类；可随时移动、加密、删除、星标文件；</w:t>
            </w:r>
          </w:p>
        </w:tc>
      </w:tr>
      <w:tr w14:paraId="0E82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FF2EE5">
            <w:pPr>
              <w:rPr>
                <w:rFonts w:ascii="宋体" w:hAnsi="宋体" w:eastAsia="宋体" w:cs="宋体"/>
                <w:color w:val="auto"/>
                <w:sz w:val="20"/>
                <w:szCs w:val="20"/>
                <w:highlight w:val="none"/>
              </w:rPr>
            </w:pPr>
          </w:p>
        </w:tc>
        <w:tc>
          <w:tcPr>
            <w:tcW w:w="8569" w:type="dxa"/>
          </w:tcPr>
          <w:p w14:paraId="5AC457F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随时分享自己文件、接收他人文件，并在PC端或手机端进行预览；</w:t>
            </w:r>
          </w:p>
        </w:tc>
      </w:tr>
      <w:tr w14:paraId="690C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3D467B8">
            <w:pPr>
              <w:rPr>
                <w:rFonts w:ascii="宋体" w:hAnsi="宋体" w:eastAsia="宋体" w:cs="宋体"/>
                <w:color w:val="auto"/>
                <w:sz w:val="20"/>
                <w:szCs w:val="20"/>
                <w:highlight w:val="none"/>
              </w:rPr>
            </w:pPr>
          </w:p>
        </w:tc>
        <w:tc>
          <w:tcPr>
            <w:tcW w:w="8569" w:type="dxa"/>
          </w:tcPr>
          <w:p w14:paraId="03C2DDB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4. 查看文件具体信息，包括文件创建人、创建时间、大小、格式、备注、浏览次数，并生成文件浏览记录（访问者、工号、科室、最近访问时间、浏览次数），并支持导出；</w:t>
            </w:r>
          </w:p>
        </w:tc>
      </w:tr>
      <w:tr w14:paraId="518E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D6D80B">
            <w:pPr>
              <w:rPr>
                <w:rFonts w:ascii="宋体" w:hAnsi="宋体" w:eastAsia="宋体" w:cs="宋体"/>
                <w:color w:val="auto"/>
                <w:sz w:val="20"/>
                <w:szCs w:val="20"/>
                <w:highlight w:val="none"/>
              </w:rPr>
            </w:pPr>
          </w:p>
        </w:tc>
        <w:tc>
          <w:tcPr>
            <w:tcW w:w="8569" w:type="dxa"/>
          </w:tcPr>
          <w:p w14:paraId="7B56807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5.支持APP进行以上所有操作。</w:t>
            </w:r>
          </w:p>
        </w:tc>
      </w:tr>
    </w:tbl>
    <w:p w14:paraId="7895A124">
      <w:pPr>
        <w:bidi w:val="0"/>
        <w:jc w:val="center"/>
        <w:rPr>
          <w:rFonts w:hint="eastAsia"/>
          <w:highlight w:val="none"/>
        </w:rPr>
      </w:pPr>
    </w:p>
    <w:p w14:paraId="35E20351">
      <w:pPr>
        <w:pStyle w:val="7"/>
        <w:widowControl/>
        <w:jc w:val="left"/>
        <w:textAlignment w:val="center"/>
        <w:outlineLvl w:val="1"/>
        <w:rPr>
          <w:rFonts w:hint="eastAsia"/>
          <w:highlight w:val="none"/>
        </w:rPr>
      </w:pPr>
      <w:bookmarkStart w:id="7" w:name="_Toc2405"/>
      <w:r>
        <w:rPr>
          <w:rFonts w:hint="eastAsia"/>
          <w:highlight w:val="none"/>
        </w:rPr>
        <w:t>1.5 医疗预警上报</w:t>
      </w:r>
      <w:bookmarkEnd w:id="7"/>
    </w:p>
    <w:tbl>
      <w:tblPr>
        <w:tblStyle w:val="20"/>
        <w:tblW w:w="10138" w:type="dxa"/>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16AD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138" w:type="dxa"/>
            <w:gridSpan w:val="2"/>
            <w:shd w:val="clear" w:color="auto" w:fill="FFFF00"/>
            <w:vAlign w:val="center"/>
          </w:tcPr>
          <w:p w14:paraId="0A1FB6AC">
            <w:pPr>
              <w:widowControl/>
              <w:jc w:val="center"/>
              <w:textAlignment w:val="center"/>
              <w:rPr>
                <w:rFonts w:ascii="宋体" w:hAnsi="宋体" w:eastAsia="宋体" w:cs="宋体"/>
                <w:b/>
                <w:bCs/>
                <w:color w:val="auto"/>
                <w:sz w:val="20"/>
                <w:szCs w:val="20"/>
                <w:highlight w:val="none"/>
              </w:rPr>
            </w:pPr>
            <w:bookmarkStart w:id="8" w:name="_Toc13984"/>
            <w:r>
              <w:rPr>
                <w:rFonts w:hint="eastAsia" w:ascii="宋体" w:hAnsi="宋体" w:eastAsia="宋体" w:cs="宋体"/>
                <w:b/>
                <w:bCs/>
                <w:color w:val="auto"/>
                <w:kern w:val="0"/>
                <w:sz w:val="20"/>
                <w:szCs w:val="20"/>
                <w:highlight w:val="none"/>
                <w:lang w:bidi="ar"/>
              </w:rPr>
              <w:t>1.5 医疗预警上报</w:t>
            </w:r>
          </w:p>
        </w:tc>
      </w:tr>
      <w:tr w14:paraId="3472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71C9CFFB">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1.5.1 重大手术上报</w:t>
            </w:r>
          </w:p>
        </w:tc>
        <w:tc>
          <w:tcPr>
            <w:tcW w:w="8569" w:type="dxa"/>
          </w:tcPr>
          <w:p w14:paraId="1C1D47F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提供所有重大手术的住院科室、患者姓名、住院号、性别、年龄、入院时间、主治医生、手术名称、手术等级、手术时间、患者诊断等内容台账，并支持打印导出；</w:t>
            </w:r>
          </w:p>
        </w:tc>
      </w:tr>
      <w:tr w14:paraId="6D3E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4D4A3E">
            <w:pPr>
              <w:rPr>
                <w:rFonts w:ascii="宋体" w:hAnsi="宋体" w:eastAsia="宋体" w:cs="宋体"/>
                <w:color w:val="auto"/>
                <w:sz w:val="20"/>
                <w:szCs w:val="20"/>
                <w:highlight w:val="none"/>
              </w:rPr>
            </w:pPr>
          </w:p>
        </w:tc>
        <w:tc>
          <w:tcPr>
            <w:tcW w:w="8569" w:type="dxa"/>
          </w:tcPr>
          <w:p w14:paraId="322A6A3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可直接在重大手术预警台账界面进行上报操作；</w:t>
            </w:r>
          </w:p>
        </w:tc>
      </w:tr>
      <w:tr w14:paraId="5DF6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9DD439">
            <w:pPr>
              <w:rPr>
                <w:rFonts w:ascii="宋体" w:hAnsi="宋体" w:eastAsia="宋体" w:cs="宋体"/>
                <w:color w:val="auto"/>
                <w:sz w:val="20"/>
                <w:szCs w:val="20"/>
                <w:highlight w:val="none"/>
              </w:rPr>
            </w:pPr>
          </w:p>
        </w:tc>
        <w:tc>
          <w:tcPr>
            <w:tcW w:w="8569" w:type="dxa"/>
          </w:tcPr>
          <w:p w14:paraId="77BA609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无需预警上报的重大手术可进行标记，并取消预警；</w:t>
            </w:r>
          </w:p>
        </w:tc>
      </w:tr>
      <w:tr w14:paraId="1ED9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BD59A1">
            <w:pPr>
              <w:rPr>
                <w:rFonts w:ascii="宋体" w:hAnsi="宋体" w:eastAsia="宋体" w:cs="宋体"/>
                <w:color w:val="auto"/>
                <w:sz w:val="20"/>
                <w:szCs w:val="20"/>
                <w:highlight w:val="none"/>
              </w:rPr>
            </w:pPr>
          </w:p>
        </w:tc>
        <w:tc>
          <w:tcPr>
            <w:tcW w:w="8569" w:type="dxa"/>
          </w:tcPr>
          <w:p w14:paraId="358418D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提供上报统计记录台账，并可以查看对应患者姓名、住院号、入院时间、患者诊断、手术时间、手术名称、间隔时间、上报人等；</w:t>
            </w:r>
          </w:p>
        </w:tc>
      </w:tr>
      <w:tr w14:paraId="71C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A2D1B13">
            <w:pPr>
              <w:rPr>
                <w:rFonts w:ascii="宋体" w:hAnsi="宋体" w:eastAsia="宋体" w:cs="宋体"/>
                <w:color w:val="auto"/>
                <w:sz w:val="20"/>
                <w:szCs w:val="20"/>
                <w:highlight w:val="none"/>
              </w:rPr>
            </w:pPr>
          </w:p>
        </w:tc>
        <w:tc>
          <w:tcPr>
            <w:tcW w:w="8569" w:type="dxa"/>
          </w:tcPr>
          <w:p w14:paraId="5F09F92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通过间隔时间筛选，督促查询重大手术上报及时性；</w:t>
            </w:r>
          </w:p>
        </w:tc>
      </w:tr>
      <w:tr w14:paraId="2F22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001438">
            <w:pPr>
              <w:rPr>
                <w:rFonts w:ascii="宋体" w:hAnsi="宋体" w:eastAsia="宋体" w:cs="宋体"/>
                <w:color w:val="auto"/>
                <w:sz w:val="20"/>
                <w:szCs w:val="20"/>
                <w:highlight w:val="none"/>
              </w:rPr>
            </w:pPr>
          </w:p>
        </w:tc>
        <w:tc>
          <w:tcPr>
            <w:tcW w:w="8569" w:type="dxa"/>
          </w:tcPr>
          <w:p w14:paraId="49895AC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提供重大手术上报统计分析图并支持下载。</w:t>
            </w:r>
          </w:p>
        </w:tc>
      </w:tr>
      <w:tr w14:paraId="7B08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8C58E90">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1.5.2 危重患者上报</w:t>
            </w:r>
          </w:p>
        </w:tc>
        <w:tc>
          <w:tcPr>
            <w:tcW w:w="8569" w:type="dxa"/>
          </w:tcPr>
          <w:p w14:paraId="318316E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提供所有住院的病危、病重患者明细，如：住院科室、患者姓名、住院号、入院时间、主治医生、经治医师、患者诊断、开嘱时间、医嘱内容等内容，并支持打印导出；</w:t>
            </w:r>
          </w:p>
        </w:tc>
      </w:tr>
      <w:tr w14:paraId="3CE8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542520">
            <w:pPr>
              <w:rPr>
                <w:rFonts w:ascii="宋体" w:hAnsi="宋体" w:eastAsia="宋体" w:cs="宋体"/>
                <w:color w:val="auto"/>
                <w:sz w:val="20"/>
                <w:szCs w:val="20"/>
                <w:highlight w:val="none"/>
              </w:rPr>
            </w:pPr>
          </w:p>
        </w:tc>
        <w:tc>
          <w:tcPr>
            <w:tcW w:w="8569" w:type="dxa"/>
          </w:tcPr>
          <w:p w14:paraId="0EE2F32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可直接在危重患者明细台账界面进行上报操作；</w:t>
            </w:r>
          </w:p>
        </w:tc>
      </w:tr>
      <w:tr w14:paraId="5908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2D2D7BD">
            <w:pPr>
              <w:rPr>
                <w:rFonts w:ascii="宋体" w:hAnsi="宋体" w:eastAsia="宋体" w:cs="宋体"/>
                <w:color w:val="auto"/>
                <w:sz w:val="20"/>
                <w:szCs w:val="20"/>
                <w:highlight w:val="none"/>
              </w:rPr>
            </w:pPr>
          </w:p>
        </w:tc>
        <w:tc>
          <w:tcPr>
            <w:tcW w:w="8569" w:type="dxa"/>
          </w:tcPr>
          <w:p w14:paraId="15BF1C4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无需预警上报的病危病重患者可进行标记，并取消预警；</w:t>
            </w:r>
          </w:p>
        </w:tc>
      </w:tr>
      <w:tr w14:paraId="5EB8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C75F21">
            <w:pPr>
              <w:rPr>
                <w:rFonts w:ascii="宋体" w:hAnsi="宋体" w:eastAsia="宋体" w:cs="宋体"/>
                <w:color w:val="auto"/>
                <w:sz w:val="20"/>
                <w:szCs w:val="20"/>
                <w:highlight w:val="none"/>
              </w:rPr>
            </w:pPr>
          </w:p>
        </w:tc>
        <w:tc>
          <w:tcPr>
            <w:tcW w:w="8569" w:type="dxa"/>
          </w:tcPr>
          <w:p w14:paraId="114A4E8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提供上报统计记录台账，并可以查看对应住院科室、患者姓名、住院号、性别、年龄、入院时间、患者诊断、开嘱时间、医嘱内容，上报人、上报时间、间隔时间等；</w:t>
            </w:r>
          </w:p>
        </w:tc>
      </w:tr>
      <w:tr w14:paraId="630F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1EDB87">
            <w:pPr>
              <w:rPr>
                <w:rFonts w:ascii="宋体" w:hAnsi="宋体" w:eastAsia="宋体" w:cs="宋体"/>
                <w:color w:val="auto"/>
                <w:sz w:val="20"/>
                <w:szCs w:val="20"/>
                <w:highlight w:val="none"/>
              </w:rPr>
            </w:pPr>
          </w:p>
        </w:tc>
        <w:tc>
          <w:tcPr>
            <w:tcW w:w="8569" w:type="dxa"/>
          </w:tcPr>
          <w:p w14:paraId="19CEFF8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通过间隔时间筛选，督促查询危重患者上报及时性；</w:t>
            </w:r>
          </w:p>
        </w:tc>
      </w:tr>
      <w:tr w14:paraId="4490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7C5FAE3">
            <w:pPr>
              <w:rPr>
                <w:rFonts w:ascii="宋体" w:hAnsi="宋体" w:eastAsia="宋体" w:cs="宋体"/>
                <w:color w:val="auto"/>
                <w:sz w:val="20"/>
                <w:szCs w:val="20"/>
                <w:highlight w:val="none"/>
              </w:rPr>
            </w:pPr>
          </w:p>
        </w:tc>
        <w:tc>
          <w:tcPr>
            <w:tcW w:w="8569" w:type="dxa"/>
          </w:tcPr>
          <w:p w14:paraId="65E3B21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提供危重患者上报统计分析图并支持下载。</w:t>
            </w:r>
          </w:p>
        </w:tc>
      </w:tr>
      <w:tr w14:paraId="474C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73CCE26C">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1.5.3 非计划再次入院预警</w:t>
            </w:r>
          </w:p>
        </w:tc>
        <w:tc>
          <w:tcPr>
            <w:tcW w:w="8569" w:type="dxa"/>
          </w:tcPr>
          <w:p w14:paraId="77D7F8A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提供再次入院明细、术后出院再次入院明细、非术后出院再次入院明细；</w:t>
            </w:r>
          </w:p>
        </w:tc>
      </w:tr>
      <w:tr w14:paraId="019E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6DE200">
            <w:pPr>
              <w:rPr>
                <w:rFonts w:ascii="宋体" w:hAnsi="宋体" w:eastAsia="宋体" w:cs="宋体"/>
                <w:color w:val="auto"/>
                <w:sz w:val="20"/>
                <w:szCs w:val="20"/>
                <w:highlight w:val="none"/>
              </w:rPr>
            </w:pPr>
          </w:p>
        </w:tc>
        <w:tc>
          <w:tcPr>
            <w:tcW w:w="8569" w:type="dxa"/>
          </w:tcPr>
          <w:p w14:paraId="55249A81">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系统自动根据规则抓取非计划再次手术上报信息，并自动产生上报记录，包括患者信息（姓名、性别、患者主索引、住院号、手机号码等）；入院信息（入院日期、住院天数、出院日期、住院科室、床位名称、管床医生、上级医生、住院流水号）；本次手术情况（手术编码、手术名称、院内级别、手术开始时间、手术结束时间、麻醉开始时间、麻醉结束时间）及上次手术情况（手术编码、手术名称、院内级别、手术开始时间、手术结束时间、麻醉开始时间、麻醉结束时间）等信息。提供上报状态、上报记录等内容，并支持打印导出；与医院集成平台接口：系统需要对接医院集成平台，自动获取患者手术信息。</w:t>
            </w:r>
          </w:p>
        </w:tc>
      </w:tr>
      <w:tr w14:paraId="5F5E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6189B93">
            <w:pPr>
              <w:rPr>
                <w:rFonts w:ascii="宋体" w:hAnsi="宋体" w:eastAsia="宋体" w:cs="宋体"/>
                <w:color w:val="auto"/>
                <w:sz w:val="20"/>
                <w:szCs w:val="20"/>
                <w:highlight w:val="none"/>
              </w:rPr>
            </w:pPr>
          </w:p>
        </w:tc>
        <w:tc>
          <w:tcPr>
            <w:tcW w:w="8569" w:type="dxa"/>
          </w:tcPr>
          <w:p w14:paraId="657BF97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可直接在再次入院明细、术后出院再次入院明细、非术后出院再次入院明细台账界面进行上报操作；</w:t>
            </w:r>
          </w:p>
        </w:tc>
      </w:tr>
      <w:tr w14:paraId="146D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78D0DB">
            <w:pPr>
              <w:rPr>
                <w:rFonts w:ascii="宋体" w:hAnsi="宋体" w:eastAsia="宋体" w:cs="宋体"/>
                <w:color w:val="auto"/>
                <w:sz w:val="20"/>
                <w:szCs w:val="20"/>
                <w:highlight w:val="none"/>
              </w:rPr>
            </w:pPr>
          </w:p>
        </w:tc>
        <w:tc>
          <w:tcPr>
            <w:tcW w:w="8569" w:type="dxa"/>
          </w:tcPr>
          <w:p w14:paraId="2D2E9DA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无需预警上报的患者可进行标记，并取消预警；</w:t>
            </w:r>
          </w:p>
        </w:tc>
      </w:tr>
      <w:tr w14:paraId="5571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F5EDD7">
            <w:pPr>
              <w:rPr>
                <w:rFonts w:ascii="宋体" w:hAnsi="宋体" w:eastAsia="宋体" w:cs="宋体"/>
                <w:color w:val="auto"/>
                <w:sz w:val="20"/>
                <w:szCs w:val="20"/>
                <w:highlight w:val="none"/>
              </w:rPr>
            </w:pPr>
          </w:p>
        </w:tc>
        <w:tc>
          <w:tcPr>
            <w:tcW w:w="8569" w:type="dxa"/>
          </w:tcPr>
          <w:p w14:paraId="713373F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提供上报统计记录台账，并可以查看对应住院科室、患者姓名、住院号、入院时间、患者诊断、本次入院时间、上次入院科室、上次入院时间、上次出院时间、间隔时间、上次出院状态、上报人、上报时间等；</w:t>
            </w:r>
          </w:p>
        </w:tc>
      </w:tr>
      <w:tr w14:paraId="58CC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9429441">
            <w:pPr>
              <w:rPr>
                <w:rFonts w:ascii="宋体" w:hAnsi="宋体" w:eastAsia="宋体" w:cs="宋体"/>
                <w:color w:val="auto"/>
                <w:sz w:val="20"/>
                <w:szCs w:val="20"/>
                <w:highlight w:val="none"/>
              </w:rPr>
            </w:pPr>
          </w:p>
        </w:tc>
        <w:tc>
          <w:tcPr>
            <w:tcW w:w="8569" w:type="dxa"/>
          </w:tcPr>
          <w:p w14:paraId="39548BE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通过间隔时间筛选再次入院间隔时间，从而完成再次入院间隔30天、20天、10天等自定义查询统计；</w:t>
            </w:r>
          </w:p>
        </w:tc>
      </w:tr>
      <w:tr w14:paraId="6A0A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A7F297">
            <w:pPr>
              <w:rPr>
                <w:rFonts w:ascii="宋体" w:hAnsi="宋体" w:eastAsia="宋体" w:cs="宋体"/>
                <w:color w:val="auto"/>
                <w:sz w:val="20"/>
                <w:szCs w:val="20"/>
                <w:highlight w:val="none"/>
              </w:rPr>
            </w:pPr>
          </w:p>
        </w:tc>
        <w:tc>
          <w:tcPr>
            <w:tcW w:w="8569" w:type="dxa"/>
          </w:tcPr>
          <w:p w14:paraId="3C1C560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提供非计划再次入院上报统计分析图并支持下载。</w:t>
            </w:r>
          </w:p>
        </w:tc>
      </w:tr>
      <w:tr w14:paraId="2304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927E9B2">
            <w:pPr>
              <w:rPr>
                <w:rFonts w:ascii="宋体" w:hAnsi="宋体" w:eastAsia="宋体" w:cs="宋体"/>
                <w:color w:val="auto"/>
                <w:sz w:val="20"/>
                <w:szCs w:val="20"/>
                <w:highlight w:val="none"/>
              </w:rPr>
            </w:pPr>
          </w:p>
        </w:tc>
        <w:tc>
          <w:tcPr>
            <w:tcW w:w="8569" w:type="dxa"/>
          </w:tcPr>
          <w:p w14:paraId="1BD849DC">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系统支持科室发起非计划重返入院病例讨论，可以选择不同的讨论类型；可以选择讨论成员，讨论成员可以自动带出职称和手机号；支持主持人、记录者及讨论成员发起电子签名。上报后自动关联发起“非计划再次入院讨论”任务</w:t>
            </w:r>
          </w:p>
        </w:tc>
      </w:tr>
      <w:tr w14:paraId="6CC8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5E4A4A">
            <w:pPr>
              <w:rPr>
                <w:rFonts w:ascii="宋体" w:hAnsi="宋体" w:eastAsia="宋体" w:cs="宋体"/>
                <w:color w:val="auto"/>
                <w:sz w:val="20"/>
                <w:szCs w:val="20"/>
                <w:highlight w:val="none"/>
              </w:rPr>
            </w:pPr>
          </w:p>
        </w:tc>
        <w:tc>
          <w:tcPr>
            <w:tcW w:w="8569" w:type="dxa"/>
          </w:tcPr>
          <w:p w14:paraId="4B8784FD">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支持职能部门发起讨论任务，同时能够显示病例讨论进行状态，比如已发起，已完成。在发起后规定时限内未完成则自动生成至待办提醒该提醒功能关联至企业微信个人端。</w:t>
            </w:r>
          </w:p>
        </w:tc>
      </w:tr>
      <w:tr w14:paraId="221B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197DEF71">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1.5.4 住院超期预警管理</w:t>
            </w:r>
          </w:p>
        </w:tc>
        <w:tc>
          <w:tcPr>
            <w:tcW w:w="8569" w:type="dxa"/>
          </w:tcPr>
          <w:p w14:paraId="5B79B35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提供住院超期30天、住院超期60天等，自定义住院超期患者明细；</w:t>
            </w:r>
          </w:p>
        </w:tc>
      </w:tr>
      <w:tr w14:paraId="0CD5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3B8FAD">
            <w:pPr>
              <w:rPr>
                <w:rFonts w:ascii="宋体" w:hAnsi="宋体" w:eastAsia="宋体" w:cs="宋体"/>
                <w:color w:val="auto"/>
                <w:sz w:val="20"/>
                <w:szCs w:val="20"/>
                <w:highlight w:val="none"/>
              </w:rPr>
            </w:pPr>
          </w:p>
        </w:tc>
        <w:tc>
          <w:tcPr>
            <w:tcW w:w="8569" w:type="dxa"/>
          </w:tcPr>
          <w:p w14:paraId="189B1B7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提供本次住院科室、患者姓名、住院号、入院次数、住院天数、患者诊断、经治医师、状态等内容，并支持打印导出；</w:t>
            </w:r>
          </w:p>
        </w:tc>
      </w:tr>
      <w:tr w14:paraId="63EE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E624180">
            <w:pPr>
              <w:rPr>
                <w:rFonts w:ascii="宋体" w:hAnsi="宋体" w:eastAsia="宋体" w:cs="宋体"/>
                <w:color w:val="auto"/>
                <w:sz w:val="20"/>
                <w:szCs w:val="20"/>
                <w:highlight w:val="none"/>
              </w:rPr>
            </w:pPr>
          </w:p>
        </w:tc>
        <w:tc>
          <w:tcPr>
            <w:tcW w:w="8569" w:type="dxa"/>
          </w:tcPr>
          <w:p w14:paraId="230FAD9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无需预警上报的患者可进行标记，并取消预警；</w:t>
            </w:r>
          </w:p>
        </w:tc>
      </w:tr>
      <w:tr w14:paraId="3B8C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5D52022">
            <w:pPr>
              <w:rPr>
                <w:rFonts w:ascii="宋体" w:hAnsi="宋体" w:eastAsia="宋体" w:cs="宋体"/>
                <w:color w:val="auto"/>
                <w:sz w:val="20"/>
                <w:szCs w:val="20"/>
                <w:highlight w:val="none"/>
              </w:rPr>
            </w:pPr>
          </w:p>
        </w:tc>
        <w:tc>
          <w:tcPr>
            <w:tcW w:w="8569" w:type="dxa"/>
          </w:tcPr>
          <w:p w14:paraId="53E641B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提供上报统计记录台账，并可以查看对应住院科室、患者姓名、住院号、性别、年龄、入院时间、住院天数、患者诊断、过度治疗现象、服务流程、医疗缺陷、护理缺陷、上报人、上报时间、状态等；</w:t>
            </w:r>
          </w:p>
        </w:tc>
      </w:tr>
      <w:tr w14:paraId="03E2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FF5366">
            <w:pPr>
              <w:rPr>
                <w:rFonts w:ascii="宋体" w:hAnsi="宋体" w:eastAsia="宋体" w:cs="宋体"/>
                <w:color w:val="auto"/>
                <w:sz w:val="20"/>
                <w:szCs w:val="20"/>
                <w:highlight w:val="none"/>
              </w:rPr>
            </w:pPr>
          </w:p>
        </w:tc>
        <w:tc>
          <w:tcPr>
            <w:tcW w:w="8569" w:type="dxa"/>
          </w:tcPr>
          <w:p w14:paraId="1E9ECE4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提供住院上报超期统计分析图并支持下载。</w:t>
            </w:r>
          </w:p>
        </w:tc>
      </w:tr>
      <w:tr w14:paraId="7FB2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CA1C3B3">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1.5.5 非计划再次手术管理</w:t>
            </w:r>
          </w:p>
        </w:tc>
        <w:tc>
          <w:tcPr>
            <w:tcW w:w="8569" w:type="dxa"/>
          </w:tcPr>
          <w:p w14:paraId="118B742E">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支持再次手术明细查看并可在明细界面直接上报。</w:t>
            </w:r>
          </w:p>
        </w:tc>
      </w:tr>
      <w:tr w14:paraId="5D1B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4BD8BE7">
            <w:pPr>
              <w:rPr>
                <w:rFonts w:ascii="宋体" w:hAnsi="宋体" w:eastAsia="宋体" w:cs="宋体"/>
                <w:color w:val="auto"/>
                <w:sz w:val="20"/>
                <w:szCs w:val="20"/>
                <w:highlight w:val="none"/>
              </w:rPr>
            </w:pPr>
          </w:p>
        </w:tc>
        <w:tc>
          <w:tcPr>
            <w:tcW w:w="8569" w:type="dxa"/>
          </w:tcPr>
          <w:p w14:paraId="46F403C0">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支持系统自动根据规则抓取非计划再次手术上报信息，并自动产生上报记录，包括患者信息（姓名、性别、患者主索引、住院号、手机号码等）；入院信息（入院日期、住院天数、出院日期、住院科室、床位名称、管床医生、上级医生、住院流水号）；本次手术情况（</w:t>
            </w:r>
            <w:r>
              <w:rPr>
                <w:rStyle w:val="25"/>
                <w:rFonts w:hint="default"/>
                <w:color w:val="auto"/>
                <w:highlight w:val="none"/>
                <w:lang w:bidi="ar"/>
              </w:rPr>
              <w:t>手术主刀、手术一助、</w:t>
            </w:r>
            <w:r>
              <w:rPr>
                <w:rStyle w:val="24"/>
                <w:rFonts w:hint="default"/>
                <w:color w:val="auto"/>
                <w:highlight w:val="none"/>
                <w:lang w:bidi="ar"/>
              </w:rPr>
              <w:t>手术编码、手术名称、院内级别、手术开始时间、手术结束时间、麻醉开始时间、麻醉结束时间）及上次手术情况（</w:t>
            </w:r>
            <w:r>
              <w:rPr>
                <w:rStyle w:val="25"/>
                <w:rFonts w:hint="default"/>
                <w:color w:val="auto"/>
                <w:highlight w:val="none"/>
                <w:lang w:bidi="ar"/>
              </w:rPr>
              <w:t>手术主刀、手术一助、</w:t>
            </w:r>
            <w:r>
              <w:rPr>
                <w:rStyle w:val="24"/>
                <w:rFonts w:hint="default"/>
                <w:color w:val="auto"/>
                <w:highlight w:val="none"/>
                <w:lang w:bidi="ar"/>
              </w:rPr>
              <w:t>手术编码、手术名称、院内级别、手术开始时间、手术结束时间、麻醉开始时间、麻醉结束时间）等信息。与医院集成平台接口：系统需要对接医院集成平台，自动获取患者手术信息。提供上报状态、上报记录等内容，并支持打印导出；</w:t>
            </w:r>
            <w:r>
              <w:rPr>
                <w:rStyle w:val="25"/>
                <w:rFonts w:hint="default"/>
                <w:color w:val="auto"/>
                <w:highlight w:val="none"/>
                <w:lang w:bidi="ar"/>
              </w:rPr>
              <w:t>无法抓取的信息项目（例如不良事件级别，发生时间等内容支持手动人工填写）。</w:t>
            </w:r>
          </w:p>
        </w:tc>
      </w:tr>
      <w:tr w14:paraId="216A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0D4816F">
            <w:pPr>
              <w:rPr>
                <w:rFonts w:ascii="宋体" w:hAnsi="宋体" w:eastAsia="宋体" w:cs="宋体"/>
                <w:color w:val="auto"/>
                <w:sz w:val="20"/>
                <w:szCs w:val="20"/>
                <w:highlight w:val="none"/>
              </w:rPr>
            </w:pPr>
          </w:p>
        </w:tc>
        <w:tc>
          <w:tcPr>
            <w:tcW w:w="8569" w:type="dxa"/>
          </w:tcPr>
          <w:p w14:paraId="38DDC3B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无需预警上报的患者可进行标记，并取消预警；</w:t>
            </w:r>
          </w:p>
        </w:tc>
      </w:tr>
      <w:tr w14:paraId="1D21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7A7E658">
            <w:pPr>
              <w:rPr>
                <w:rFonts w:ascii="宋体" w:hAnsi="宋体" w:eastAsia="宋体" w:cs="宋体"/>
                <w:color w:val="auto"/>
                <w:sz w:val="20"/>
                <w:szCs w:val="20"/>
                <w:highlight w:val="none"/>
              </w:rPr>
            </w:pPr>
          </w:p>
        </w:tc>
        <w:tc>
          <w:tcPr>
            <w:tcW w:w="8569" w:type="dxa"/>
          </w:tcPr>
          <w:p w14:paraId="2A8A8C31">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提供上报统计记录台账，并可以查看对应住院科室、</w:t>
            </w:r>
            <w:r>
              <w:rPr>
                <w:rStyle w:val="25"/>
                <w:rFonts w:hint="default"/>
                <w:color w:val="auto"/>
                <w:highlight w:val="none"/>
                <w:lang w:bidi="ar"/>
              </w:rPr>
              <w:t>手术科室、</w:t>
            </w:r>
            <w:r>
              <w:rPr>
                <w:rStyle w:val="24"/>
                <w:rFonts w:hint="default"/>
                <w:color w:val="auto"/>
                <w:highlight w:val="none"/>
                <w:lang w:bidi="ar"/>
              </w:rPr>
              <w:t>患者姓名、住院号、入院时间、患者诊断、首次手术时间、首次手术名称、再次手术名称、</w:t>
            </w:r>
            <w:r>
              <w:rPr>
                <w:rStyle w:val="25"/>
                <w:rFonts w:hint="default"/>
                <w:color w:val="auto"/>
                <w:highlight w:val="none"/>
                <w:lang w:bidi="ar"/>
              </w:rPr>
              <w:t>首次主刀姓名、再次主刀姓名、</w:t>
            </w:r>
            <w:r>
              <w:rPr>
                <w:rStyle w:val="24"/>
                <w:rFonts w:hint="default"/>
                <w:color w:val="auto"/>
                <w:highlight w:val="none"/>
                <w:lang w:bidi="ar"/>
              </w:rPr>
              <w:t>间隔时间、上报人、上报时间等；</w:t>
            </w:r>
          </w:p>
        </w:tc>
      </w:tr>
      <w:tr w14:paraId="6F0A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032DE4">
            <w:pPr>
              <w:rPr>
                <w:rFonts w:ascii="宋体" w:hAnsi="宋体" w:eastAsia="宋体" w:cs="宋体"/>
                <w:color w:val="auto"/>
                <w:sz w:val="20"/>
                <w:szCs w:val="20"/>
                <w:highlight w:val="none"/>
              </w:rPr>
            </w:pPr>
          </w:p>
        </w:tc>
        <w:tc>
          <w:tcPr>
            <w:tcW w:w="8569" w:type="dxa"/>
          </w:tcPr>
          <w:p w14:paraId="17B64430">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通过间隔时间筛选再次手术到上报的时间，从而督促非计划再次手术上报的及时性；</w:t>
            </w:r>
            <w:r>
              <w:rPr>
                <w:rStyle w:val="25"/>
                <w:rFonts w:hint="default"/>
                <w:color w:val="auto"/>
                <w:highlight w:val="none"/>
                <w:lang w:bidi="ar"/>
              </w:rPr>
              <w:t>通过主刀姓名筛选再次手术病例清单，从而便于从主刀个人层面查阅相关病例。</w:t>
            </w:r>
          </w:p>
        </w:tc>
      </w:tr>
      <w:tr w14:paraId="1159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8870EB">
            <w:pPr>
              <w:rPr>
                <w:rFonts w:ascii="宋体" w:hAnsi="宋体" w:eastAsia="宋体" w:cs="宋体"/>
                <w:color w:val="auto"/>
                <w:sz w:val="20"/>
                <w:szCs w:val="20"/>
                <w:highlight w:val="none"/>
              </w:rPr>
            </w:pPr>
          </w:p>
        </w:tc>
        <w:tc>
          <w:tcPr>
            <w:tcW w:w="8569" w:type="dxa"/>
          </w:tcPr>
          <w:p w14:paraId="78EAB905">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4"/>
                <w:rFonts w:hint="default"/>
                <w:color w:val="auto"/>
                <w:highlight w:val="none"/>
                <w:lang w:bidi="ar"/>
              </w:rPr>
              <w:t>提供非计划再次手术</w:t>
            </w:r>
            <w:r>
              <w:rPr>
                <w:rStyle w:val="25"/>
                <w:rFonts w:hint="default"/>
                <w:color w:val="auto"/>
                <w:highlight w:val="none"/>
                <w:lang w:bidi="ar"/>
              </w:rPr>
              <w:t>上报例数、原因分布、手术科室分布、主刀分布、手术院内级别分布、离院方式分布的统计分析图并支持下载。支持按出院时间、手术时间进行筛选及展示。</w:t>
            </w:r>
          </w:p>
        </w:tc>
      </w:tr>
      <w:tr w14:paraId="156B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C865824">
            <w:pPr>
              <w:rPr>
                <w:rFonts w:ascii="宋体" w:hAnsi="宋体" w:eastAsia="宋体" w:cs="宋体"/>
                <w:color w:val="auto"/>
                <w:sz w:val="20"/>
                <w:szCs w:val="20"/>
                <w:highlight w:val="none"/>
              </w:rPr>
            </w:pPr>
          </w:p>
        </w:tc>
        <w:tc>
          <w:tcPr>
            <w:tcW w:w="8569" w:type="dxa"/>
          </w:tcPr>
          <w:p w14:paraId="10C2FB74">
            <w:pPr>
              <w:widowControl/>
              <w:textAlignment w:val="top"/>
              <w:rPr>
                <w:rFonts w:hint="eastAsia" w:ascii="Wingdings" w:hAnsi="Wingdings" w:eastAsia="宋体" w:cs="Wingdings"/>
                <w:color w:val="auto"/>
                <w:sz w:val="20"/>
                <w:szCs w:val="20"/>
                <w:highlight w:val="none"/>
              </w:rPr>
            </w:pPr>
            <w:r>
              <w:rPr>
                <w:rStyle w:val="36"/>
                <w:rFonts w:eastAsia="宋体"/>
                <w:color w:val="auto"/>
                <w:highlight w:val="none"/>
                <w:lang w:bidi="ar"/>
              </w:rPr>
              <w:t></w:t>
            </w:r>
            <w:r>
              <w:rPr>
                <w:rStyle w:val="37"/>
                <w:color w:val="auto"/>
                <w:highlight w:val="none"/>
                <w:lang w:bidi="ar"/>
              </w:rPr>
              <w:t>上报后自动关联发起“非计划再次手术病例讨论”任务。</w:t>
            </w:r>
          </w:p>
        </w:tc>
      </w:tr>
      <w:tr w14:paraId="045C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6365F02">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1.5.6 死亡案例讨论上报</w:t>
            </w:r>
          </w:p>
        </w:tc>
        <w:tc>
          <w:tcPr>
            <w:tcW w:w="8569" w:type="dxa"/>
          </w:tcPr>
          <w:p w14:paraId="557D014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支持死亡患者明细，并在明细界面可直接上报；</w:t>
            </w:r>
          </w:p>
        </w:tc>
      </w:tr>
      <w:tr w14:paraId="227D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9DCF825">
            <w:pPr>
              <w:rPr>
                <w:rFonts w:ascii="宋体" w:hAnsi="宋体" w:eastAsia="宋体" w:cs="宋体"/>
                <w:color w:val="auto"/>
                <w:sz w:val="20"/>
                <w:szCs w:val="20"/>
                <w:highlight w:val="none"/>
              </w:rPr>
            </w:pPr>
          </w:p>
        </w:tc>
        <w:tc>
          <w:tcPr>
            <w:tcW w:w="8569" w:type="dxa"/>
          </w:tcPr>
          <w:p w14:paraId="53A0EDF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提供本次住院科室、患者姓名、住院号、性别、年龄、入院时间、主治医生、经治医师、患者诊断、死亡时间、状态等内容，并支持打印导出；</w:t>
            </w:r>
          </w:p>
        </w:tc>
      </w:tr>
      <w:tr w14:paraId="0683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F36672">
            <w:pPr>
              <w:rPr>
                <w:rFonts w:ascii="宋体" w:hAnsi="宋体" w:eastAsia="宋体" w:cs="宋体"/>
                <w:color w:val="auto"/>
                <w:sz w:val="20"/>
                <w:szCs w:val="20"/>
                <w:highlight w:val="none"/>
              </w:rPr>
            </w:pPr>
          </w:p>
        </w:tc>
        <w:tc>
          <w:tcPr>
            <w:tcW w:w="8569" w:type="dxa"/>
          </w:tcPr>
          <w:p w14:paraId="2069FD9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无需预警上报的患者可进行标记，并取消预警；</w:t>
            </w:r>
          </w:p>
        </w:tc>
      </w:tr>
      <w:tr w14:paraId="49D1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9240B9F">
            <w:pPr>
              <w:rPr>
                <w:rFonts w:ascii="宋体" w:hAnsi="宋体" w:eastAsia="宋体" w:cs="宋体"/>
                <w:color w:val="auto"/>
                <w:sz w:val="20"/>
                <w:szCs w:val="20"/>
                <w:highlight w:val="none"/>
              </w:rPr>
            </w:pPr>
          </w:p>
        </w:tc>
        <w:tc>
          <w:tcPr>
            <w:tcW w:w="8569" w:type="dxa"/>
          </w:tcPr>
          <w:p w14:paraId="5C588D6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提供上报统计记录台账，并可以查看对应住院科室、患者姓名、住院号、入院时间、患者诊断、死亡时间、会议开始时间、间隔时间、上报类型、状态、上报人、上报时间等；</w:t>
            </w:r>
          </w:p>
        </w:tc>
      </w:tr>
      <w:tr w14:paraId="1D75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66B40DD">
            <w:pPr>
              <w:rPr>
                <w:rFonts w:ascii="宋体" w:hAnsi="宋体" w:eastAsia="宋体" w:cs="宋体"/>
                <w:color w:val="auto"/>
                <w:sz w:val="20"/>
                <w:szCs w:val="20"/>
                <w:highlight w:val="none"/>
              </w:rPr>
            </w:pPr>
          </w:p>
        </w:tc>
        <w:tc>
          <w:tcPr>
            <w:tcW w:w="8569" w:type="dxa"/>
          </w:tcPr>
          <w:p w14:paraId="6B1D6C1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通过间隔时间筛选患者死亡到开会的时间，从而督促死亡案例及时进行会议；</w:t>
            </w:r>
          </w:p>
        </w:tc>
      </w:tr>
      <w:tr w14:paraId="175D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5CA0CA6">
            <w:pPr>
              <w:rPr>
                <w:rFonts w:ascii="宋体" w:hAnsi="宋体" w:eastAsia="宋体" w:cs="宋体"/>
                <w:color w:val="auto"/>
                <w:sz w:val="20"/>
                <w:szCs w:val="20"/>
                <w:highlight w:val="none"/>
              </w:rPr>
            </w:pPr>
          </w:p>
        </w:tc>
        <w:tc>
          <w:tcPr>
            <w:tcW w:w="8569" w:type="dxa"/>
          </w:tcPr>
          <w:p w14:paraId="041A30E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提供死亡案例讨论上报统计分析图并支持下载。</w:t>
            </w:r>
          </w:p>
        </w:tc>
      </w:tr>
      <w:tr w14:paraId="3DE6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7F17076">
            <w:pPr>
              <w:rPr>
                <w:rFonts w:ascii="宋体" w:hAnsi="宋体" w:eastAsia="宋体" w:cs="宋体"/>
                <w:color w:val="auto"/>
                <w:sz w:val="20"/>
                <w:szCs w:val="20"/>
                <w:highlight w:val="none"/>
              </w:rPr>
            </w:pPr>
          </w:p>
        </w:tc>
        <w:tc>
          <w:tcPr>
            <w:tcW w:w="8569" w:type="dxa"/>
          </w:tcPr>
          <w:p w14:paraId="4B36BB61">
            <w:pPr>
              <w:widowControl/>
              <w:textAlignment w:val="top"/>
              <w:rPr>
                <w:rFonts w:hint="eastAsia" w:ascii="Wingdings" w:hAnsi="Wingdings" w:eastAsia="宋体" w:cs="Wingdings"/>
                <w:color w:val="auto"/>
                <w:sz w:val="20"/>
                <w:szCs w:val="20"/>
                <w:highlight w:val="none"/>
              </w:rPr>
            </w:pPr>
            <w:r>
              <w:rPr>
                <w:rStyle w:val="36"/>
                <w:rFonts w:eastAsia="宋体"/>
                <w:color w:val="auto"/>
                <w:highlight w:val="none"/>
                <w:lang w:bidi="ar"/>
              </w:rPr>
              <w:t></w:t>
            </w:r>
            <w:r>
              <w:rPr>
                <w:rStyle w:val="37"/>
                <w:color w:val="auto"/>
                <w:highlight w:val="none"/>
                <w:lang w:bidi="ar"/>
              </w:rPr>
              <w:t>上报后自动关联发起“死亡病历讨论”任务</w:t>
            </w:r>
          </w:p>
        </w:tc>
      </w:tr>
      <w:tr w14:paraId="11A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9" w:type="dxa"/>
            <w:vMerge w:val="restart"/>
            <w:vAlign w:val="center"/>
          </w:tcPr>
          <w:p w14:paraId="69595E91">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1.5.7 疑难病例讨论</w:t>
            </w:r>
          </w:p>
        </w:tc>
        <w:tc>
          <w:tcPr>
            <w:tcW w:w="8569" w:type="dxa"/>
            <w:vAlign w:val="center"/>
          </w:tcPr>
          <w:p w14:paraId="498EDC95">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系统支持科室发起疑难病例讨论，可以选择不同的讨论范围和讨论类型；可以选择讨论成员，讨论成员可以自动带出</w:t>
            </w:r>
            <w:r>
              <w:rPr>
                <w:rStyle w:val="30"/>
                <w:color w:val="auto"/>
                <w:highlight w:val="none"/>
                <w:lang w:bidi="ar"/>
              </w:rPr>
              <w:t>所在专科、人员类别（医护技药管）、</w:t>
            </w:r>
            <w:r>
              <w:rPr>
                <w:rStyle w:val="31"/>
                <w:color w:val="auto"/>
                <w:highlight w:val="none"/>
                <w:lang w:bidi="ar"/>
              </w:rPr>
              <w:t>职称和手机号；支持主持人、记录者及讨论成员发起电子签名。</w:t>
            </w:r>
          </w:p>
        </w:tc>
      </w:tr>
      <w:tr w14:paraId="6459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0877282">
            <w:pPr>
              <w:rPr>
                <w:rFonts w:ascii="宋体" w:hAnsi="宋体" w:eastAsia="宋体" w:cs="宋体"/>
                <w:color w:val="auto"/>
                <w:sz w:val="20"/>
                <w:szCs w:val="20"/>
                <w:highlight w:val="none"/>
              </w:rPr>
            </w:pPr>
          </w:p>
        </w:tc>
        <w:tc>
          <w:tcPr>
            <w:tcW w:w="8569" w:type="dxa"/>
          </w:tcPr>
          <w:p w14:paraId="437F524D">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支持职能部门发起疑难病例讨论任务，同时能够显示疑难病例讨论进行状态，比如已发起，已完成。在发起后规定时限内未完成则自动生成至待办提醒该提醒功能关联至企业微信个人端。</w:t>
            </w:r>
          </w:p>
        </w:tc>
      </w:tr>
      <w:tr w14:paraId="34CC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9" w:type="dxa"/>
            <w:vMerge w:val="restart"/>
            <w:vAlign w:val="center"/>
          </w:tcPr>
          <w:p w14:paraId="4D034126">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1.5.8  术前计论</w:t>
            </w:r>
          </w:p>
        </w:tc>
        <w:tc>
          <w:tcPr>
            <w:tcW w:w="8569" w:type="dxa"/>
            <w:vAlign w:val="center"/>
          </w:tcPr>
          <w:p w14:paraId="18AAB151">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系统支持科室发起术前讨论，可以选择不同的讨论类型和讨论范围；可以选择讨论成员，讨论成员可以自动带出</w:t>
            </w:r>
            <w:r>
              <w:rPr>
                <w:rStyle w:val="30"/>
                <w:color w:val="auto"/>
                <w:highlight w:val="none"/>
                <w:lang w:bidi="ar"/>
              </w:rPr>
              <w:t>所在专科、人员类别（医护技药管）、</w:t>
            </w:r>
            <w:r>
              <w:rPr>
                <w:rStyle w:val="31"/>
                <w:color w:val="auto"/>
                <w:highlight w:val="none"/>
                <w:lang w:bidi="ar"/>
              </w:rPr>
              <w:t>职称和手机号；支持主持人、记录者及讨论成员发起电子签名。</w:t>
            </w:r>
          </w:p>
        </w:tc>
      </w:tr>
      <w:tr w14:paraId="31BF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5FDDCE">
            <w:pPr>
              <w:rPr>
                <w:rFonts w:ascii="宋体" w:hAnsi="宋体" w:eastAsia="宋体" w:cs="宋体"/>
                <w:color w:val="auto"/>
                <w:sz w:val="20"/>
                <w:szCs w:val="20"/>
                <w:highlight w:val="none"/>
              </w:rPr>
            </w:pPr>
          </w:p>
        </w:tc>
        <w:tc>
          <w:tcPr>
            <w:tcW w:w="8569" w:type="dxa"/>
          </w:tcPr>
          <w:p w14:paraId="3D76B080">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支持职能部门发起讨论任务，同时能够显示病例讨论进行状态，比如已发起，已完成。在发起后规定时限内未完成则自动生成至待办提醒该提醒功能关联至企业微信个人端。</w:t>
            </w:r>
          </w:p>
        </w:tc>
      </w:tr>
      <w:tr w14:paraId="2353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9" w:type="dxa"/>
            <w:vMerge w:val="restart"/>
            <w:vAlign w:val="center"/>
          </w:tcPr>
          <w:p w14:paraId="62CA98E8">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1.5.9  纠纷病例讨论</w:t>
            </w:r>
          </w:p>
        </w:tc>
        <w:tc>
          <w:tcPr>
            <w:tcW w:w="8569" w:type="dxa"/>
            <w:vAlign w:val="center"/>
          </w:tcPr>
          <w:p w14:paraId="60972E5C">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系统支持科室发起纠纷病例讨论，可以选择不同的讨论类型；可以选择讨论成员，讨论成员可以自动带出</w:t>
            </w:r>
            <w:r>
              <w:rPr>
                <w:rStyle w:val="30"/>
                <w:color w:val="auto"/>
                <w:highlight w:val="none"/>
                <w:lang w:bidi="ar"/>
              </w:rPr>
              <w:t>所在专科、人员类别（医护技药管）</w:t>
            </w:r>
            <w:r>
              <w:rPr>
                <w:rStyle w:val="31"/>
                <w:color w:val="auto"/>
                <w:highlight w:val="none"/>
                <w:lang w:bidi="ar"/>
              </w:rPr>
              <w:t>、职称和手机号；支持主持人、记录者及讨论成员发起电子签名。</w:t>
            </w:r>
          </w:p>
        </w:tc>
      </w:tr>
      <w:tr w14:paraId="00C5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27A5227">
            <w:pPr>
              <w:rPr>
                <w:rFonts w:ascii="宋体" w:hAnsi="宋体" w:eastAsia="宋体" w:cs="宋体"/>
                <w:color w:val="auto"/>
                <w:sz w:val="20"/>
                <w:szCs w:val="20"/>
                <w:highlight w:val="none"/>
              </w:rPr>
            </w:pPr>
          </w:p>
        </w:tc>
        <w:tc>
          <w:tcPr>
            <w:tcW w:w="8569" w:type="dxa"/>
          </w:tcPr>
          <w:p w14:paraId="67BE4098">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支持职能部门发起讨论任务，同时能够显示病例讨论进行状态，比如已发起，已完成。在发起后规定时限内未完成则自动生成至待办提醒该提醒功能关联至企业微信个人端。</w:t>
            </w:r>
          </w:p>
        </w:tc>
      </w:tr>
      <w:tr w14:paraId="6975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F676064">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1.5.10  并发症管理</w:t>
            </w:r>
          </w:p>
        </w:tc>
        <w:tc>
          <w:tcPr>
            <w:tcW w:w="8569" w:type="dxa"/>
          </w:tcPr>
          <w:p w14:paraId="3C9C64E9">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30"/>
                <w:color w:val="auto"/>
                <w:highlight w:val="none"/>
                <w:lang w:bidi="ar"/>
              </w:rPr>
              <w:t>支持并发症明细查看并可在明细界面直接上报（含手术并发症、非手术并发症）。</w:t>
            </w:r>
          </w:p>
        </w:tc>
      </w:tr>
      <w:tr w14:paraId="1D3A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193C1FC">
            <w:pPr>
              <w:rPr>
                <w:rFonts w:ascii="宋体" w:hAnsi="宋体" w:eastAsia="宋体" w:cs="宋体"/>
                <w:color w:val="auto"/>
                <w:sz w:val="20"/>
                <w:szCs w:val="20"/>
                <w:highlight w:val="none"/>
              </w:rPr>
            </w:pPr>
          </w:p>
        </w:tc>
        <w:tc>
          <w:tcPr>
            <w:tcW w:w="8569" w:type="dxa"/>
          </w:tcPr>
          <w:p w14:paraId="2DD9C9C1">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支持系统自动根据国考规则、三甲规则抓取并发症上报信息，并自动产生上报记录，包括患者信息（姓名、性别、患者主索引、住院号、手机号码等）；入院信息（入院日期、住院天数、出院日期、住院科室、床位名称、管床医生、上级医生、住院流水号）；手术情况（手术主刀、手术一助、手术编码、手术名称、院内级别、手术开始时间、手术结束时间、麻醉开始时间、麻醉结束时间）。与医院集成平台接口：系统需要对接医院集成平台，自动获取患者手术信息。提供上报状态、上报记录等内容，并支持打印导出；同时无法抓取的信息项目（例如不良事件级别，发生时间等内容支持手动人工填写）。</w:t>
            </w:r>
          </w:p>
        </w:tc>
      </w:tr>
      <w:tr w14:paraId="603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9A966E">
            <w:pPr>
              <w:rPr>
                <w:rFonts w:ascii="宋体" w:hAnsi="宋体" w:eastAsia="宋体" w:cs="宋体"/>
                <w:color w:val="auto"/>
                <w:sz w:val="20"/>
                <w:szCs w:val="20"/>
                <w:highlight w:val="none"/>
              </w:rPr>
            </w:pPr>
          </w:p>
        </w:tc>
        <w:tc>
          <w:tcPr>
            <w:tcW w:w="8569" w:type="dxa"/>
          </w:tcPr>
          <w:p w14:paraId="31EBC74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无需预警上报的患者可进行标记，并取消预警；</w:t>
            </w:r>
          </w:p>
        </w:tc>
      </w:tr>
      <w:tr w14:paraId="14D4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08BCDE">
            <w:pPr>
              <w:rPr>
                <w:rFonts w:ascii="宋体" w:hAnsi="宋体" w:eastAsia="宋体" w:cs="宋体"/>
                <w:color w:val="auto"/>
                <w:sz w:val="20"/>
                <w:szCs w:val="20"/>
                <w:highlight w:val="none"/>
              </w:rPr>
            </w:pPr>
          </w:p>
        </w:tc>
        <w:tc>
          <w:tcPr>
            <w:tcW w:w="8569" w:type="dxa"/>
          </w:tcPr>
          <w:p w14:paraId="375F435D">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提供上报统计记录台账，并可以查看对应住院科室、手术科室、患者姓名、住院号、入院时间、患者诊断、手术时间、手术名称、主刀姓名、间隔时间、上报人、上报时间等；</w:t>
            </w:r>
          </w:p>
        </w:tc>
      </w:tr>
      <w:tr w14:paraId="54CD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06EA8AA2">
            <w:pPr>
              <w:rPr>
                <w:rFonts w:ascii="宋体" w:hAnsi="宋体" w:eastAsia="宋体" w:cs="宋体"/>
                <w:color w:val="auto"/>
                <w:sz w:val="20"/>
                <w:szCs w:val="20"/>
                <w:highlight w:val="none"/>
              </w:rPr>
            </w:pPr>
          </w:p>
        </w:tc>
        <w:tc>
          <w:tcPr>
            <w:tcW w:w="8569" w:type="dxa"/>
          </w:tcPr>
          <w:p w14:paraId="47C5FEB5">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通过间隔时间筛选标记时间到上报的时间，从而督促并发症上报的及时性；通过主刀姓名筛选手术并发症病例清单，从而便于从主刀个人层面查阅病例。</w:t>
            </w:r>
          </w:p>
        </w:tc>
      </w:tr>
      <w:tr w14:paraId="1939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27E5E3">
            <w:pPr>
              <w:rPr>
                <w:rFonts w:ascii="宋体" w:hAnsi="宋体" w:eastAsia="宋体" w:cs="宋体"/>
                <w:color w:val="auto"/>
                <w:sz w:val="20"/>
                <w:szCs w:val="20"/>
                <w:highlight w:val="none"/>
              </w:rPr>
            </w:pPr>
          </w:p>
        </w:tc>
        <w:tc>
          <w:tcPr>
            <w:tcW w:w="8569" w:type="dxa"/>
          </w:tcPr>
          <w:p w14:paraId="23E5A5D4">
            <w:pPr>
              <w:widowControl/>
              <w:textAlignment w:val="top"/>
              <w:rPr>
                <w:rFonts w:hint="eastAsia" w:ascii="Wingdings" w:hAnsi="Wingdings" w:eastAsia="宋体" w:cs="Wingdings"/>
                <w:color w:val="auto"/>
                <w:sz w:val="20"/>
                <w:szCs w:val="20"/>
                <w:highlight w:val="none"/>
              </w:rPr>
            </w:pPr>
            <w:r>
              <w:rPr>
                <w:rStyle w:val="29"/>
                <w:rFonts w:eastAsia="宋体"/>
                <w:color w:val="auto"/>
                <w:highlight w:val="none"/>
                <w:lang w:bidi="ar"/>
              </w:rPr>
              <w:t></w:t>
            </w:r>
            <w:r>
              <w:rPr>
                <w:rStyle w:val="25"/>
                <w:rFonts w:hint="default"/>
                <w:color w:val="auto"/>
                <w:highlight w:val="none"/>
                <w:lang w:bidi="ar"/>
              </w:rPr>
              <w:t>提供并发症上报例数、原因分布、住院科室分布、手术科室分布、主刀分布、手术院内级别分布、离院方式分布的统计分析图并支持下载。支持按出院时间、手术时间进行筛选及展示。</w:t>
            </w:r>
          </w:p>
        </w:tc>
      </w:tr>
      <w:tr w14:paraId="5660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6E3AA43">
            <w:pPr>
              <w:rPr>
                <w:rFonts w:ascii="宋体" w:hAnsi="宋体" w:eastAsia="宋体" w:cs="宋体"/>
                <w:color w:val="auto"/>
                <w:sz w:val="20"/>
                <w:szCs w:val="20"/>
                <w:highlight w:val="none"/>
              </w:rPr>
            </w:pPr>
          </w:p>
        </w:tc>
        <w:tc>
          <w:tcPr>
            <w:tcW w:w="8569" w:type="dxa"/>
          </w:tcPr>
          <w:p w14:paraId="0A8DD6A9">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上报后自动关联发起并发症病例讨论提醒任务。由临床判断是否为出现危及生命或造成器官功能严重损伤的并发症，如判断是，则自动关联发起并发症病例讨论提醒任务。</w:t>
            </w:r>
          </w:p>
        </w:tc>
      </w:tr>
      <w:tr w14:paraId="2076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695F564">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1.5.11 其他业务上报</w:t>
            </w:r>
          </w:p>
        </w:tc>
        <w:tc>
          <w:tcPr>
            <w:tcW w:w="8569" w:type="dxa"/>
          </w:tcPr>
          <w:p w14:paraId="6AD183D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支持自定义上报表单并可直接由患者住院号带出患者相关信息等联动操作；</w:t>
            </w:r>
          </w:p>
        </w:tc>
      </w:tr>
      <w:tr w14:paraId="7B56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586A90">
            <w:pPr>
              <w:rPr>
                <w:rFonts w:ascii="宋体" w:hAnsi="宋体" w:eastAsia="宋体" w:cs="宋体"/>
                <w:color w:val="auto"/>
                <w:sz w:val="20"/>
                <w:szCs w:val="20"/>
                <w:highlight w:val="none"/>
              </w:rPr>
            </w:pPr>
          </w:p>
        </w:tc>
        <w:tc>
          <w:tcPr>
            <w:tcW w:w="8569" w:type="dxa"/>
          </w:tcPr>
          <w:p w14:paraId="2C6B02C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上报处理：提供上报台账、待处理上报表单、已处理上报表单、我的上报表单；</w:t>
            </w:r>
          </w:p>
        </w:tc>
      </w:tr>
      <w:tr w14:paraId="3FCF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C53981">
            <w:pPr>
              <w:rPr>
                <w:rFonts w:ascii="宋体" w:hAnsi="宋体" w:eastAsia="宋体" w:cs="宋体"/>
                <w:color w:val="auto"/>
                <w:sz w:val="20"/>
                <w:szCs w:val="20"/>
                <w:highlight w:val="none"/>
              </w:rPr>
            </w:pPr>
          </w:p>
        </w:tc>
        <w:tc>
          <w:tcPr>
            <w:tcW w:w="8569" w:type="dxa"/>
          </w:tcPr>
          <w:p w14:paraId="66A1C90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支持对于上报信息进行审批和转科等操作；</w:t>
            </w:r>
          </w:p>
        </w:tc>
      </w:tr>
      <w:tr w14:paraId="3819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6FB78B8">
            <w:pPr>
              <w:rPr>
                <w:rFonts w:ascii="宋体" w:hAnsi="宋体" w:eastAsia="宋体" w:cs="宋体"/>
                <w:color w:val="auto"/>
                <w:sz w:val="20"/>
                <w:szCs w:val="20"/>
                <w:highlight w:val="none"/>
              </w:rPr>
            </w:pPr>
          </w:p>
        </w:tc>
        <w:tc>
          <w:tcPr>
            <w:tcW w:w="8569" w:type="dxa"/>
          </w:tcPr>
          <w:p w14:paraId="0735E4A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上报查询：可通过表单类型、处理状态、是否出院、上报科室、上报人、上报时间、出院时间、患者姓名、床位号等内容进行上报信息查询；</w:t>
            </w:r>
          </w:p>
        </w:tc>
      </w:tr>
      <w:tr w14:paraId="68DF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20E990">
            <w:pPr>
              <w:rPr>
                <w:rFonts w:ascii="宋体" w:hAnsi="宋体" w:eastAsia="宋体" w:cs="宋体"/>
                <w:color w:val="auto"/>
                <w:sz w:val="20"/>
                <w:szCs w:val="20"/>
                <w:highlight w:val="none"/>
              </w:rPr>
            </w:pPr>
          </w:p>
        </w:tc>
        <w:tc>
          <w:tcPr>
            <w:tcW w:w="8569" w:type="dxa"/>
          </w:tcPr>
          <w:p w14:paraId="57FFB61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上报分析：可通过上报类型进行字段的统计等分析，并支持下载打印导出；</w:t>
            </w:r>
          </w:p>
        </w:tc>
      </w:tr>
      <w:tr w14:paraId="474A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ACAC7E">
            <w:pPr>
              <w:rPr>
                <w:rFonts w:ascii="宋体" w:hAnsi="宋体" w:eastAsia="宋体" w:cs="宋体"/>
                <w:color w:val="auto"/>
                <w:sz w:val="20"/>
                <w:szCs w:val="20"/>
                <w:highlight w:val="none"/>
              </w:rPr>
            </w:pPr>
          </w:p>
        </w:tc>
        <w:tc>
          <w:tcPr>
            <w:tcW w:w="8569" w:type="dxa"/>
          </w:tcPr>
          <w:p w14:paraId="6B895C2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内容分析：可通过统计时间和图表模式统计项目，各上报表单中每个选项的占比，并进行分析打印；</w:t>
            </w:r>
          </w:p>
        </w:tc>
      </w:tr>
      <w:tr w14:paraId="712D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5F7F9E">
            <w:pPr>
              <w:rPr>
                <w:rFonts w:ascii="宋体" w:hAnsi="宋体" w:eastAsia="宋体" w:cs="宋体"/>
                <w:color w:val="auto"/>
                <w:sz w:val="20"/>
                <w:szCs w:val="20"/>
                <w:highlight w:val="none"/>
              </w:rPr>
            </w:pPr>
          </w:p>
        </w:tc>
        <w:tc>
          <w:tcPr>
            <w:tcW w:w="8569" w:type="dxa"/>
          </w:tcPr>
          <w:p w14:paraId="5DDE7BE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操作员管理：支持对于所有上报表单内容进行修改和删除；</w:t>
            </w:r>
          </w:p>
        </w:tc>
      </w:tr>
      <w:tr w14:paraId="1CB7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85D541">
            <w:pPr>
              <w:rPr>
                <w:rFonts w:ascii="宋体" w:hAnsi="宋体" w:eastAsia="宋体" w:cs="宋体"/>
                <w:color w:val="auto"/>
                <w:sz w:val="20"/>
                <w:szCs w:val="20"/>
                <w:highlight w:val="none"/>
              </w:rPr>
            </w:pPr>
          </w:p>
        </w:tc>
        <w:tc>
          <w:tcPr>
            <w:tcW w:w="8569" w:type="dxa"/>
          </w:tcPr>
          <w:p w14:paraId="69DF48A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支持在APP上进行上报、编辑、修改、删除等操作。</w:t>
            </w:r>
          </w:p>
        </w:tc>
      </w:tr>
    </w:tbl>
    <w:p w14:paraId="22B09B62">
      <w:pPr>
        <w:pStyle w:val="7"/>
        <w:widowControl/>
        <w:jc w:val="left"/>
        <w:textAlignment w:val="center"/>
        <w:outlineLvl w:val="1"/>
        <w:rPr>
          <w:rFonts w:hint="eastAsia"/>
          <w:highlight w:val="none"/>
        </w:rPr>
      </w:pPr>
      <w:r>
        <w:rPr>
          <w:rFonts w:hint="eastAsia"/>
          <w:highlight w:val="none"/>
        </w:rPr>
        <w:t>1.</w:t>
      </w:r>
      <w:r>
        <w:rPr>
          <w:rFonts w:hint="eastAsia"/>
          <w:highlight w:val="none"/>
          <w:lang w:val="en-US" w:eastAsia="zh-CN"/>
        </w:rPr>
        <w:t>6</w:t>
      </w:r>
      <w:r>
        <w:rPr>
          <w:rFonts w:hint="eastAsia"/>
          <w:highlight w:val="none"/>
        </w:rPr>
        <w:t xml:space="preserve"> 院级质控管理</w:t>
      </w:r>
      <w:bookmarkEnd w:id="8"/>
    </w:p>
    <w:tbl>
      <w:tblPr>
        <w:tblStyle w:val="20"/>
        <w:tblW w:w="10138"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681E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shd w:val="clear" w:color="auto" w:fill="auto"/>
            <w:vAlign w:val="center"/>
          </w:tcPr>
          <w:p w14:paraId="5A22736C">
            <w:pPr>
              <w:widowControl/>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4874CB" w:themeColor="accent1"/>
                <w:kern w:val="0"/>
                <w:sz w:val="20"/>
                <w:szCs w:val="20"/>
                <w:highlight w:val="none"/>
                <w:lang w:eastAsia="zh-CN" w:bidi="ar"/>
                <w14:textFill>
                  <w14:solidFill>
                    <w14:schemeClr w14:val="accent1"/>
                  </w14:solidFill>
                </w14:textFill>
              </w:rPr>
              <w:t>1.6.</w:t>
            </w:r>
            <w:r>
              <w:rPr>
                <w:rFonts w:hint="eastAsia" w:ascii="宋体" w:hAnsi="宋体" w:eastAsia="宋体" w:cs="宋体"/>
                <w:color w:val="4874CB" w:themeColor="accent1"/>
                <w:kern w:val="0"/>
                <w:sz w:val="20"/>
                <w:szCs w:val="20"/>
                <w:highlight w:val="none"/>
                <w:lang w:bidi="ar"/>
                <w14:textFill>
                  <w14:solidFill>
                    <w14:schemeClr w14:val="accent1"/>
                  </w14:solidFill>
                </w14:textFill>
              </w:rPr>
              <w:t xml:space="preserve">1 </w:t>
            </w:r>
            <w:r>
              <w:rPr>
                <w:rFonts w:hint="eastAsia" w:ascii="宋体" w:hAnsi="宋体" w:eastAsia="宋体" w:cs="宋体"/>
                <w:color w:val="4874CB" w:themeColor="accent1"/>
                <w:kern w:val="0"/>
                <w:sz w:val="20"/>
                <w:szCs w:val="20"/>
                <w:highlight w:val="none"/>
                <w:lang w:eastAsia="zh-CN" w:bidi="ar"/>
                <w14:textFill>
                  <w14:solidFill>
                    <w14:schemeClr w14:val="accent1"/>
                  </w14:solidFill>
                </w14:textFill>
              </w:rPr>
              <w:t>质量</w:t>
            </w:r>
            <w:r>
              <w:rPr>
                <w:rFonts w:hint="eastAsia" w:ascii="宋体" w:hAnsi="宋体" w:eastAsia="宋体" w:cs="宋体"/>
                <w:color w:val="4874CB" w:themeColor="accent1"/>
                <w:kern w:val="0"/>
                <w:sz w:val="20"/>
                <w:szCs w:val="20"/>
                <w:highlight w:val="none"/>
                <w:lang w:bidi="ar"/>
                <w14:textFill>
                  <w14:solidFill>
                    <w14:schemeClr w14:val="accent1"/>
                  </w14:solidFill>
                </w14:textFill>
              </w:rPr>
              <w:t>组织架构管理</w:t>
            </w:r>
          </w:p>
        </w:tc>
        <w:tc>
          <w:tcPr>
            <w:tcW w:w="8569" w:type="dxa"/>
            <w:shd w:val="clear" w:color="auto" w:fill="auto"/>
            <w:vAlign w:val="top"/>
          </w:tcPr>
          <w:p w14:paraId="2D423B93">
            <w:pPr>
              <w:widowControl/>
              <w:textAlignment w:val="top"/>
              <w:rPr>
                <w:rFonts w:hint="eastAsia" w:ascii="Wingdings" w:hAnsi="Wingdings" w:eastAsia="宋体" w:cs="Wingdings"/>
                <w:color w:val="auto"/>
                <w:kern w:val="0"/>
                <w:sz w:val="20"/>
                <w:szCs w:val="20"/>
                <w:highlight w:val="none"/>
                <w:lang w:val="en-US" w:eastAsia="zh-CN" w:bidi="ar"/>
              </w:rPr>
            </w:pPr>
            <w:r>
              <w:rPr>
                <w:rStyle w:val="28"/>
                <w:rFonts w:hint="eastAsia" w:ascii="宋体" w:hAnsi="宋体" w:eastAsia="宋体" w:cs="宋体"/>
                <w:color w:val="auto"/>
                <w:sz w:val="20"/>
                <w:szCs w:val="20"/>
                <w:highlight w:val="none"/>
                <w:lang w:bidi="ar"/>
              </w:rPr>
              <w:t>质量管理</w:t>
            </w:r>
            <w:r>
              <w:rPr>
                <w:rStyle w:val="24"/>
                <w:rFonts w:hint="eastAsia" w:ascii="宋体" w:hAnsi="宋体" w:eastAsia="宋体" w:cs="宋体"/>
                <w:color w:val="auto"/>
                <w:sz w:val="20"/>
                <w:szCs w:val="20"/>
                <w:highlight w:val="none"/>
                <w:lang w:bidi="ar"/>
              </w:rPr>
              <w:t>小组组织管理：维护全院院科两级的小组名单，方便后面开计划随时快速拉取小组名单；含申请、审批、变更、考核。支持科室、人员自动化对接医院架构及人工维护。</w:t>
            </w:r>
          </w:p>
        </w:tc>
      </w:tr>
      <w:tr w14:paraId="2F2B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7F45DF7">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center"/>
          </w:tcPr>
          <w:p w14:paraId="0C884459">
            <w:pPr>
              <w:widowControl/>
              <w:textAlignment w:val="center"/>
              <w:rPr>
                <w:rFonts w:hint="eastAsia" w:ascii="Wingdings" w:hAnsi="Wingdings" w:eastAsia="宋体" w:cs="Wingdings"/>
                <w:color w:val="auto"/>
                <w:kern w:val="0"/>
                <w:sz w:val="20"/>
                <w:szCs w:val="20"/>
                <w:highlight w:val="none"/>
                <w:lang w:val="en-US" w:eastAsia="zh-CN" w:bidi="ar"/>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活动记录：会议记录、质量培训记录、科室质量管理小组会议记录、持续改进记录（1.科室组织架构持续改进；2.培训记录持续改进，可自动关联会议记录；3.科室质量考核持续改进，可自动关联质量考核评分；4.核心制度持续改进，可自动关联核心制度的检查结果；5.其他持续改进）、工作计划、总结等，包含记录、审批、查看。</w:t>
            </w:r>
          </w:p>
        </w:tc>
      </w:tr>
      <w:tr w14:paraId="7E30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146603">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top"/>
          </w:tcPr>
          <w:p w14:paraId="4A8C8E5B">
            <w:pPr>
              <w:widowControl/>
              <w:textAlignment w:val="top"/>
              <w:rPr>
                <w:rFonts w:hint="eastAsia" w:ascii="Wingdings" w:hAnsi="Wingdings" w:eastAsia="宋体" w:cs="Wingdings"/>
                <w:color w:val="auto"/>
                <w:kern w:val="0"/>
                <w:sz w:val="20"/>
                <w:szCs w:val="20"/>
                <w:highlight w:val="none"/>
                <w:lang w:val="en-US" w:eastAsia="zh-CN" w:bidi="ar"/>
              </w:rPr>
            </w:pPr>
            <w:r>
              <w:rPr>
                <w:rStyle w:val="28"/>
                <w:rFonts w:hint="eastAsia" w:ascii="宋体" w:hAnsi="宋体" w:eastAsia="宋体" w:cs="宋体"/>
                <w:color w:val="auto"/>
                <w:sz w:val="20"/>
                <w:szCs w:val="20"/>
                <w:highlight w:val="none"/>
                <w:lang w:bidi="ar"/>
              </w:rPr>
              <w:t>文件制度管理</w:t>
            </w:r>
            <w:r>
              <w:rPr>
                <w:rStyle w:val="31"/>
                <w:rFonts w:hint="eastAsia" w:ascii="宋体" w:hAnsi="宋体" w:eastAsia="宋体" w:cs="宋体"/>
                <w:color w:val="auto"/>
                <w:sz w:val="20"/>
                <w:szCs w:val="20"/>
                <w:highlight w:val="none"/>
                <w:lang w:bidi="ar"/>
              </w:rPr>
              <w:t>：</w:t>
            </w:r>
            <w:r>
              <w:rPr>
                <w:rStyle w:val="28"/>
                <w:rFonts w:hint="eastAsia" w:ascii="宋体" w:hAnsi="宋体" w:eastAsia="宋体" w:cs="宋体"/>
                <w:color w:val="auto"/>
                <w:sz w:val="20"/>
                <w:szCs w:val="20"/>
                <w:highlight w:val="none"/>
                <w:lang w:val="en-US" w:eastAsia="zh-CN" w:bidi="ar"/>
              </w:rPr>
              <w:t>对文件可进行目录建立、文档上传、下载、在线浏览等。文件目录建立、上传下载、文件权限管理、文件在线预览。</w:t>
            </w:r>
          </w:p>
        </w:tc>
      </w:tr>
      <w:tr w14:paraId="77DB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D6EED6">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top"/>
          </w:tcPr>
          <w:p w14:paraId="314A07F6">
            <w:pPr>
              <w:widowControl/>
              <w:textAlignment w:val="top"/>
              <w:rPr>
                <w:rFonts w:hint="eastAsia" w:ascii="Wingdings" w:hAnsi="Wingdings" w:eastAsia="宋体" w:cs="Wingdings"/>
                <w:color w:val="auto"/>
                <w:kern w:val="0"/>
                <w:sz w:val="20"/>
                <w:szCs w:val="20"/>
                <w:highlight w:val="none"/>
                <w:lang w:val="en-US" w:eastAsia="zh-CN" w:bidi="ar"/>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管理任务发布：工作计划及工作总结，自定义按月度、季度、年度分配院科两级任务计划、科室质量管理计划，展示完成进度，年底可生成总结。对医院质量计划进行管理，包含院级计划，科室自己定义本科室计划。对年度质量工作进行总结分析。</w:t>
            </w:r>
          </w:p>
        </w:tc>
      </w:tr>
      <w:tr w14:paraId="64C8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DD55D7">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top"/>
          </w:tcPr>
          <w:p w14:paraId="1579B7DB">
            <w:pPr>
              <w:widowControl/>
              <w:textAlignment w:val="top"/>
              <w:rPr>
                <w:rFonts w:hint="eastAsia" w:ascii="Wingdings" w:hAnsi="Wingdings" w:eastAsia="宋体" w:cs="Wingdings"/>
                <w:color w:val="auto"/>
                <w:kern w:val="0"/>
                <w:sz w:val="20"/>
                <w:szCs w:val="20"/>
                <w:highlight w:val="none"/>
                <w:lang w:val="en-US" w:eastAsia="zh-CN" w:bidi="ar"/>
              </w:rPr>
            </w:pPr>
            <w:r>
              <w:rPr>
                <w:rStyle w:val="28"/>
                <w:rFonts w:hint="eastAsia" w:ascii="宋体" w:hAnsi="宋体" w:eastAsia="宋体" w:cs="宋体"/>
                <w:color w:val="auto"/>
                <w:sz w:val="20"/>
                <w:szCs w:val="20"/>
                <w:highlight w:val="none"/>
                <w:lang w:bidi="ar"/>
              </w:rPr>
              <w:t></w:t>
            </w:r>
            <w:r>
              <w:rPr>
                <w:rStyle w:val="24"/>
                <w:rFonts w:hint="eastAsia" w:ascii="宋体" w:hAnsi="宋体" w:eastAsia="宋体" w:cs="宋体"/>
                <w:color w:val="auto"/>
                <w:sz w:val="20"/>
                <w:szCs w:val="20"/>
                <w:highlight w:val="none"/>
                <w:lang w:bidi="ar"/>
              </w:rPr>
              <w:t>质控类型维护：支持自由配置PDCA质控管理流程，为后面质控计划匹配挂载对应的流程，如新增编辑质控类型、质控分级、是否整改、启用追踪条件、是否需要PDCA循环、提交计划是否审核等条件设置；</w:t>
            </w:r>
          </w:p>
        </w:tc>
      </w:tr>
      <w:tr w14:paraId="205C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67B1331">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top"/>
          </w:tcPr>
          <w:p w14:paraId="7D9E34AC">
            <w:pPr>
              <w:widowControl/>
              <w:textAlignment w:val="top"/>
              <w:rPr>
                <w:rFonts w:hint="eastAsia" w:ascii="Wingdings" w:hAnsi="Wingdings" w:eastAsia="宋体" w:cs="Wingdings"/>
                <w:color w:val="auto"/>
                <w:kern w:val="0"/>
                <w:sz w:val="20"/>
                <w:szCs w:val="20"/>
                <w:highlight w:val="none"/>
                <w:lang w:val="en-US" w:eastAsia="zh-CN" w:bidi="ar"/>
              </w:rPr>
            </w:pPr>
            <w:r>
              <w:rPr>
                <w:rStyle w:val="28"/>
                <w:rFonts w:hint="eastAsia" w:ascii="宋体" w:hAnsi="宋体" w:eastAsia="宋体" w:cs="宋体"/>
                <w:color w:val="auto"/>
                <w:sz w:val="20"/>
                <w:szCs w:val="20"/>
                <w:highlight w:val="none"/>
                <w:lang w:bidi="ar"/>
              </w:rPr>
              <w:t></w:t>
            </w:r>
            <w:r>
              <w:rPr>
                <w:rStyle w:val="24"/>
                <w:rFonts w:hint="eastAsia" w:ascii="宋体" w:hAnsi="宋体" w:eastAsia="宋体" w:cs="宋体"/>
                <w:color w:val="auto"/>
                <w:sz w:val="20"/>
                <w:szCs w:val="20"/>
                <w:highlight w:val="none"/>
                <w:lang w:bidi="ar"/>
              </w:rPr>
              <w:t>质控业务参数：可设置管理计划、质控类型、小组、组长、成员、时段；</w:t>
            </w:r>
          </w:p>
        </w:tc>
      </w:tr>
      <w:tr w14:paraId="1E3C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16C7B5B">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1.6.2</w:t>
            </w:r>
            <w:r>
              <w:rPr>
                <w:rFonts w:hint="eastAsia" w:ascii="宋体" w:hAnsi="宋体" w:eastAsia="宋体" w:cs="宋体"/>
                <w:color w:val="auto"/>
                <w:kern w:val="0"/>
                <w:sz w:val="20"/>
                <w:szCs w:val="20"/>
                <w:highlight w:val="none"/>
                <w:lang w:bidi="ar"/>
              </w:rPr>
              <w:t xml:space="preserve"> 院级质控管理</w:t>
            </w:r>
          </w:p>
        </w:tc>
        <w:tc>
          <w:tcPr>
            <w:tcW w:w="8569" w:type="dxa"/>
          </w:tcPr>
          <w:p w14:paraId="79569BE4">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院级质控计划</w:t>
            </w:r>
          </w:p>
        </w:tc>
      </w:tr>
      <w:tr w14:paraId="557C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32A7773">
            <w:pPr>
              <w:rPr>
                <w:rFonts w:hint="eastAsia" w:ascii="宋体" w:hAnsi="宋体" w:eastAsia="宋体" w:cs="宋体"/>
                <w:color w:val="auto"/>
                <w:sz w:val="20"/>
                <w:szCs w:val="20"/>
                <w:highlight w:val="none"/>
              </w:rPr>
            </w:pPr>
          </w:p>
        </w:tc>
        <w:tc>
          <w:tcPr>
            <w:tcW w:w="8569" w:type="dxa"/>
          </w:tcPr>
          <w:p w14:paraId="5B17978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设置计划：可设置计划名称、计划周期、质控类型、检查小组、任命小组长和检查成员、可灵活设置检查权限和检查时段、检查重点等内容公布；</w:t>
            </w:r>
          </w:p>
        </w:tc>
      </w:tr>
      <w:tr w14:paraId="0A84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CF7CB1">
            <w:pPr>
              <w:rPr>
                <w:rFonts w:hint="eastAsia" w:ascii="宋体" w:hAnsi="宋体" w:eastAsia="宋体" w:cs="宋体"/>
                <w:color w:val="auto"/>
                <w:sz w:val="20"/>
                <w:szCs w:val="20"/>
                <w:highlight w:val="none"/>
              </w:rPr>
            </w:pPr>
          </w:p>
        </w:tc>
        <w:tc>
          <w:tcPr>
            <w:tcW w:w="8569" w:type="dxa"/>
          </w:tcPr>
          <w:p w14:paraId="1D513687">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设置检查表：可选择本次计划中需要使用的检查表，并支持查询，调用历史检查表和在本次检查表上直接进行修改；</w:t>
            </w:r>
          </w:p>
        </w:tc>
      </w:tr>
      <w:tr w14:paraId="26DE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7A51E9E">
            <w:pPr>
              <w:rPr>
                <w:rFonts w:hint="eastAsia" w:ascii="宋体" w:hAnsi="宋体" w:eastAsia="宋体" w:cs="宋体"/>
                <w:color w:val="auto"/>
                <w:sz w:val="20"/>
                <w:szCs w:val="20"/>
                <w:highlight w:val="none"/>
              </w:rPr>
            </w:pPr>
          </w:p>
        </w:tc>
        <w:tc>
          <w:tcPr>
            <w:tcW w:w="8569" w:type="dxa"/>
          </w:tcPr>
          <w:p w14:paraId="41D95A8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复查问题：通过按问题复查范围和按问题复查模式以及快捷计划等信息进行查询，快速定位选择需要复查的问题，可和本次计划一起进行检查；</w:t>
            </w:r>
          </w:p>
        </w:tc>
      </w:tr>
      <w:tr w14:paraId="578A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8565EBA">
            <w:pPr>
              <w:rPr>
                <w:rFonts w:hint="eastAsia" w:ascii="宋体" w:hAnsi="宋体" w:eastAsia="宋体" w:cs="宋体"/>
                <w:color w:val="auto"/>
                <w:sz w:val="20"/>
                <w:szCs w:val="20"/>
                <w:highlight w:val="none"/>
              </w:rPr>
            </w:pPr>
          </w:p>
        </w:tc>
        <w:tc>
          <w:tcPr>
            <w:tcW w:w="8569" w:type="dxa"/>
          </w:tcPr>
          <w:p w14:paraId="1880206A">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检查科室设置：支持科室批量选择、父级科室有效、隐藏上次检查科室、项目分值设置等人性化功能；</w:t>
            </w:r>
          </w:p>
        </w:tc>
      </w:tr>
      <w:tr w14:paraId="0606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44B8D2">
            <w:pPr>
              <w:rPr>
                <w:rFonts w:hint="eastAsia" w:ascii="宋体" w:hAnsi="宋体" w:eastAsia="宋体" w:cs="宋体"/>
                <w:color w:val="auto"/>
                <w:sz w:val="20"/>
                <w:szCs w:val="20"/>
                <w:highlight w:val="none"/>
              </w:rPr>
            </w:pPr>
          </w:p>
        </w:tc>
        <w:tc>
          <w:tcPr>
            <w:tcW w:w="8569" w:type="dxa"/>
          </w:tcPr>
          <w:p w14:paraId="273B62EB">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并支持暂存，可查看历史台账，以及每个计划里具体基本信息、复查问题、检查详情信息和汇总分析等内容，并支持批量导出检查表。</w:t>
            </w:r>
          </w:p>
        </w:tc>
      </w:tr>
      <w:tr w14:paraId="6A1B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E45817">
            <w:pPr>
              <w:rPr>
                <w:rFonts w:hint="eastAsia" w:ascii="宋体" w:hAnsi="宋体" w:eastAsia="宋体" w:cs="宋体"/>
                <w:color w:val="auto"/>
                <w:sz w:val="20"/>
                <w:szCs w:val="20"/>
                <w:highlight w:val="none"/>
              </w:rPr>
            </w:pPr>
          </w:p>
        </w:tc>
        <w:tc>
          <w:tcPr>
            <w:tcW w:w="8569" w:type="dxa"/>
          </w:tcPr>
          <w:p w14:paraId="7E96CB11">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定期计划管理</w:t>
            </w:r>
          </w:p>
        </w:tc>
      </w:tr>
      <w:tr w14:paraId="4C69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AC615E">
            <w:pPr>
              <w:rPr>
                <w:rFonts w:hint="eastAsia" w:ascii="宋体" w:hAnsi="宋体" w:eastAsia="宋体" w:cs="宋体"/>
                <w:color w:val="auto"/>
                <w:sz w:val="20"/>
                <w:szCs w:val="20"/>
                <w:highlight w:val="none"/>
              </w:rPr>
            </w:pPr>
          </w:p>
        </w:tc>
        <w:tc>
          <w:tcPr>
            <w:tcW w:w="8569" w:type="dxa"/>
          </w:tcPr>
          <w:p w14:paraId="286491D0">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设置定时方案：可设置定时类型、定时截止日期、触发时间，从而达到智能定期系统自动发起计划的效果；</w:t>
            </w:r>
          </w:p>
        </w:tc>
      </w:tr>
      <w:tr w14:paraId="2CE4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7710C7">
            <w:pPr>
              <w:rPr>
                <w:rFonts w:hint="eastAsia" w:ascii="宋体" w:hAnsi="宋体" w:eastAsia="宋体" w:cs="宋体"/>
                <w:color w:val="auto"/>
                <w:sz w:val="20"/>
                <w:szCs w:val="20"/>
                <w:highlight w:val="none"/>
              </w:rPr>
            </w:pPr>
          </w:p>
        </w:tc>
        <w:tc>
          <w:tcPr>
            <w:tcW w:w="8569" w:type="dxa"/>
          </w:tcPr>
          <w:p w14:paraId="3ADFF481">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基本设置定期计划内容：包括计划名称、质控类型、检查小组、任命小组长和检查成员、可灵活设置检查权限和检查时段、检查重点等内容公布；</w:t>
            </w:r>
          </w:p>
        </w:tc>
      </w:tr>
      <w:tr w14:paraId="1EC9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018DD1">
            <w:pPr>
              <w:rPr>
                <w:rFonts w:hint="eastAsia" w:ascii="宋体" w:hAnsi="宋体" w:eastAsia="宋体" w:cs="宋体"/>
                <w:color w:val="auto"/>
                <w:sz w:val="20"/>
                <w:szCs w:val="20"/>
                <w:highlight w:val="none"/>
              </w:rPr>
            </w:pPr>
          </w:p>
        </w:tc>
        <w:tc>
          <w:tcPr>
            <w:tcW w:w="8569" w:type="dxa"/>
          </w:tcPr>
          <w:p w14:paraId="45618C9A">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设置检查表：可选择本次计划中需要使用的检查表，并支持查询，调用历史检查表和在本次检查表上直接进行修改，也可以直接新建保存检查表；</w:t>
            </w:r>
          </w:p>
        </w:tc>
      </w:tr>
      <w:tr w14:paraId="69A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1306EB">
            <w:pPr>
              <w:rPr>
                <w:rFonts w:hint="eastAsia" w:ascii="宋体" w:hAnsi="宋体" w:eastAsia="宋体" w:cs="宋体"/>
                <w:color w:val="auto"/>
                <w:sz w:val="20"/>
                <w:szCs w:val="20"/>
                <w:highlight w:val="none"/>
              </w:rPr>
            </w:pPr>
          </w:p>
        </w:tc>
        <w:tc>
          <w:tcPr>
            <w:tcW w:w="8569" w:type="dxa"/>
          </w:tcPr>
          <w:p w14:paraId="7E85D7B1">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复查问题：通过按问题复查范围和按问题复查模式以及快捷计划等信息进行查询，快速定位选择需要复查的问题，可和本次计划一起进行检查；</w:t>
            </w:r>
          </w:p>
        </w:tc>
      </w:tr>
      <w:tr w14:paraId="33C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915104">
            <w:pPr>
              <w:rPr>
                <w:rFonts w:hint="eastAsia" w:ascii="宋体" w:hAnsi="宋体" w:eastAsia="宋体" w:cs="宋体"/>
                <w:color w:val="auto"/>
                <w:sz w:val="20"/>
                <w:szCs w:val="20"/>
                <w:highlight w:val="none"/>
              </w:rPr>
            </w:pPr>
          </w:p>
        </w:tc>
        <w:tc>
          <w:tcPr>
            <w:tcW w:w="8569" w:type="dxa"/>
          </w:tcPr>
          <w:p w14:paraId="3E8B8CA3">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检查科室设置：支持科室批量选择、父级科室有效、隐藏上次检查科室、项目分值设置、是固定科室还是随机抽取检查科室等人性化功能；</w:t>
            </w:r>
          </w:p>
        </w:tc>
      </w:tr>
      <w:tr w14:paraId="50D0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2BE567A">
            <w:pPr>
              <w:rPr>
                <w:rFonts w:hint="eastAsia" w:ascii="宋体" w:hAnsi="宋体" w:eastAsia="宋体" w:cs="宋体"/>
                <w:color w:val="auto"/>
                <w:sz w:val="20"/>
                <w:szCs w:val="20"/>
                <w:highlight w:val="none"/>
              </w:rPr>
            </w:pPr>
          </w:p>
        </w:tc>
        <w:tc>
          <w:tcPr>
            <w:tcW w:w="8569" w:type="dxa"/>
          </w:tcPr>
          <w:p w14:paraId="1D60FC84">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可查看历史台账，除了自动定期执行计划后，也可以手动执行计划；</w:t>
            </w:r>
          </w:p>
        </w:tc>
      </w:tr>
      <w:tr w14:paraId="1901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7AFDFEC">
            <w:pPr>
              <w:rPr>
                <w:rFonts w:hint="eastAsia" w:ascii="宋体" w:hAnsi="宋体" w:eastAsia="宋体" w:cs="宋体"/>
                <w:color w:val="auto"/>
                <w:sz w:val="20"/>
                <w:szCs w:val="20"/>
                <w:highlight w:val="none"/>
              </w:rPr>
            </w:pPr>
          </w:p>
        </w:tc>
        <w:tc>
          <w:tcPr>
            <w:tcW w:w="8569" w:type="dxa"/>
          </w:tcPr>
          <w:p w14:paraId="1DBCBFF6">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提供所有计划执行日志，可进行查询跟踪。</w:t>
            </w:r>
          </w:p>
        </w:tc>
      </w:tr>
      <w:tr w14:paraId="17CC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6FD20A">
            <w:pPr>
              <w:rPr>
                <w:rFonts w:hint="eastAsia" w:ascii="宋体" w:hAnsi="宋体" w:eastAsia="宋体" w:cs="宋体"/>
                <w:color w:val="auto"/>
                <w:sz w:val="20"/>
                <w:szCs w:val="20"/>
                <w:highlight w:val="none"/>
              </w:rPr>
            </w:pPr>
          </w:p>
        </w:tc>
        <w:tc>
          <w:tcPr>
            <w:tcW w:w="8569" w:type="dxa"/>
          </w:tcPr>
          <w:p w14:paraId="0CFF2674">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质控检查</w:t>
            </w:r>
          </w:p>
        </w:tc>
      </w:tr>
      <w:tr w14:paraId="4C70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7D624CF">
            <w:pPr>
              <w:rPr>
                <w:rFonts w:hint="eastAsia" w:ascii="宋体" w:hAnsi="宋体" w:eastAsia="宋体" w:cs="宋体"/>
                <w:color w:val="auto"/>
                <w:sz w:val="20"/>
                <w:szCs w:val="20"/>
                <w:highlight w:val="none"/>
              </w:rPr>
            </w:pPr>
          </w:p>
        </w:tc>
        <w:tc>
          <w:tcPr>
            <w:tcW w:w="8569" w:type="dxa"/>
          </w:tcPr>
          <w:p w14:paraId="4AA4E1AD">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支持在PC端和APP都可以接受检查计划任务，并可以进行对应科室的检查填写；</w:t>
            </w:r>
          </w:p>
        </w:tc>
      </w:tr>
      <w:tr w14:paraId="1E5F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C17865">
            <w:pPr>
              <w:rPr>
                <w:rFonts w:hint="eastAsia" w:ascii="宋体" w:hAnsi="宋体" w:eastAsia="宋体" w:cs="宋体"/>
                <w:color w:val="auto"/>
                <w:sz w:val="20"/>
                <w:szCs w:val="20"/>
                <w:highlight w:val="none"/>
              </w:rPr>
            </w:pPr>
          </w:p>
        </w:tc>
        <w:tc>
          <w:tcPr>
            <w:tcW w:w="8569" w:type="dxa"/>
          </w:tcPr>
          <w:p w14:paraId="29F1DFE3">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在检查过程中，可上传问题图片和是否需要显示检查人、是否需要指定责任人等个性化操作；</w:t>
            </w:r>
          </w:p>
        </w:tc>
      </w:tr>
      <w:tr w14:paraId="373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C8FB4F">
            <w:pPr>
              <w:rPr>
                <w:rFonts w:hint="eastAsia" w:ascii="宋体" w:hAnsi="宋体" w:eastAsia="宋体" w:cs="宋体"/>
                <w:color w:val="auto"/>
                <w:sz w:val="20"/>
                <w:szCs w:val="20"/>
                <w:highlight w:val="none"/>
              </w:rPr>
            </w:pPr>
          </w:p>
        </w:tc>
        <w:tc>
          <w:tcPr>
            <w:tcW w:w="8569" w:type="dxa"/>
          </w:tcPr>
          <w:p w14:paraId="22972C36">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提供质控检查记录台账，并可分权限进行查询。</w:t>
            </w:r>
          </w:p>
        </w:tc>
      </w:tr>
      <w:tr w14:paraId="3F0D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815004">
            <w:pPr>
              <w:rPr>
                <w:rFonts w:hint="eastAsia" w:ascii="宋体" w:hAnsi="宋体" w:eastAsia="宋体" w:cs="宋体"/>
                <w:color w:val="auto"/>
                <w:sz w:val="20"/>
                <w:szCs w:val="20"/>
                <w:highlight w:val="none"/>
              </w:rPr>
            </w:pPr>
          </w:p>
        </w:tc>
        <w:tc>
          <w:tcPr>
            <w:tcW w:w="8569" w:type="dxa"/>
          </w:tcPr>
          <w:p w14:paraId="6C976012">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支持快捷选择检查计划，统计问题合计、未完成、未涉及、已完成、复查问题、未解决、已解决、达标率、待整改、待追踪；</w:t>
            </w:r>
          </w:p>
        </w:tc>
      </w:tr>
      <w:tr w14:paraId="3F40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3F3940">
            <w:pPr>
              <w:rPr>
                <w:rFonts w:hint="eastAsia" w:ascii="宋体" w:hAnsi="宋体" w:eastAsia="宋体" w:cs="宋体"/>
                <w:color w:val="auto"/>
                <w:sz w:val="20"/>
                <w:szCs w:val="20"/>
                <w:highlight w:val="none"/>
              </w:rPr>
            </w:pPr>
          </w:p>
        </w:tc>
        <w:tc>
          <w:tcPr>
            <w:tcW w:w="8569" w:type="dxa"/>
          </w:tcPr>
          <w:p w14:paraId="27474582">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提供科室问题TOP10、完成情况比率、关键字词云、科室问题统计表、并支持统计分析图和统计报表的下载。</w:t>
            </w:r>
          </w:p>
        </w:tc>
      </w:tr>
      <w:tr w14:paraId="4C83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510520">
            <w:pPr>
              <w:rPr>
                <w:rFonts w:hint="eastAsia" w:ascii="宋体" w:hAnsi="宋体" w:eastAsia="宋体" w:cs="宋体"/>
                <w:color w:val="auto"/>
                <w:sz w:val="20"/>
                <w:szCs w:val="20"/>
                <w:highlight w:val="none"/>
              </w:rPr>
            </w:pPr>
          </w:p>
        </w:tc>
        <w:tc>
          <w:tcPr>
            <w:tcW w:w="8569" w:type="dxa"/>
          </w:tcPr>
          <w:p w14:paraId="4A9F287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可查看到所有质控检查计划和分析总结的情况；</w:t>
            </w:r>
          </w:p>
        </w:tc>
      </w:tr>
      <w:tr w14:paraId="626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791FB0F">
            <w:pPr>
              <w:rPr>
                <w:rFonts w:hint="eastAsia" w:ascii="宋体" w:hAnsi="宋体" w:eastAsia="宋体" w:cs="宋体"/>
                <w:color w:val="auto"/>
                <w:sz w:val="20"/>
                <w:szCs w:val="20"/>
                <w:highlight w:val="none"/>
              </w:rPr>
            </w:pPr>
          </w:p>
        </w:tc>
        <w:tc>
          <w:tcPr>
            <w:tcW w:w="8569" w:type="dxa"/>
          </w:tcPr>
          <w:p w14:paraId="5FBE8BAB">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整改处理</w:t>
            </w:r>
          </w:p>
        </w:tc>
      </w:tr>
      <w:tr w14:paraId="3E12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21E0EC">
            <w:pPr>
              <w:rPr>
                <w:rFonts w:hint="eastAsia" w:ascii="宋体" w:hAnsi="宋体" w:eastAsia="宋体" w:cs="宋体"/>
                <w:color w:val="auto"/>
                <w:sz w:val="20"/>
                <w:szCs w:val="20"/>
                <w:highlight w:val="none"/>
              </w:rPr>
            </w:pPr>
          </w:p>
        </w:tc>
        <w:tc>
          <w:tcPr>
            <w:tcW w:w="8569" w:type="dxa"/>
          </w:tcPr>
          <w:p w14:paraId="63098DC2">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可处理质控整改操作，指派整改人后，整改人可以在自己的界面进行，对应质控计划问题回复整改措施，记录整改人和整改时间等信息；</w:t>
            </w:r>
          </w:p>
        </w:tc>
      </w:tr>
      <w:tr w14:paraId="6CFF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785065">
            <w:pPr>
              <w:rPr>
                <w:rFonts w:hint="eastAsia" w:ascii="宋体" w:hAnsi="宋体" w:eastAsia="宋体" w:cs="宋体"/>
                <w:color w:val="auto"/>
                <w:sz w:val="20"/>
                <w:szCs w:val="20"/>
                <w:highlight w:val="none"/>
              </w:rPr>
            </w:pPr>
          </w:p>
        </w:tc>
        <w:tc>
          <w:tcPr>
            <w:tcW w:w="8569" w:type="dxa"/>
          </w:tcPr>
          <w:p w14:paraId="6C5984D6">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界面人性化，通过待整改、已整改、科室问题进行分类，让界面条理更清楚；</w:t>
            </w:r>
          </w:p>
        </w:tc>
      </w:tr>
      <w:tr w14:paraId="0BFF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61E188D">
            <w:pPr>
              <w:rPr>
                <w:rFonts w:hint="eastAsia" w:ascii="宋体" w:hAnsi="宋体" w:eastAsia="宋体" w:cs="宋体"/>
                <w:color w:val="auto"/>
                <w:sz w:val="20"/>
                <w:szCs w:val="20"/>
                <w:highlight w:val="none"/>
              </w:rPr>
            </w:pPr>
          </w:p>
        </w:tc>
        <w:tc>
          <w:tcPr>
            <w:tcW w:w="8569" w:type="dxa"/>
          </w:tcPr>
          <w:p w14:paraId="4EE3BACE">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可自定义在整改台账中进行显示责任人层级、快速选择查询、导出打印等功能。</w:t>
            </w:r>
          </w:p>
        </w:tc>
      </w:tr>
      <w:tr w14:paraId="7DE3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57DAF6">
            <w:pPr>
              <w:rPr>
                <w:rFonts w:hint="eastAsia" w:ascii="宋体" w:hAnsi="宋体" w:eastAsia="宋体" w:cs="宋体"/>
                <w:color w:val="auto"/>
                <w:sz w:val="20"/>
                <w:szCs w:val="20"/>
                <w:highlight w:val="none"/>
              </w:rPr>
            </w:pPr>
          </w:p>
        </w:tc>
        <w:tc>
          <w:tcPr>
            <w:tcW w:w="8569" w:type="dxa"/>
          </w:tcPr>
          <w:p w14:paraId="551E7DFF">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追踪老师可在此界面进行所有已整改问题的整改情况并进行追踪，并可上传追踪照片，PC端和APP都可进行追踪操作；</w:t>
            </w:r>
          </w:p>
        </w:tc>
      </w:tr>
      <w:tr w14:paraId="268F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262EF24">
            <w:pPr>
              <w:rPr>
                <w:rFonts w:hint="eastAsia" w:ascii="宋体" w:hAnsi="宋体" w:eastAsia="宋体" w:cs="宋体"/>
                <w:color w:val="auto"/>
                <w:sz w:val="20"/>
                <w:szCs w:val="20"/>
                <w:highlight w:val="none"/>
              </w:rPr>
            </w:pPr>
          </w:p>
        </w:tc>
        <w:tc>
          <w:tcPr>
            <w:tcW w:w="8569" w:type="dxa"/>
          </w:tcPr>
          <w:p w14:paraId="21DA5962">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界面人性化，通过待追踪、已追踪进行分类，让界面条理更清楚；</w:t>
            </w:r>
          </w:p>
        </w:tc>
      </w:tr>
      <w:tr w14:paraId="78E8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0060214">
            <w:pPr>
              <w:rPr>
                <w:rFonts w:hint="eastAsia" w:ascii="宋体" w:hAnsi="宋体" w:eastAsia="宋体" w:cs="宋体"/>
                <w:color w:val="auto"/>
                <w:sz w:val="20"/>
                <w:szCs w:val="20"/>
                <w:highlight w:val="none"/>
              </w:rPr>
            </w:pPr>
          </w:p>
        </w:tc>
        <w:tc>
          <w:tcPr>
            <w:tcW w:w="8569" w:type="dxa"/>
          </w:tcPr>
          <w:p w14:paraId="2E0B62F9">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可自定义在追踪台账中进行显示责任人层级、快速选择查询、导出打印等功能。</w:t>
            </w:r>
          </w:p>
        </w:tc>
      </w:tr>
      <w:tr w14:paraId="0482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EF05AF">
            <w:pPr>
              <w:rPr>
                <w:rFonts w:hint="eastAsia" w:ascii="宋体" w:hAnsi="宋体" w:eastAsia="宋体" w:cs="宋体"/>
                <w:color w:val="auto"/>
                <w:sz w:val="20"/>
                <w:szCs w:val="20"/>
                <w:highlight w:val="none"/>
              </w:rPr>
            </w:pPr>
          </w:p>
        </w:tc>
        <w:tc>
          <w:tcPr>
            <w:tcW w:w="8569" w:type="dxa"/>
          </w:tcPr>
          <w:p w14:paraId="63A39153">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质量分析</w:t>
            </w:r>
          </w:p>
        </w:tc>
      </w:tr>
      <w:tr w14:paraId="5339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84C561">
            <w:pPr>
              <w:rPr>
                <w:rFonts w:hint="eastAsia" w:ascii="宋体" w:hAnsi="宋体" w:eastAsia="宋体" w:cs="宋体"/>
                <w:color w:val="auto"/>
                <w:sz w:val="20"/>
                <w:szCs w:val="20"/>
                <w:highlight w:val="none"/>
              </w:rPr>
            </w:pPr>
          </w:p>
        </w:tc>
        <w:tc>
          <w:tcPr>
            <w:tcW w:w="8569" w:type="dxa"/>
          </w:tcPr>
          <w:p w14:paraId="33FE44D7">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汇总明细：提供（院级）质控问题个数分析统计表、（院级）各指标问题平均个数，以及各科室各项问题个数汇总列表，并支持打印导出；</w:t>
            </w:r>
          </w:p>
        </w:tc>
      </w:tr>
      <w:tr w14:paraId="23EC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31A2AA2">
            <w:pPr>
              <w:rPr>
                <w:rFonts w:hint="eastAsia" w:ascii="宋体" w:hAnsi="宋体" w:eastAsia="宋体" w:cs="宋体"/>
                <w:color w:val="auto"/>
                <w:sz w:val="20"/>
                <w:szCs w:val="20"/>
                <w:highlight w:val="none"/>
              </w:rPr>
            </w:pPr>
          </w:p>
        </w:tc>
        <w:tc>
          <w:tcPr>
            <w:tcW w:w="8569" w:type="dxa"/>
          </w:tcPr>
          <w:p w14:paraId="6DFC084D">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质控问题柏拉图：提供（院级）质控评价问题个数分析统计表、检查内容和对应发生次数、当前百分比、累计百分比、发生科室统计，并支持打印导出；</w:t>
            </w:r>
          </w:p>
        </w:tc>
      </w:tr>
      <w:tr w14:paraId="5F80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887898C">
            <w:pPr>
              <w:rPr>
                <w:rFonts w:hint="eastAsia" w:ascii="宋体" w:hAnsi="宋体" w:eastAsia="宋体" w:cs="宋体"/>
                <w:color w:val="auto"/>
                <w:sz w:val="20"/>
                <w:szCs w:val="20"/>
                <w:highlight w:val="none"/>
              </w:rPr>
            </w:pPr>
          </w:p>
        </w:tc>
        <w:tc>
          <w:tcPr>
            <w:tcW w:w="8569" w:type="dxa"/>
          </w:tcPr>
          <w:p w14:paraId="79C7746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季度环比分析：提供年度文书问题个数分析图、可统计各科室、每季度和全度问题个数，并支持打印导出；</w:t>
            </w:r>
          </w:p>
        </w:tc>
      </w:tr>
      <w:tr w14:paraId="099D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964BCEA">
            <w:pPr>
              <w:rPr>
                <w:rFonts w:hint="eastAsia" w:ascii="宋体" w:hAnsi="宋体" w:eastAsia="宋体" w:cs="宋体"/>
                <w:color w:val="auto"/>
                <w:sz w:val="20"/>
                <w:szCs w:val="20"/>
                <w:highlight w:val="none"/>
              </w:rPr>
            </w:pPr>
          </w:p>
        </w:tc>
        <w:tc>
          <w:tcPr>
            <w:tcW w:w="8569" w:type="dxa"/>
          </w:tcPr>
          <w:p w14:paraId="1F242EAD">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年度汇总分析：提供（院级）质控评价问题个数分析统计表、可统计指标名称和每季度与每年度问题个数，并支持打印导出；</w:t>
            </w:r>
          </w:p>
        </w:tc>
      </w:tr>
      <w:tr w14:paraId="7962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CAAD10E">
            <w:pPr>
              <w:rPr>
                <w:rFonts w:hint="eastAsia" w:ascii="宋体" w:hAnsi="宋体" w:eastAsia="宋体" w:cs="宋体"/>
                <w:color w:val="auto"/>
                <w:sz w:val="20"/>
                <w:szCs w:val="20"/>
                <w:highlight w:val="none"/>
              </w:rPr>
            </w:pPr>
          </w:p>
        </w:tc>
        <w:tc>
          <w:tcPr>
            <w:tcW w:w="8569" w:type="dxa"/>
          </w:tcPr>
          <w:p w14:paraId="70F6B6F9">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院级督查汇总：提供年度各指标院级督查问题个数分析图，可统计每个项目院级问题个数警戒值个数和院级问题个数，并支持打印导出。</w:t>
            </w:r>
          </w:p>
        </w:tc>
      </w:tr>
      <w:tr w14:paraId="3C76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B9B8F3">
            <w:pPr>
              <w:rPr>
                <w:rFonts w:hint="eastAsia" w:ascii="宋体" w:hAnsi="宋体" w:eastAsia="宋体" w:cs="宋体"/>
                <w:color w:val="auto"/>
                <w:sz w:val="20"/>
                <w:szCs w:val="20"/>
                <w:highlight w:val="none"/>
              </w:rPr>
            </w:pPr>
          </w:p>
        </w:tc>
        <w:tc>
          <w:tcPr>
            <w:tcW w:w="8569" w:type="dxa"/>
          </w:tcPr>
          <w:p w14:paraId="76276491">
            <w:pPr>
              <w:widowControl/>
              <w:textAlignment w:val="top"/>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质量检查得分趋势分析：对一个、多个科室的一次、多次质量检查得分情况绘制趋势图和趋势表，提供折线图形式；</w:t>
            </w:r>
          </w:p>
        </w:tc>
      </w:tr>
      <w:tr w14:paraId="2FE8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4CF8DBC">
            <w:pPr>
              <w:rPr>
                <w:rFonts w:hint="eastAsia" w:ascii="宋体" w:hAnsi="宋体" w:eastAsia="宋体" w:cs="宋体"/>
                <w:color w:val="auto"/>
                <w:sz w:val="20"/>
                <w:szCs w:val="20"/>
                <w:highlight w:val="none"/>
              </w:rPr>
            </w:pPr>
          </w:p>
        </w:tc>
        <w:tc>
          <w:tcPr>
            <w:tcW w:w="8569" w:type="dxa"/>
          </w:tcPr>
          <w:p w14:paraId="1BEBFBC3">
            <w:pPr>
              <w:widowControl/>
              <w:textAlignment w:val="top"/>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质量检查得分对比分析：统计检查内容在多个时间维度上的得分情况对比分析；</w:t>
            </w:r>
          </w:p>
        </w:tc>
      </w:tr>
      <w:tr w14:paraId="5AC4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2A60F2">
            <w:pPr>
              <w:rPr>
                <w:rFonts w:hint="eastAsia" w:ascii="宋体" w:hAnsi="宋体" w:eastAsia="宋体" w:cs="宋体"/>
                <w:color w:val="auto"/>
                <w:sz w:val="20"/>
                <w:szCs w:val="20"/>
                <w:highlight w:val="none"/>
              </w:rPr>
            </w:pPr>
          </w:p>
        </w:tc>
        <w:tc>
          <w:tcPr>
            <w:tcW w:w="8569" w:type="dxa"/>
          </w:tcPr>
          <w:p w14:paraId="1B2FE28A">
            <w:pPr>
              <w:widowControl/>
              <w:textAlignment w:val="top"/>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质量检查问题分析：频发问题统计，可以根据系列、检查内容、质控级别等进行过滤，提供柏拉图、柱状图、折线图分析形式；</w:t>
            </w:r>
          </w:p>
        </w:tc>
      </w:tr>
      <w:tr w14:paraId="6586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0F87AF">
            <w:pPr>
              <w:rPr>
                <w:rFonts w:hint="eastAsia" w:ascii="宋体" w:hAnsi="宋体" w:eastAsia="宋体" w:cs="宋体"/>
                <w:color w:val="auto"/>
                <w:sz w:val="20"/>
                <w:szCs w:val="20"/>
                <w:highlight w:val="none"/>
              </w:rPr>
            </w:pPr>
          </w:p>
        </w:tc>
        <w:tc>
          <w:tcPr>
            <w:tcW w:w="8569" w:type="dxa"/>
          </w:tcPr>
          <w:p w14:paraId="0930F17F">
            <w:pPr>
              <w:widowControl/>
              <w:textAlignment w:val="top"/>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质量检查问题对比分析：频发问题/频发问题检查内容在时间维度上的对比分析；</w:t>
            </w:r>
          </w:p>
        </w:tc>
      </w:tr>
      <w:tr w14:paraId="2E98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3CEBE7">
            <w:pPr>
              <w:rPr>
                <w:rFonts w:hint="eastAsia" w:ascii="宋体" w:hAnsi="宋体" w:eastAsia="宋体" w:cs="宋体"/>
                <w:color w:val="auto"/>
                <w:sz w:val="20"/>
                <w:szCs w:val="20"/>
                <w:highlight w:val="none"/>
              </w:rPr>
            </w:pPr>
          </w:p>
        </w:tc>
        <w:tc>
          <w:tcPr>
            <w:tcW w:w="8569" w:type="dxa"/>
          </w:tcPr>
          <w:p w14:paraId="47A9C010">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质量检查反馈表：记录每次检查的得分、问题、整改情况，可根据护理单元、检查内容、质控级别等进行过滤；</w:t>
            </w:r>
          </w:p>
        </w:tc>
      </w:tr>
      <w:tr w14:paraId="115C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C01F2E">
            <w:pPr>
              <w:rPr>
                <w:rFonts w:hint="eastAsia" w:ascii="宋体" w:hAnsi="宋体" w:eastAsia="宋体" w:cs="宋体"/>
                <w:color w:val="auto"/>
                <w:sz w:val="20"/>
                <w:szCs w:val="20"/>
                <w:highlight w:val="none"/>
              </w:rPr>
            </w:pPr>
          </w:p>
        </w:tc>
        <w:tc>
          <w:tcPr>
            <w:tcW w:w="8569" w:type="dxa"/>
          </w:tcPr>
          <w:p w14:paraId="4FE2E439">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院级计划汇总</w:t>
            </w:r>
          </w:p>
        </w:tc>
      </w:tr>
      <w:tr w14:paraId="37E9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EE2D00">
            <w:pPr>
              <w:rPr>
                <w:rFonts w:hint="eastAsia" w:ascii="宋体" w:hAnsi="宋体" w:eastAsia="宋体" w:cs="宋体"/>
                <w:color w:val="auto"/>
                <w:sz w:val="20"/>
                <w:szCs w:val="20"/>
                <w:highlight w:val="none"/>
              </w:rPr>
            </w:pPr>
          </w:p>
        </w:tc>
        <w:tc>
          <w:tcPr>
            <w:tcW w:w="8569" w:type="dxa"/>
          </w:tcPr>
          <w:p w14:paraId="2C57EB3A">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问题个数排名：提供问题个数排名和问题明细统计，并支持打印导出；</w:t>
            </w:r>
          </w:p>
        </w:tc>
      </w:tr>
      <w:tr w14:paraId="626B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86F003E">
            <w:pPr>
              <w:rPr>
                <w:rFonts w:hint="eastAsia" w:ascii="宋体" w:hAnsi="宋体" w:eastAsia="宋体" w:cs="宋体"/>
                <w:color w:val="auto"/>
                <w:sz w:val="20"/>
                <w:szCs w:val="20"/>
                <w:highlight w:val="none"/>
              </w:rPr>
            </w:pPr>
          </w:p>
        </w:tc>
        <w:tc>
          <w:tcPr>
            <w:tcW w:w="8569" w:type="dxa"/>
          </w:tcPr>
          <w:p w14:paraId="22A291EA">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严重程度分析：提供严重程度分析图和严重程度明细报表，并支持打印导出；</w:t>
            </w:r>
          </w:p>
        </w:tc>
      </w:tr>
      <w:tr w14:paraId="4728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612CAE3">
            <w:pPr>
              <w:rPr>
                <w:rFonts w:hint="eastAsia" w:ascii="宋体" w:hAnsi="宋体" w:eastAsia="宋体" w:cs="宋体"/>
                <w:color w:val="auto"/>
                <w:sz w:val="20"/>
                <w:szCs w:val="20"/>
                <w:highlight w:val="none"/>
              </w:rPr>
            </w:pPr>
          </w:p>
        </w:tc>
        <w:tc>
          <w:tcPr>
            <w:tcW w:w="8569" w:type="dxa"/>
          </w:tcPr>
          <w:p w14:paraId="1B89C250">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检查项目排名：提供检查项目排名分析图和检查项目明细情况统计表，并支持打印导出；</w:t>
            </w:r>
          </w:p>
        </w:tc>
      </w:tr>
      <w:tr w14:paraId="39F2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289E18">
            <w:pPr>
              <w:rPr>
                <w:rFonts w:hint="eastAsia" w:ascii="宋体" w:hAnsi="宋体" w:eastAsia="宋体" w:cs="宋体"/>
                <w:color w:val="auto"/>
                <w:sz w:val="20"/>
                <w:szCs w:val="20"/>
                <w:highlight w:val="none"/>
              </w:rPr>
            </w:pPr>
          </w:p>
        </w:tc>
        <w:tc>
          <w:tcPr>
            <w:tcW w:w="8569" w:type="dxa"/>
            <w:vAlign w:val="center"/>
          </w:tcPr>
          <w:p w14:paraId="58F680A3">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查检项目：系统支持查检项目设置，包括是否启用、项目级别（院级、科室及院科两级）、项目范围（公共项目和私有项目）、项目分类、项目全称、项目名称以及项目适用类型等。</w:t>
            </w:r>
          </w:p>
        </w:tc>
      </w:tr>
      <w:tr w14:paraId="4B72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E884F83">
            <w:pPr>
              <w:rPr>
                <w:rFonts w:hint="eastAsia" w:ascii="宋体" w:hAnsi="宋体" w:eastAsia="宋体" w:cs="宋体"/>
                <w:color w:val="auto"/>
                <w:sz w:val="20"/>
                <w:szCs w:val="20"/>
                <w:highlight w:val="none"/>
              </w:rPr>
            </w:pPr>
          </w:p>
        </w:tc>
        <w:tc>
          <w:tcPr>
            <w:tcW w:w="8569" w:type="dxa"/>
            <w:vAlign w:val="center"/>
          </w:tcPr>
          <w:p w14:paraId="58AB565C">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 xml:space="preserve">查检项目子项：系统支持查检项目子项设置，包括内容编号、查检内容、是否一票否决、分值等。   </w:t>
            </w:r>
          </w:p>
        </w:tc>
      </w:tr>
      <w:tr w14:paraId="3255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751FB6">
            <w:pPr>
              <w:rPr>
                <w:rFonts w:hint="eastAsia" w:ascii="宋体" w:hAnsi="宋体" w:eastAsia="宋体" w:cs="宋体"/>
                <w:color w:val="auto"/>
                <w:sz w:val="20"/>
                <w:szCs w:val="20"/>
                <w:highlight w:val="none"/>
              </w:rPr>
            </w:pPr>
          </w:p>
        </w:tc>
        <w:tc>
          <w:tcPr>
            <w:tcW w:w="8569" w:type="dxa"/>
            <w:vAlign w:val="center"/>
          </w:tcPr>
          <w:p w14:paraId="44A01715">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查检项目导入：</w:t>
            </w:r>
            <w:r>
              <w:rPr>
                <w:rStyle w:val="31"/>
                <w:rFonts w:hint="eastAsia" w:ascii="宋体" w:hAnsi="宋体" w:eastAsia="宋体" w:cs="宋体"/>
                <w:color w:val="auto"/>
                <w:sz w:val="20"/>
                <w:szCs w:val="20"/>
                <w:highlight w:val="none"/>
                <w:lang w:bidi="ar"/>
              </w:rPr>
              <w:t>系统支持通过EXCEL导入查检项目及查检项目子项，导入的项目内容至少包含项目编</w:t>
            </w:r>
            <w:r>
              <w:rPr>
                <w:rStyle w:val="28"/>
                <w:rFonts w:hint="eastAsia" w:ascii="宋体" w:hAnsi="宋体" w:eastAsia="宋体" w:cs="宋体"/>
                <w:color w:val="auto"/>
                <w:sz w:val="20"/>
                <w:szCs w:val="20"/>
                <w:highlight w:val="none"/>
                <w:lang w:bidi="ar"/>
              </w:rPr>
              <w:t>号、项目类别、项目名称、内容编号、内容名称、内容分值及一票否决等。用户可以根据业务需要，灵活设计各类督导单。</w:t>
            </w:r>
          </w:p>
        </w:tc>
      </w:tr>
      <w:tr w14:paraId="510E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028679">
            <w:pPr>
              <w:rPr>
                <w:rFonts w:hint="eastAsia" w:ascii="宋体" w:hAnsi="宋体" w:eastAsia="宋体" w:cs="宋体"/>
                <w:color w:val="auto"/>
                <w:sz w:val="20"/>
                <w:szCs w:val="20"/>
                <w:highlight w:val="none"/>
              </w:rPr>
            </w:pPr>
          </w:p>
        </w:tc>
        <w:tc>
          <w:tcPr>
            <w:tcW w:w="8569" w:type="dxa"/>
            <w:vAlign w:val="center"/>
          </w:tcPr>
          <w:p w14:paraId="29CEB476">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 xml:space="preserve">查检方案管理：系统支持设置查检方案的设置，包括方案名称，项目分类、检查级别（院级和科级）、查检频率、查检类型、查检组、责任人及成员；查检方案可以引用查检项目；查检方案可以设置被查检对象，每一个被查检对象可以设置组长及成员；查检方案可以设置考核目标；查检方案可以一键生成查检任务，生成的查检任务应包括院级督导及科室自查两个部门。   </w:t>
            </w:r>
          </w:p>
        </w:tc>
      </w:tr>
      <w:tr w14:paraId="6BC5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3AB1F9">
            <w:pPr>
              <w:rPr>
                <w:rFonts w:hint="eastAsia" w:ascii="宋体" w:hAnsi="宋体" w:eastAsia="宋体" w:cs="宋体"/>
                <w:color w:val="auto"/>
                <w:sz w:val="20"/>
                <w:szCs w:val="20"/>
                <w:highlight w:val="none"/>
              </w:rPr>
            </w:pPr>
          </w:p>
        </w:tc>
        <w:tc>
          <w:tcPr>
            <w:tcW w:w="8569" w:type="dxa"/>
            <w:vAlign w:val="center"/>
          </w:tcPr>
          <w:p w14:paraId="3EC86C79">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科室查检表：系统可以通过表格、日历或看板的样式显示查检任务；查检任务老师可以通过手机H5、APP或平板等多种方式进行查检评分及评价、对于有问题的项目，可以通过手机进行拍照，所拍照片可以支持水印（包括时间戳、地理位置及经纬度等信息）；系统支持根据项目的打分自动计算总分以及汇总所有问题清单；系统支持将查检任务进行审批，被查检科室可以根据查检</w:t>
            </w:r>
            <w:r>
              <w:rPr>
                <w:rStyle w:val="28"/>
                <w:rFonts w:hint="eastAsia" w:ascii="宋体" w:hAnsi="宋体" w:eastAsia="宋体" w:cs="宋体"/>
                <w:color w:val="auto"/>
                <w:sz w:val="20"/>
                <w:szCs w:val="20"/>
                <w:highlight w:val="none"/>
                <w:lang w:bidi="ar"/>
              </w:rPr>
              <w:t>情况进行整改。</w:t>
            </w:r>
          </w:p>
        </w:tc>
      </w:tr>
      <w:tr w14:paraId="6AC4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FCB5E82">
            <w:pPr>
              <w:rPr>
                <w:rFonts w:hint="eastAsia" w:ascii="宋体" w:hAnsi="宋体" w:eastAsia="宋体" w:cs="宋体"/>
                <w:color w:val="auto"/>
                <w:sz w:val="20"/>
                <w:szCs w:val="20"/>
                <w:highlight w:val="none"/>
              </w:rPr>
            </w:pPr>
          </w:p>
        </w:tc>
        <w:tc>
          <w:tcPr>
            <w:tcW w:w="8569" w:type="dxa"/>
          </w:tcPr>
          <w:p w14:paraId="34A93B0C">
            <w:pPr>
              <w:widowControl/>
              <w:textAlignment w:val="top"/>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 xml:space="preserve">工作台：工作台显示当前用户相关的查检任务进展情况。每个账号分配的角色不同，则每个账号登录系统后进入首页看到的工作台内容是不同的。    </w:t>
            </w:r>
          </w:p>
        </w:tc>
      </w:tr>
      <w:tr w14:paraId="520D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9DDF0E">
            <w:pPr>
              <w:rPr>
                <w:rFonts w:hint="eastAsia" w:ascii="宋体" w:hAnsi="宋体" w:eastAsia="宋体" w:cs="宋体"/>
                <w:color w:val="auto"/>
                <w:sz w:val="20"/>
                <w:szCs w:val="20"/>
                <w:highlight w:val="none"/>
              </w:rPr>
            </w:pPr>
          </w:p>
        </w:tc>
        <w:tc>
          <w:tcPr>
            <w:tcW w:w="8569" w:type="dxa"/>
          </w:tcPr>
          <w:p w14:paraId="2D73A92D">
            <w:pPr>
              <w:widowControl/>
              <w:textAlignment w:val="top"/>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查检结果分析：系统会自动计算分值或者检查项目通过率。支持下钻查看项目明细问题。系统针对查检项目内容提供表格分析、可视化分析两种模式。使用表格模式分析时，用户可自由选择需要查看的组件及顺序，并提供下载功能。 使用可视化模式分析时，通过柱状图、条形图、折线图等可视化样式对各个查检项目的填写结果进行分析、对比。</w:t>
            </w:r>
          </w:p>
        </w:tc>
      </w:tr>
      <w:tr w14:paraId="1B8B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4BFF4A4">
            <w:pPr>
              <w:rPr>
                <w:rFonts w:hint="eastAsia" w:ascii="宋体" w:hAnsi="宋体" w:eastAsia="宋体" w:cs="宋体"/>
                <w:color w:val="auto"/>
                <w:sz w:val="20"/>
                <w:szCs w:val="20"/>
                <w:highlight w:val="none"/>
              </w:rPr>
            </w:pPr>
          </w:p>
        </w:tc>
        <w:tc>
          <w:tcPr>
            <w:tcW w:w="8569" w:type="dxa"/>
            <w:vAlign w:val="center"/>
          </w:tcPr>
          <w:p w14:paraId="22467901">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PDCA整改：管理部门可以选择对查检结果发起 PDCA 整改，支持选择整改任务接受科室与人员，并保存发布 PDCA整改任务。任务发布后触发同步至【任务督导管理】模块功能。支持管理部门实时监测整改科室的整改情况，对整改结果进行监测批注、检查、总结处理。支持在整改记录单中填写问题原因、整改计划、实施措施等内容，上传整改过程收集或生成的佐证材料。对于整改周期较长的任务，用户可以分批填写整改计划与相关措施，填写后进行提交操作，PDCA 整改记录单支持下载存档。可以实时查看各科室的督导单提交情况、科室得分排名情况、督导单内各检查项目的得分情况等。</w:t>
            </w:r>
          </w:p>
        </w:tc>
      </w:tr>
      <w:tr w14:paraId="64AF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4AEA3E">
            <w:pPr>
              <w:rPr>
                <w:rFonts w:hint="eastAsia" w:ascii="宋体" w:hAnsi="宋体" w:eastAsia="宋体" w:cs="宋体"/>
                <w:color w:val="auto"/>
                <w:sz w:val="20"/>
                <w:szCs w:val="20"/>
                <w:highlight w:val="none"/>
              </w:rPr>
            </w:pPr>
          </w:p>
        </w:tc>
        <w:tc>
          <w:tcPr>
            <w:tcW w:w="8569" w:type="dxa"/>
            <w:vAlign w:val="center"/>
          </w:tcPr>
          <w:p w14:paraId="651AD730">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支持审批流程自定义，支持项目结构化自定义导出。系统化后审批结果实时联动更新。</w:t>
            </w:r>
          </w:p>
        </w:tc>
      </w:tr>
      <w:tr w14:paraId="1F07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2B9BE32">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1.6.3</w:t>
            </w:r>
            <w:r>
              <w:rPr>
                <w:rFonts w:hint="eastAsia" w:ascii="宋体" w:hAnsi="宋体" w:eastAsia="宋体" w:cs="宋体"/>
                <w:color w:val="auto"/>
                <w:kern w:val="0"/>
                <w:sz w:val="20"/>
                <w:szCs w:val="20"/>
                <w:highlight w:val="none"/>
                <w:lang w:bidi="ar"/>
              </w:rPr>
              <w:t xml:space="preserve"> 科级质控管理</w:t>
            </w:r>
          </w:p>
        </w:tc>
        <w:tc>
          <w:tcPr>
            <w:tcW w:w="8569" w:type="dxa"/>
          </w:tcPr>
          <w:p w14:paraId="2EFCA0F6">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6"/>
                <w:rFonts w:hint="eastAsia" w:ascii="宋体" w:hAnsi="宋体" w:eastAsia="宋体" w:cs="宋体"/>
                <w:b/>
                <w:bCs/>
                <w:color w:val="auto"/>
                <w:sz w:val="20"/>
                <w:szCs w:val="20"/>
                <w:highlight w:val="none"/>
                <w:lang w:bidi="ar"/>
              </w:rPr>
              <w:t></w:t>
            </w:r>
            <w:r>
              <w:rPr>
                <w:rStyle w:val="27"/>
                <w:rFonts w:hint="eastAsia" w:ascii="宋体" w:hAnsi="宋体" w:eastAsia="宋体" w:cs="宋体"/>
                <w:b/>
                <w:bCs/>
                <w:color w:val="auto"/>
                <w:sz w:val="20"/>
                <w:szCs w:val="20"/>
                <w:highlight w:val="none"/>
                <w:lang w:bidi="ar"/>
              </w:rPr>
              <w:t>科级质控计划</w:t>
            </w:r>
          </w:p>
        </w:tc>
      </w:tr>
      <w:tr w14:paraId="1FC2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0D1343E">
            <w:pPr>
              <w:rPr>
                <w:rFonts w:hint="eastAsia" w:ascii="宋体" w:hAnsi="宋体" w:eastAsia="宋体" w:cs="宋体"/>
                <w:color w:val="auto"/>
                <w:sz w:val="20"/>
                <w:szCs w:val="20"/>
                <w:highlight w:val="none"/>
              </w:rPr>
            </w:pPr>
          </w:p>
        </w:tc>
        <w:tc>
          <w:tcPr>
            <w:tcW w:w="8569" w:type="dxa"/>
          </w:tcPr>
          <w:p w14:paraId="7C81392E">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设置计划：可设置计划名称、计划周期、质控类型、检查小组、任命小组长和检查成员、可灵活设置检查权限和检查时段、检查重点等内容公布；</w:t>
            </w:r>
          </w:p>
        </w:tc>
      </w:tr>
      <w:tr w14:paraId="57E2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5155537">
            <w:pPr>
              <w:rPr>
                <w:rFonts w:hint="eastAsia" w:ascii="宋体" w:hAnsi="宋体" w:eastAsia="宋体" w:cs="宋体"/>
                <w:color w:val="auto"/>
                <w:sz w:val="20"/>
                <w:szCs w:val="20"/>
                <w:highlight w:val="none"/>
              </w:rPr>
            </w:pPr>
          </w:p>
        </w:tc>
        <w:tc>
          <w:tcPr>
            <w:tcW w:w="8569" w:type="dxa"/>
          </w:tcPr>
          <w:p w14:paraId="5FC122B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设置检查表：可选择本次计划中需要使用的检查表，并支持查询，调用历史检查表和在本次检查表上直接进行修改；</w:t>
            </w:r>
          </w:p>
        </w:tc>
      </w:tr>
      <w:tr w14:paraId="2063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93216B1">
            <w:pPr>
              <w:rPr>
                <w:rFonts w:hint="eastAsia" w:ascii="宋体" w:hAnsi="宋体" w:eastAsia="宋体" w:cs="宋体"/>
                <w:color w:val="auto"/>
                <w:sz w:val="20"/>
                <w:szCs w:val="20"/>
                <w:highlight w:val="none"/>
              </w:rPr>
            </w:pPr>
          </w:p>
        </w:tc>
        <w:tc>
          <w:tcPr>
            <w:tcW w:w="8569" w:type="dxa"/>
          </w:tcPr>
          <w:p w14:paraId="0E5E7BEF">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复查问题：通过按问题复查范围和按问题复查模式以及快捷计划等信息进行查询，快速定位选择需要复查的问题，可和本次计划一起进行检查；</w:t>
            </w:r>
          </w:p>
        </w:tc>
      </w:tr>
      <w:tr w14:paraId="0994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CB6EF9">
            <w:pPr>
              <w:rPr>
                <w:rFonts w:hint="eastAsia" w:ascii="宋体" w:hAnsi="宋体" w:eastAsia="宋体" w:cs="宋体"/>
                <w:color w:val="auto"/>
                <w:sz w:val="20"/>
                <w:szCs w:val="20"/>
                <w:highlight w:val="none"/>
              </w:rPr>
            </w:pPr>
          </w:p>
        </w:tc>
        <w:tc>
          <w:tcPr>
            <w:tcW w:w="8569" w:type="dxa"/>
          </w:tcPr>
          <w:p w14:paraId="56BF666F">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检查科室设置：支持科室批量选择、父级科室有效、隐藏上次检查科室、项目分值设置等人性化功能；</w:t>
            </w:r>
          </w:p>
        </w:tc>
      </w:tr>
      <w:tr w14:paraId="5B51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CB3B37">
            <w:pPr>
              <w:rPr>
                <w:rFonts w:hint="eastAsia" w:ascii="宋体" w:hAnsi="宋体" w:eastAsia="宋体" w:cs="宋体"/>
                <w:color w:val="auto"/>
                <w:sz w:val="20"/>
                <w:szCs w:val="20"/>
                <w:highlight w:val="none"/>
              </w:rPr>
            </w:pPr>
          </w:p>
        </w:tc>
        <w:tc>
          <w:tcPr>
            <w:tcW w:w="8569" w:type="dxa"/>
          </w:tcPr>
          <w:p w14:paraId="7D693B8E">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并支持暂存，可查看历史台账，以及每个计划里具体基本信息、复查问题、检查详情信息和汇总分析等内容，并支持批量导出检查表。</w:t>
            </w:r>
          </w:p>
        </w:tc>
      </w:tr>
      <w:tr w14:paraId="3CAD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12E622">
            <w:pPr>
              <w:rPr>
                <w:rFonts w:hint="eastAsia" w:ascii="宋体" w:hAnsi="宋体" w:eastAsia="宋体" w:cs="宋体"/>
                <w:color w:val="auto"/>
                <w:sz w:val="20"/>
                <w:szCs w:val="20"/>
                <w:highlight w:val="none"/>
              </w:rPr>
            </w:pPr>
          </w:p>
        </w:tc>
        <w:tc>
          <w:tcPr>
            <w:tcW w:w="8569" w:type="dxa"/>
          </w:tcPr>
          <w:p w14:paraId="5E95628F">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6"/>
                <w:rFonts w:hint="eastAsia" w:ascii="宋体" w:hAnsi="宋体" w:eastAsia="宋体" w:cs="宋体"/>
                <w:b/>
                <w:bCs/>
                <w:color w:val="auto"/>
                <w:sz w:val="20"/>
                <w:szCs w:val="20"/>
                <w:highlight w:val="none"/>
                <w:lang w:bidi="ar"/>
              </w:rPr>
              <w:t></w:t>
            </w:r>
            <w:r>
              <w:rPr>
                <w:rStyle w:val="27"/>
                <w:rFonts w:hint="eastAsia" w:ascii="宋体" w:hAnsi="宋体" w:eastAsia="宋体" w:cs="宋体"/>
                <w:b/>
                <w:bCs/>
                <w:color w:val="auto"/>
                <w:sz w:val="20"/>
                <w:szCs w:val="20"/>
                <w:highlight w:val="none"/>
                <w:lang w:bidi="ar"/>
              </w:rPr>
              <w:t>科级质控检查</w:t>
            </w:r>
          </w:p>
        </w:tc>
      </w:tr>
      <w:tr w14:paraId="4DFB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ABF1857">
            <w:pPr>
              <w:rPr>
                <w:rFonts w:hint="eastAsia" w:ascii="宋体" w:hAnsi="宋体" w:eastAsia="宋体" w:cs="宋体"/>
                <w:color w:val="auto"/>
                <w:sz w:val="20"/>
                <w:szCs w:val="20"/>
                <w:highlight w:val="none"/>
              </w:rPr>
            </w:pPr>
          </w:p>
        </w:tc>
        <w:tc>
          <w:tcPr>
            <w:tcW w:w="8569" w:type="dxa"/>
          </w:tcPr>
          <w:p w14:paraId="4E7B5623">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可查看到所有质控检查计划和分析总结的情况；</w:t>
            </w:r>
          </w:p>
        </w:tc>
      </w:tr>
      <w:tr w14:paraId="514F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BCFC7B">
            <w:pPr>
              <w:rPr>
                <w:rFonts w:hint="eastAsia" w:ascii="宋体" w:hAnsi="宋体" w:eastAsia="宋体" w:cs="宋体"/>
                <w:color w:val="auto"/>
                <w:sz w:val="20"/>
                <w:szCs w:val="20"/>
                <w:highlight w:val="none"/>
              </w:rPr>
            </w:pPr>
          </w:p>
        </w:tc>
        <w:tc>
          <w:tcPr>
            <w:tcW w:w="8569" w:type="dxa"/>
          </w:tcPr>
          <w:p w14:paraId="58388EAC">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支持在PC端和APP都可以接受检查计划任务，并可以进行对应科室的检查填写；</w:t>
            </w:r>
          </w:p>
        </w:tc>
      </w:tr>
      <w:tr w14:paraId="3DA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EB8F242">
            <w:pPr>
              <w:rPr>
                <w:rFonts w:hint="eastAsia" w:ascii="宋体" w:hAnsi="宋体" w:eastAsia="宋体" w:cs="宋体"/>
                <w:color w:val="auto"/>
                <w:sz w:val="20"/>
                <w:szCs w:val="20"/>
                <w:highlight w:val="none"/>
              </w:rPr>
            </w:pPr>
          </w:p>
        </w:tc>
        <w:tc>
          <w:tcPr>
            <w:tcW w:w="8569" w:type="dxa"/>
          </w:tcPr>
          <w:p w14:paraId="51C6697D">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在检查过程中，可上传问题图片和是否需要显示检查人、是否需要指定责任人等个性化操作；</w:t>
            </w:r>
          </w:p>
        </w:tc>
      </w:tr>
      <w:tr w14:paraId="5DEF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1CB92EF">
            <w:pPr>
              <w:rPr>
                <w:rFonts w:hint="eastAsia" w:ascii="宋体" w:hAnsi="宋体" w:eastAsia="宋体" w:cs="宋体"/>
                <w:color w:val="auto"/>
                <w:sz w:val="20"/>
                <w:szCs w:val="20"/>
                <w:highlight w:val="none"/>
              </w:rPr>
            </w:pPr>
          </w:p>
        </w:tc>
        <w:tc>
          <w:tcPr>
            <w:tcW w:w="8569" w:type="dxa"/>
          </w:tcPr>
          <w:p w14:paraId="63D46AF0">
            <w:pPr>
              <w:widowControl/>
              <w:textAlignment w:val="top"/>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24"/>
                <w:rFonts w:hint="eastAsia" w:ascii="宋体" w:hAnsi="宋体" w:eastAsia="宋体" w:cs="宋体"/>
                <w:color w:val="auto"/>
                <w:sz w:val="20"/>
                <w:szCs w:val="20"/>
                <w:highlight w:val="none"/>
                <w:lang w:bidi="ar"/>
              </w:rPr>
              <w:t>提供质控检查记录台账，并可分权限进行查询。支持审批流程自定义，支持项目结构化自定义导出。系统化后审批结果实时联动更新。</w:t>
            </w:r>
          </w:p>
        </w:tc>
      </w:tr>
      <w:tr w14:paraId="1C15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709CF7A">
            <w:pPr>
              <w:rPr>
                <w:rFonts w:hint="eastAsia" w:ascii="宋体" w:hAnsi="宋体" w:eastAsia="宋体" w:cs="宋体"/>
                <w:color w:val="auto"/>
                <w:sz w:val="20"/>
                <w:szCs w:val="20"/>
                <w:highlight w:val="none"/>
              </w:rPr>
            </w:pPr>
          </w:p>
        </w:tc>
        <w:tc>
          <w:tcPr>
            <w:tcW w:w="8569" w:type="dxa"/>
          </w:tcPr>
          <w:p w14:paraId="30FEF1D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b/>
                <w:bCs/>
                <w:color w:val="auto"/>
                <w:sz w:val="20"/>
                <w:szCs w:val="20"/>
                <w:highlight w:val="none"/>
                <w:lang w:bidi="ar"/>
              </w:rPr>
              <w:t></w:t>
            </w:r>
            <w:r>
              <w:rPr>
                <w:rStyle w:val="27"/>
                <w:rFonts w:hint="eastAsia" w:ascii="宋体" w:hAnsi="宋体" w:eastAsia="宋体" w:cs="宋体"/>
                <w:b/>
                <w:bCs/>
                <w:color w:val="auto"/>
                <w:sz w:val="20"/>
                <w:szCs w:val="20"/>
                <w:highlight w:val="none"/>
                <w:lang w:bidi="ar"/>
              </w:rPr>
              <w:t xml:space="preserve">  科级定期计划</w:t>
            </w:r>
          </w:p>
        </w:tc>
      </w:tr>
      <w:tr w14:paraId="4A67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3A9337E">
            <w:pPr>
              <w:rPr>
                <w:rFonts w:hint="eastAsia" w:ascii="宋体" w:hAnsi="宋体" w:eastAsia="宋体" w:cs="宋体"/>
                <w:color w:val="auto"/>
                <w:sz w:val="20"/>
                <w:szCs w:val="20"/>
                <w:highlight w:val="none"/>
              </w:rPr>
            </w:pPr>
          </w:p>
        </w:tc>
        <w:tc>
          <w:tcPr>
            <w:tcW w:w="8569" w:type="dxa"/>
          </w:tcPr>
          <w:p w14:paraId="538A486A">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设置定时方案：可设置定时类型、定时截止日期、触发时间，从而达到智能定期系统自动发起计划的效果；</w:t>
            </w:r>
          </w:p>
        </w:tc>
      </w:tr>
      <w:tr w14:paraId="5214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8D56CD6">
            <w:pPr>
              <w:rPr>
                <w:rFonts w:hint="eastAsia" w:ascii="宋体" w:hAnsi="宋体" w:eastAsia="宋体" w:cs="宋体"/>
                <w:color w:val="auto"/>
                <w:sz w:val="20"/>
                <w:szCs w:val="20"/>
                <w:highlight w:val="none"/>
              </w:rPr>
            </w:pPr>
          </w:p>
        </w:tc>
        <w:tc>
          <w:tcPr>
            <w:tcW w:w="8569" w:type="dxa"/>
          </w:tcPr>
          <w:p w14:paraId="0B694059">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基本设置定期计划内容：包括计划名称、质控类型、检查小组、任命小组长和检查成员、可灵活设置检查权限和检查时段、检查重点等内容公布；</w:t>
            </w:r>
          </w:p>
        </w:tc>
      </w:tr>
      <w:tr w14:paraId="67DC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C4AC2C4">
            <w:pPr>
              <w:rPr>
                <w:rFonts w:hint="eastAsia" w:ascii="宋体" w:hAnsi="宋体" w:eastAsia="宋体" w:cs="宋体"/>
                <w:color w:val="auto"/>
                <w:sz w:val="20"/>
                <w:szCs w:val="20"/>
                <w:highlight w:val="none"/>
              </w:rPr>
            </w:pPr>
          </w:p>
        </w:tc>
        <w:tc>
          <w:tcPr>
            <w:tcW w:w="8569" w:type="dxa"/>
          </w:tcPr>
          <w:p w14:paraId="53DFED82">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设置检查表：可选择本次计划中需要使用的检查表，并支持查询，调用历史检查表和在本次检查表上直接进行修改，也可以直接新建保存检查表；</w:t>
            </w:r>
          </w:p>
        </w:tc>
      </w:tr>
      <w:tr w14:paraId="274B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C806C02">
            <w:pPr>
              <w:rPr>
                <w:rFonts w:hint="eastAsia" w:ascii="宋体" w:hAnsi="宋体" w:eastAsia="宋体" w:cs="宋体"/>
                <w:color w:val="auto"/>
                <w:sz w:val="20"/>
                <w:szCs w:val="20"/>
                <w:highlight w:val="none"/>
              </w:rPr>
            </w:pPr>
          </w:p>
        </w:tc>
        <w:tc>
          <w:tcPr>
            <w:tcW w:w="8569" w:type="dxa"/>
          </w:tcPr>
          <w:p w14:paraId="61D147CF">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复查问题：通过按问题复查范围和按问题复查模式以及快捷计划等信息进行查询，快速定位选择需要复查的问题，可和本次计划一起进行检查；</w:t>
            </w:r>
          </w:p>
        </w:tc>
      </w:tr>
      <w:tr w14:paraId="2C95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2CAD03C">
            <w:pPr>
              <w:rPr>
                <w:rFonts w:hint="eastAsia" w:ascii="宋体" w:hAnsi="宋体" w:eastAsia="宋体" w:cs="宋体"/>
                <w:color w:val="auto"/>
                <w:sz w:val="20"/>
                <w:szCs w:val="20"/>
                <w:highlight w:val="none"/>
              </w:rPr>
            </w:pPr>
          </w:p>
        </w:tc>
        <w:tc>
          <w:tcPr>
            <w:tcW w:w="8569" w:type="dxa"/>
          </w:tcPr>
          <w:p w14:paraId="58E30C16">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检查科室设置：支持科室批量选择、父级科室有效、隐藏上次检查科室、项目分值设置、是固定科室还是随机抽取检查科室等人性化功能；</w:t>
            </w:r>
          </w:p>
        </w:tc>
      </w:tr>
      <w:tr w14:paraId="4F63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99F459">
            <w:pPr>
              <w:rPr>
                <w:rFonts w:hint="eastAsia" w:ascii="宋体" w:hAnsi="宋体" w:eastAsia="宋体" w:cs="宋体"/>
                <w:color w:val="auto"/>
                <w:sz w:val="20"/>
                <w:szCs w:val="20"/>
                <w:highlight w:val="none"/>
              </w:rPr>
            </w:pPr>
          </w:p>
        </w:tc>
        <w:tc>
          <w:tcPr>
            <w:tcW w:w="8569" w:type="dxa"/>
          </w:tcPr>
          <w:p w14:paraId="3AD770C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可查看历史台账，除了自动定期执行计划后，也可以手动执行计划；</w:t>
            </w:r>
          </w:p>
        </w:tc>
      </w:tr>
      <w:tr w14:paraId="0D06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58C6E7A">
            <w:pPr>
              <w:rPr>
                <w:rFonts w:hint="eastAsia" w:ascii="宋体" w:hAnsi="宋体" w:eastAsia="宋体" w:cs="宋体"/>
                <w:color w:val="auto"/>
                <w:sz w:val="20"/>
                <w:szCs w:val="20"/>
                <w:highlight w:val="none"/>
              </w:rPr>
            </w:pPr>
          </w:p>
        </w:tc>
        <w:tc>
          <w:tcPr>
            <w:tcW w:w="8569" w:type="dxa"/>
          </w:tcPr>
          <w:p w14:paraId="494118FB">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提供所有计划执行日志，可进行查询跟踪。</w:t>
            </w:r>
          </w:p>
        </w:tc>
      </w:tr>
      <w:tr w14:paraId="25D3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46B50B6">
            <w:pPr>
              <w:rPr>
                <w:rFonts w:hint="eastAsia" w:ascii="宋体" w:hAnsi="宋体" w:eastAsia="宋体" w:cs="宋体"/>
                <w:color w:val="auto"/>
                <w:sz w:val="20"/>
                <w:szCs w:val="20"/>
                <w:highlight w:val="none"/>
              </w:rPr>
            </w:pPr>
          </w:p>
        </w:tc>
        <w:tc>
          <w:tcPr>
            <w:tcW w:w="8569" w:type="dxa"/>
          </w:tcPr>
          <w:p w14:paraId="4EF0C0A3">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b/>
                <w:bCs/>
                <w:color w:val="auto"/>
                <w:sz w:val="20"/>
                <w:szCs w:val="20"/>
                <w:highlight w:val="none"/>
                <w:lang w:bidi="ar"/>
              </w:rPr>
              <w:t></w:t>
            </w:r>
            <w:r>
              <w:rPr>
                <w:rStyle w:val="27"/>
                <w:rFonts w:hint="eastAsia" w:ascii="宋体" w:hAnsi="宋体" w:eastAsia="宋体" w:cs="宋体"/>
                <w:b/>
                <w:bCs/>
                <w:color w:val="auto"/>
                <w:sz w:val="20"/>
                <w:szCs w:val="20"/>
                <w:highlight w:val="none"/>
                <w:lang w:bidi="ar"/>
              </w:rPr>
              <w:t>科级质控整改</w:t>
            </w:r>
          </w:p>
        </w:tc>
      </w:tr>
      <w:tr w14:paraId="4991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D6526C">
            <w:pPr>
              <w:rPr>
                <w:rFonts w:hint="eastAsia" w:ascii="宋体" w:hAnsi="宋体" w:eastAsia="宋体" w:cs="宋体"/>
                <w:color w:val="auto"/>
                <w:sz w:val="20"/>
                <w:szCs w:val="20"/>
                <w:highlight w:val="none"/>
              </w:rPr>
            </w:pPr>
          </w:p>
        </w:tc>
        <w:tc>
          <w:tcPr>
            <w:tcW w:w="8569" w:type="dxa"/>
          </w:tcPr>
          <w:p w14:paraId="35C9E1C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支持快捷选择检查计划，提供问题项目个数分析图并支持下载；</w:t>
            </w:r>
          </w:p>
        </w:tc>
      </w:tr>
      <w:tr w14:paraId="1091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44D72FD">
            <w:pPr>
              <w:rPr>
                <w:rFonts w:hint="eastAsia" w:ascii="宋体" w:hAnsi="宋体" w:eastAsia="宋体" w:cs="宋体"/>
                <w:color w:val="auto"/>
                <w:sz w:val="20"/>
                <w:szCs w:val="20"/>
                <w:highlight w:val="none"/>
              </w:rPr>
            </w:pPr>
          </w:p>
        </w:tc>
        <w:tc>
          <w:tcPr>
            <w:tcW w:w="8569" w:type="dxa"/>
          </w:tcPr>
          <w:p w14:paraId="63463EB9">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问题整改与汇总，分问题合计、严重、警告、一般、待整改、待追踪分界面进行查询管理，并可以打印导出；</w:t>
            </w:r>
          </w:p>
        </w:tc>
      </w:tr>
      <w:tr w14:paraId="1645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D59F78">
            <w:pPr>
              <w:rPr>
                <w:rFonts w:hint="eastAsia" w:ascii="宋体" w:hAnsi="宋体" w:eastAsia="宋体" w:cs="宋体"/>
                <w:color w:val="auto"/>
                <w:sz w:val="20"/>
                <w:szCs w:val="20"/>
                <w:highlight w:val="none"/>
              </w:rPr>
            </w:pPr>
          </w:p>
        </w:tc>
        <w:tc>
          <w:tcPr>
            <w:tcW w:w="8569" w:type="dxa"/>
          </w:tcPr>
          <w:p w14:paraId="37CD5E4A">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支持按复查问题、未解决、已解决、达标率进行统计。</w:t>
            </w:r>
          </w:p>
        </w:tc>
      </w:tr>
      <w:tr w14:paraId="0F54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BE907B">
            <w:pPr>
              <w:rPr>
                <w:rFonts w:hint="eastAsia" w:ascii="宋体" w:hAnsi="宋体" w:eastAsia="宋体" w:cs="宋体"/>
                <w:color w:val="auto"/>
                <w:sz w:val="20"/>
                <w:szCs w:val="20"/>
                <w:highlight w:val="none"/>
              </w:rPr>
            </w:pPr>
          </w:p>
        </w:tc>
        <w:tc>
          <w:tcPr>
            <w:tcW w:w="8569" w:type="dxa"/>
          </w:tcPr>
          <w:p w14:paraId="23C37AF1">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b/>
                <w:bCs/>
                <w:color w:val="auto"/>
                <w:sz w:val="20"/>
                <w:szCs w:val="20"/>
                <w:highlight w:val="none"/>
                <w:lang w:bidi="ar"/>
              </w:rPr>
              <w:t></w:t>
            </w:r>
            <w:r>
              <w:rPr>
                <w:rStyle w:val="27"/>
                <w:rFonts w:hint="eastAsia" w:ascii="宋体" w:hAnsi="宋体" w:eastAsia="宋体" w:cs="宋体"/>
                <w:b/>
                <w:bCs/>
                <w:color w:val="auto"/>
                <w:sz w:val="20"/>
                <w:szCs w:val="20"/>
                <w:highlight w:val="none"/>
                <w:lang w:bidi="ar"/>
              </w:rPr>
              <w:t>科级整改处理</w:t>
            </w:r>
          </w:p>
        </w:tc>
      </w:tr>
      <w:tr w14:paraId="115E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07CC431">
            <w:pPr>
              <w:rPr>
                <w:rFonts w:hint="eastAsia" w:ascii="宋体" w:hAnsi="宋体" w:eastAsia="宋体" w:cs="宋体"/>
                <w:color w:val="auto"/>
                <w:sz w:val="20"/>
                <w:szCs w:val="20"/>
                <w:highlight w:val="none"/>
              </w:rPr>
            </w:pPr>
          </w:p>
        </w:tc>
        <w:tc>
          <w:tcPr>
            <w:tcW w:w="8569" w:type="dxa"/>
          </w:tcPr>
          <w:p w14:paraId="140FEDEE">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可处理质控整改操作，指派整改人后，整改人可以在自己的界面进行，对应质控计划问题回复整改措施，记录整改人和整改时间等信息；</w:t>
            </w:r>
          </w:p>
        </w:tc>
      </w:tr>
      <w:tr w14:paraId="7F52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F89F26">
            <w:pPr>
              <w:rPr>
                <w:rFonts w:hint="eastAsia" w:ascii="宋体" w:hAnsi="宋体" w:eastAsia="宋体" w:cs="宋体"/>
                <w:color w:val="auto"/>
                <w:sz w:val="20"/>
                <w:szCs w:val="20"/>
                <w:highlight w:val="none"/>
              </w:rPr>
            </w:pPr>
          </w:p>
        </w:tc>
        <w:tc>
          <w:tcPr>
            <w:tcW w:w="8569" w:type="dxa"/>
          </w:tcPr>
          <w:p w14:paraId="36AD5010">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界面人性化，通过待整改、已整改、科室问题进行分类，让界面条理更清楚；</w:t>
            </w:r>
          </w:p>
        </w:tc>
      </w:tr>
      <w:tr w14:paraId="5625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3BF49F4">
            <w:pPr>
              <w:rPr>
                <w:rFonts w:hint="eastAsia" w:ascii="宋体" w:hAnsi="宋体" w:eastAsia="宋体" w:cs="宋体"/>
                <w:color w:val="auto"/>
                <w:sz w:val="20"/>
                <w:szCs w:val="20"/>
                <w:highlight w:val="none"/>
              </w:rPr>
            </w:pPr>
          </w:p>
        </w:tc>
        <w:tc>
          <w:tcPr>
            <w:tcW w:w="8569" w:type="dxa"/>
          </w:tcPr>
          <w:p w14:paraId="28C7A52D">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可自定义在整改台账中进行显示责任人层级、快速选择查询、导出打印等功能。</w:t>
            </w:r>
          </w:p>
        </w:tc>
      </w:tr>
      <w:tr w14:paraId="6F79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5497EFA">
            <w:pPr>
              <w:rPr>
                <w:rFonts w:hint="eastAsia" w:ascii="宋体" w:hAnsi="宋体" w:eastAsia="宋体" w:cs="宋体"/>
                <w:color w:val="auto"/>
                <w:sz w:val="20"/>
                <w:szCs w:val="20"/>
                <w:highlight w:val="none"/>
              </w:rPr>
            </w:pPr>
          </w:p>
        </w:tc>
        <w:tc>
          <w:tcPr>
            <w:tcW w:w="8569" w:type="dxa"/>
          </w:tcPr>
          <w:p w14:paraId="6E3F1EF5">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b/>
                <w:bCs/>
                <w:color w:val="auto"/>
                <w:sz w:val="20"/>
                <w:szCs w:val="20"/>
                <w:highlight w:val="none"/>
                <w:lang w:bidi="ar"/>
              </w:rPr>
              <w:t></w:t>
            </w:r>
            <w:r>
              <w:rPr>
                <w:rStyle w:val="27"/>
                <w:rFonts w:hint="eastAsia" w:ascii="宋体" w:hAnsi="宋体" w:eastAsia="宋体" w:cs="宋体"/>
                <w:b/>
                <w:bCs/>
                <w:color w:val="auto"/>
                <w:sz w:val="20"/>
                <w:szCs w:val="20"/>
                <w:highlight w:val="none"/>
                <w:lang w:bidi="ar"/>
              </w:rPr>
              <w:t>科级追踪处理</w:t>
            </w:r>
          </w:p>
        </w:tc>
      </w:tr>
      <w:tr w14:paraId="5B95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C68969">
            <w:pPr>
              <w:rPr>
                <w:rFonts w:hint="eastAsia" w:ascii="宋体" w:hAnsi="宋体" w:eastAsia="宋体" w:cs="宋体"/>
                <w:color w:val="auto"/>
                <w:sz w:val="20"/>
                <w:szCs w:val="20"/>
                <w:highlight w:val="none"/>
              </w:rPr>
            </w:pPr>
          </w:p>
        </w:tc>
        <w:tc>
          <w:tcPr>
            <w:tcW w:w="8569" w:type="dxa"/>
          </w:tcPr>
          <w:p w14:paraId="1935C348">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追踪老师可在此界面进行所有已整改问题的整改情况并进行追踪，并可上传追踪照片，PC端和APP都可进行追踪操作；</w:t>
            </w:r>
          </w:p>
        </w:tc>
      </w:tr>
      <w:tr w14:paraId="190C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F5E2995">
            <w:pPr>
              <w:rPr>
                <w:rFonts w:hint="eastAsia" w:ascii="宋体" w:hAnsi="宋体" w:eastAsia="宋体" w:cs="宋体"/>
                <w:color w:val="auto"/>
                <w:sz w:val="20"/>
                <w:szCs w:val="20"/>
                <w:highlight w:val="none"/>
              </w:rPr>
            </w:pPr>
          </w:p>
        </w:tc>
        <w:tc>
          <w:tcPr>
            <w:tcW w:w="8569" w:type="dxa"/>
          </w:tcPr>
          <w:p w14:paraId="6CEAB553">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界面人性化，通过待追踪、已追踪进行分类，让界面条理更清楚；</w:t>
            </w:r>
          </w:p>
        </w:tc>
      </w:tr>
      <w:tr w14:paraId="4C70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5E4C04">
            <w:pPr>
              <w:rPr>
                <w:rFonts w:hint="eastAsia" w:ascii="宋体" w:hAnsi="宋体" w:eastAsia="宋体" w:cs="宋体"/>
                <w:color w:val="auto"/>
                <w:sz w:val="20"/>
                <w:szCs w:val="20"/>
                <w:highlight w:val="none"/>
              </w:rPr>
            </w:pPr>
          </w:p>
        </w:tc>
        <w:tc>
          <w:tcPr>
            <w:tcW w:w="8569" w:type="dxa"/>
          </w:tcPr>
          <w:p w14:paraId="26F6B0FD">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可自定义在追踪台账中进行显示责任人层级、快速选择查询、导出打印等功能。</w:t>
            </w:r>
          </w:p>
        </w:tc>
      </w:tr>
      <w:tr w14:paraId="6BD6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F3E576C">
            <w:pPr>
              <w:rPr>
                <w:rFonts w:hint="eastAsia" w:ascii="宋体" w:hAnsi="宋体" w:eastAsia="宋体" w:cs="宋体"/>
                <w:color w:val="auto"/>
                <w:sz w:val="20"/>
                <w:szCs w:val="20"/>
                <w:highlight w:val="none"/>
              </w:rPr>
            </w:pPr>
          </w:p>
        </w:tc>
        <w:tc>
          <w:tcPr>
            <w:tcW w:w="8569" w:type="dxa"/>
          </w:tcPr>
          <w:p w14:paraId="6249CF06">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6"/>
                <w:rFonts w:hint="eastAsia" w:ascii="宋体" w:hAnsi="宋体" w:eastAsia="宋体" w:cs="宋体"/>
                <w:b/>
                <w:bCs/>
                <w:color w:val="auto"/>
                <w:sz w:val="20"/>
                <w:szCs w:val="20"/>
                <w:highlight w:val="none"/>
                <w:lang w:bidi="ar"/>
              </w:rPr>
              <w:t></w:t>
            </w:r>
            <w:r>
              <w:rPr>
                <w:rStyle w:val="27"/>
                <w:rFonts w:hint="eastAsia" w:ascii="宋体" w:hAnsi="宋体" w:eastAsia="宋体" w:cs="宋体"/>
                <w:b/>
                <w:bCs/>
                <w:color w:val="auto"/>
                <w:sz w:val="20"/>
                <w:szCs w:val="20"/>
                <w:highlight w:val="none"/>
                <w:lang w:bidi="ar"/>
              </w:rPr>
              <w:t>科级质量分析</w:t>
            </w:r>
          </w:p>
        </w:tc>
      </w:tr>
      <w:tr w14:paraId="4092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33A2A2">
            <w:pPr>
              <w:rPr>
                <w:rFonts w:hint="eastAsia" w:ascii="宋体" w:hAnsi="宋体" w:eastAsia="宋体" w:cs="宋体"/>
                <w:color w:val="auto"/>
                <w:sz w:val="20"/>
                <w:szCs w:val="20"/>
                <w:highlight w:val="none"/>
              </w:rPr>
            </w:pPr>
          </w:p>
        </w:tc>
        <w:tc>
          <w:tcPr>
            <w:tcW w:w="8569" w:type="dxa"/>
          </w:tcPr>
          <w:p w14:paraId="6F612D4F">
            <w:pPr>
              <w:widowControl/>
              <w:textAlignment w:val="top"/>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汇总明细：提供本科室质控问题个数分析统计表、本科室各指标问题平均个数，以及本科室各项问题个数汇总列表，并支持打印导出；</w:t>
            </w:r>
          </w:p>
        </w:tc>
      </w:tr>
      <w:tr w14:paraId="278D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3E0B0AD">
            <w:pPr>
              <w:rPr>
                <w:rFonts w:hint="eastAsia" w:ascii="宋体" w:hAnsi="宋体" w:eastAsia="宋体" w:cs="宋体"/>
                <w:color w:val="auto"/>
                <w:sz w:val="20"/>
                <w:szCs w:val="20"/>
                <w:highlight w:val="none"/>
              </w:rPr>
            </w:pPr>
          </w:p>
        </w:tc>
        <w:tc>
          <w:tcPr>
            <w:tcW w:w="8569" w:type="dxa"/>
            <w:vAlign w:val="center"/>
          </w:tcPr>
          <w:p w14:paraId="7385F389">
            <w:pPr>
              <w:widowControl/>
              <w:textAlignment w:val="center"/>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质控问题柏拉图：提供本科室质控评价问题个数分析统计表、检查内容和对应发生次数、当前百分比、累计百分比统计，并支持打印导出。</w:t>
            </w:r>
          </w:p>
        </w:tc>
      </w:tr>
      <w:tr w14:paraId="1E41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E0E12F4">
            <w:pPr>
              <w:rPr>
                <w:rFonts w:hint="eastAsia" w:ascii="宋体" w:hAnsi="宋体" w:eastAsia="宋体" w:cs="宋体"/>
                <w:color w:val="auto"/>
                <w:sz w:val="20"/>
                <w:szCs w:val="20"/>
                <w:highlight w:val="none"/>
              </w:rPr>
            </w:pPr>
          </w:p>
        </w:tc>
        <w:tc>
          <w:tcPr>
            <w:tcW w:w="8569" w:type="dxa"/>
            <w:vAlign w:val="center"/>
          </w:tcPr>
          <w:p w14:paraId="54454ECB">
            <w:pPr>
              <w:widowControl/>
              <w:textAlignment w:val="center"/>
              <w:rPr>
                <w:rFonts w:hint="eastAsia" w:ascii="宋体" w:hAnsi="宋体" w:eastAsia="宋体" w:cs="宋体"/>
                <w:color w:val="auto"/>
                <w:sz w:val="20"/>
                <w:szCs w:val="20"/>
                <w:highlight w:val="none"/>
              </w:rPr>
            </w:pPr>
            <w:r>
              <w:rPr>
                <w:rStyle w:val="26"/>
                <w:rFonts w:hint="eastAsia" w:ascii="宋体" w:hAnsi="宋体" w:eastAsia="宋体" w:cs="宋体"/>
                <w:b/>
                <w:bCs/>
                <w:color w:val="auto"/>
                <w:sz w:val="20"/>
                <w:szCs w:val="20"/>
                <w:highlight w:val="none"/>
                <w:lang w:bidi="ar"/>
              </w:rPr>
              <w:t></w:t>
            </w:r>
            <w:r>
              <w:rPr>
                <w:rStyle w:val="27"/>
                <w:rFonts w:hint="eastAsia" w:ascii="宋体" w:hAnsi="宋体" w:eastAsia="宋体" w:cs="宋体"/>
                <w:b/>
                <w:bCs/>
                <w:color w:val="auto"/>
                <w:sz w:val="20"/>
                <w:szCs w:val="20"/>
                <w:highlight w:val="none"/>
                <w:lang w:bidi="ar"/>
              </w:rPr>
              <w:t>科级计划汇总</w:t>
            </w:r>
          </w:p>
        </w:tc>
      </w:tr>
      <w:tr w14:paraId="6A92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20FC40">
            <w:pPr>
              <w:rPr>
                <w:rFonts w:hint="eastAsia" w:ascii="宋体" w:hAnsi="宋体" w:eastAsia="宋体" w:cs="宋体"/>
                <w:color w:val="auto"/>
                <w:sz w:val="20"/>
                <w:szCs w:val="20"/>
                <w:highlight w:val="none"/>
              </w:rPr>
            </w:pPr>
          </w:p>
        </w:tc>
        <w:tc>
          <w:tcPr>
            <w:tcW w:w="8569" w:type="dxa"/>
            <w:vAlign w:val="center"/>
          </w:tcPr>
          <w:p w14:paraId="6830161B">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可</w:t>
            </w:r>
            <w:r>
              <w:rPr>
                <w:rStyle w:val="31"/>
                <w:rFonts w:hint="eastAsia" w:ascii="宋体" w:hAnsi="宋体" w:eastAsia="宋体" w:cs="宋体"/>
                <w:color w:val="auto"/>
                <w:sz w:val="20"/>
                <w:szCs w:val="20"/>
                <w:highlight w:val="none"/>
                <w:lang w:bidi="ar"/>
              </w:rPr>
              <w:t>按年/按季度进行查询汇</w:t>
            </w:r>
            <w:r>
              <w:rPr>
                <w:rStyle w:val="28"/>
                <w:rFonts w:hint="eastAsia" w:ascii="宋体" w:hAnsi="宋体" w:eastAsia="宋体" w:cs="宋体"/>
                <w:color w:val="auto"/>
                <w:sz w:val="20"/>
                <w:szCs w:val="20"/>
                <w:highlight w:val="none"/>
                <w:lang w:bidi="ar"/>
              </w:rPr>
              <w:t>总；</w:t>
            </w:r>
          </w:p>
        </w:tc>
      </w:tr>
      <w:tr w14:paraId="012E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78B4144">
            <w:pPr>
              <w:rPr>
                <w:rFonts w:hint="eastAsia" w:ascii="宋体" w:hAnsi="宋体" w:eastAsia="宋体" w:cs="宋体"/>
                <w:color w:val="auto"/>
                <w:sz w:val="20"/>
                <w:szCs w:val="20"/>
                <w:highlight w:val="none"/>
              </w:rPr>
            </w:pPr>
          </w:p>
        </w:tc>
        <w:tc>
          <w:tcPr>
            <w:tcW w:w="8569" w:type="dxa"/>
            <w:vAlign w:val="center"/>
          </w:tcPr>
          <w:p w14:paraId="35AC2824">
            <w:pPr>
              <w:widowControl/>
              <w:textAlignment w:val="center"/>
              <w:rPr>
                <w:rFonts w:hint="eastAsia" w:ascii="宋体" w:hAnsi="宋体" w:eastAsia="宋体" w:cs="宋体"/>
                <w:color w:val="auto"/>
                <w:sz w:val="20"/>
                <w:szCs w:val="20"/>
                <w:highlight w:val="none"/>
              </w:rPr>
            </w:pPr>
            <w:r>
              <w:rPr>
                <w:rStyle w:val="26"/>
                <w:rFonts w:hint="eastAsia" w:ascii="宋体" w:hAnsi="宋体" w:eastAsia="宋体" w:cs="宋体"/>
                <w:color w:val="auto"/>
                <w:sz w:val="20"/>
                <w:szCs w:val="20"/>
                <w:highlight w:val="none"/>
                <w:lang w:bidi="ar"/>
              </w:rPr>
              <w:t></w:t>
            </w:r>
            <w:r>
              <w:rPr>
                <w:rStyle w:val="27"/>
                <w:rFonts w:hint="eastAsia" w:ascii="宋体" w:hAnsi="宋体" w:eastAsia="宋体" w:cs="宋体"/>
                <w:color w:val="auto"/>
                <w:sz w:val="20"/>
                <w:szCs w:val="20"/>
                <w:highlight w:val="none"/>
                <w:lang w:bidi="ar"/>
              </w:rPr>
              <w:t>提供检查项目分析统计报表，可查看各项目对应的标准要求，问题个数等明细，并支持打印导出。</w:t>
            </w:r>
          </w:p>
        </w:tc>
      </w:tr>
      <w:tr w14:paraId="478D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9DF4975">
            <w:pPr>
              <w:rPr>
                <w:rFonts w:hint="eastAsia" w:ascii="宋体" w:hAnsi="宋体" w:eastAsia="宋体" w:cs="宋体"/>
                <w:color w:val="auto"/>
                <w:sz w:val="20"/>
                <w:szCs w:val="20"/>
                <w:highlight w:val="none"/>
              </w:rPr>
            </w:pPr>
          </w:p>
        </w:tc>
        <w:tc>
          <w:tcPr>
            <w:tcW w:w="8569" w:type="dxa"/>
            <w:vAlign w:val="center"/>
          </w:tcPr>
          <w:p w14:paraId="3D5786A1">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任务待办栏；</w:t>
            </w:r>
          </w:p>
        </w:tc>
      </w:tr>
      <w:tr w14:paraId="7827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11C4DB">
            <w:pPr>
              <w:rPr>
                <w:rFonts w:hint="eastAsia" w:ascii="宋体" w:hAnsi="宋体" w:eastAsia="宋体" w:cs="宋体"/>
                <w:color w:val="auto"/>
                <w:sz w:val="20"/>
                <w:szCs w:val="20"/>
                <w:highlight w:val="none"/>
              </w:rPr>
            </w:pPr>
          </w:p>
        </w:tc>
        <w:tc>
          <w:tcPr>
            <w:tcW w:w="8569" w:type="dxa"/>
            <w:vAlign w:val="center"/>
          </w:tcPr>
          <w:p w14:paraId="53FAE245">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质量简报：根据科室质量数据、查检情况、职能部门反馈问题，生成报告；</w:t>
            </w:r>
          </w:p>
        </w:tc>
      </w:tr>
      <w:tr w14:paraId="092B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9941568">
            <w:pPr>
              <w:rPr>
                <w:rFonts w:hint="eastAsia" w:ascii="宋体" w:hAnsi="宋体" w:eastAsia="宋体" w:cs="宋体"/>
                <w:color w:val="auto"/>
                <w:sz w:val="20"/>
                <w:szCs w:val="20"/>
                <w:highlight w:val="none"/>
              </w:rPr>
            </w:pPr>
          </w:p>
        </w:tc>
        <w:tc>
          <w:tcPr>
            <w:tcW w:w="8569" w:type="dxa"/>
            <w:vAlign w:val="center"/>
          </w:tcPr>
          <w:p w14:paraId="248C7017">
            <w:pPr>
              <w:widowControl/>
              <w:textAlignment w:val="center"/>
              <w:rPr>
                <w:rFonts w:hint="eastAsia" w:ascii="宋体" w:hAnsi="宋体" w:eastAsia="宋体" w:cs="宋体"/>
                <w:color w:val="auto"/>
                <w:sz w:val="20"/>
                <w:szCs w:val="20"/>
                <w:highlight w:val="none"/>
              </w:rPr>
            </w:pPr>
            <w:r>
              <w:rPr>
                <w:rStyle w:val="28"/>
                <w:rFonts w:hint="eastAsia" w:ascii="宋体" w:hAnsi="宋体" w:eastAsia="宋体" w:cs="宋体"/>
                <w:color w:val="auto"/>
                <w:sz w:val="20"/>
                <w:szCs w:val="20"/>
                <w:highlight w:val="none"/>
                <w:lang w:bidi="ar"/>
              </w:rPr>
              <w:t></w:t>
            </w:r>
            <w:r>
              <w:rPr>
                <w:rStyle w:val="31"/>
                <w:rFonts w:hint="eastAsia" w:ascii="宋体" w:hAnsi="宋体" w:eastAsia="宋体" w:cs="宋体"/>
                <w:color w:val="auto"/>
                <w:sz w:val="20"/>
                <w:szCs w:val="20"/>
                <w:highlight w:val="none"/>
                <w:lang w:bidi="ar"/>
              </w:rPr>
              <w:t>PDSA记录</w:t>
            </w:r>
          </w:p>
        </w:tc>
      </w:tr>
      <w:tr w14:paraId="0B2D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2843ED26">
            <w:pPr>
              <w:rPr>
                <w:rFonts w:hint="eastAsia" w:ascii="宋体" w:hAnsi="宋体" w:eastAsia="宋体" w:cs="宋体"/>
                <w:strike/>
                <w:color w:val="auto"/>
                <w:sz w:val="20"/>
                <w:szCs w:val="20"/>
                <w:highlight w:val="none"/>
              </w:rPr>
            </w:pPr>
            <w:r>
              <w:rPr>
                <w:rFonts w:hint="eastAsia" w:ascii="宋体" w:hAnsi="宋体" w:eastAsia="宋体" w:cs="宋体"/>
                <w:b/>
                <w:bCs/>
                <w:color w:val="auto"/>
                <w:kern w:val="0"/>
                <w:sz w:val="20"/>
                <w:szCs w:val="20"/>
                <w:highlight w:val="none"/>
                <w:lang w:val="en-US" w:eastAsia="zh-CN" w:bidi="ar"/>
              </w:rPr>
              <w:t xml:space="preserve">1.6.4 </w:t>
            </w:r>
            <w:r>
              <w:rPr>
                <w:rFonts w:hint="eastAsia" w:ascii="宋体" w:hAnsi="宋体" w:eastAsia="宋体" w:cs="宋体"/>
                <w:b/>
                <w:bCs/>
                <w:color w:val="auto"/>
                <w:kern w:val="0"/>
                <w:sz w:val="20"/>
                <w:szCs w:val="20"/>
                <w:highlight w:val="none"/>
                <w:lang w:bidi="ar"/>
              </w:rPr>
              <w:t>PDSA项目管理</w:t>
            </w:r>
          </w:p>
        </w:tc>
        <w:tc>
          <w:tcPr>
            <w:tcW w:w="8569" w:type="dxa"/>
            <w:noWrap/>
            <w:vAlign w:val="center"/>
          </w:tcPr>
          <w:p w14:paraId="0C26B7F8">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1、业务流审批：如果是科室自行发起，则立项审批、结题审批；如果是职能部门发起，则无需审批，科室接收</w:t>
            </w:r>
          </w:p>
          <w:p w14:paraId="37467A28">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2、制定工作计划及根据计划节点的任务推送功能，提供任务进度情况展示</w:t>
            </w:r>
          </w:p>
          <w:p w14:paraId="5E38B5A6">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3、提供pdsa各步骤常用工具模版（鱼骨图、甘特图、柏拉图、流程图、雷达图工具），业务科室只需要填文字版，信息系统根据业务科室填写内容自动作图</w:t>
            </w:r>
          </w:p>
          <w:p w14:paraId="1CBB959D">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4、实施过程记录存档功能，会议、照片、成果等附件存档</w:t>
            </w:r>
            <w:r>
              <w:rPr>
                <w:rFonts w:hint="eastAsia" w:ascii="宋体" w:hAnsi="宋体" w:eastAsia="宋体" w:cs="宋体"/>
                <w:color w:val="auto"/>
                <w:sz w:val="20"/>
                <w:szCs w:val="20"/>
                <w:highlight w:val="none"/>
                <w:lang w:eastAsia="zh-CN"/>
              </w:rPr>
              <w:t>；</w:t>
            </w:r>
          </w:p>
          <w:p w14:paraId="492E29ED">
            <w:pPr>
              <w:widowControl/>
              <w:jc w:val="left"/>
              <w:textAlignment w:val="center"/>
              <w:rPr>
                <w:rFonts w:hint="eastAsia" w:ascii="宋体" w:hAnsi="宋体" w:eastAsia="宋体" w:cs="宋体"/>
                <w:strike/>
                <w:color w:val="auto"/>
                <w:kern w:val="0"/>
                <w:sz w:val="20"/>
                <w:szCs w:val="20"/>
                <w:highlight w:val="none"/>
                <w:lang w:bidi="ar"/>
              </w:rPr>
            </w:pPr>
            <w:r>
              <w:rPr>
                <w:rFonts w:hint="eastAsia" w:ascii="宋体" w:hAnsi="宋体" w:eastAsia="宋体" w:cs="宋体"/>
                <w:color w:val="auto"/>
                <w:sz w:val="20"/>
                <w:szCs w:val="20"/>
                <w:highlight w:val="none"/>
              </w:rPr>
              <w:t>5、统计汇总功能，展示本院、本科室实施项目数（已结题、进行中各个步骤数据）</w:t>
            </w:r>
          </w:p>
        </w:tc>
      </w:tr>
      <w:tr w14:paraId="36DD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6F840E41">
            <w:pP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val="en-US" w:eastAsia="zh-CN" w:bidi="ar"/>
              </w:rPr>
              <w:t>1.6.5</w:t>
            </w:r>
            <w:r>
              <w:rPr>
                <w:rFonts w:hint="eastAsia" w:ascii="宋体" w:hAnsi="宋体" w:eastAsia="宋体" w:cs="宋体"/>
                <w:b/>
                <w:bCs/>
                <w:color w:val="auto"/>
                <w:kern w:val="0"/>
                <w:sz w:val="20"/>
                <w:szCs w:val="20"/>
                <w:highlight w:val="none"/>
                <w:lang w:bidi="ar"/>
              </w:rPr>
              <w:t>工作任务管理</w:t>
            </w:r>
          </w:p>
        </w:tc>
        <w:tc>
          <w:tcPr>
            <w:tcW w:w="8569" w:type="dxa"/>
            <w:noWrap/>
            <w:vAlign w:val="center"/>
          </w:tcPr>
          <w:p w14:paraId="0D187659">
            <w:pPr>
              <w:widowControl/>
              <w:numPr>
                <w:ilvl w:val="0"/>
                <w:numId w:val="5"/>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任务自主创建与分配</w:t>
            </w:r>
            <w:r>
              <w:rPr>
                <w:rFonts w:hint="eastAsia" w:ascii="宋体" w:hAnsi="宋体" w:eastAsia="宋体" w:cs="宋体"/>
                <w:color w:val="auto"/>
                <w:sz w:val="20"/>
                <w:szCs w:val="20"/>
                <w:highlight w:val="none"/>
                <w:lang w:eastAsia="zh-CN"/>
              </w:rPr>
              <w:t>：明确任务内容、负责人和时间节点；项目名称模块任务名称负责人（可绑定企业微信或手机号）开始时间 / 截止时间当前状态（未开始 / 进行中 / 已完成 / 延期）优先级（高/中/低）附件（上传图片、合同、设计图）更新备注。新任务自主创建，系统自动通知相关人员</w:t>
            </w:r>
          </w:p>
          <w:p w14:paraId="77D28C0A">
            <w:pPr>
              <w:widowControl/>
              <w:numPr>
                <w:ilvl w:val="0"/>
                <w:numId w:val="5"/>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进度自主更新：团队成员可以随时更新任务状态，形成 PDSA 循环管理。</w:t>
            </w:r>
          </w:p>
          <w:p w14:paraId="6B1DD16C">
            <w:pPr>
              <w:widowControl/>
              <w:numPr>
                <w:ilvl w:val="0"/>
                <w:numId w:val="5"/>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自动提醒机制：任务到期前自动预警，逾期自动告警，通过集成企业微信实现智能推送通知，任务过期，系统给项目负责人发送日报提示。</w:t>
            </w:r>
          </w:p>
          <w:p w14:paraId="413F3A19">
            <w:pPr>
              <w:widowControl/>
              <w:numPr>
                <w:ilvl w:val="0"/>
                <w:numId w:val="5"/>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可视化看板：支持院-科-个人三级展示今日到期任务、按照未开始、进行中、已完成和已延期分类展示；延误任务清单自动汇总。用甘特图从时间维度展示任务安排，进度和延期情况，支持拖拽调整，任务看板显示截止时间或者任务紧急程度可分级管理。实现实时数据更新，让系统自动同步最新进展，支持多端实时查看</w:t>
            </w:r>
          </w:p>
          <w:p w14:paraId="0AC10C73">
            <w:pPr>
              <w:widowControl/>
              <w:numPr>
                <w:ilvl w:val="0"/>
                <w:numId w:val="5"/>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数据分析报表：统计责任人工作量柱状图、完成率、延期率等关键指标</w:t>
            </w:r>
          </w:p>
          <w:p w14:paraId="1213F484">
            <w:pPr>
              <w:widowControl/>
              <w:numPr>
                <w:ilvl w:val="0"/>
                <w:numId w:val="5"/>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电脑、手机端查询：支持电脑、手机查询。个人手机能看到自己任务列表，点击“完成”就能打钩+备注，可以现场上传图片、进度反馈，后台同步更新状态</w:t>
            </w:r>
          </w:p>
        </w:tc>
      </w:tr>
      <w:tr w14:paraId="4BAC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162E56DF">
            <w:pPr>
              <w:rPr>
                <w:rFonts w:hint="default" w:ascii="宋体" w:hAnsi="宋体" w:eastAsia="宋体" w:cs="宋体"/>
                <w:b/>
                <w:bCs/>
                <w:color w:val="auto"/>
                <w:kern w:val="0"/>
                <w:sz w:val="20"/>
                <w:szCs w:val="20"/>
                <w:highlight w:val="none"/>
                <w:lang w:val="en-US" w:bidi="ar"/>
              </w:rPr>
            </w:pPr>
            <w:r>
              <w:rPr>
                <w:rFonts w:hint="eastAsia" w:ascii="宋体" w:hAnsi="宋体" w:eastAsia="宋体" w:cs="宋体"/>
                <w:b/>
                <w:bCs/>
                <w:color w:val="auto"/>
                <w:kern w:val="0"/>
                <w:sz w:val="20"/>
                <w:szCs w:val="20"/>
                <w:highlight w:val="none"/>
                <w:lang w:val="en-US" w:eastAsia="zh-CN" w:bidi="ar"/>
              </w:rPr>
              <w:t>1.6.6 其他</w:t>
            </w:r>
          </w:p>
        </w:tc>
        <w:tc>
          <w:tcPr>
            <w:tcW w:w="8569" w:type="dxa"/>
            <w:noWrap/>
            <w:vAlign w:val="center"/>
          </w:tcPr>
          <w:p w14:paraId="401EFD5B">
            <w:pPr>
              <w:widowControl/>
              <w:numPr>
                <w:ilvl w:val="-1"/>
                <w:numId w:val="0"/>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消息提醒：集成企业微信实现各类消息的提醒功能、审批待办事项。</w:t>
            </w:r>
          </w:p>
          <w:p w14:paraId="3E203D47">
            <w:pPr>
              <w:widowControl/>
              <w:numPr>
                <w:ilvl w:val="-1"/>
                <w:numId w:val="0"/>
              </w:numPr>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2、实时查询：任务管理、重点指标数据。</w:t>
            </w:r>
          </w:p>
          <w:p w14:paraId="3E9D45F4">
            <w:pPr>
              <w:widowControl/>
              <w:numPr>
                <w:ilvl w:val="-1"/>
                <w:numId w:val="0"/>
              </w:numPr>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3、在线检查：根据各部门制定发布的检查表实现无纸化查检工作。</w:t>
            </w:r>
          </w:p>
        </w:tc>
      </w:tr>
    </w:tbl>
    <w:p w14:paraId="5EEFEA7E">
      <w:pPr>
        <w:pStyle w:val="8"/>
        <w:ind w:left="1" w:leftChars="-295" w:hanging="620" w:firstLineChars="0"/>
        <w:rPr>
          <w:rFonts w:hint="eastAsia"/>
        </w:rPr>
      </w:pPr>
    </w:p>
    <w:p w14:paraId="691FF368">
      <w:pPr>
        <w:widowControl/>
        <w:jc w:val="both"/>
        <w:textAlignment w:val="center"/>
        <w:rPr>
          <w:rFonts w:hint="eastAsia" w:ascii="宋体" w:hAnsi="宋体" w:eastAsia="宋体" w:cs="宋体"/>
          <w:b/>
          <w:bCs/>
          <w:color w:val="auto"/>
          <w:kern w:val="0"/>
          <w:sz w:val="20"/>
          <w:szCs w:val="20"/>
          <w:highlight w:val="none"/>
          <w:lang w:bidi="ar"/>
        </w:rPr>
      </w:pPr>
    </w:p>
    <w:p w14:paraId="0D3ADA8F">
      <w:pPr>
        <w:pStyle w:val="7"/>
        <w:widowControl/>
        <w:jc w:val="left"/>
        <w:textAlignment w:val="center"/>
        <w:outlineLvl w:val="1"/>
        <w:rPr>
          <w:rFonts w:hint="eastAsia"/>
          <w:highlight w:val="none"/>
        </w:rPr>
      </w:pPr>
      <w:bookmarkStart w:id="9" w:name="_Toc264"/>
      <w:r>
        <w:rPr>
          <w:rFonts w:hint="eastAsia"/>
          <w:highlight w:val="none"/>
        </w:rPr>
        <w:t>1.</w:t>
      </w:r>
      <w:r>
        <w:rPr>
          <w:rFonts w:hint="eastAsia"/>
          <w:highlight w:val="none"/>
          <w:lang w:val="en-US" w:eastAsia="zh-CN"/>
        </w:rPr>
        <w:t>7</w:t>
      </w:r>
      <w:r>
        <w:rPr>
          <w:rFonts w:hint="eastAsia"/>
          <w:highlight w:val="none"/>
        </w:rPr>
        <w:t xml:space="preserve"> 日常行政事务</w:t>
      </w:r>
      <w:bookmarkEnd w:id="9"/>
    </w:p>
    <w:tbl>
      <w:tblPr>
        <w:tblStyle w:val="20"/>
        <w:tblW w:w="1013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0B20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38" w:type="dxa"/>
            <w:gridSpan w:val="2"/>
            <w:shd w:val="clear" w:color="auto" w:fill="FFFF00"/>
            <w:vAlign w:val="center"/>
          </w:tcPr>
          <w:p w14:paraId="1154C3A0">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1.10 日常行政事务</w:t>
            </w:r>
          </w:p>
        </w:tc>
      </w:tr>
      <w:tr w14:paraId="2B04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4D65257">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1.7.</w:t>
            </w:r>
            <w:r>
              <w:rPr>
                <w:rStyle w:val="27"/>
                <w:rFonts w:hint="default"/>
                <w:color w:val="auto"/>
                <w:highlight w:val="none"/>
                <w:lang w:bidi="ar"/>
              </w:rPr>
              <w:t>1 活动经历管理</w:t>
            </w:r>
          </w:p>
        </w:tc>
        <w:tc>
          <w:tcPr>
            <w:tcW w:w="8569" w:type="dxa"/>
          </w:tcPr>
          <w:p w14:paraId="3477E3C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重大医疗活动：支持管理登记人员基本信息、活动信息、医疗活动名称、担任角色、主办单位、活动开始时间、活动结束时间、活动规模、活动详情、活动附件等内容，并支持暂存、保存、流程审批；</w:t>
            </w:r>
          </w:p>
        </w:tc>
      </w:tr>
      <w:tr w14:paraId="60D4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C7E2378">
            <w:pPr>
              <w:rPr>
                <w:rFonts w:ascii="宋体" w:hAnsi="宋体" w:eastAsia="宋体" w:cs="宋体"/>
                <w:color w:val="auto"/>
                <w:sz w:val="20"/>
                <w:szCs w:val="20"/>
                <w:highlight w:val="none"/>
              </w:rPr>
            </w:pPr>
          </w:p>
        </w:tc>
        <w:tc>
          <w:tcPr>
            <w:tcW w:w="8569" w:type="dxa"/>
          </w:tcPr>
          <w:p w14:paraId="7CA4B13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重大学术活动：支持管理登记人员基本信息、活动信息、学术活动名称、担任角色、主办单位、活动开始时间、活动结束时间、活动规模、活动详情、活动附件等内容，并支持暂存、保存、流程审批；</w:t>
            </w:r>
          </w:p>
        </w:tc>
      </w:tr>
      <w:tr w14:paraId="4309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9DA99A5">
            <w:pPr>
              <w:rPr>
                <w:rFonts w:ascii="宋体" w:hAnsi="宋体" w:eastAsia="宋体" w:cs="宋体"/>
                <w:color w:val="auto"/>
                <w:sz w:val="20"/>
                <w:szCs w:val="20"/>
                <w:highlight w:val="none"/>
              </w:rPr>
            </w:pPr>
          </w:p>
        </w:tc>
        <w:tc>
          <w:tcPr>
            <w:tcW w:w="8569" w:type="dxa"/>
          </w:tcPr>
          <w:p w14:paraId="31C3685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技术比赛：支持管理登记人员基本信息、活动信息、技术比赛名称、是否获奖、主办单位、比赛开始时间、比赛结束时间、比赛规模、比赛详情、比赛附件等内容，并支持暂存、保存、流程审批。</w:t>
            </w:r>
          </w:p>
        </w:tc>
      </w:tr>
      <w:tr w14:paraId="5DB9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7ED1CC7">
            <w:pPr>
              <w:rPr>
                <w:rFonts w:ascii="宋体" w:hAnsi="宋体" w:eastAsia="宋体" w:cs="宋体"/>
                <w:color w:val="auto"/>
                <w:sz w:val="20"/>
                <w:szCs w:val="20"/>
                <w:highlight w:val="none"/>
              </w:rPr>
            </w:pPr>
          </w:p>
        </w:tc>
        <w:tc>
          <w:tcPr>
            <w:tcW w:w="8569" w:type="dxa"/>
          </w:tcPr>
          <w:p w14:paraId="30B2E0A2">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w:t>
            </w:r>
          </w:p>
        </w:tc>
      </w:tr>
      <w:tr w14:paraId="59B9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36C694E">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1.7.</w:t>
            </w:r>
            <w:r>
              <w:rPr>
                <w:rStyle w:val="27"/>
                <w:rFonts w:hint="default"/>
                <w:color w:val="auto"/>
                <w:highlight w:val="none"/>
                <w:lang w:bidi="ar"/>
              </w:rPr>
              <w:t>3 医务大事件</w:t>
            </w:r>
          </w:p>
        </w:tc>
        <w:tc>
          <w:tcPr>
            <w:tcW w:w="8569" w:type="dxa"/>
          </w:tcPr>
          <w:p w14:paraId="40429D7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科室可管理添加各科室的大事件、发生时间、发生内容、资料等内容；</w:t>
            </w:r>
          </w:p>
        </w:tc>
      </w:tr>
      <w:tr w14:paraId="2D5A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00E5C7F">
            <w:pPr>
              <w:rPr>
                <w:rFonts w:ascii="宋体" w:hAnsi="宋体" w:eastAsia="宋体" w:cs="宋体"/>
                <w:color w:val="auto"/>
                <w:sz w:val="20"/>
                <w:szCs w:val="20"/>
                <w:highlight w:val="none"/>
              </w:rPr>
            </w:pPr>
          </w:p>
        </w:tc>
        <w:tc>
          <w:tcPr>
            <w:tcW w:w="8569" w:type="dxa"/>
          </w:tcPr>
          <w:p w14:paraId="679F46E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提供全科室的大事件历史内容，并以时间轴进行展示；</w:t>
            </w:r>
          </w:p>
        </w:tc>
      </w:tr>
      <w:tr w14:paraId="461D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9C0763E">
            <w:pPr>
              <w:rPr>
                <w:rFonts w:ascii="宋体" w:hAnsi="宋体" w:eastAsia="宋体" w:cs="宋体"/>
                <w:color w:val="auto"/>
                <w:sz w:val="20"/>
                <w:szCs w:val="20"/>
                <w:highlight w:val="none"/>
              </w:rPr>
            </w:pPr>
          </w:p>
        </w:tc>
        <w:tc>
          <w:tcPr>
            <w:tcW w:w="8569" w:type="dxa"/>
          </w:tcPr>
          <w:p w14:paraId="2FA1587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支持APP端上传和撰写大事记。</w:t>
            </w:r>
          </w:p>
        </w:tc>
      </w:tr>
      <w:tr w14:paraId="103E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1BC0863E">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1.7.</w:t>
            </w:r>
            <w:r>
              <w:rPr>
                <w:rStyle w:val="27"/>
                <w:rFonts w:hint="default"/>
                <w:color w:val="auto"/>
                <w:highlight w:val="none"/>
                <w:lang w:bidi="ar"/>
              </w:rPr>
              <w:t>4 科室荣誉管理</w:t>
            </w:r>
          </w:p>
        </w:tc>
        <w:tc>
          <w:tcPr>
            <w:tcW w:w="8569" w:type="dxa"/>
          </w:tcPr>
          <w:p w14:paraId="0D275B3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方便科室登记自己的或团队的荣誉证书，如：获奖科室、获奖时间、获奖类别、获奖类型、项目名称、授予部门、附件上传、等级管理等内容，方便医务部统一管控，可导出打印；</w:t>
            </w:r>
          </w:p>
        </w:tc>
      </w:tr>
      <w:tr w14:paraId="3D9B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5287D9F">
            <w:pPr>
              <w:rPr>
                <w:rFonts w:ascii="宋体" w:hAnsi="宋体" w:eastAsia="宋体" w:cs="宋体"/>
                <w:color w:val="auto"/>
                <w:sz w:val="20"/>
                <w:szCs w:val="20"/>
                <w:highlight w:val="none"/>
              </w:rPr>
            </w:pPr>
          </w:p>
        </w:tc>
        <w:tc>
          <w:tcPr>
            <w:tcW w:w="8569" w:type="dxa"/>
          </w:tcPr>
          <w:p w14:paraId="101CA0EA">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提供科室获奖数量排名（TOP5）分析图和个人获奖数量排名（TOP5）分析图；</w:t>
            </w:r>
          </w:p>
        </w:tc>
      </w:tr>
      <w:tr w14:paraId="34B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89D4E6">
            <w:pPr>
              <w:rPr>
                <w:rFonts w:ascii="宋体" w:hAnsi="宋体" w:eastAsia="宋体" w:cs="宋体"/>
                <w:color w:val="auto"/>
                <w:sz w:val="20"/>
                <w:szCs w:val="20"/>
                <w:highlight w:val="none"/>
              </w:rPr>
            </w:pPr>
          </w:p>
        </w:tc>
        <w:tc>
          <w:tcPr>
            <w:tcW w:w="8569" w:type="dxa"/>
          </w:tcPr>
          <w:p w14:paraId="49BB3A0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支持APP进行管理科室荣誉。</w:t>
            </w:r>
          </w:p>
        </w:tc>
      </w:tr>
      <w:tr w14:paraId="0B29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1A6478BB">
            <w:pPr>
              <w:widowControl/>
              <w:jc w:val="center"/>
              <w:textAlignment w:val="center"/>
              <w:rPr>
                <w:rFonts w:hint="eastAsia" w:ascii="宋体" w:hAnsi="宋体" w:eastAsia="宋体" w:cs="宋体"/>
                <w:color w:val="auto"/>
                <w:sz w:val="20"/>
                <w:szCs w:val="20"/>
                <w:highlight w:val="none"/>
                <w:lang w:eastAsia="zh-CN"/>
              </w:rPr>
            </w:pPr>
            <w:r>
              <w:rPr>
                <w:rStyle w:val="27"/>
                <w:rFonts w:hint="eastAsia" w:eastAsia="宋体"/>
                <w:color w:val="auto"/>
                <w:highlight w:val="none"/>
                <w:lang w:eastAsia="zh-CN" w:bidi="ar"/>
              </w:rPr>
              <w:t>1.7.</w:t>
            </w:r>
            <w:r>
              <w:rPr>
                <w:rStyle w:val="27"/>
                <w:rFonts w:hint="default"/>
                <w:color w:val="auto"/>
                <w:highlight w:val="none"/>
                <w:lang w:bidi="ar"/>
              </w:rPr>
              <w:t>5 医师交接</w:t>
            </w:r>
            <w:r>
              <w:rPr>
                <w:rStyle w:val="27"/>
                <w:rFonts w:hint="eastAsia" w:eastAsia="宋体"/>
                <w:color w:val="auto"/>
                <w:highlight w:val="none"/>
                <w:lang w:eastAsia="zh-CN" w:bidi="ar"/>
              </w:rPr>
              <w:t>日志对接</w:t>
            </w:r>
          </w:p>
        </w:tc>
        <w:tc>
          <w:tcPr>
            <w:tcW w:w="8569" w:type="dxa"/>
          </w:tcPr>
          <w:p w14:paraId="2377CE3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Fonts w:hint="eastAsia"/>
                <w:color w:val="auto"/>
                <w:highlight w:val="none"/>
              </w:rPr>
              <w:t>与医院现有系统进行数据对接;并支持对获取到的数据进行分析和展现。</w:t>
            </w:r>
          </w:p>
        </w:tc>
      </w:tr>
      <w:tr w14:paraId="3C78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E57EBEC">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1.7.</w:t>
            </w:r>
            <w:r>
              <w:rPr>
                <w:rStyle w:val="27"/>
                <w:rFonts w:hint="default"/>
                <w:color w:val="auto"/>
                <w:highlight w:val="none"/>
                <w:lang w:bidi="ar"/>
              </w:rPr>
              <w:t>7 工作总结及计划</w:t>
            </w:r>
          </w:p>
        </w:tc>
        <w:tc>
          <w:tcPr>
            <w:tcW w:w="8569" w:type="dxa"/>
          </w:tcPr>
          <w:p w14:paraId="384C289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周/月计划及总结</w:t>
            </w:r>
          </w:p>
        </w:tc>
      </w:tr>
      <w:tr w14:paraId="46AC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5E40790">
            <w:pPr>
              <w:rPr>
                <w:rFonts w:ascii="宋体" w:hAnsi="宋体" w:eastAsia="宋体" w:cs="宋体"/>
                <w:color w:val="auto"/>
                <w:sz w:val="20"/>
                <w:szCs w:val="20"/>
                <w:highlight w:val="none"/>
              </w:rPr>
            </w:pPr>
          </w:p>
        </w:tc>
        <w:tc>
          <w:tcPr>
            <w:tcW w:w="8569" w:type="dxa"/>
          </w:tcPr>
          <w:p w14:paraId="5770699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支持本科室按周/月进行计划及总结，进行填写、修改、打印、上报；</w:t>
            </w:r>
          </w:p>
        </w:tc>
      </w:tr>
      <w:tr w14:paraId="3F3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9FF7E3">
            <w:pPr>
              <w:rPr>
                <w:rFonts w:ascii="宋体" w:hAnsi="宋体" w:eastAsia="宋体" w:cs="宋体"/>
                <w:color w:val="auto"/>
                <w:sz w:val="20"/>
                <w:szCs w:val="20"/>
                <w:highlight w:val="none"/>
              </w:rPr>
            </w:pPr>
          </w:p>
        </w:tc>
        <w:tc>
          <w:tcPr>
            <w:tcW w:w="8569" w:type="dxa"/>
          </w:tcPr>
          <w:p w14:paraId="0F49EAC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可通过组织架构树，查询对应各科室周/月进行计划及总结详情，并支持打印；</w:t>
            </w:r>
          </w:p>
        </w:tc>
      </w:tr>
      <w:tr w14:paraId="0A11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412F65">
            <w:pPr>
              <w:rPr>
                <w:rFonts w:ascii="宋体" w:hAnsi="宋体" w:eastAsia="宋体" w:cs="宋体"/>
                <w:color w:val="auto"/>
                <w:sz w:val="20"/>
                <w:szCs w:val="20"/>
                <w:highlight w:val="none"/>
              </w:rPr>
            </w:pPr>
          </w:p>
        </w:tc>
        <w:tc>
          <w:tcPr>
            <w:tcW w:w="8569" w:type="dxa"/>
          </w:tcPr>
          <w:p w14:paraId="2A56A33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提供全院视图，进度看板，一目了然全院工作计划总结填写情况。</w:t>
            </w:r>
          </w:p>
        </w:tc>
      </w:tr>
      <w:tr w14:paraId="3DFC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72ED197">
            <w:pPr>
              <w:rPr>
                <w:rFonts w:ascii="宋体" w:hAnsi="宋体" w:eastAsia="宋体" w:cs="宋体"/>
                <w:color w:val="auto"/>
                <w:sz w:val="20"/>
                <w:szCs w:val="20"/>
                <w:highlight w:val="none"/>
              </w:rPr>
            </w:pPr>
          </w:p>
        </w:tc>
        <w:tc>
          <w:tcPr>
            <w:tcW w:w="8569" w:type="dxa"/>
          </w:tcPr>
          <w:p w14:paraId="0C9AB9A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季/年度计划及总结</w:t>
            </w:r>
          </w:p>
        </w:tc>
      </w:tr>
      <w:tr w14:paraId="2503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6DACB60">
            <w:pPr>
              <w:rPr>
                <w:rFonts w:ascii="宋体" w:hAnsi="宋体" w:eastAsia="宋体" w:cs="宋体"/>
                <w:color w:val="auto"/>
                <w:sz w:val="20"/>
                <w:szCs w:val="20"/>
                <w:highlight w:val="none"/>
              </w:rPr>
            </w:pPr>
          </w:p>
        </w:tc>
        <w:tc>
          <w:tcPr>
            <w:tcW w:w="8569" w:type="dxa"/>
          </w:tcPr>
          <w:p w14:paraId="19F43B1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支持本科室按季/年进行计划及总结，进行填写、修改、打印、上报；</w:t>
            </w:r>
          </w:p>
        </w:tc>
      </w:tr>
      <w:tr w14:paraId="42EB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91A5D3">
            <w:pPr>
              <w:rPr>
                <w:rFonts w:ascii="宋体" w:hAnsi="宋体" w:eastAsia="宋体" w:cs="宋体"/>
                <w:color w:val="auto"/>
                <w:sz w:val="20"/>
                <w:szCs w:val="20"/>
                <w:highlight w:val="none"/>
              </w:rPr>
            </w:pPr>
          </w:p>
        </w:tc>
        <w:tc>
          <w:tcPr>
            <w:tcW w:w="8569" w:type="dxa"/>
          </w:tcPr>
          <w:p w14:paraId="6EE0F3B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可通过组织架构树，查询对应各科室季/年进行计划及总结详情，并支持打印；</w:t>
            </w:r>
          </w:p>
        </w:tc>
      </w:tr>
      <w:tr w14:paraId="79D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C3658FD">
            <w:pPr>
              <w:rPr>
                <w:rFonts w:ascii="宋体" w:hAnsi="宋体" w:eastAsia="宋体" w:cs="宋体"/>
                <w:color w:val="auto"/>
                <w:sz w:val="20"/>
                <w:szCs w:val="20"/>
                <w:highlight w:val="none"/>
              </w:rPr>
            </w:pPr>
          </w:p>
        </w:tc>
        <w:tc>
          <w:tcPr>
            <w:tcW w:w="8569" w:type="dxa"/>
          </w:tcPr>
          <w:p w14:paraId="25E0CA3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提供全院视图，进度看板，一目了然全院工作计划总结填写情况。</w:t>
            </w:r>
          </w:p>
        </w:tc>
      </w:tr>
      <w:tr w14:paraId="4EEE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CF1BE0">
            <w:pPr>
              <w:rPr>
                <w:rFonts w:ascii="宋体" w:hAnsi="宋体" w:eastAsia="宋体" w:cs="宋体"/>
                <w:color w:val="auto"/>
                <w:sz w:val="20"/>
                <w:szCs w:val="20"/>
                <w:highlight w:val="none"/>
              </w:rPr>
            </w:pPr>
          </w:p>
        </w:tc>
        <w:tc>
          <w:tcPr>
            <w:tcW w:w="8569" w:type="dxa"/>
          </w:tcPr>
          <w:p w14:paraId="30508A8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个人工作计划</w:t>
            </w:r>
          </w:p>
        </w:tc>
      </w:tr>
      <w:tr w14:paraId="3577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A4D372">
            <w:pPr>
              <w:rPr>
                <w:rFonts w:ascii="宋体" w:hAnsi="宋体" w:eastAsia="宋体" w:cs="宋体"/>
                <w:color w:val="auto"/>
                <w:sz w:val="20"/>
                <w:szCs w:val="20"/>
                <w:highlight w:val="none"/>
              </w:rPr>
            </w:pPr>
          </w:p>
        </w:tc>
        <w:tc>
          <w:tcPr>
            <w:tcW w:w="8569" w:type="dxa"/>
          </w:tcPr>
          <w:p w14:paraId="684A69B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可由管理层自定义设置，全院人员是否需要填写日报、周报、月报、季报、年报；</w:t>
            </w:r>
          </w:p>
        </w:tc>
      </w:tr>
      <w:tr w14:paraId="6D9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DA73227">
            <w:pPr>
              <w:rPr>
                <w:rFonts w:ascii="宋体" w:hAnsi="宋体" w:eastAsia="宋体" w:cs="宋体"/>
                <w:color w:val="auto"/>
                <w:sz w:val="20"/>
                <w:szCs w:val="20"/>
                <w:highlight w:val="none"/>
              </w:rPr>
            </w:pPr>
          </w:p>
        </w:tc>
        <w:tc>
          <w:tcPr>
            <w:tcW w:w="8569" w:type="dxa"/>
          </w:tcPr>
          <w:p w14:paraId="0FECAD0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对应人员可在自己的界面进行对应设置工作总结的编辑、修改、打印等操作；</w:t>
            </w:r>
          </w:p>
        </w:tc>
      </w:tr>
      <w:tr w14:paraId="5F9E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3BE4FED">
            <w:pPr>
              <w:rPr>
                <w:rFonts w:ascii="宋体" w:hAnsi="宋体" w:eastAsia="宋体" w:cs="宋体"/>
                <w:color w:val="auto"/>
                <w:sz w:val="20"/>
                <w:szCs w:val="20"/>
                <w:highlight w:val="none"/>
              </w:rPr>
            </w:pPr>
          </w:p>
        </w:tc>
        <w:tc>
          <w:tcPr>
            <w:tcW w:w="8569" w:type="dxa"/>
          </w:tcPr>
          <w:p w14:paraId="7ED941F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个人工作计划查询：提供给管理层可查看所有人员对应的日报、周报、月报、季报、年报，并支持打印；</w:t>
            </w:r>
          </w:p>
        </w:tc>
      </w:tr>
      <w:tr w14:paraId="5B31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E9C8C4">
            <w:pPr>
              <w:rPr>
                <w:rFonts w:ascii="宋体" w:hAnsi="宋体" w:eastAsia="宋体" w:cs="宋体"/>
                <w:color w:val="auto"/>
                <w:sz w:val="20"/>
                <w:szCs w:val="20"/>
                <w:highlight w:val="none"/>
              </w:rPr>
            </w:pPr>
          </w:p>
        </w:tc>
        <w:tc>
          <w:tcPr>
            <w:tcW w:w="8569" w:type="dxa"/>
          </w:tcPr>
          <w:p w14:paraId="465ED5FD">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以上工作计划总结功能都支持在APP上进行编辑、填写、修改、查看、统计等操作。</w:t>
            </w:r>
          </w:p>
        </w:tc>
      </w:tr>
      <w:tr w14:paraId="4219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5451E01">
            <w:pPr>
              <w:rPr>
                <w:rFonts w:ascii="宋体" w:hAnsi="宋体" w:eastAsia="宋体" w:cs="宋体"/>
                <w:color w:val="auto"/>
                <w:sz w:val="20"/>
                <w:szCs w:val="20"/>
                <w:highlight w:val="none"/>
              </w:rPr>
            </w:pPr>
          </w:p>
        </w:tc>
        <w:tc>
          <w:tcPr>
            <w:tcW w:w="8569" w:type="dxa"/>
          </w:tcPr>
          <w:p w14:paraId="6B8952DF">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w:t>
            </w:r>
          </w:p>
        </w:tc>
      </w:tr>
      <w:tr w14:paraId="797A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restart"/>
            <w:vAlign w:val="center"/>
          </w:tcPr>
          <w:p w14:paraId="010E145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eastAsia="zh-CN" w:bidi="ar"/>
              </w:rPr>
              <w:t>1.7.</w:t>
            </w:r>
            <w:r>
              <w:rPr>
                <w:rFonts w:hint="eastAsia" w:ascii="宋体" w:hAnsi="宋体" w:eastAsia="宋体" w:cs="宋体"/>
                <w:color w:val="auto"/>
                <w:kern w:val="0"/>
                <w:sz w:val="20"/>
                <w:szCs w:val="20"/>
                <w:highlight w:val="none"/>
                <w:lang w:bidi="ar"/>
              </w:rPr>
              <w:t>8 其他业务流程</w:t>
            </w:r>
          </w:p>
        </w:tc>
        <w:tc>
          <w:tcPr>
            <w:tcW w:w="8569" w:type="dxa"/>
            <w:vAlign w:val="center"/>
          </w:tcPr>
          <w:p w14:paraId="122041DF">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知情同意书新增/修改审批 ；支持审批完成后，将格式化的知情同意书自动导入电子病历（门诊/住院）</w:t>
            </w:r>
          </w:p>
        </w:tc>
      </w:tr>
      <w:tr w14:paraId="6B3A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330CC30D">
            <w:pPr>
              <w:jc w:val="center"/>
              <w:rPr>
                <w:rFonts w:ascii="宋体" w:hAnsi="宋体" w:eastAsia="宋体" w:cs="宋体"/>
                <w:color w:val="auto"/>
                <w:sz w:val="20"/>
                <w:szCs w:val="20"/>
                <w:highlight w:val="none"/>
              </w:rPr>
            </w:pPr>
          </w:p>
        </w:tc>
        <w:tc>
          <w:tcPr>
            <w:tcW w:w="8569" w:type="dxa"/>
            <w:vAlign w:val="center"/>
          </w:tcPr>
          <w:p w14:paraId="28563692">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 xml:space="preserve">  临床路径病种及文本审批；支持审批完成后，将新增或修改的临床路径文本自动导入</w:t>
            </w:r>
            <w:r>
              <w:rPr>
                <w:rStyle w:val="30"/>
                <w:color w:val="auto"/>
                <w:highlight w:val="none"/>
                <w:lang w:bidi="ar"/>
              </w:rPr>
              <w:t>医生工作站</w:t>
            </w:r>
          </w:p>
        </w:tc>
      </w:tr>
      <w:tr w14:paraId="5531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121B11F3">
            <w:pPr>
              <w:jc w:val="center"/>
              <w:rPr>
                <w:rFonts w:ascii="宋体" w:hAnsi="宋体" w:eastAsia="宋体" w:cs="宋体"/>
                <w:color w:val="auto"/>
                <w:sz w:val="20"/>
                <w:szCs w:val="20"/>
                <w:highlight w:val="none"/>
              </w:rPr>
            </w:pPr>
          </w:p>
        </w:tc>
        <w:tc>
          <w:tcPr>
            <w:tcW w:w="8569" w:type="dxa"/>
            <w:vAlign w:val="center"/>
          </w:tcPr>
          <w:p w14:paraId="4A0C2ED9">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危急值新增及修改申请</w:t>
            </w:r>
          </w:p>
        </w:tc>
      </w:tr>
      <w:tr w14:paraId="0343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0D94F5B9">
            <w:pPr>
              <w:jc w:val="center"/>
              <w:rPr>
                <w:rFonts w:ascii="宋体" w:hAnsi="宋体" w:eastAsia="宋体" w:cs="宋体"/>
                <w:color w:val="auto"/>
                <w:sz w:val="20"/>
                <w:szCs w:val="20"/>
                <w:highlight w:val="none"/>
              </w:rPr>
            </w:pPr>
          </w:p>
        </w:tc>
        <w:tc>
          <w:tcPr>
            <w:tcW w:w="8569" w:type="dxa"/>
            <w:vAlign w:val="center"/>
          </w:tcPr>
          <w:p w14:paraId="02A53FFF">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专科及亚专科设立申请</w:t>
            </w:r>
          </w:p>
        </w:tc>
      </w:tr>
      <w:tr w14:paraId="43DB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52EC203A">
            <w:pPr>
              <w:jc w:val="center"/>
              <w:rPr>
                <w:rFonts w:ascii="宋体" w:hAnsi="宋体" w:eastAsia="宋体" w:cs="宋体"/>
                <w:color w:val="auto"/>
                <w:sz w:val="20"/>
                <w:szCs w:val="20"/>
                <w:highlight w:val="none"/>
              </w:rPr>
            </w:pPr>
          </w:p>
        </w:tc>
        <w:tc>
          <w:tcPr>
            <w:tcW w:w="8569" w:type="dxa"/>
            <w:vAlign w:val="center"/>
          </w:tcPr>
          <w:p w14:paraId="7EB23095">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专病中心设立申请</w:t>
            </w:r>
          </w:p>
        </w:tc>
      </w:tr>
      <w:tr w14:paraId="7CE1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73F55B36">
            <w:pPr>
              <w:jc w:val="center"/>
              <w:rPr>
                <w:rFonts w:ascii="宋体" w:hAnsi="宋体" w:eastAsia="宋体" w:cs="宋体"/>
                <w:color w:val="auto"/>
                <w:sz w:val="20"/>
                <w:szCs w:val="20"/>
                <w:highlight w:val="none"/>
              </w:rPr>
            </w:pPr>
          </w:p>
        </w:tc>
        <w:tc>
          <w:tcPr>
            <w:tcW w:w="8569" w:type="dxa"/>
            <w:vAlign w:val="center"/>
          </w:tcPr>
          <w:p w14:paraId="4204EAA4">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POCT项目申请及废止流程</w:t>
            </w:r>
          </w:p>
        </w:tc>
      </w:tr>
      <w:tr w14:paraId="170B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30C319AC">
            <w:pPr>
              <w:jc w:val="center"/>
              <w:rPr>
                <w:rFonts w:ascii="宋体" w:hAnsi="宋体" w:eastAsia="宋体" w:cs="宋体"/>
                <w:color w:val="auto"/>
                <w:sz w:val="20"/>
                <w:szCs w:val="20"/>
                <w:highlight w:val="none"/>
              </w:rPr>
            </w:pPr>
          </w:p>
        </w:tc>
        <w:tc>
          <w:tcPr>
            <w:tcW w:w="8569" w:type="dxa"/>
            <w:vAlign w:val="center"/>
          </w:tcPr>
          <w:p w14:paraId="435D07AC">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检验外送项目申请</w:t>
            </w:r>
          </w:p>
        </w:tc>
      </w:tr>
      <w:tr w14:paraId="18CE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1962373F">
            <w:pPr>
              <w:jc w:val="center"/>
              <w:rPr>
                <w:rFonts w:ascii="宋体" w:hAnsi="宋体" w:eastAsia="宋体" w:cs="宋体"/>
                <w:color w:val="auto"/>
                <w:sz w:val="20"/>
                <w:szCs w:val="20"/>
                <w:highlight w:val="none"/>
              </w:rPr>
            </w:pPr>
          </w:p>
        </w:tc>
        <w:tc>
          <w:tcPr>
            <w:tcW w:w="8569" w:type="dxa"/>
            <w:vAlign w:val="center"/>
          </w:tcPr>
          <w:p w14:paraId="31D86233">
            <w:pPr>
              <w:widowControl/>
              <w:textAlignment w:val="center"/>
              <w:rPr>
                <w:rFonts w:hint="eastAsia" w:ascii="Wingdings" w:hAnsi="Wingdings" w:eastAsia="宋体" w:cs="Wingdings"/>
                <w:b/>
                <w:bCs/>
                <w:color w:val="auto"/>
                <w:sz w:val="20"/>
                <w:szCs w:val="20"/>
                <w:highlight w:val="none"/>
              </w:rPr>
            </w:pPr>
            <w:r>
              <w:rPr>
                <w:rStyle w:val="41"/>
                <w:rFonts w:eastAsia="宋体"/>
                <w:color w:val="auto"/>
                <w:highlight w:val="none"/>
                <w:lang w:bidi="ar"/>
              </w:rPr>
              <w:t></w:t>
            </w:r>
            <w:r>
              <w:rPr>
                <w:rStyle w:val="42"/>
                <w:color w:val="auto"/>
                <w:highlight w:val="none"/>
                <w:lang w:bidi="ar"/>
              </w:rPr>
              <w:t>医务发文（包括相关制度、上级文件、预警信息等发送）</w:t>
            </w:r>
          </w:p>
        </w:tc>
      </w:tr>
      <w:tr w14:paraId="6B72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0B162408">
            <w:pPr>
              <w:jc w:val="center"/>
              <w:rPr>
                <w:rFonts w:ascii="宋体" w:hAnsi="宋体" w:eastAsia="宋体" w:cs="宋体"/>
                <w:color w:val="auto"/>
                <w:sz w:val="20"/>
                <w:szCs w:val="20"/>
                <w:highlight w:val="none"/>
              </w:rPr>
            </w:pPr>
          </w:p>
        </w:tc>
        <w:tc>
          <w:tcPr>
            <w:tcW w:w="8569" w:type="dxa"/>
            <w:vAlign w:val="center"/>
          </w:tcPr>
          <w:p w14:paraId="5534C972">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床位申请审批流程</w:t>
            </w:r>
          </w:p>
        </w:tc>
      </w:tr>
      <w:tr w14:paraId="5BAC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355817F2">
            <w:pPr>
              <w:jc w:val="center"/>
              <w:rPr>
                <w:rFonts w:ascii="宋体" w:hAnsi="宋体" w:eastAsia="宋体" w:cs="宋体"/>
                <w:color w:val="auto"/>
                <w:sz w:val="20"/>
                <w:szCs w:val="20"/>
                <w:highlight w:val="none"/>
              </w:rPr>
            </w:pPr>
          </w:p>
        </w:tc>
        <w:tc>
          <w:tcPr>
            <w:tcW w:w="8569" w:type="dxa"/>
            <w:vAlign w:val="center"/>
          </w:tcPr>
          <w:p w14:paraId="1D18EA00">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1"/>
                <w:color w:val="auto"/>
                <w:highlight w:val="none"/>
                <w:lang w:bidi="ar"/>
              </w:rPr>
              <w:t>延迟提交手术通知单审批；支持审批完成后，将审批结果回传到HIS手术通知单（或者科室在HIS中发出申请，推送到OA审批）</w:t>
            </w:r>
          </w:p>
        </w:tc>
      </w:tr>
      <w:tr w14:paraId="0E13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5526A5EA">
            <w:pPr>
              <w:jc w:val="center"/>
              <w:rPr>
                <w:rFonts w:ascii="宋体" w:hAnsi="宋体" w:eastAsia="宋体" w:cs="宋体"/>
                <w:color w:val="auto"/>
                <w:sz w:val="20"/>
                <w:szCs w:val="20"/>
                <w:highlight w:val="none"/>
              </w:rPr>
            </w:pPr>
          </w:p>
        </w:tc>
        <w:tc>
          <w:tcPr>
            <w:tcW w:w="8569" w:type="dxa"/>
            <w:vAlign w:val="center"/>
          </w:tcPr>
          <w:p w14:paraId="20A4326A">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门诊专科、专病新增申请</w:t>
            </w:r>
          </w:p>
        </w:tc>
      </w:tr>
      <w:tr w14:paraId="2B1F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015FE6A9">
            <w:pPr>
              <w:jc w:val="center"/>
              <w:rPr>
                <w:rFonts w:ascii="宋体" w:hAnsi="宋体" w:eastAsia="宋体" w:cs="宋体"/>
                <w:color w:val="auto"/>
                <w:sz w:val="20"/>
                <w:szCs w:val="20"/>
                <w:highlight w:val="none"/>
              </w:rPr>
            </w:pPr>
          </w:p>
        </w:tc>
        <w:tc>
          <w:tcPr>
            <w:tcW w:w="8569" w:type="dxa"/>
            <w:vAlign w:val="center"/>
          </w:tcPr>
          <w:p w14:paraId="35DBF17D">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医生门诊、互联网出诊申请</w:t>
            </w:r>
          </w:p>
        </w:tc>
      </w:tr>
      <w:tr w14:paraId="7FA7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4E03E0A2">
            <w:pPr>
              <w:jc w:val="center"/>
              <w:rPr>
                <w:rFonts w:ascii="宋体" w:hAnsi="宋体" w:eastAsia="宋体" w:cs="宋体"/>
                <w:color w:val="auto"/>
                <w:sz w:val="20"/>
                <w:szCs w:val="20"/>
                <w:highlight w:val="none"/>
              </w:rPr>
            </w:pPr>
          </w:p>
        </w:tc>
        <w:tc>
          <w:tcPr>
            <w:tcW w:w="8569" w:type="dxa"/>
            <w:vAlign w:val="center"/>
          </w:tcPr>
          <w:p w14:paraId="1D9B4910">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护理、医技、药学创新型门诊出诊申请</w:t>
            </w:r>
          </w:p>
        </w:tc>
      </w:tr>
      <w:tr w14:paraId="4590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07972CC1">
            <w:pPr>
              <w:jc w:val="center"/>
              <w:rPr>
                <w:rFonts w:ascii="宋体" w:hAnsi="宋体" w:eastAsia="宋体" w:cs="宋体"/>
                <w:color w:val="auto"/>
                <w:sz w:val="20"/>
                <w:szCs w:val="20"/>
                <w:highlight w:val="none"/>
              </w:rPr>
            </w:pPr>
          </w:p>
        </w:tc>
        <w:tc>
          <w:tcPr>
            <w:tcW w:w="8569" w:type="dxa"/>
            <w:vAlign w:val="center"/>
          </w:tcPr>
          <w:p w14:paraId="4F33F5A5">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门诊停改诊申请</w:t>
            </w:r>
          </w:p>
        </w:tc>
      </w:tr>
      <w:tr w14:paraId="5BA6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3E50B49A">
            <w:pPr>
              <w:jc w:val="center"/>
              <w:rPr>
                <w:rFonts w:ascii="宋体" w:hAnsi="宋体" w:eastAsia="宋体" w:cs="宋体"/>
                <w:color w:val="auto"/>
                <w:sz w:val="20"/>
                <w:szCs w:val="20"/>
                <w:highlight w:val="none"/>
              </w:rPr>
            </w:pPr>
          </w:p>
        </w:tc>
        <w:tc>
          <w:tcPr>
            <w:tcW w:w="8569" w:type="dxa"/>
            <w:vAlign w:val="center"/>
          </w:tcPr>
          <w:p w14:paraId="1FD8FAE6">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门诊退药申请</w:t>
            </w:r>
          </w:p>
        </w:tc>
      </w:tr>
      <w:tr w14:paraId="1442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68FF903B">
            <w:pPr>
              <w:jc w:val="center"/>
              <w:rPr>
                <w:rFonts w:ascii="宋体" w:hAnsi="宋体" w:eastAsia="宋体" w:cs="宋体"/>
                <w:color w:val="auto"/>
                <w:sz w:val="20"/>
                <w:szCs w:val="20"/>
                <w:highlight w:val="none"/>
              </w:rPr>
            </w:pPr>
          </w:p>
        </w:tc>
        <w:tc>
          <w:tcPr>
            <w:tcW w:w="8569" w:type="dxa"/>
            <w:vAlign w:val="center"/>
          </w:tcPr>
          <w:p w14:paraId="7E895897">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门急诊医疗证明盖章申请</w:t>
            </w:r>
          </w:p>
        </w:tc>
      </w:tr>
    </w:tbl>
    <w:p w14:paraId="46BA25C8">
      <w:pPr>
        <w:widowControl/>
        <w:jc w:val="both"/>
        <w:textAlignment w:val="center"/>
        <w:rPr>
          <w:rFonts w:hint="eastAsia" w:ascii="宋体" w:hAnsi="宋体" w:eastAsia="宋体" w:cs="宋体"/>
          <w:b/>
          <w:bCs/>
          <w:color w:val="auto"/>
          <w:kern w:val="0"/>
          <w:sz w:val="20"/>
          <w:szCs w:val="20"/>
          <w:highlight w:val="none"/>
          <w:lang w:bidi="ar"/>
        </w:rPr>
      </w:pPr>
    </w:p>
    <w:p w14:paraId="15ACB0CA">
      <w:pPr>
        <w:pStyle w:val="7"/>
        <w:widowControl/>
        <w:jc w:val="left"/>
        <w:textAlignment w:val="center"/>
        <w:outlineLvl w:val="1"/>
        <w:rPr>
          <w:rFonts w:hint="eastAsia"/>
          <w:highlight w:val="none"/>
        </w:rPr>
      </w:pPr>
      <w:bookmarkStart w:id="10" w:name="_Toc23672"/>
      <w:r>
        <w:rPr>
          <w:rFonts w:hint="eastAsia"/>
          <w:highlight w:val="none"/>
        </w:rPr>
        <w:t>1.</w:t>
      </w:r>
      <w:r>
        <w:rPr>
          <w:rFonts w:hint="eastAsia"/>
          <w:highlight w:val="none"/>
          <w:lang w:val="en-US" w:eastAsia="zh-CN"/>
        </w:rPr>
        <w:t>8</w:t>
      </w:r>
      <w:r>
        <w:rPr>
          <w:rFonts w:hint="eastAsia"/>
          <w:highlight w:val="none"/>
        </w:rPr>
        <w:t xml:space="preserve"> 基础</w:t>
      </w:r>
      <w:r>
        <w:rPr>
          <w:rFonts w:hint="eastAsia"/>
          <w:highlight w:val="none"/>
          <w:lang w:eastAsia="zh-CN"/>
        </w:rPr>
        <w:t>管理</w:t>
      </w:r>
      <w:r>
        <w:rPr>
          <w:rFonts w:hint="eastAsia"/>
          <w:highlight w:val="none"/>
        </w:rPr>
        <w:t>平台</w:t>
      </w:r>
      <w:bookmarkEnd w:id="10"/>
    </w:p>
    <w:tbl>
      <w:tblPr>
        <w:tblStyle w:val="20"/>
        <w:tblW w:w="10138" w:type="dxa"/>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08"/>
        <w:gridCol w:w="8569"/>
      </w:tblGrid>
      <w:tr w14:paraId="13F8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38" w:type="dxa"/>
            <w:gridSpan w:val="3"/>
            <w:shd w:val="clear" w:color="auto" w:fill="FFFF00"/>
            <w:vAlign w:val="center"/>
          </w:tcPr>
          <w:p w14:paraId="0B519645">
            <w:pPr>
              <w:widowControl/>
              <w:jc w:val="center"/>
              <w:textAlignment w:val="center"/>
              <w:rPr>
                <w:rFonts w:ascii="宋体" w:hAnsi="宋体" w:eastAsia="宋体" w:cs="宋体"/>
                <w:b/>
                <w:bCs/>
                <w:color w:val="auto"/>
                <w:sz w:val="20"/>
                <w:szCs w:val="20"/>
                <w:highlight w:val="none"/>
              </w:rPr>
            </w:pPr>
            <w:bookmarkStart w:id="11" w:name="_Toc18268"/>
            <w:r>
              <w:rPr>
                <w:rFonts w:hint="eastAsia" w:ascii="宋体" w:hAnsi="宋体" w:eastAsia="宋体" w:cs="宋体"/>
                <w:b/>
                <w:bCs/>
                <w:color w:val="auto"/>
                <w:kern w:val="0"/>
                <w:sz w:val="20"/>
                <w:szCs w:val="20"/>
                <w:highlight w:val="none"/>
                <w:lang w:bidi="ar"/>
              </w:rPr>
              <w:t>1.13 基础平台</w:t>
            </w:r>
          </w:p>
        </w:tc>
      </w:tr>
      <w:tr w14:paraId="033C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restart"/>
            <w:vAlign w:val="center"/>
          </w:tcPr>
          <w:p w14:paraId="35BA34F1">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1.8.</w:t>
            </w:r>
            <w:r>
              <w:rPr>
                <w:rStyle w:val="27"/>
                <w:rFonts w:hint="default"/>
                <w:color w:val="auto"/>
                <w:highlight w:val="none"/>
                <w:lang w:bidi="ar"/>
              </w:rPr>
              <w:t>1 工作台</w:t>
            </w:r>
          </w:p>
        </w:tc>
        <w:tc>
          <w:tcPr>
            <w:tcW w:w="808" w:type="dxa"/>
            <w:vMerge w:val="restart"/>
            <w:vAlign w:val="center"/>
          </w:tcPr>
          <w:p w14:paraId="3DA1A1F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医师结构</w:t>
            </w:r>
          </w:p>
        </w:tc>
        <w:tc>
          <w:tcPr>
            <w:tcW w:w="8569" w:type="dxa"/>
          </w:tcPr>
          <w:p w14:paraId="3CB97A1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汇总全院与科室，实时职称人数，如：主任医师、副主任医师、主治医师、住院医师、医师等；</w:t>
            </w:r>
          </w:p>
        </w:tc>
      </w:tr>
      <w:tr w14:paraId="2D1B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05ACC05">
            <w:pPr>
              <w:rPr>
                <w:rFonts w:ascii="宋体" w:hAnsi="宋体" w:eastAsia="宋体" w:cs="宋体"/>
                <w:color w:val="auto"/>
                <w:sz w:val="20"/>
                <w:szCs w:val="20"/>
                <w:highlight w:val="none"/>
              </w:rPr>
            </w:pPr>
          </w:p>
        </w:tc>
        <w:tc>
          <w:tcPr>
            <w:tcW w:w="808" w:type="dxa"/>
            <w:vMerge w:val="continue"/>
            <w:vAlign w:val="center"/>
          </w:tcPr>
          <w:p w14:paraId="214202DB">
            <w:pPr>
              <w:jc w:val="center"/>
              <w:rPr>
                <w:rFonts w:ascii="宋体" w:hAnsi="宋体" w:eastAsia="宋体" w:cs="宋体"/>
                <w:color w:val="auto"/>
                <w:sz w:val="20"/>
                <w:szCs w:val="20"/>
                <w:highlight w:val="none"/>
              </w:rPr>
            </w:pPr>
          </w:p>
        </w:tc>
        <w:tc>
          <w:tcPr>
            <w:tcW w:w="8569" w:type="dxa"/>
          </w:tcPr>
          <w:p w14:paraId="686F19D8">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实时展示本月休假、本月离职等数据；</w:t>
            </w:r>
          </w:p>
        </w:tc>
      </w:tr>
      <w:tr w14:paraId="545D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259CD84">
            <w:pPr>
              <w:rPr>
                <w:rFonts w:ascii="宋体" w:hAnsi="宋体" w:eastAsia="宋体" w:cs="宋体"/>
                <w:color w:val="auto"/>
                <w:sz w:val="20"/>
                <w:szCs w:val="20"/>
                <w:highlight w:val="none"/>
              </w:rPr>
            </w:pPr>
          </w:p>
        </w:tc>
        <w:tc>
          <w:tcPr>
            <w:tcW w:w="808" w:type="dxa"/>
            <w:vMerge w:val="continue"/>
            <w:vAlign w:val="center"/>
          </w:tcPr>
          <w:p w14:paraId="58585EF3">
            <w:pPr>
              <w:jc w:val="center"/>
              <w:rPr>
                <w:rFonts w:ascii="宋体" w:hAnsi="宋体" w:eastAsia="宋体" w:cs="宋体"/>
                <w:color w:val="auto"/>
                <w:sz w:val="20"/>
                <w:szCs w:val="20"/>
                <w:highlight w:val="none"/>
              </w:rPr>
            </w:pPr>
          </w:p>
        </w:tc>
        <w:tc>
          <w:tcPr>
            <w:tcW w:w="8569" w:type="dxa"/>
          </w:tcPr>
          <w:p w14:paraId="1125C85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饼状分析图统计全院人员分类情况，如：职称分布情况、年龄分布情况、工龄分布情况、本月休假分布情况、学历分布情况、用工形式分布情况、历年新入职医师对比情况、历年离职医师对比情况等；</w:t>
            </w:r>
          </w:p>
        </w:tc>
      </w:tr>
      <w:tr w14:paraId="2383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749D874">
            <w:pPr>
              <w:rPr>
                <w:rFonts w:ascii="宋体" w:hAnsi="宋体" w:eastAsia="宋体" w:cs="宋体"/>
                <w:color w:val="auto"/>
                <w:sz w:val="20"/>
                <w:szCs w:val="20"/>
                <w:highlight w:val="none"/>
              </w:rPr>
            </w:pPr>
          </w:p>
        </w:tc>
        <w:tc>
          <w:tcPr>
            <w:tcW w:w="808" w:type="dxa"/>
            <w:vMerge w:val="continue"/>
            <w:vAlign w:val="center"/>
          </w:tcPr>
          <w:p w14:paraId="698B0086">
            <w:pPr>
              <w:jc w:val="center"/>
              <w:rPr>
                <w:rFonts w:ascii="宋体" w:hAnsi="宋体" w:eastAsia="宋体" w:cs="宋体"/>
                <w:color w:val="auto"/>
                <w:sz w:val="20"/>
                <w:szCs w:val="20"/>
                <w:highlight w:val="none"/>
              </w:rPr>
            </w:pPr>
          </w:p>
        </w:tc>
        <w:tc>
          <w:tcPr>
            <w:tcW w:w="8569" w:type="dxa"/>
          </w:tcPr>
          <w:p w14:paraId="33B39F9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支持点击对应饼状分析图查看详情总数和各科室各项占比情况。</w:t>
            </w:r>
          </w:p>
        </w:tc>
      </w:tr>
      <w:tr w14:paraId="7402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FE9DC6C">
            <w:pPr>
              <w:rPr>
                <w:rFonts w:ascii="宋体" w:hAnsi="宋体" w:eastAsia="宋体" w:cs="宋体"/>
                <w:color w:val="auto"/>
                <w:sz w:val="20"/>
                <w:szCs w:val="20"/>
                <w:highlight w:val="none"/>
              </w:rPr>
            </w:pPr>
          </w:p>
        </w:tc>
        <w:tc>
          <w:tcPr>
            <w:tcW w:w="808" w:type="dxa"/>
            <w:vMerge w:val="continue"/>
            <w:vAlign w:val="center"/>
          </w:tcPr>
          <w:p w14:paraId="457EC827">
            <w:pPr>
              <w:jc w:val="center"/>
              <w:rPr>
                <w:rFonts w:ascii="宋体" w:hAnsi="宋体" w:eastAsia="宋体" w:cs="宋体"/>
                <w:color w:val="auto"/>
                <w:sz w:val="20"/>
                <w:szCs w:val="20"/>
                <w:highlight w:val="none"/>
              </w:rPr>
            </w:pPr>
          </w:p>
        </w:tc>
        <w:tc>
          <w:tcPr>
            <w:tcW w:w="8569" w:type="dxa"/>
          </w:tcPr>
          <w:p w14:paraId="28D792B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支持APP查看科室和全院人员情况，如：总住院医师、住院医师、主治医师、副主任医师、主任医师、休假医师、离职医师、医师职称情况、医师年龄情况、医师休假情况等。</w:t>
            </w:r>
          </w:p>
        </w:tc>
      </w:tr>
      <w:tr w14:paraId="1EBE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8041FC0">
            <w:pPr>
              <w:rPr>
                <w:rFonts w:ascii="宋体" w:hAnsi="宋体" w:eastAsia="宋体" w:cs="宋体"/>
                <w:color w:val="auto"/>
                <w:sz w:val="20"/>
                <w:szCs w:val="20"/>
                <w:highlight w:val="none"/>
              </w:rPr>
            </w:pPr>
          </w:p>
        </w:tc>
        <w:tc>
          <w:tcPr>
            <w:tcW w:w="808" w:type="dxa"/>
            <w:vMerge w:val="restart"/>
            <w:vAlign w:val="center"/>
          </w:tcPr>
          <w:p w14:paraId="1D60440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医患指标</w:t>
            </w:r>
          </w:p>
        </w:tc>
        <w:tc>
          <w:tcPr>
            <w:tcW w:w="8569" w:type="dxa"/>
          </w:tcPr>
          <w:p w14:paraId="3E174FC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支持查看全院和科室的各项人员与床位指数，如：床位使用率、医患比、今日门诊、开放床位数、在床患者、在岗医师、休假医师等；</w:t>
            </w:r>
          </w:p>
        </w:tc>
      </w:tr>
      <w:tr w14:paraId="0361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E4364BF">
            <w:pPr>
              <w:rPr>
                <w:rFonts w:ascii="宋体" w:hAnsi="宋体" w:eastAsia="宋体" w:cs="宋体"/>
                <w:color w:val="auto"/>
                <w:sz w:val="20"/>
                <w:szCs w:val="20"/>
                <w:highlight w:val="none"/>
              </w:rPr>
            </w:pPr>
          </w:p>
        </w:tc>
        <w:tc>
          <w:tcPr>
            <w:tcW w:w="808" w:type="dxa"/>
            <w:vMerge w:val="continue"/>
            <w:vAlign w:val="center"/>
          </w:tcPr>
          <w:p w14:paraId="5DD866E8">
            <w:pPr>
              <w:jc w:val="center"/>
              <w:rPr>
                <w:rFonts w:ascii="宋体" w:hAnsi="宋体" w:eastAsia="宋体" w:cs="宋体"/>
                <w:color w:val="auto"/>
                <w:sz w:val="20"/>
                <w:szCs w:val="20"/>
                <w:highlight w:val="none"/>
              </w:rPr>
            </w:pPr>
          </w:p>
        </w:tc>
        <w:tc>
          <w:tcPr>
            <w:tcW w:w="8569" w:type="dxa"/>
          </w:tcPr>
          <w:p w14:paraId="0A2C481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支持实时动态查看全院和科室的患者指标：病危、病重、特级护理、一级护理、二级护理、三级护理、今日手术、明日手术、今日出院、明日出院、今日分娩、在院超30日、一周内再入院等；</w:t>
            </w:r>
          </w:p>
        </w:tc>
      </w:tr>
      <w:tr w14:paraId="4495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E26B14D">
            <w:pPr>
              <w:rPr>
                <w:rFonts w:ascii="宋体" w:hAnsi="宋体" w:eastAsia="宋体" w:cs="宋体"/>
                <w:color w:val="auto"/>
                <w:sz w:val="20"/>
                <w:szCs w:val="20"/>
                <w:highlight w:val="none"/>
              </w:rPr>
            </w:pPr>
          </w:p>
        </w:tc>
        <w:tc>
          <w:tcPr>
            <w:tcW w:w="808" w:type="dxa"/>
            <w:vMerge w:val="continue"/>
            <w:vAlign w:val="center"/>
          </w:tcPr>
          <w:p w14:paraId="46CA45EF">
            <w:pPr>
              <w:jc w:val="center"/>
              <w:rPr>
                <w:rFonts w:ascii="宋体" w:hAnsi="宋体" w:eastAsia="宋体" w:cs="宋体"/>
                <w:color w:val="auto"/>
                <w:sz w:val="20"/>
                <w:szCs w:val="20"/>
                <w:highlight w:val="none"/>
              </w:rPr>
            </w:pPr>
          </w:p>
        </w:tc>
        <w:tc>
          <w:tcPr>
            <w:tcW w:w="8569" w:type="dxa"/>
          </w:tcPr>
          <w:p w14:paraId="7AF37A3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支持住院患者指标和门诊患者动态实时详情展示、打印、导出；</w:t>
            </w:r>
          </w:p>
        </w:tc>
      </w:tr>
      <w:tr w14:paraId="44D8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47F1513">
            <w:pPr>
              <w:rPr>
                <w:rFonts w:ascii="宋体" w:hAnsi="宋体" w:eastAsia="宋体" w:cs="宋体"/>
                <w:color w:val="auto"/>
                <w:sz w:val="20"/>
                <w:szCs w:val="20"/>
                <w:highlight w:val="none"/>
              </w:rPr>
            </w:pPr>
          </w:p>
        </w:tc>
        <w:tc>
          <w:tcPr>
            <w:tcW w:w="808" w:type="dxa"/>
            <w:vMerge w:val="continue"/>
            <w:vAlign w:val="center"/>
          </w:tcPr>
          <w:p w14:paraId="2823C4D4">
            <w:pPr>
              <w:jc w:val="center"/>
              <w:rPr>
                <w:rFonts w:ascii="宋体" w:hAnsi="宋体" w:eastAsia="宋体" w:cs="宋体"/>
                <w:color w:val="auto"/>
                <w:sz w:val="20"/>
                <w:szCs w:val="20"/>
                <w:highlight w:val="none"/>
              </w:rPr>
            </w:pPr>
          </w:p>
        </w:tc>
        <w:tc>
          <w:tcPr>
            <w:tcW w:w="8569" w:type="dxa"/>
          </w:tcPr>
          <w:p w14:paraId="2609953F">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可自定义全院预计执业证到期人员汇总提醒，如：放射工作人员证、辐射证等，提前10日、30日、60日、90日、180日等提前进行到期预警，并支持查看明细；</w:t>
            </w:r>
          </w:p>
        </w:tc>
      </w:tr>
      <w:tr w14:paraId="31C2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2B296AB">
            <w:pPr>
              <w:rPr>
                <w:rFonts w:ascii="宋体" w:hAnsi="宋体" w:eastAsia="宋体" w:cs="宋体"/>
                <w:color w:val="auto"/>
                <w:sz w:val="20"/>
                <w:szCs w:val="20"/>
                <w:highlight w:val="none"/>
              </w:rPr>
            </w:pPr>
          </w:p>
        </w:tc>
        <w:tc>
          <w:tcPr>
            <w:tcW w:w="808" w:type="dxa"/>
            <w:vMerge w:val="continue"/>
            <w:vAlign w:val="center"/>
          </w:tcPr>
          <w:p w14:paraId="58A55533">
            <w:pPr>
              <w:jc w:val="center"/>
              <w:rPr>
                <w:rFonts w:ascii="宋体" w:hAnsi="宋体" w:eastAsia="宋体" w:cs="宋体"/>
                <w:color w:val="auto"/>
                <w:sz w:val="20"/>
                <w:szCs w:val="20"/>
                <w:highlight w:val="none"/>
              </w:rPr>
            </w:pPr>
          </w:p>
        </w:tc>
        <w:tc>
          <w:tcPr>
            <w:tcW w:w="8569" w:type="dxa"/>
          </w:tcPr>
          <w:p w14:paraId="5E25B3A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 xml:space="preserve">  医疗预警上报提醒，可自定义设置，如：死亡案例上报预警、重大手术上报预警、非计划再次手术预警、再次入院30日上报预警、再次入院10日上报预警、危重患者上报、住院超期30日预警、住院超期60日预警等；</w:t>
            </w:r>
          </w:p>
        </w:tc>
      </w:tr>
      <w:tr w14:paraId="3461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33AA93B">
            <w:pPr>
              <w:rPr>
                <w:rFonts w:ascii="宋体" w:hAnsi="宋体" w:eastAsia="宋体" w:cs="宋体"/>
                <w:color w:val="auto"/>
                <w:sz w:val="20"/>
                <w:szCs w:val="20"/>
                <w:highlight w:val="none"/>
              </w:rPr>
            </w:pPr>
          </w:p>
        </w:tc>
        <w:tc>
          <w:tcPr>
            <w:tcW w:w="808" w:type="dxa"/>
            <w:vMerge w:val="continue"/>
            <w:vAlign w:val="center"/>
          </w:tcPr>
          <w:p w14:paraId="067BAC6D">
            <w:pPr>
              <w:jc w:val="center"/>
              <w:rPr>
                <w:rFonts w:ascii="宋体" w:hAnsi="宋体" w:eastAsia="宋体" w:cs="宋体"/>
                <w:color w:val="auto"/>
                <w:sz w:val="20"/>
                <w:szCs w:val="20"/>
                <w:highlight w:val="none"/>
              </w:rPr>
            </w:pPr>
          </w:p>
        </w:tc>
        <w:tc>
          <w:tcPr>
            <w:tcW w:w="8569" w:type="dxa"/>
          </w:tcPr>
          <w:p w14:paraId="4C3E682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全院医师排班月出勤柱状分析图，并支持下载；</w:t>
            </w:r>
          </w:p>
        </w:tc>
      </w:tr>
      <w:tr w14:paraId="27B8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1F512BC">
            <w:pPr>
              <w:rPr>
                <w:rFonts w:ascii="宋体" w:hAnsi="宋体" w:eastAsia="宋体" w:cs="宋体"/>
                <w:color w:val="auto"/>
                <w:sz w:val="20"/>
                <w:szCs w:val="20"/>
                <w:highlight w:val="none"/>
              </w:rPr>
            </w:pPr>
          </w:p>
        </w:tc>
        <w:tc>
          <w:tcPr>
            <w:tcW w:w="808" w:type="dxa"/>
            <w:vMerge w:val="continue"/>
            <w:vAlign w:val="center"/>
          </w:tcPr>
          <w:p w14:paraId="5D014C89">
            <w:pPr>
              <w:jc w:val="center"/>
              <w:rPr>
                <w:rFonts w:ascii="宋体" w:hAnsi="宋体" w:eastAsia="宋体" w:cs="宋体"/>
                <w:color w:val="auto"/>
                <w:sz w:val="20"/>
                <w:szCs w:val="20"/>
                <w:highlight w:val="none"/>
              </w:rPr>
            </w:pPr>
          </w:p>
        </w:tc>
        <w:tc>
          <w:tcPr>
            <w:tcW w:w="8569" w:type="dxa"/>
          </w:tcPr>
          <w:p w14:paraId="3FD632D9">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提供全院医师年资分析，并支持下载；</w:t>
            </w:r>
          </w:p>
        </w:tc>
      </w:tr>
      <w:tr w14:paraId="5EEF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4E97F57">
            <w:pPr>
              <w:rPr>
                <w:rFonts w:ascii="宋体" w:hAnsi="宋体" w:eastAsia="宋体" w:cs="宋体"/>
                <w:color w:val="auto"/>
                <w:sz w:val="20"/>
                <w:szCs w:val="20"/>
                <w:highlight w:val="none"/>
              </w:rPr>
            </w:pPr>
          </w:p>
        </w:tc>
        <w:tc>
          <w:tcPr>
            <w:tcW w:w="808" w:type="dxa"/>
            <w:vMerge w:val="continue"/>
            <w:vAlign w:val="center"/>
          </w:tcPr>
          <w:p w14:paraId="5D3AB477">
            <w:pPr>
              <w:jc w:val="center"/>
              <w:rPr>
                <w:rFonts w:ascii="宋体" w:hAnsi="宋体" w:eastAsia="宋体" w:cs="宋体"/>
                <w:color w:val="auto"/>
                <w:sz w:val="20"/>
                <w:szCs w:val="20"/>
                <w:highlight w:val="none"/>
              </w:rPr>
            </w:pPr>
          </w:p>
        </w:tc>
        <w:tc>
          <w:tcPr>
            <w:tcW w:w="8569" w:type="dxa"/>
          </w:tcPr>
          <w:p w14:paraId="3A4160C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支持在APP中查看病区患者情况如：我的患者、科室患者、会诊患者、病危、病重、特护、一护、二护、今日手术、明日手术、今日入院、今日出院、今日转科、今日分娩等。</w:t>
            </w:r>
          </w:p>
        </w:tc>
      </w:tr>
      <w:tr w14:paraId="7DA7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975A5B1">
            <w:pPr>
              <w:rPr>
                <w:rFonts w:ascii="宋体" w:hAnsi="宋体" w:eastAsia="宋体" w:cs="宋体"/>
                <w:color w:val="auto"/>
                <w:sz w:val="20"/>
                <w:szCs w:val="20"/>
                <w:highlight w:val="none"/>
              </w:rPr>
            </w:pPr>
          </w:p>
        </w:tc>
        <w:tc>
          <w:tcPr>
            <w:tcW w:w="808" w:type="dxa"/>
            <w:vMerge w:val="continue"/>
            <w:vAlign w:val="center"/>
          </w:tcPr>
          <w:p w14:paraId="0A37BD14">
            <w:pPr>
              <w:jc w:val="center"/>
              <w:rPr>
                <w:rFonts w:ascii="宋体" w:hAnsi="宋体" w:eastAsia="宋体" w:cs="宋体"/>
                <w:color w:val="auto"/>
                <w:sz w:val="20"/>
                <w:szCs w:val="20"/>
                <w:highlight w:val="none"/>
              </w:rPr>
            </w:pPr>
          </w:p>
        </w:tc>
        <w:tc>
          <w:tcPr>
            <w:tcW w:w="8569" w:type="dxa"/>
          </w:tcPr>
          <w:p w14:paraId="2AFD23D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 xml:space="preserve"> </w:t>
            </w:r>
          </w:p>
        </w:tc>
      </w:tr>
      <w:tr w14:paraId="79E5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A8891F1">
            <w:pPr>
              <w:rPr>
                <w:rFonts w:ascii="宋体" w:hAnsi="宋体" w:eastAsia="宋体" w:cs="宋体"/>
                <w:color w:val="auto"/>
                <w:sz w:val="20"/>
                <w:szCs w:val="20"/>
                <w:highlight w:val="none"/>
              </w:rPr>
            </w:pPr>
          </w:p>
        </w:tc>
        <w:tc>
          <w:tcPr>
            <w:tcW w:w="808" w:type="dxa"/>
            <w:vMerge w:val="restart"/>
            <w:vAlign w:val="center"/>
          </w:tcPr>
          <w:p w14:paraId="4F2CED1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医师动态</w:t>
            </w:r>
          </w:p>
        </w:tc>
        <w:tc>
          <w:tcPr>
            <w:tcW w:w="8569" w:type="dxa"/>
          </w:tcPr>
          <w:p w14:paraId="1CF31BC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查看现有科室医师分布详情明细汇总表，如：科室总人数、科室主任、全院医师、在编医师、合同工、当前在岗情况、外援人员、被援人员、休假中、调出人员、辞退人员、辞职人员、退休人员、临时人员等名单；</w:t>
            </w:r>
          </w:p>
        </w:tc>
      </w:tr>
      <w:tr w14:paraId="11C2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26C722B">
            <w:pPr>
              <w:rPr>
                <w:rFonts w:ascii="宋体" w:hAnsi="宋体" w:eastAsia="宋体" w:cs="宋体"/>
                <w:color w:val="auto"/>
                <w:sz w:val="20"/>
                <w:szCs w:val="20"/>
                <w:highlight w:val="none"/>
              </w:rPr>
            </w:pPr>
          </w:p>
        </w:tc>
        <w:tc>
          <w:tcPr>
            <w:tcW w:w="808" w:type="dxa"/>
            <w:vMerge w:val="continue"/>
            <w:vAlign w:val="center"/>
          </w:tcPr>
          <w:p w14:paraId="39688CBC">
            <w:pPr>
              <w:jc w:val="center"/>
              <w:rPr>
                <w:rFonts w:ascii="宋体" w:hAnsi="宋体" w:eastAsia="宋体" w:cs="宋体"/>
                <w:color w:val="auto"/>
                <w:sz w:val="20"/>
                <w:szCs w:val="20"/>
                <w:highlight w:val="none"/>
              </w:rPr>
            </w:pPr>
          </w:p>
        </w:tc>
        <w:tc>
          <w:tcPr>
            <w:tcW w:w="8569" w:type="dxa"/>
          </w:tcPr>
          <w:p w14:paraId="122C96A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支持职称、层级等自定义显示隐藏，控制表单呈现的内容；</w:t>
            </w:r>
          </w:p>
        </w:tc>
      </w:tr>
      <w:tr w14:paraId="5976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2A5D658">
            <w:pPr>
              <w:rPr>
                <w:rFonts w:ascii="宋体" w:hAnsi="宋体" w:eastAsia="宋体" w:cs="宋体"/>
                <w:color w:val="auto"/>
                <w:sz w:val="20"/>
                <w:szCs w:val="20"/>
                <w:highlight w:val="none"/>
              </w:rPr>
            </w:pPr>
          </w:p>
        </w:tc>
        <w:tc>
          <w:tcPr>
            <w:tcW w:w="808" w:type="dxa"/>
            <w:vMerge w:val="continue"/>
            <w:vAlign w:val="center"/>
          </w:tcPr>
          <w:p w14:paraId="685A4E50">
            <w:pPr>
              <w:jc w:val="center"/>
              <w:rPr>
                <w:rFonts w:ascii="宋体" w:hAnsi="宋体" w:eastAsia="宋体" w:cs="宋体"/>
                <w:color w:val="auto"/>
                <w:sz w:val="20"/>
                <w:szCs w:val="20"/>
                <w:highlight w:val="none"/>
              </w:rPr>
            </w:pPr>
          </w:p>
        </w:tc>
        <w:tc>
          <w:tcPr>
            <w:tcW w:w="8569" w:type="dxa"/>
          </w:tcPr>
          <w:p w14:paraId="2F4822A2">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支持查询历史数据。</w:t>
            </w:r>
          </w:p>
        </w:tc>
      </w:tr>
      <w:tr w14:paraId="3081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vAlign w:val="center"/>
          </w:tcPr>
          <w:p w14:paraId="6EED861A">
            <w:pPr>
              <w:rPr>
                <w:rFonts w:ascii="宋体" w:hAnsi="宋体" w:eastAsia="宋体" w:cs="宋体"/>
                <w:color w:val="auto"/>
                <w:sz w:val="20"/>
                <w:szCs w:val="20"/>
                <w:highlight w:val="none"/>
              </w:rPr>
            </w:pPr>
          </w:p>
        </w:tc>
        <w:tc>
          <w:tcPr>
            <w:tcW w:w="808" w:type="dxa"/>
            <w:vMerge w:val="restart"/>
            <w:vAlign w:val="center"/>
          </w:tcPr>
          <w:p w14:paraId="46526B26">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医生资质</w:t>
            </w:r>
          </w:p>
        </w:tc>
        <w:tc>
          <w:tcPr>
            <w:tcW w:w="8569" w:type="dxa"/>
          </w:tcPr>
          <w:p w14:paraId="205FC7E6">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全院手术明细统计柱状分析图，并按手术层级进行分析，支持下载；</w:t>
            </w:r>
          </w:p>
        </w:tc>
      </w:tr>
      <w:tr w14:paraId="430F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17314C4">
            <w:pPr>
              <w:rPr>
                <w:rFonts w:ascii="宋体" w:hAnsi="宋体" w:eastAsia="宋体" w:cs="宋体"/>
                <w:color w:val="auto"/>
                <w:sz w:val="20"/>
                <w:szCs w:val="20"/>
                <w:highlight w:val="none"/>
              </w:rPr>
            </w:pPr>
          </w:p>
        </w:tc>
        <w:tc>
          <w:tcPr>
            <w:tcW w:w="808" w:type="dxa"/>
            <w:vMerge w:val="continue"/>
            <w:vAlign w:val="center"/>
          </w:tcPr>
          <w:p w14:paraId="221DB40F">
            <w:pPr>
              <w:jc w:val="center"/>
              <w:rPr>
                <w:rFonts w:ascii="宋体" w:hAnsi="宋体" w:eastAsia="宋体" w:cs="宋体"/>
                <w:color w:val="auto"/>
                <w:sz w:val="20"/>
                <w:szCs w:val="20"/>
                <w:highlight w:val="none"/>
              </w:rPr>
            </w:pPr>
          </w:p>
        </w:tc>
        <w:tc>
          <w:tcPr>
            <w:tcW w:w="8569" w:type="dxa"/>
          </w:tcPr>
          <w:p w14:paraId="1495C9D4">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全院高风险诊疗技术统计柱状分析图，并按非限制类医疗技术、限制类医疗技术、禁止类医疗技术进行分析，支持下载；</w:t>
            </w:r>
          </w:p>
        </w:tc>
      </w:tr>
      <w:tr w14:paraId="093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727662B">
            <w:pPr>
              <w:rPr>
                <w:rFonts w:ascii="宋体" w:hAnsi="宋体" w:eastAsia="宋体" w:cs="宋体"/>
                <w:color w:val="auto"/>
                <w:sz w:val="20"/>
                <w:szCs w:val="20"/>
                <w:highlight w:val="none"/>
              </w:rPr>
            </w:pPr>
          </w:p>
        </w:tc>
        <w:tc>
          <w:tcPr>
            <w:tcW w:w="808" w:type="dxa"/>
            <w:vMerge w:val="continue"/>
            <w:vAlign w:val="center"/>
          </w:tcPr>
          <w:p w14:paraId="23D977C4">
            <w:pPr>
              <w:jc w:val="center"/>
              <w:rPr>
                <w:rFonts w:ascii="宋体" w:hAnsi="宋体" w:eastAsia="宋体" w:cs="宋体"/>
                <w:color w:val="auto"/>
                <w:sz w:val="20"/>
                <w:szCs w:val="20"/>
                <w:highlight w:val="none"/>
              </w:rPr>
            </w:pPr>
          </w:p>
        </w:tc>
        <w:tc>
          <w:tcPr>
            <w:tcW w:w="8569" w:type="dxa"/>
          </w:tcPr>
          <w:p w14:paraId="308B3A90">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全院麻醉授权统计柱状分析图，并按麻醉医师级别、可开展匹配手术级别麻醉操作人数、匹配ASA分级人数比例进行分析，支持下载；</w:t>
            </w:r>
          </w:p>
        </w:tc>
      </w:tr>
      <w:tr w14:paraId="5E68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AE8D931">
            <w:pPr>
              <w:rPr>
                <w:rFonts w:ascii="宋体" w:hAnsi="宋体" w:eastAsia="宋体" w:cs="宋体"/>
                <w:color w:val="auto"/>
                <w:sz w:val="20"/>
                <w:szCs w:val="20"/>
                <w:highlight w:val="none"/>
              </w:rPr>
            </w:pPr>
          </w:p>
        </w:tc>
        <w:tc>
          <w:tcPr>
            <w:tcW w:w="808" w:type="dxa"/>
            <w:vMerge w:val="continue"/>
            <w:vAlign w:val="center"/>
          </w:tcPr>
          <w:p w14:paraId="0775F787">
            <w:pPr>
              <w:jc w:val="center"/>
              <w:rPr>
                <w:rFonts w:ascii="宋体" w:hAnsi="宋体" w:eastAsia="宋体" w:cs="宋体"/>
                <w:color w:val="auto"/>
                <w:sz w:val="20"/>
                <w:szCs w:val="20"/>
                <w:highlight w:val="none"/>
              </w:rPr>
            </w:pPr>
          </w:p>
        </w:tc>
        <w:tc>
          <w:tcPr>
            <w:tcW w:w="8569" w:type="dxa"/>
          </w:tcPr>
          <w:p w14:paraId="4D72869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全院处方权资质统计分析图，支持下载；</w:t>
            </w:r>
          </w:p>
        </w:tc>
      </w:tr>
      <w:tr w14:paraId="1ED0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1AE0834">
            <w:pPr>
              <w:rPr>
                <w:rFonts w:ascii="宋体" w:hAnsi="宋体" w:eastAsia="宋体" w:cs="宋体"/>
                <w:color w:val="auto"/>
                <w:sz w:val="20"/>
                <w:szCs w:val="20"/>
                <w:highlight w:val="none"/>
              </w:rPr>
            </w:pPr>
          </w:p>
        </w:tc>
        <w:tc>
          <w:tcPr>
            <w:tcW w:w="808" w:type="dxa"/>
            <w:vMerge w:val="continue"/>
            <w:vAlign w:val="center"/>
          </w:tcPr>
          <w:p w14:paraId="1291E146">
            <w:pPr>
              <w:jc w:val="center"/>
              <w:rPr>
                <w:rFonts w:ascii="宋体" w:hAnsi="宋体" w:eastAsia="宋体" w:cs="宋体"/>
                <w:color w:val="auto"/>
                <w:sz w:val="20"/>
                <w:szCs w:val="20"/>
                <w:highlight w:val="none"/>
              </w:rPr>
            </w:pPr>
          </w:p>
        </w:tc>
        <w:tc>
          <w:tcPr>
            <w:tcW w:w="8569" w:type="dxa"/>
          </w:tcPr>
          <w:p w14:paraId="15B7E5B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全院会诊医师资质统计分析图，支持下载；</w:t>
            </w:r>
          </w:p>
        </w:tc>
      </w:tr>
      <w:tr w14:paraId="7488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2B755BF">
            <w:pPr>
              <w:rPr>
                <w:rFonts w:ascii="宋体" w:hAnsi="宋体" w:eastAsia="宋体" w:cs="宋体"/>
                <w:color w:val="auto"/>
                <w:sz w:val="20"/>
                <w:szCs w:val="20"/>
                <w:highlight w:val="none"/>
              </w:rPr>
            </w:pPr>
          </w:p>
        </w:tc>
        <w:tc>
          <w:tcPr>
            <w:tcW w:w="808" w:type="dxa"/>
            <w:vMerge w:val="restart"/>
            <w:vAlign w:val="center"/>
          </w:tcPr>
          <w:p w14:paraId="0988536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床位管理</w:t>
            </w:r>
          </w:p>
        </w:tc>
        <w:tc>
          <w:tcPr>
            <w:tcW w:w="8569" w:type="dxa"/>
          </w:tcPr>
          <w:p w14:paraId="48740A8F">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全院、各病区、各专科的床位可视化视图，查询各病区、各专科床位详情</w:t>
            </w:r>
          </w:p>
        </w:tc>
      </w:tr>
      <w:tr w14:paraId="1078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73FF065">
            <w:pPr>
              <w:rPr>
                <w:rFonts w:ascii="宋体" w:hAnsi="宋体" w:eastAsia="宋体" w:cs="宋体"/>
                <w:color w:val="auto"/>
                <w:sz w:val="20"/>
                <w:szCs w:val="20"/>
                <w:highlight w:val="none"/>
              </w:rPr>
            </w:pPr>
          </w:p>
        </w:tc>
        <w:tc>
          <w:tcPr>
            <w:tcW w:w="808" w:type="dxa"/>
            <w:vMerge w:val="continue"/>
            <w:vAlign w:val="center"/>
          </w:tcPr>
          <w:p w14:paraId="7F37EA3A">
            <w:pPr>
              <w:jc w:val="center"/>
              <w:rPr>
                <w:rFonts w:ascii="宋体" w:hAnsi="宋体" w:eastAsia="宋体" w:cs="宋体"/>
                <w:color w:val="auto"/>
                <w:sz w:val="20"/>
                <w:szCs w:val="20"/>
                <w:highlight w:val="none"/>
              </w:rPr>
            </w:pPr>
          </w:p>
        </w:tc>
        <w:tc>
          <w:tcPr>
            <w:tcW w:w="8569" w:type="dxa"/>
          </w:tcPr>
          <w:p w14:paraId="7E4EAC40">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查询全院、各病区、各专科的开放床位的数量及分布（额定床位、房内加床、日间等）</w:t>
            </w:r>
          </w:p>
        </w:tc>
      </w:tr>
      <w:tr w14:paraId="4E47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2A1363E">
            <w:pPr>
              <w:rPr>
                <w:rFonts w:ascii="宋体" w:hAnsi="宋体" w:eastAsia="宋体" w:cs="宋体"/>
                <w:color w:val="auto"/>
                <w:sz w:val="20"/>
                <w:szCs w:val="20"/>
                <w:highlight w:val="none"/>
              </w:rPr>
            </w:pPr>
          </w:p>
        </w:tc>
        <w:tc>
          <w:tcPr>
            <w:tcW w:w="808" w:type="dxa"/>
            <w:vMerge w:val="continue"/>
            <w:vAlign w:val="center"/>
          </w:tcPr>
          <w:p w14:paraId="7FD12D97">
            <w:pPr>
              <w:jc w:val="center"/>
              <w:rPr>
                <w:rFonts w:ascii="宋体" w:hAnsi="宋体" w:eastAsia="宋体" w:cs="宋体"/>
                <w:color w:val="auto"/>
                <w:sz w:val="20"/>
                <w:szCs w:val="20"/>
                <w:highlight w:val="none"/>
              </w:rPr>
            </w:pPr>
          </w:p>
        </w:tc>
        <w:tc>
          <w:tcPr>
            <w:tcW w:w="8569" w:type="dxa"/>
          </w:tcPr>
          <w:p w14:paraId="103621C4">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查询全院、各病区、各专科的空床列表，预出院列表、预留床位列表、在院床位列表</w:t>
            </w:r>
          </w:p>
        </w:tc>
      </w:tr>
      <w:tr w14:paraId="546C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3B0CE56">
            <w:pPr>
              <w:rPr>
                <w:rFonts w:ascii="宋体" w:hAnsi="宋体" w:eastAsia="宋体" w:cs="宋体"/>
                <w:color w:val="auto"/>
                <w:sz w:val="20"/>
                <w:szCs w:val="20"/>
                <w:highlight w:val="none"/>
              </w:rPr>
            </w:pPr>
          </w:p>
        </w:tc>
        <w:tc>
          <w:tcPr>
            <w:tcW w:w="808" w:type="dxa"/>
            <w:vMerge w:val="continue"/>
            <w:vAlign w:val="center"/>
          </w:tcPr>
          <w:p w14:paraId="553070B0">
            <w:pPr>
              <w:jc w:val="center"/>
              <w:rPr>
                <w:rFonts w:ascii="宋体" w:hAnsi="宋体" w:eastAsia="宋体" w:cs="宋体"/>
                <w:color w:val="auto"/>
                <w:sz w:val="20"/>
                <w:szCs w:val="20"/>
                <w:highlight w:val="none"/>
              </w:rPr>
            </w:pPr>
          </w:p>
        </w:tc>
        <w:tc>
          <w:tcPr>
            <w:tcW w:w="8569" w:type="dxa"/>
          </w:tcPr>
          <w:p w14:paraId="12A935D9">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查询全院、各病区、各专科的不同类型床位的数量及分布（普通床、监护床、保健床位、儿童床、移植仓、负压病房等）</w:t>
            </w:r>
          </w:p>
        </w:tc>
      </w:tr>
      <w:tr w14:paraId="2A1B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A05871B">
            <w:pPr>
              <w:rPr>
                <w:rFonts w:ascii="宋体" w:hAnsi="宋体" w:eastAsia="宋体" w:cs="宋体"/>
                <w:color w:val="auto"/>
                <w:sz w:val="20"/>
                <w:szCs w:val="20"/>
                <w:highlight w:val="none"/>
              </w:rPr>
            </w:pPr>
          </w:p>
        </w:tc>
        <w:tc>
          <w:tcPr>
            <w:tcW w:w="808" w:type="dxa"/>
            <w:vMerge w:val="continue"/>
            <w:vAlign w:val="center"/>
          </w:tcPr>
          <w:p w14:paraId="718E15D6">
            <w:pPr>
              <w:jc w:val="center"/>
              <w:rPr>
                <w:rFonts w:ascii="宋体" w:hAnsi="宋体" w:eastAsia="宋体" w:cs="宋体"/>
                <w:color w:val="auto"/>
                <w:sz w:val="20"/>
                <w:szCs w:val="20"/>
                <w:highlight w:val="none"/>
              </w:rPr>
            </w:pPr>
          </w:p>
        </w:tc>
        <w:tc>
          <w:tcPr>
            <w:tcW w:w="8569" w:type="dxa"/>
          </w:tcPr>
          <w:p w14:paraId="251B63A4">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查询全院、各病区、各专科的不同房间床位的数量及分布（套间、单人间、双人间、三人间、多人间、日间等）</w:t>
            </w:r>
          </w:p>
        </w:tc>
      </w:tr>
      <w:tr w14:paraId="753E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E9C0FD8">
            <w:pPr>
              <w:rPr>
                <w:rFonts w:ascii="宋体" w:hAnsi="宋体" w:eastAsia="宋体" w:cs="宋体"/>
                <w:color w:val="auto"/>
                <w:sz w:val="20"/>
                <w:szCs w:val="20"/>
                <w:highlight w:val="none"/>
              </w:rPr>
            </w:pPr>
          </w:p>
        </w:tc>
        <w:tc>
          <w:tcPr>
            <w:tcW w:w="808" w:type="dxa"/>
            <w:vMerge w:val="continue"/>
            <w:vAlign w:val="center"/>
          </w:tcPr>
          <w:p w14:paraId="3356015C">
            <w:pPr>
              <w:jc w:val="center"/>
              <w:rPr>
                <w:rFonts w:ascii="宋体" w:hAnsi="宋体" w:eastAsia="宋体" w:cs="宋体"/>
                <w:color w:val="auto"/>
                <w:sz w:val="20"/>
                <w:szCs w:val="20"/>
                <w:highlight w:val="none"/>
              </w:rPr>
            </w:pPr>
          </w:p>
        </w:tc>
        <w:tc>
          <w:tcPr>
            <w:tcW w:w="8569" w:type="dxa"/>
          </w:tcPr>
          <w:p w14:paraId="2DD05C70">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查询全院、各病区、各专科的不同种情况床位的数量及分布（隔离床、多耐床、损坏床、不可用床等）</w:t>
            </w:r>
          </w:p>
        </w:tc>
      </w:tr>
      <w:tr w14:paraId="02EE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restart"/>
            <w:vAlign w:val="center"/>
          </w:tcPr>
          <w:p w14:paraId="2B561531">
            <w:pPr>
              <w:widowControl/>
              <w:textAlignment w:val="center"/>
              <w:rPr>
                <w:rFonts w:ascii="宋体" w:hAnsi="宋体" w:eastAsia="宋体" w:cs="宋体"/>
                <w:color w:val="auto"/>
                <w:sz w:val="20"/>
                <w:szCs w:val="20"/>
                <w:highlight w:val="none"/>
              </w:rPr>
            </w:pPr>
            <w:r>
              <w:rPr>
                <w:rStyle w:val="27"/>
                <w:rFonts w:hint="default"/>
                <w:color w:val="auto"/>
                <w:highlight w:val="none"/>
                <w:lang w:bidi="ar"/>
              </w:rPr>
              <w:t>1.</w:t>
            </w:r>
            <w:r>
              <w:rPr>
                <w:rStyle w:val="27"/>
                <w:rFonts w:hint="eastAsia" w:eastAsia="宋体"/>
                <w:color w:val="auto"/>
                <w:highlight w:val="none"/>
                <w:lang w:val="en-US" w:eastAsia="zh-CN" w:bidi="ar"/>
              </w:rPr>
              <w:t>8.</w:t>
            </w:r>
            <w:r>
              <w:rPr>
                <w:rStyle w:val="27"/>
                <w:rFonts w:hint="default"/>
                <w:color w:val="auto"/>
                <w:highlight w:val="none"/>
                <w:lang w:bidi="ar"/>
              </w:rPr>
              <w:t>2 消息管理</w:t>
            </w:r>
          </w:p>
        </w:tc>
        <w:tc>
          <w:tcPr>
            <w:tcW w:w="808" w:type="dxa"/>
            <w:vMerge w:val="restart"/>
            <w:vAlign w:val="center"/>
          </w:tcPr>
          <w:p w14:paraId="48D32F08">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通知管理</w:t>
            </w:r>
          </w:p>
        </w:tc>
        <w:tc>
          <w:tcPr>
            <w:tcW w:w="8569" w:type="dxa"/>
            <w:vAlign w:val="center"/>
          </w:tcPr>
          <w:p w14:paraId="27BD7DB7">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可对院内通知和科内通知进行区分统计、查询；</w:t>
            </w:r>
          </w:p>
        </w:tc>
      </w:tr>
      <w:tr w14:paraId="35BE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3571E62">
            <w:pPr>
              <w:rPr>
                <w:rFonts w:ascii="宋体" w:hAnsi="宋体" w:eastAsia="宋体" w:cs="宋体"/>
                <w:color w:val="auto"/>
                <w:sz w:val="20"/>
                <w:szCs w:val="20"/>
                <w:highlight w:val="none"/>
              </w:rPr>
            </w:pPr>
          </w:p>
        </w:tc>
        <w:tc>
          <w:tcPr>
            <w:tcW w:w="808" w:type="dxa"/>
            <w:vMerge w:val="continue"/>
            <w:vAlign w:val="center"/>
          </w:tcPr>
          <w:p w14:paraId="5DD46721">
            <w:pPr>
              <w:jc w:val="center"/>
              <w:rPr>
                <w:rFonts w:ascii="宋体" w:hAnsi="宋体" w:eastAsia="宋体" w:cs="宋体"/>
                <w:color w:val="auto"/>
                <w:sz w:val="20"/>
                <w:szCs w:val="20"/>
                <w:highlight w:val="none"/>
              </w:rPr>
            </w:pPr>
          </w:p>
        </w:tc>
        <w:tc>
          <w:tcPr>
            <w:tcW w:w="8569" w:type="dxa"/>
            <w:vAlign w:val="center"/>
          </w:tcPr>
          <w:p w14:paraId="03F02E90">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发布通知，编写通知标题、正文、附件；</w:t>
            </w:r>
          </w:p>
        </w:tc>
      </w:tr>
      <w:tr w14:paraId="1C5F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7A02B96">
            <w:pPr>
              <w:rPr>
                <w:rFonts w:ascii="宋体" w:hAnsi="宋体" w:eastAsia="宋体" w:cs="宋体"/>
                <w:color w:val="auto"/>
                <w:sz w:val="20"/>
                <w:szCs w:val="20"/>
                <w:highlight w:val="none"/>
              </w:rPr>
            </w:pPr>
          </w:p>
        </w:tc>
        <w:tc>
          <w:tcPr>
            <w:tcW w:w="808" w:type="dxa"/>
            <w:vMerge w:val="continue"/>
            <w:vAlign w:val="center"/>
          </w:tcPr>
          <w:p w14:paraId="2C8C51F5">
            <w:pPr>
              <w:jc w:val="center"/>
              <w:rPr>
                <w:rFonts w:ascii="宋体" w:hAnsi="宋体" w:eastAsia="宋体" w:cs="宋体"/>
                <w:color w:val="auto"/>
                <w:sz w:val="20"/>
                <w:szCs w:val="20"/>
                <w:highlight w:val="none"/>
              </w:rPr>
            </w:pPr>
          </w:p>
        </w:tc>
        <w:tc>
          <w:tcPr>
            <w:tcW w:w="8569" w:type="dxa"/>
            <w:vAlign w:val="center"/>
          </w:tcPr>
          <w:p w14:paraId="26CAC210">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可设置通知接受成为为全院或部分人员、是否短信提醒、允许评论、登录强制阅读；</w:t>
            </w:r>
          </w:p>
        </w:tc>
      </w:tr>
      <w:tr w14:paraId="10F6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3D25B93">
            <w:pPr>
              <w:rPr>
                <w:rFonts w:ascii="宋体" w:hAnsi="宋体" w:eastAsia="宋体" w:cs="宋体"/>
                <w:color w:val="auto"/>
                <w:sz w:val="20"/>
                <w:szCs w:val="20"/>
                <w:highlight w:val="none"/>
              </w:rPr>
            </w:pPr>
          </w:p>
        </w:tc>
        <w:tc>
          <w:tcPr>
            <w:tcW w:w="808" w:type="dxa"/>
            <w:vMerge w:val="continue"/>
            <w:vAlign w:val="center"/>
          </w:tcPr>
          <w:p w14:paraId="7CE32DB6">
            <w:pPr>
              <w:jc w:val="center"/>
              <w:rPr>
                <w:rFonts w:ascii="宋体" w:hAnsi="宋体" w:eastAsia="宋体" w:cs="宋体"/>
                <w:color w:val="auto"/>
                <w:sz w:val="20"/>
                <w:szCs w:val="20"/>
                <w:highlight w:val="none"/>
              </w:rPr>
            </w:pPr>
          </w:p>
        </w:tc>
        <w:tc>
          <w:tcPr>
            <w:tcW w:w="8569" w:type="dxa"/>
            <w:vAlign w:val="center"/>
          </w:tcPr>
          <w:p w14:paraId="2A784C32">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接受人员标注特别关注，可在阅读量里查询到该人员是否阅读该通知；</w:t>
            </w:r>
          </w:p>
        </w:tc>
      </w:tr>
      <w:tr w14:paraId="1595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29ED636">
            <w:pPr>
              <w:rPr>
                <w:rFonts w:ascii="宋体" w:hAnsi="宋体" w:eastAsia="宋体" w:cs="宋体"/>
                <w:color w:val="auto"/>
                <w:sz w:val="20"/>
                <w:szCs w:val="20"/>
                <w:highlight w:val="none"/>
              </w:rPr>
            </w:pPr>
          </w:p>
        </w:tc>
        <w:tc>
          <w:tcPr>
            <w:tcW w:w="808" w:type="dxa"/>
            <w:vMerge w:val="continue"/>
            <w:vAlign w:val="center"/>
          </w:tcPr>
          <w:p w14:paraId="28D39168">
            <w:pPr>
              <w:jc w:val="center"/>
              <w:rPr>
                <w:rFonts w:ascii="宋体" w:hAnsi="宋体" w:eastAsia="宋体" w:cs="宋体"/>
                <w:color w:val="auto"/>
                <w:sz w:val="20"/>
                <w:szCs w:val="20"/>
                <w:highlight w:val="none"/>
              </w:rPr>
            </w:pPr>
          </w:p>
        </w:tc>
        <w:tc>
          <w:tcPr>
            <w:tcW w:w="8569" w:type="dxa"/>
            <w:vAlign w:val="center"/>
          </w:tcPr>
          <w:p w14:paraId="6F2A6E51">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阅读留痕，按时间顺序生成最近阅读情况、今日阅读总数信息；可查看通知里的历史阅读记录，阅读者，阅读科室，阅读时间。</w:t>
            </w:r>
          </w:p>
        </w:tc>
      </w:tr>
      <w:tr w14:paraId="0927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8ACDFF3">
            <w:pPr>
              <w:rPr>
                <w:rFonts w:ascii="宋体" w:hAnsi="宋体" w:eastAsia="宋体" w:cs="宋体"/>
                <w:color w:val="auto"/>
                <w:sz w:val="20"/>
                <w:szCs w:val="20"/>
                <w:highlight w:val="none"/>
              </w:rPr>
            </w:pPr>
          </w:p>
        </w:tc>
        <w:tc>
          <w:tcPr>
            <w:tcW w:w="808" w:type="dxa"/>
            <w:vMerge w:val="continue"/>
            <w:vAlign w:val="center"/>
          </w:tcPr>
          <w:p w14:paraId="3941135C">
            <w:pPr>
              <w:jc w:val="center"/>
              <w:rPr>
                <w:rFonts w:ascii="宋体" w:hAnsi="宋体" w:eastAsia="宋体" w:cs="宋体"/>
                <w:color w:val="auto"/>
                <w:sz w:val="20"/>
                <w:szCs w:val="20"/>
                <w:highlight w:val="none"/>
              </w:rPr>
            </w:pPr>
          </w:p>
        </w:tc>
        <w:tc>
          <w:tcPr>
            <w:tcW w:w="8569" w:type="dxa"/>
            <w:vAlign w:val="center"/>
          </w:tcPr>
          <w:p w14:paraId="3052A864">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可对通知发表评论信息，评论留痕，按时间顺序记录最近评论情况、今日评论数量信息；</w:t>
            </w:r>
          </w:p>
        </w:tc>
      </w:tr>
      <w:tr w14:paraId="4457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8176951">
            <w:pPr>
              <w:rPr>
                <w:rFonts w:ascii="宋体" w:hAnsi="宋体" w:eastAsia="宋体" w:cs="宋体"/>
                <w:color w:val="auto"/>
                <w:sz w:val="20"/>
                <w:szCs w:val="20"/>
                <w:highlight w:val="none"/>
              </w:rPr>
            </w:pPr>
          </w:p>
        </w:tc>
        <w:tc>
          <w:tcPr>
            <w:tcW w:w="808" w:type="dxa"/>
            <w:vMerge w:val="continue"/>
            <w:vAlign w:val="center"/>
          </w:tcPr>
          <w:p w14:paraId="131369BF">
            <w:pPr>
              <w:jc w:val="center"/>
              <w:rPr>
                <w:rFonts w:ascii="宋体" w:hAnsi="宋体" w:eastAsia="宋体" w:cs="宋体"/>
                <w:color w:val="auto"/>
                <w:sz w:val="20"/>
                <w:szCs w:val="20"/>
                <w:highlight w:val="none"/>
              </w:rPr>
            </w:pPr>
          </w:p>
        </w:tc>
        <w:tc>
          <w:tcPr>
            <w:tcW w:w="8569" w:type="dxa"/>
            <w:vAlign w:val="center"/>
          </w:tcPr>
          <w:p w14:paraId="7723894F">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在APP端一样可以收到通知并进行以上操作。</w:t>
            </w:r>
          </w:p>
        </w:tc>
      </w:tr>
      <w:tr w14:paraId="2061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BBFE7EA">
            <w:pPr>
              <w:rPr>
                <w:rFonts w:ascii="宋体" w:hAnsi="宋体" w:eastAsia="宋体" w:cs="宋体"/>
                <w:color w:val="auto"/>
                <w:sz w:val="20"/>
                <w:szCs w:val="20"/>
                <w:highlight w:val="none"/>
              </w:rPr>
            </w:pPr>
          </w:p>
        </w:tc>
        <w:tc>
          <w:tcPr>
            <w:tcW w:w="808" w:type="dxa"/>
            <w:vMerge w:val="restart"/>
            <w:vAlign w:val="center"/>
          </w:tcPr>
          <w:p w14:paraId="0F13337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我的消息</w:t>
            </w:r>
          </w:p>
        </w:tc>
        <w:tc>
          <w:tcPr>
            <w:tcW w:w="8569" w:type="dxa"/>
            <w:vAlign w:val="center"/>
          </w:tcPr>
          <w:p w14:paraId="6A66BC07">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支持系统业务离线消息进行消息提醒；</w:t>
            </w:r>
          </w:p>
        </w:tc>
      </w:tr>
      <w:tr w14:paraId="1458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92BB18A">
            <w:pPr>
              <w:rPr>
                <w:rFonts w:ascii="宋体" w:hAnsi="宋体" w:eastAsia="宋体" w:cs="宋体"/>
                <w:color w:val="auto"/>
                <w:sz w:val="20"/>
                <w:szCs w:val="20"/>
                <w:highlight w:val="none"/>
              </w:rPr>
            </w:pPr>
          </w:p>
        </w:tc>
        <w:tc>
          <w:tcPr>
            <w:tcW w:w="808" w:type="dxa"/>
            <w:vMerge w:val="continue"/>
            <w:vAlign w:val="center"/>
          </w:tcPr>
          <w:p w14:paraId="2E9FD460">
            <w:pPr>
              <w:jc w:val="center"/>
              <w:rPr>
                <w:rFonts w:ascii="宋体" w:hAnsi="宋体" w:eastAsia="宋体" w:cs="宋体"/>
                <w:color w:val="auto"/>
                <w:sz w:val="20"/>
                <w:szCs w:val="20"/>
                <w:highlight w:val="none"/>
              </w:rPr>
            </w:pPr>
          </w:p>
        </w:tc>
        <w:tc>
          <w:tcPr>
            <w:tcW w:w="8569" w:type="dxa"/>
            <w:vAlign w:val="center"/>
          </w:tcPr>
          <w:p w14:paraId="01354914">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支持APP、PC端消息推送；</w:t>
            </w:r>
          </w:p>
        </w:tc>
      </w:tr>
      <w:tr w14:paraId="1D2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C97B3DE">
            <w:pPr>
              <w:rPr>
                <w:rFonts w:ascii="宋体" w:hAnsi="宋体" w:eastAsia="宋体" w:cs="宋体"/>
                <w:color w:val="auto"/>
                <w:sz w:val="20"/>
                <w:szCs w:val="20"/>
                <w:highlight w:val="none"/>
              </w:rPr>
            </w:pPr>
          </w:p>
        </w:tc>
        <w:tc>
          <w:tcPr>
            <w:tcW w:w="808" w:type="dxa"/>
            <w:vMerge w:val="continue"/>
            <w:vAlign w:val="center"/>
          </w:tcPr>
          <w:p w14:paraId="31A2289B">
            <w:pPr>
              <w:jc w:val="center"/>
              <w:rPr>
                <w:rFonts w:ascii="宋体" w:hAnsi="宋体" w:eastAsia="宋体" w:cs="宋体"/>
                <w:color w:val="auto"/>
                <w:sz w:val="20"/>
                <w:szCs w:val="20"/>
                <w:highlight w:val="none"/>
              </w:rPr>
            </w:pPr>
          </w:p>
        </w:tc>
        <w:tc>
          <w:tcPr>
            <w:tcW w:w="8569" w:type="dxa"/>
            <w:vAlign w:val="center"/>
          </w:tcPr>
          <w:p w14:paraId="282BA5EA">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支持系统全局推送、标红气泡提醒；</w:t>
            </w:r>
          </w:p>
        </w:tc>
      </w:tr>
      <w:tr w14:paraId="68DE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EDDA490">
            <w:pPr>
              <w:rPr>
                <w:rFonts w:ascii="宋体" w:hAnsi="宋体" w:eastAsia="宋体" w:cs="宋体"/>
                <w:color w:val="auto"/>
                <w:sz w:val="20"/>
                <w:szCs w:val="20"/>
                <w:highlight w:val="none"/>
              </w:rPr>
            </w:pPr>
          </w:p>
        </w:tc>
        <w:tc>
          <w:tcPr>
            <w:tcW w:w="808" w:type="dxa"/>
            <w:vMerge w:val="continue"/>
            <w:vAlign w:val="center"/>
          </w:tcPr>
          <w:p w14:paraId="0EAFCA72">
            <w:pPr>
              <w:jc w:val="center"/>
              <w:rPr>
                <w:rFonts w:ascii="宋体" w:hAnsi="宋体" w:eastAsia="宋体" w:cs="宋体"/>
                <w:color w:val="auto"/>
                <w:sz w:val="20"/>
                <w:szCs w:val="20"/>
                <w:highlight w:val="none"/>
              </w:rPr>
            </w:pPr>
          </w:p>
        </w:tc>
        <w:tc>
          <w:tcPr>
            <w:tcW w:w="8569" w:type="dxa"/>
            <w:vAlign w:val="center"/>
          </w:tcPr>
          <w:p w14:paraId="4BCD54EC">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提供批量标记一键已读。</w:t>
            </w:r>
          </w:p>
        </w:tc>
      </w:tr>
      <w:tr w14:paraId="2445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97425F7">
            <w:pPr>
              <w:rPr>
                <w:rFonts w:ascii="宋体" w:hAnsi="宋体" w:eastAsia="宋体" w:cs="宋体"/>
                <w:color w:val="auto"/>
                <w:sz w:val="20"/>
                <w:szCs w:val="20"/>
                <w:highlight w:val="none"/>
              </w:rPr>
            </w:pPr>
          </w:p>
        </w:tc>
        <w:tc>
          <w:tcPr>
            <w:tcW w:w="808" w:type="dxa"/>
            <w:vMerge w:val="restart"/>
            <w:vAlign w:val="center"/>
          </w:tcPr>
          <w:p w14:paraId="4174791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用户管理</w:t>
            </w:r>
          </w:p>
        </w:tc>
        <w:tc>
          <w:tcPr>
            <w:tcW w:w="8569" w:type="dxa"/>
            <w:vAlign w:val="center"/>
          </w:tcPr>
          <w:p w14:paraId="4387B400">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可自定义添加用户数据，如：工号、姓名、岗位类型等；</w:t>
            </w:r>
          </w:p>
        </w:tc>
      </w:tr>
      <w:tr w14:paraId="0664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6ED085A">
            <w:pPr>
              <w:rPr>
                <w:rFonts w:ascii="宋体" w:hAnsi="宋体" w:eastAsia="宋体" w:cs="宋体"/>
                <w:color w:val="auto"/>
                <w:sz w:val="20"/>
                <w:szCs w:val="20"/>
                <w:highlight w:val="none"/>
              </w:rPr>
            </w:pPr>
          </w:p>
        </w:tc>
        <w:tc>
          <w:tcPr>
            <w:tcW w:w="808" w:type="dxa"/>
            <w:vMerge w:val="continue"/>
            <w:vAlign w:val="center"/>
          </w:tcPr>
          <w:p w14:paraId="63E0BFA0">
            <w:pPr>
              <w:jc w:val="center"/>
              <w:rPr>
                <w:rFonts w:ascii="宋体" w:hAnsi="宋体" w:eastAsia="宋体" w:cs="宋体"/>
                <w:color w:val="auto"/>
                <w:sz w:val="20"/>
                <w:szCs w:val="20"/>
                <w:highlight w:val="none"/>
              </w:rPr>
            </w:pPr>
          </w:p>
        </w:tc>
        <w:tc>
          <w:tcPr>
            <w:tcW w:w="8569" w:type="dxa"/>
            <w:vAlign w:val="center"/>
          </w:tcPr>
          <w:p w14:paraId="4460139B">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支持自动同步更新和导入HIS系统，或院内集成平台的用户基础信息，实现HIS或集成平台用户信息修改，系统用户数据自动修改；</w:t>
            </w:r>
          </w:p>
        </w:tc>
      </w:tr>
      <w:tr w14:paraId="7AD6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0BC00C4">
            <w:pPr>
              <w:rPr>
                <w:rFonts w:ascii="宋体" w:hAnsi="宋体" w:eastAsia="宋体" w:cs="宋体"/>
                <w:color w:val="auto"/>
                <w:sz w:val="20"/>
                <w:szCs w:val="20"/>
                <w:highlight w:val="none"/>
              </w:rPr>
            </w:pPr>
          </w:p>
        </w:tc>
        <w:tc>
          <w:tcPr>
            <w:tcW w:w="808" w:type="dxa"/>
            <w:vMerge w:val="continue"/>
            <w:vAlign w:val="center"/>
          </w:tcPr>
          <w:p w14:paraId="31DE9A15">
            <w:pPr>
              <w:jc w:val="center"/>
              <w:rPr>
                <w:rFonts w:ascii="宋体" w:hAnsi="宋体" w:eastAsia="宋体" w:cs="宋体"/>
                <w:color w:val="auto"/>
                <w:sz w:val="20"/>
                <w:szCs w:val="20"/>
                <w:highlight w:val="none"/>
              </w:rPr>
            </w:pPr>
          </w:p>
        </w:tc>
        <w:tc>
          <w:tcPr>
            <w:tcW w:w="8569" w:type="dxa"/>
            <w:vAlign w:val="center"/>
          </w:tcPr>
          <w:p w14:paraId="1188B9E2">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系统管理员直接禁用用户登录或重新启用用户登录管控；</w:t>
            </w:r>
          </w:p>
        </w:tc>
      </w:tr>
      <w:tr w14:paraId="7357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DC6A230">
            <w:pPr>
              <w:rPr>
                <w:rFonts w:ascii="宋体" w:hAnsi="宋体" w:eastAsia="宋体" w:cs="宋体"/>
                <w:color w:val="auto"/>
                <w:sz w:val="20"/>
                <w:szCs w:val="20"/>
                <w:highlight w:val="none"/>
              </w:rPr>
            </w:pPr>
          </w:p>
        </w:tc>
        <w:tc>
          <w:tcPr>
            <w:tcW w:w="808" w:type="dxa"/>
            <w:vMerge w:val="continue"/>
            <w:vAlign w:val="center"/>
          </w:tcPr>
          <w:p w14:paraId="612E7B3A">
            <w:pPr>
              <w:jc w:val="center"/>
              <w:rPr>
                <w:rFonts w:ascii="宋体" w:hAnsi="宋体" w:eastAsia="宋体" w:cs="宋体"/>
                <w:color w:val="auto"/>
                <w:sz w:val="20"/>
                <w:szCs w:val="20"/>
                <w:highlight w:val="none"/>
              </w:rPr>
            </w:pPr>
          </w:p>
        </w:tc>
        <w:tc>
          <w:tcPr>
            <w:tcW w:w="8569" w:type="dxa"/>
            <w:vAlign w:val="center"/>
          </w:tcPr>
          <w:p w14:paraId="26EFCDAF">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系统管理员一键重置用户密码信息；</w:t>
            </w:r>
          </w:p>
        </w:tc>
      </w:tr>
      <w:tr w14:paraId="0D5A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F570D00">
            <w:pPr>
              <w:rPr>
                <w:rFonts w:ascii="宋体" w:hAnsi="宋体" w:eastAsia="宋体" w:cs="宋体"/>
                <w:color w:val="auto"/>
                <w:sz w:val="20"/>
                <w:szCs w:val="20"/>
                <w:highlight w:val="none"/>
              </w:rPr>
            </w:pPr>
          </w:p>
        </w:tc>
        <w:tc>
          <w:tcPr>
            <w:tcW w:w="808" w:type="dxa"/>
            <w:vMerge w:val="continue"/>
            <w:vAlign w:val="center"/>
          </w:tcPr>
          <w:p w14:paraId="001707AB">
            <w:pPr>
              <w:jc w:val="center"/>
              <w:rPr>
                <w:rFonts w:ascii="宋体" w:hAnsi="宋体" w:eastAsia="宋体" w:cs="宋体"/>
                <w:color w:val="auto"/>
                <w:sz w:val="20"/>
                <w:szCs w:val="20"/>
                <w:highlight w:val="none"/>
              </w:rPr>
            </w:pPr>
          </w:p>
        </w:tc>
        <w:tc>
          <w:tcPr>
            <w:tcW w:w="8569" w:type="dxa"/>
            <w:vAlign w:val="center"/>
          </w:tcPr>
          <w:p w14:paraId="0A4434A1">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系统管理员修改用户基本信息；</w:t>
            </w:r>
          </w:p>
        </w:tc>
      </w:tr>
      <w:tr w14:paraId="16B6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DD2AB77">
            <w:pPr>
              <w:rPr>
                <w:rFonts w:ascii="宋体" w:hAnsi="宋体" w:eastAsia="宋体" w:cs="宋体"/>
                <w:color w:val="auto"/>
                <w:sz w:val="20"/>
                <w:szCs w:val="20"/>
                <w:highlight w:val="none"/>
              </w:rPr>
            </w:pPr>
          </w:p>
        </w:tc>
        <w:tc>
          <w:tcPr>
            <w:tcW w:w="808" w:type="dxa"/>
            <w:vMerge w:val="continue"/>
            <w:vAlign w:val="center"/>
          </w:tcPr>
          <w:p w14:paraId="795D00A3">
            <w:pPr>
              <w:jc w:val="center"/>
              <w:rPr>
                <w:rFonts w:ascii="宋体" w:hAnsi="宋体" w:eastAsia="宋体" w:cs="宋体"/>
                <w:color w:val="auto"/>
                <w:sz w:val="20"/>
                <w:szCs w:val="20"/>
                <w:highlight w:val="none"/>
              </w:rPr>
            </w:pPr>
          </w:p>
        </w:tc>
        <w:tc>
          <w:tcPr>
            <w:tcW w:w="8569" w:type="dxa"/>
            <w:vAlign w:val="center"/>
          </w:tcPr>
          <w:p w14:paraId="779AF712">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支持查询用户登录日志，如登录设备信息，登录IP信息，登录时间，登录地址，可以按登录时间和用户名进行查询日志信息。</w:t>
            </w:r>
          </w:p>
        </w:tc>
      </w:tr>
      <w:tr w14:paraId="3995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restart"/>
            <w:vAlign w:val="center"/>
          </w:tcPr>
          <w:p w14:paraId="7F960FBB">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1.8.</w:t>
            </w:r>
            <w:r>
              <w:rPr>
                <w:rStyle w:val="27"/>
                <w:rFonts w:hint="default"/>
                <w:color w:val="auto"/>
                <w:highlight w:val="none"/>
                <w:lang w:bidi="ar"/>
              </w:rPr>
              <w:t>3 人员权限管理</w:t>
            </w:r>
          </w:p>
        </w:tc>
        <w:tc>
          <w:tcPr>
            <w:tcW w:w="808" w:type="dxa"/>
            <w:vMerge w:val="restart"/>
            <w:vAlign w:val="center"/>
          </w:tcPr>
          <w:p w14:paraId="460FCCE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临时人员管理</w:t>
            </w:r>
          </w:p>
        </w:tc>
        <w:tc>
          <w:tcPr>
            <w:tcW w:w="8569" w:type="dxa"/>
            <w:vAlign w:val="center"/>
          </w:tcPr>
          <w:p w14:paraId="38449618">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可自定义添加临时人员，包括如：姓名、手机号、身高、身份证号等；</w:t>
            </w:r>
          </w:p>
        </w:tc>
      </w:tr>
      <w:tr w14:paraId="3D44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8DEF8A9">
            <w:pPr>
              <w:rPr>
                <w:rFonts w:ascii="宋体" w:hAnsi="宋体" w:eastAsia="宋体" w:cs="宋体"/>
                <w:color w:val="auto"/>
                <w:sz w:val="20"/>
                <w:szCs w:val="20"/>
                <w:highlight w:val="none"/>
              </w:rPr>
            </w:pPr>
          </w:p>
        </w:tc>
        <w:tc>
          <w:tcPr>
            <w:tcW w:w="808" w:type="dxa"/>
            <w:vMerge w:val="continue"/>
            <w:vAlign w:val="center"/>
          </w:tcPr>
          <w:p w14:paraId="5F60F05A">
            <w:pPr>
              <w:jc w:val="center"/>
              <w:rPr>
                <w:rFonts w:ascii="宋体" w:hAnsi="宋体" w:eastAsia="宋体" w:cs="宋体"/>
                <w:color w:val="auto"/>
                <w:sz w:val="20"/>
                <w:szCs w:val="20"/>
                <w:highlight w:val="none"/>
              </w:rPr>
            </w:pPr>
          </w:p>
        </w:tc>
        <w:tc>
          <w:tcPr>
            <w:tcW w:w="8569" w:type="dxa"/>
            <w:vAlign w:val="center"/>
          </w:tcPr>
          <w:p w14:paraId="399C1839">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支持护工、试用人员、医生规培生录入，在不同的管理系统中根据角色类型来予以进行人员池调用；</w:t>
            </w:r>
          </w:p>
        </w:tc>
      </w:tr>
      <w:tr w14:paraId="459F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CD7433C">
            <w:pPr>
              <w:rPr>
                <w:rFonts w:ascii="宋体" w:hAnsi="宋体" w:eastAsia="宋体" w:cs="宋体"/>
                <w:color w:val="auto"/>
                <w:sz w:val="20"/>
                <w:szCs w:val="20"/>
                <w:highlight w:val="none"/>
              </w:rPr>
            </w:pPr>
          </w:p>
        </w:tc>
        <w:tc>
          <w:tcPr>
            <w:tcW w:w="808" w:type="dxa"/>
            <w:vMerge w:val="continue"/>
            <w:vAlign w:val="center"/>
          </w:tcPr>
          <w:p w14:paraId="7AB49821">
            <w:pPr>
              <w:jc w:val="center"/>
              <w:rPr>
                <w:rFonts w:ascii="宋体" w:hAnsi="宋体" w:eastAsia="宋体" w:cs="宋体"/>
                <w:color w:val="auto"/>
                <w:sz w:val="20"/>
                <w:szCs w:val="20"/>
                <w:highlight w:val="none"/>
              </w:rPr>
            </w:pPr>
          </w:p>
        </w:tc>
        <w:tc>
          <w:tcPr>
            <w:tcW w:w="8569" w:type="dxa"/>
            <w:vAlign w:val="center"/>
          </w:tcPr>
          <w:p w14:paraId="1526BEFB">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支持查看、编辑、删除操作，支持转正员工操作，转正可以绑定HIS工号等一键导入到医生档案；</w:t>
            </w:r>
          </w:p>
        </w:tc>
      </w:tr>
      <w:tr w14:paraId="3675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B03360D">
            <w:pPr>
              <w:rPr>
                <w:rFonts w:ascii="宋体" w:hAnsi="宋体" w:eastAsia="宋体" w:cs="宋体"/>
                <w:color w:val="auto"/>
                <w:sz w:val="20"/>
                <w:szCs w:val="20"/>
                <w:highlight w:val="none"/>
              </w:rPr>
            </w:pPr>
          </w:p>
        </w:tc>
        <w:tc>
          <w:tcPr>
            <w:tcW w:w="808" w:type="dxa"/>
            <w:vMerge w:val="continue"/>
            <w:vAlign w:val="center"/>
          </w:tcPr>
          <w:p w14:paraId="717E27DC">
            <w:pPr>
              <w:jc w:val="center"/>
              <w:rPr>
                <w:rFonts w:ascii="宋体" w:hAnsi="宋体" w:eastAsia="宋体" w:cs="宋体"/>
                <w:color w:val="auto"/>
                <w:sz w:val="20"/>
                <w:szCs w:val="20"/>
                <w:highlight w:val="none"/>
              </w:rPr>
            </w:pPr>
          </w:p>
        </w:tc>
        <w:tc>
          <w:tcPr>
            <w:tcW w:w="8569" w:type="dxa"/>
            <w:vAlign w:val="center"/>
          </w:tcPr>
          <w:p w14:paraId="74D6ECF9">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支持批量转正操作；</w:t>
            </w:r>
          </w:p>
        </w:tc>
      </w:tr>
      <w:tr w14:paraId="5F9C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E1334A2">
            <w:pPr>
              <w:rPr>
                <w:rFonts w:ascii="宋体" w:hAnsi="宋体" w:eastAsia="宋体" w:cs="宋体"/>
                <w:color w:val="auto"/>
                <w:sz w:val="20"/>
                <w:szCs w:val="20"/>
                <w:highlight w:val="none"/>
              </w:rPr>
            </w:pPr>
          </w:p>
        </w:tc>
        <w:tc>
          <w:tcPr>
            <w:tcW w:w="808" w:type="dxa"/>
            <w:vMerge w:val="continue"/>
            <w:vAlign w:val="center"/>
          </w:tcPr>
          <w:p w14:paraId="31AFAF12">
            <w:pPr>
              <w:jc w:val="center"/>
              <w:rPr>
                <w:rFonts w:ascii="宋体" w:hAnsi="宋体" w:eastAsia="宋体" w:cs="宋体"/>
                <w:color w:val="auto"/>
                <w:sz w:val="20"/>
                <w:szCs w:val="20"/>
                <w:highlight w:val="none"/>
              </w:rPr>
            </w:pPr>
          </w:p>
        </w:tc>
        <w:tc>
          <w:tcPr>
            <w:tcW w:w="8569" w:type="dxa"/>
            <w:vAlign w:val="center"/>
          </w:tcPr>
          <w:p w14:paraId="056C4CB5">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支持临时人员的科室计划安排，可对临时人员进行周期性的不同科室轮换的计划安排；</w:t>
            </w:r>
          </w:p>
        </w:tc>
      </w:tr>
      <w:tr w14:paraId="5A53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2DD4A63">
            <w:pPr>
              <w:rPr>
                <w:rFonts w:ascii="宋体" w:hAnsi="宋体" w:eastAsia="宋体" w:cs="宋体"/>
                <w:color w:val="auto"/>
                <w:sz w:val="20"/>
                <w:szCs w:val="20"/>
                <w:highlight w:val="none"/>
              </w:rPr>
            </w:pPr>
          </w:p>
        </w:tc>
        <w:tc>
          <w:tcPr>
            <w:tcW w:w="808" w:type="dxa"/>
            <w:vMerge w:val="continue"/>
            <w:vAlign w:val="center"/>
          </w:tcPr>
          <w:p w14:paraId="40AEFC36">
            <w:pPr>
              <w:jc w:val="center"/>
              <w:rPr>
                <w:rFonts w:ascii="宋体" w:hAnsi="宋体" w:eastAsia="宋体" w:cs="宋体"/>
                <w:color w:val="auto"/>
                <w:sz w:val="20"/>
                <w:szCs w:val="20"/>
                <w:highlight w:val="none"/>
              </w:rPr>
            </w:pPr>
          </w:p>
        </w:tc>
        <w:tc>
          <w:tcPr>
            <w:tcW w:w="8569" w:type="dxa"/>
            <w:vAlign w:val="center"/>
          </w:tcPr>
          <w:p w14:paraId="38071F95">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支持排班管理系统集成临时人员的轮换计划，业务科室排班可以自动集成临时人员。</w:t>
            </w:r>
          </w:p>
        </w:tc>
      </w:tr>
      <w:tr w14:paraId="7198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2D19554">
            <w:pPr>
              <w:rPr>
                <w:rFonts w:ascii="宋体" w:hAnsi="宋体" w:eastAsia="宋体" w:cs="宋体"/>
                <w:color w:val="auto"/>
                <w:sz w:val="20"/>
                <w:szCs w:val="20"/>
                <w:highlight w:val="none"/>
              </w:rPr>
            </w:pPr>
          </w:p>
        </w:tc>
        <w:tc>
          <w:tcPr>
            <w:tcW w:w="808" w:type="dxa"/>
            <w:vMerge w:val="restart"/>
            <w:vAlign w:val="center"/>
          </w:tcPr>
          <w:p w14:paraId="53A759C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注册授权</w:t>
            </w:r>
          </w:p>
        </w:tc>
        <w:tc>
          <w:tcPr>
            <w:tcW w:w="8569" w:type="dxa"/>
            <w:vAlign w:val="center"/>
          </w:tcPr>
          <w:p w14:paraId="77299690">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支持APP的账号授权管理，支持APP新用户申请的绑定审批，驳回操作；</w:t>
            </w:r>
          </w:p>
        </w:tc>
      </w:tr>
      <w:tr w14:paraId="746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8497435">
            <w:pPr>
              <w:rPr>
                <w:rFonts w:ascii="宋体" w:hAnsi="宋体" w:eastAsia="宋体" w:cs="宋体"/>
                <w:color w:val="auto"/>
                <w:sz w:val="20"/>
                <w:szCs w:val="20"/>
                <w:highlight w:val="none"/>
              </w:rPr>
            </w:pPr>
          </w:p>
        </w:tc>
        <w:tc>
          <w:tcPr>
            <w:tcW w:w="808" w:type="dxa"/>
            <w:vMerge w:val="continue"/>
            <w:vAlign w:val="center"/>
          </w:tcPr>
          <w:p w14:paraId="6E2E1A64">
            <w:pPr>
              <w:jc w:val="center"/>
              <w:rPr>
                <w:rFonts w:ascii="宋体" w:hAnsi="宋体" w:eastAsia="宋体" w:cs="宋体"/>
                <w:color w:val="auto"/>
                <w:sz w:val="20"/>
                <w:szCs w:val="20"/>
                <w:highlight w:val="none"/>
              </w:rPr>
            </w:pPr>
          </w:p>
        </w:tc>
        <w:tc>
          <w:tcPr>
            <w:tcW w:w="8569" w:type="dxa"/>
            <w:vAlign w:val="center"/>
          </w:tcPr>
          <w:p w14:paraId="5CFE3392">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支持控制APP教培考试是否关闭禁止截屏插件;</w:t>
            </w:r>
          </w:p>
        </w:tc>
      </w:tr>
      <w:tr w14:paraId="757A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D020722">
            <w:pPr>
              <w:rPr>
                <w:rFonts w:ascii="宋体" w:hAnsi="宋体" w:eastAsia="宋体" w:cs="宋体"/>
                <w:color w:val="auto"/>
                <w:sz w:val="20"/>
                <w:szCs w:val="20"/>
                <w:highlight w:val="none"/>
              </w:rPr>
            </w:pPr>
          </w:p>
        </w:tc>
        <w:tc>
          <w:tcPr>
            <w:tcW w:w="808" w:type="dxa"/>
            <w:vMerge w:val="continue"/>
            <w:vAlign w:val="center"/>
          </w:tcPr>
          <w:p w14:paraId="194FB7E8">
            <w:pPr>
              <w:jc w:val="center"/>
              <w:rPr>
                <w:rFonts w:ascii="宋体" w:hAnsi="宋体" w:eastAsia="宋体" w:cs="宋体"/>
                <w:color w:val="auto"/>
                <w:sz w:val="20"/>
                <w:szCs w:val="20"/>
                <w:highlight w:val="none"/>
              </w:rPr>
            </w:pPr>
          </w:p>
        </w:tc>
        <w:tc>
          <w:tcPr>
            <w:tcW w:w="8569" w:type="dxa"/>
            <w:vAlign w:val="center"/>
          </w:tcPr>
          <w:p w14:paraId="213CF5FA">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支持APP页面是否加水印显示;</w:t>
            </w:r>
          </w:p>
        </w:tc>
      </w:tr>
      <w:tr w14:paraId="5C67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F6B2B44">
            <w:pPr>
              <w:rPr>
                <w:rFonts w:ascii="宋体" w:hAnsi="宋体" w:eastAsia="宋体" w:cs="宋体"/>
                <w:color w:val="auto"/>
                <w:sz w:val="20"/>
                <w:szCs w:val="20"/>
                <w:highlight w:val="none"/>
              </w:rPr>
            </w:pPr>
          </w:p>
        </w:tc>
        <w:tc>
          <w:tcPr>
            <w:tcW w:w="808" w:type="dxa"/>
            <w:vMerge w:val="continue"/>
            <w:vAlign w:val="center"/>
          </w:tcPr>
          <w:p w14:paraId="66608730">
            <w:pPr>
              <w:jc w:val="center"/>
              <w:rPr>
                <w:rFonts w:ascii="宋体" w:hAnsi="宋体" w:eastAsia="宋体" w:cs="宋体"/>
                <w:color w:val="auto"/>
                <w:sz w:val="20"/>
                <w:szCs w:val="20"/>
                <w:highlight w:val="none"/>
              </w:rPr>
            </w:pPr>
          </w:p>
        </w:tc>
        <w:tc>
          <w:tcPr>
            <w:tcW w:w="8569" w:type="dxa"/>
            <w:vAlign w:val="center"/>
          </w:tcPr>
          <w:p w14:paraId="701FDB68">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支持WEB页面是否加水印显示;</w:t>
            </w:r>
          </w:p>
        </w:tc>
      </w:tr>
      <w:tr w14:paraId="0AEE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9416763">
            <w:pPr>
              <w:rPr>
                <w:rFonts w:ascii="宋体" w:hAnsi="宋体" w:eastAsia="宋体" w:cs="宋体"/>
                <w:color w:val="auto"/>
                <w:sz w:val="20"/>
                <w:szCs w:val="20"/>
                <w:highlight w:val="none"/>
              </w:rPr>
            </w:pPr>
          </w:p>
        </w:tc>
        <w:tc>
          <w:tcPr>
            <w:tcW w:w="808" w:type="dxa"/>
            <w:vMerge w:val="continue"/>
            <w:vAlign w:val="center"/>
          </w:tcPr>
          <w:p w14:paraId="2B6BAF4B">
            <w:pPr>
              <w:jc w:val="center"/>
              <w:rPr>
                <w:rFonts w:ascii="宋体" w:hAnsi="宋体" w:eastAsia="宋体" w:cs="宋体"/>
                <w:color w:val="auto"/>
                <w:sz w:val="20"/>
                <w:szCs w:val="20"/>
                <w:highlight w:val="none"/>
              </w:rPr>
            </w:pPr>
          </w:p>
        </w:tc>
        <w:tc>
          <w:tcPr>
            <w:tcW w:w="8569" w:type="dxa"/>
            <w:vAlign w:val="center"/>
          </w:tcPr>
          <w:p w14:paraId="3C22314E">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支持APP设置GPS定位电子栅栏（GPS定位，设置合法区域使用本产品）；</w:t>
            </w:r>
          </w:p>
        </w:tc>
      </w:tr>
      <w:tr w14:paraId="4C7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47948AC">
            <w:pPr>
              <w:rPr>
                <w:rFonts w:ascii="宋体" w:hAnsi="宋体" w:eastAsia="宋体" w:cs="宋体"/>
                <w:color w:val="auto"/>
                <w:sz w:val="20"/>
                <w:szCs w:val="20"/>
                <w:highlight w:val="none"/>
              </w:rPr>
            </w:pPr>
          </w:p>
        </w:tc>
        <w:tc>
          <w:tcPr>
            <w:tcW w:w="808" w:type="dxa"/>
            <w:vMerge w:val="continue"/>
            <w:vAlign w:val="center"/>
          </w:tcPr>
          <w:p w14:paraId="2B800D1C">
            <w:pPr>
              <w:jc w:val="center"/>
              <w:rPr>
                <w:rFonts w:ascii="宋体" w:hAnsi="宋体" w:eastAsia="宋体" w:cs="宋体"/>
                <w:color w:val="auto"/>
                <w:sz w:val="20"/>
                <w:szCs w:val="20"/>
                <w:highlight w:val="none"/>
              </w:rPr>
            </w:pPr>
          </w:p>
        </w:tc>
        <w:tc>
          <w:tcPr>
            <w:tcW w:w="8569" w:type="dxa"/>
            <w:vAlign w:val="center"/>
          </w:tcPr>
          <w:p w14:paraId="10FEAB2C">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支持设置仅允许配置授权科室排班时段登录操作APP。</w:t>
            </w:r>
          </w:p>
        </w:tc>
      </w:tr>
      <w:tr w14:paraId="0F3A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3127F11">
            <w:pPr>
              <w:rPr>
                <w:rFonts w:ascii="宋体" w:hAnsi="宋体" w:eastAsia="宋体" w:cs="宋体"/>
                <w:color w:val="auto"/>
                <w:sz w:val="20"/>
                <w:szCs w:val="20"/>
                <w:highlight w:val="none"/>
              </w:rPr>
            </w:pPr>
          </w:p>
        </w:tc>
        <w:tc>
          <w:tcPr>
            <w:tcW w:w="808" w:type="dxa"/>
            <w:vMerge w:val="restart"/>
            <w:vAlign w:val="center"/>
          </w:tcPr>
          <w:p w14:paraId="4E9E12C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基础组织架构管理</w:t>
            </w:r>
          </w:p>
        </w:tc>
        <w:tc>
          <w:tcPr>
            <w:tcW w:w="8569" w:type="dxa"/>
            <w:vAlign w:val="center"/>
          </w:tcPr>
          <w:p w14:paraId="41699031">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支持自动同步医院HIS系统或集成平台组织架构，即无需在本系统中创建组织架构，采用同步方案可以节省信息维护成本；</w:t>
            </w:r>
          </w:p>
        </w:tc>
      </w:tr>
      <w:tr w14:paraId="1AFA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D2BC0C9">
            <w:pPr>
              <w:rPr>
                <w:rFonts w:ascii="宋体" w:hAnsi="宋体" w:eastAsia="宋体" w:cs="宋体"/>
                <w:color w:val="auto"/>
                <w:sz w:val="20"/>
                <w:szCs w:val="20"/>
                <w:highlight w:val="none"/>
              </w:rPr>
            </w:pPr>
          </w:p>
        </w:tc>
        <w:tc>
          <w:tcPr>
            <w:tcW w:w="808" w:type="dxa"/>
            <w:vMerge w:val="continue"/>
            <w:vAlign w:val="center"/>
          </w:tcPr>
          <w:p w14:paraId="075ACEAB">
            <w:pPr>
              <w:jc w:val="center"/>
              <w:rPr>
                <w:rFonts w:ascii="宋体" w:hAnsi="宋体" w:eastAsia="宋体" w:cs="宋体"/>
                <w:color w:val="auto"/>
                <w:sz w:val="20"/>
                <w:szCs w:val="20"/>
                <w:highlight w:val="none"/>
              </w:rPr>
            </w:pPr>
          </w:p>
        </w:tc>
        <w:tc>
          <w:tcPr>
            <w:tcW w:w="8569" w:type="dxa"/>
            <w:vAlign w:val="center"/>
          </w:tcPr>
          <w:p w14:paraId="683A88F7">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支持自定义添加、删除、修改组织架构，修改科室节点和名称；</w:t>
            </w:r>
          </w:p>
        </w:tc>
      </w:tr>
      <w:tr w14:paraId="33CD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756C1BA">
            <w:pPr>
              <w:rPr>
                <w:rFonts w:ascii="宋体" w:hAnsi="宋体" w:eastAsia="宋体" w:cs="宋体"/>
                <w:color w:val="auto"/>
                <w:sz w:val="20"/>
                <w:szCs w:val="20"/>
                <w:highlight w:val="none"/>
              </w:rPr>
            </w:pPr>
          </w:p>
        </w:tc>
        <w:tc>
          <w:tcPr>
            <w:tcW w:w="808" w:type="dxa"/>
            <w:vMerge w:val="continue"/>
            <w:vAlign w:val="center"/>
          </w:tcPr>
          <w:p w14:paraId="5A7386A2">
            <w:pPr>
              <w:jc w:val="center"/>
              <w:rPr>
                <w:rFonts w:ascii="宋体" w:hAnsi="宋体" w:eastAsia="宋体" w:cs="宋体"/>
                <w:color w:val="auto"/>
                <w:sz w:val="20"/>
                <w:szCs w:val="20"/>
                <w:highlight w:val="none"/>
              </w:rPr>
            </w:pPr>
          </w:p>
        </w:tc>
        <w:tc>
          <w:tcPr>
            <w:tcW w:w="8569" w:type="dxa"/>
            <w:vAlign w:val="center"/>
          </w:tcPr>
          <w:p w14:paraId="47656228">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支持每名用户的主岗位、兼岗设定、支持岗位科室自由调整；</w:t>
            </w:r>
          </w:p>
        </w:tc>
      </w:tr>
      <w:tr w14:paraId="2B96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A78DDBF">
            <w:pPr>
              <w:rPr>
                <w:rFonts w:ascii="宋体" w:hAnsi="宋体" w:eastAsia="宋体" w:cs="宋体"/>
                <w:color w:val="auto"/>
                <w:sz w:val="20"/>
                <w:szCs w:val="20"/>
                <w:highlight w:val="none"/>
              </w:rPr>
            </w:pPr>
          </w:p>
        </w:tc>
        <w:tc>
          <w:tcPr>
            <w:tcW w:w="808" w:type="dxa"/>
            <w:vMerge w:val="continue"/>
            <w:vAlign w:val="center"/>
          </w:tcPr>
          <w:p w14:paraId="570AF30A">
            <w:pPr>
              <w:jc w:val="center"/>
              <w:rPr>
                <w:rFonts w:ascii="宋体" w:hAnsi="宋体" w:eastAsia="宋体" w:cs="宋体"/>
                <w:color w:val="auto"/>
                <w:sz w:val="20"/>
                <w:szCs w:val="20"/>
                <w:highlight w:val="none"/>
              </w:rPr>
            </w:pPr>
          </w:p>
        </w:tc>
        <w:tc>
          <w:tcPr>
            <w:tcW w:w="8569" w:type="dxa"/>
            <w:vAlign w:val="center"/>
          </w:tcPr>
          <w:p w14:paraId="2EEA1641">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可以追溯查询所有的历史组织架构变更操作记录，即组织架构调整日志记录，可查看历史科室和历史用户变迁信息。</w:t>
            </w:r>
          </w:p>
        </w:tc>
      </w:tr>
      <w:tr w14:paraId="6737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1B53CB1">
            <w:pPr>
              <w:rPr>
                <w:rFonts w:ascii="宋体" w:hAnsi="宋体" w:eastAsia="宋体" w:cs="宋体"/>
                <w:color w:val="auto"/>
                <w:sz w:val="20"/>
                <w:szCs w:val="20"/>
                <w:highlight w:val="none"/>
              </w:rPr>
            </w:pPr>
          </w:p>
        </w:tc>
        <w:tc>
          <w:tcPr>
            <w:tcW w:w="808" w:type="dxa"/>
            <w:vMerge w:val="continue"/>
            <w:vAlign w:val="center"/>
          </w:tcPr>
          <w:p w14:paraId="72249A70">
            <w:pPr>
              <w:jc w:val="center"/>
              <w:rPr>
                <w:rFonts w:ascii="宋体" w:hAnsi="宋体" w:eastAsia="宋体" w:cs="宋体"/>
                <w:color w:val="auto"/>
                <w:sz w:val="20"/>
                <w:szCs w:val="20"/>
                <w:highlight w:val="none"/>
              </w:rPr>
            </w:pPr>
          </w:p>
        </w:tc>
        <w:tc>
          <w:tcPr>
            <w:tcW w:w="8569" w:type="dxa"/>
            <w:vAlign w:val="center"/>
          </w:tcPr>
          <w:p w14:paraId="67BB6BF2">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专业小组：支持用户创建一个到多个专业小组（三级诊疗小组架构、科室医疗质量管理小组、医疗技术管理小组及</w:t>
            </w:r>
            <w:r>
              <w:rPr>
                <w:rStyle w:val="31"/>
                <w:color w:val="auto"/>
                <w:highlight w:val="none"/>
                <w:lang w:bidi="ar"/>
              </w:rPr>
              <w:t>VTE</w:t>
            </w:r>
            <w:r>
              <w:rPr>
                <w:rStyle w:val="28"/>
                <w:rFonts w:eastAsia="宋体"/>
                <w:color w:val="auto"/>
                <w:highlight w:val="none"/>
                <w:lang w:bidi="ar"/>
              </w:rPr>
              <w:t>防治小组，后续小组可动态增加），包括小组类型、小组名称、小组类别、科主任查房时间（三级诊疗小组架构适用）。三级诊疗小组架构适用专业小组成员：支持用户在某个三级诊疗小组架构小组下创建一到多名成员，包括关联医生、医师级别、查房时间、性别、工号、医师分级、年龄、手机号码等</w:t>
            </w:r>
          </w:p>
        </w:tc>
      </w:tr>
      <w:tr w14:paraId="1E62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74DC1B8">
            <w:pPr>
              <w:rPr>
                <w:rFonts w:ascii="宋体" w:hAnsi="宋体" w:eastAsia="宋体" w:cs="宋体"/>
                <w:color w:val="auto"/>
                <w:sz w:val="20"/>
                <w:szCs w:val="20"/>
                <w:highlight w:val="none"/>
              </w:rPr>
            </w:pPr>
          </w:p>
        </w:tc>
        <w:tc>
          <w:tcPr>
            <w:tcW w:w="808" w:type="dxa"/>
            <w:vMerge w:val="restart"/>
            <w:vAlign w:val="center"/>
          </w:tcPr>
          <w:p w14:paraId="5AEB07E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专业小组架构管理</w:t>
            </w:r>
          </w:p>
        </w:tc>
        <w:tc>
          <w:tcPr>
            <w:tcW w:w="8569" w:type="dxa"/>
            <w:vAlign w:val="center"/>
          </w:tcPr>
          <w:p w14:paraId="7DA457B2">
            <w:pPr>
              <w:widowControl/>
              <w:textAlignment w:val="center"/>
              <w:rPr>
                <w:rFonts w:hint="eastAsia" w:ascii="Wingdings" w:hAnsi="Wingdings" w:eastAsia="宋体" w:cs="Wingdings"/>
                <w:color w:val="auto"/>
                <w:sz w:val="20"/>
                <w:szCs w:val="20"/>
                <w:highlight w:val="none"/>
              </w:rPr>
            </w:pPr>
            <w:r>
              <w:rPr>
                <w:rStyle w:val="28"/>
                <w:rFonts w:eastAsia="宋体"/>
                <w:color w:val="auto"/>
                <w:highlight w:val="none"/>
                <w:lang w:bidi="ar"/>
              </w:rPr>
              <w:t>专业小组：支持用户创建一个到多个专业小组（三级诊疗小组架构、科室医疗质量管理小组、医疗技术管理小组及</w:t>
            </w:r>
            <w:r>
              <w:rPr>
                <w:rStyle w:val="31"/>
                <w:color w:val="auto"/>
                <w:highlight w:val="none"/>
                <w:lang w:bidi="ar"/>
              </w:rPr>
              <w:t>VTE</w:t>
            </w:r>
            <w:r>
              <w:rPr>
                <w:rStyle w:val="28"/>
                <w:rFonts w:eastAsia="宋体"/>
                <w:color w:val="auto"/>
                <w:highlight w:val="none"/>
                <w:lang w:bidi="ar"/>
              </w:rPr>
              <w:t>防治小组，后续小组可动态增加），包括小组类型、小组名称、小组类别、科主任查房时间（三级诊疗小组架构适用）。</w:t>
            </w:r>
          </w:p>
        </w:tc>
      </w:tr>
      <w:tr w14:paraId="4BCF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813C0DB">
            <w:pPr>
              <w:rPr>
                <w:rFonts w:ascii="宋体" w:hAnsi="宋体" w:eastAsia="宋体" w:cs="宋体"/>
                <w:color w:val="auto"/>
                <w:sz w:val="20"/>
                <w:szCs w:val="20"/>
                <w:highlight w:val="none"/>
              </w:rPr>
            </w:pPr>
          </w:p>
        </w:tc>
        <w:tc>
          <w:tcPr>
            <w:tcW w:w="808" w:type="dxa"/>
            <w:vMerge w:val="continue"/>
            <w:vAlign w:val="center"/>
          </w:tcPr>
          <w:p w14:paraId="388221F7">
            <w:pPr>
              <w:jc w:val="center"/>
              <w:rPr>
                <w:rFonts w:ascii="宋体" w:hAnsi="宋体" w:eastAsia="宋体" w:cs="宋体"/>
                <w:color w:val="auto"/>
                <w:sz w:val="20"/>
                <w:szCs w:val="20"/>
                <w:highlight w:val="none"/>
              </w:rPr>
            </w:pPr>
          </w:p>
        </w:tc>
        <w:tc>
          <w:tcPr>
            <w:tcW w:w="8569" w:type="dxa"/>
            <w:vAlign w:val="center"/>
          </w:tcPr>
          <w:p w14:paraId="7866AC64">
            <w:pPr>
              <w:widowControl/>
              <w:textAlignment w:val="center"/>
              <w:rPr>
                <w:rFonts w:hint="eastAsia" w:ascii="Wingdings" w:hAnsi="Wingdings" w:eastAsia="宋体" w:cs="Wingdings"/>
                <w:color w:val="auto"/>
                <w:sz w:val="20"/>
                <w:szCs w:val="20"/>
                <w:highlight w:val="none"/>
                <w:lang w:eastAsia="zh-CN"/>
              </w:rPr>
            </w:pPr>
            <w:r>
              <w:rPr>
                <w:rFonts w:ascii="Wingdings" w:hAnsi="Wingdings" w:eastAsia="宋体" w:cs="Wingdings"/>
                <w:color w:val="auto"/>
                <w:kern w:val="0"/>
                <w:sz w:val="20"/>
                <w:szCs w:val="20"/>
                <w:highlight w:val="none"/>
                <w:lang w:bidi="ar"/>
              </w:rPr>
              <w:t>三级诊疗小组架构适用专业小组成员：支持用户在某个三级诊疗小组架构小组下创建一到多名成员，包括关联医生、医师级别、查房时间、性别、工号、医师分级、年龄、手机号码</w:t>
            </w:r>
            <w:r>
              <w:rPr>
                <w:rFonts w:hint="eastAsia" w:ascii="Wingdings" w:hAnsi="Wingdings" w:eastAsia="宋体" w:cs="Wingdings"/>
                <w:color w:val="0000FF"/>
                <w:kern w:val="0"/>
                <w:sz w:val="20"/>
                <w:szCs w:val="20"/>
                <w:highlight w:val="none"/>
                <w:lang w:eastAsia="zh-CN" w:bidi="ar"/>
              </w:rPr>
              <w:t>、医生入组时间和出组时间</w:t>
            </w:r>
            <w:r>
              <w:rPr>
                <w:rFonts w:ascii="Wingdings" w:hAnsi="Wingdings" w:eastAsia="宋体" w:cs="Wingdings"/>
                <w:color w:val="0000FF"/>
                <w:kern w:val="0"/>
                <w:sz w:val="20"/>
                <w:szCs w:val="20"/>
                <w:highlight w:val="none"/>
                <w:lang w:bidi="ar"/>
              </w:rPr>
              <w:t>等</w:t>
            </w:r>
            <w:r>
              <w:rPr>
                <w:rFonts w:hint="eastAsia" w:ascii="Wingdings" w:hAnsi="Wingdings" w:eastAsia="宋体" w:cs="Wingdings"/>
                <w:color w:val="0000FF"/>
                <w:kern w:val="0"/>
                <w:sz w:val="20"/>
                <w:szCs w:val="20"/>
                <w:highlight w:val="none"/>
                <w:lang w:eastAsia="zh-CN" w:bidi="ar"/>
              </w:rPr>
              <w:t>（即保留医生所有出入治疗组时间记录）。</w:t>
            </w:r>
          </w:p>
        </w:tc>
      </w:tr>
      <w:tr w14:paraId="7653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C750B92">
            <w:pPr>
              <w:rPr>
                <w:rFonts w:ascii="宋体" w:hAnsi="宋体" w:eastAsia="宋体" w:cs="宋体"/>
                <w:color w:val="auto"/>
                <w:sz w:val="20"/>
                <w:szCs w:val="20"/>
                <w:highlight w:val="none"/>
              </w:rPr>
            </w:pPr>
          </w:p>
        </w:tc>
        <w:tc>
          <w:tcPr>
            <w:tcW w:w="808" w:type="dxa"/>
            <w:vMerge w:val="continue"/>
            <w:vAlign w:val="center"/>
          </w:tcPr>
          <w:p w14:paraId="0C9D8CFF">
            <w:pPr>
              <w:jc w:val="center"/>
              <w:rPr>
                <w:rFonts w:ascii="宋体" w:hAnsi="宋体" w:eastAsia="宋体" w:cs="宋体"/>
                <w:color w:val="auto"/>
                <w:sz w:val="20"/>
                <w:szCs w:val="20"/>
                <w:highlight w:val="none"/>
              </w:rPr>
            </w:pPr>
          </w:p>
        </w:tc>
        <w:tc>
          <w:tcPr>
            <w:tcW w:w="8569" w:type="dxa"/>
            <w:vAlign w:val="center"/>
          </w:tcPr>
          <w:p w14:paraId="134F6817">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其它类型专业小组成员：支持用户在某个非三级诊疗小组架构小组下创建一到多名成员，包括关联员工、小组角色、主要职责、性别、工号、医师分级、年龄、手机号码等。</w:t>
            </w:r>
          </w:p>
        </w:tc>
      </w:tr>
      <w:tr w14:paraId="00A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527DFB1">
            <w:pPr>
              <w:rPr>
                <w:rFonts w:ascii="宋体" w:hAnsi="宋体" w:eastAsia="宋体" w:cs="宋体"/>
                <w:color w:val="auto"/>
                <w:sz w:val="20"/>
                <w:szCs w:val="20"/>
                <w:highlight w:val="none"/>
              </w:rPr>
            </w:pPr>
          </w:p>
        </w:tc>
        <w:tc>
          <w:tcPr>
            <w:tcW w:w="808" w:type="dxa"/>
            <w:vMerge w:val="continue"/>
            <w:vAlign w:val="center"/>
          </w:tcPr>
          <w:p w14:paraId="52472FC5">
            <w:pPr>
              <w:jc w:val="center"/>
              <w:rPr>
                <w:rFonts w:ascii="宋体" w:hAnsi="宋体" w:eastAsia="宋体" w:cs="宋体"/>
                <w:color w:val="auto"/>
                <w:sz w:val="20"/>
                <w:szCs w:val="20"/>
                <w:highlight w:val="none"/>
              </w:rPr>
            </w:pPr>
          </w:p>
        </w:tc>
        <w:tc>
          <w:tcPr>
            <w:tcW w:w="8569" w:type="dxa"/>
            <w:vAlign w:val="center"/>
          </w:tcPr>
          <w:p w14:paraId="634F1653">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快照功能：支持用户将某个专业小组进行快照（每天每个小组最大产生一个快照），快照将完成保存该小组在某一个时刻的情况，不随该小组成员发生变化而变化。</w:t>
            </w:r>
          </w:p>
        </w:tc>
      </w:tr>
      <w:tr w14:paraId="69E2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B80B331">
            <w:pPr>
              <w:rPr>
                <w:rFonts w:ascii="宋体" w:hAnsi="宋体" w:eastAsia="宋体" w:cs="宋体"/>
                <w:color w:val="auto"/>
                <w:sz w:val="20"/>
                <w:szCs w:val="20"/>
                <w:highlight w:val="none"/>
              </w:rPr>
            </w:pPr>
          </w:p>
        </w:tc>
        <w:tc>
          <w:tcPr>
            <w:tcW w:w="808" w:type="dxa"/>
            <w:vMerge w:val="continue"/>
            <w:vAlign w:val="center"/>
          </w:tcPr>
          <w:p w14:paraId="5877BBF8">
            <w:pPr>
              <w:jc w:val="center"/>
              <w:rPr>
                <w:rFonts w:ascii="宋体" w:hAnsi="宋体" w:eastAsia="宋体" w:cs="宋体"/>
                <w:color w:val="auto"/>
                <w:sz w:val="20"/>
                <w:szCs w:val="20"/>
                <w:highlight w:val="none"/>
              </w:rPr>
            </w:pPr>
          </w:p>
        </w:tc>
        <w:tc>
          <w:tcPr>
            <w:tcW w:w="8569" w:type="dxa"/>
            <w:vAlign w:val="center"/>
          </w:tcPr>
          <w:p w14:paraId="44E8AFA0">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层级视图：系统运行将小组成员以树状的形式进行展现，用户可以点击树的任意一个节点打开该节点的详细信息，允许用户进行修改等操作</w:t>
            </w:r>
          </w:p>
        </w:tc>
      </w:tr>
      <w:tr w14:paraId="2828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C2AC748">
            <w:pPr>
              <w:rPr>
                <w:rFonts w:ascii="宋体" w:hAnsi="宋体" w:eastAsia="宋体" w:cs="宋体"/>
                <w:color w:val="auto"/>
                <w:sz w:val="20"/>
                <w:szCs w:val="20"/>
                <w:highlight w:val="none"/>
              </w:rPr>
            </w:pPr>
          </w:p>
        </w:tc>
        <w:tc>
          <w:tcPr>
            <w:tcW w:w="808" w:type="dxa"/>
            <w:vMerge w:val="continue"/>
            <w:vAlign w:val="center"/>
          </w:tcPr>
          <w:p w14:paraId="46164105">
            <w:pPr>
              <w:jc w:val="center"/>
              <w:rPr>
                <w:rFonts w:ascii="宋体" w:hAnsi="宋体" w:eastAsia="宋体" w:cs="宋体"/>
                <w:color w:val="auto"/>
                <w:sz w:val="20"/>
                <w:szCs w:val="20"/>
                <w:highlight w:val="none"/>
              </w:rPr>
            </w:pPr>
          </w:p>
        </w:tc>
        <w:tc>
          <w:tcPr>
            <w:tcW w:w="8569" w:type="dxa"/>
            <w:vAlign w:val="center"/>
          </w:tcPr>
          <w:p w14:paraId="05527D45">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留存变更记录及日志以备后续追溯。允许院、科两级各专业小组的管理活动记录录入、上传、审核和归档功能。</w:t>
            </w:r>
          </w:p>
        </w:tc>
      </w:tr>
      <w:tr w14:paraId="457B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995D792">
            <w:pPr>
              <w:rPr>
                <w:rFonts w:ascii="宋体" w:hAnsi="宋体" w:eastAsia="宋体" w:cs="宋体"/>
                <w:color w:val="auto"/>
                <w:sz w:val="20"/>
                <w:szCs w:val="20"/>
                <w:highlight w:val="none"/>
              </w:rPr>
            </w:pPr>
          </w:p>
        </w:tc>
        <w:tc>
          <w:tcPr>
            <w:tcW w:w="808" w:type="dxa"/>
            <w:vMerge w:val="restart"/>
            <w:vAlign w:val="center"/>
          </w:tcPr>
          <w:p w14:paraId="73C6965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科室及岗位管理</w:t>
            </w:r>
          </w:p>
        </w:tc>
        <w:tc>
          <w:tcPr>
            <w:tcW w:w="8569" w:type="dxa"/>
            <w:vAlign w:val="center"/>
          </w:tcPr>
          <w:p w14:paraId="75B0A58C">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支持新增、编辑、删除科室名称，调整科室层级结构，设置科室类型；</w:t>
            </w:r>
          </w:p>
        </w:tc>
      </w:tr>
      <w:tr w14:paraId="33CB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CDF8821">
            <w:pPr>
              <w:rPr>
                <w:rFonts w:ascii="宋体" w:hAnsi="宋体" w:eastAsia="宋体" w:cs="宋体"/>
                <w:color w:val="auto"/>
                <w:sz w:val="20"/>
                <w:szCs w:val="20"/>
                <w:highlight w:val="none"/>
              </w:rPr>
            </w:pPr>
          </w:p>
        </w:tc>
        <w:tc>
          <w:tcPr>
            <w:tcW w:w="808" w:type="dxa"/>
            <w:vMerge w:val="continue"/>
            <w:vAlign w:val="center"/>
          </w:tcPr>
          <w:p w14:paraId="2785E9B1">
            <w:pPr>
              <w:jc w:val="center"/>
              <w:rPr>
                <w:rFonts w:ascii="宋体" w:hAnsi="宋体" w:eastAsia="宋体" w:cs="宋体"/>
                <w:color w:val="auto"/>
                <w:sz w:val="20"/>
                <w:szCs w:val="20"/>
                <w:highlight w:val="none"/>
              </w:rPr>
            </w:pPr>
          </w:p>
        </w:tc>
        <w:tc>
          <w:tcPr>
            <w:tcW w:w="8569" w:type="dxa"/>
            <w:vAlign w:val="center"/>
          </w:tcPr>
          <w:p w14:paraId="29DEA509">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可设置片区科室范围，支持多片区设置，如：内科片区、外科片区、片区业务功能，将贯穿到其他各大系统的片区权限管理中；</w:t>
            </w:r>
          </w:p>
        </w:tc>
      </w:tr>
      <w:tr w14:paraId="0881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70E41D1">
            <w:pPr>
              <w:rPr>
                <w:rFonts w:ascii="宋体" w:hAnsi="宋体" w:eastAsia="宋体" w:cs="宋体"/>
                <w:color w:val="auto"/>
                <w:sz w:val="20"/>
                <w:szCs w:val="20"/>
                <w:highlight w:val="none"/>
              </w:rPr>
            </w:pPr>
          </w:p>
        </w:tc>
        <w:tc>
          <w:tcPr>
            <w:tcW w:w="808" w:type="dxa"/>
            <w:vMerge w:val="continue"/>
            <w:vAlign w:val="center"/>
          </w:tcPr>
          <w:p w14:paraId="3C24999F">
            <w:pPr>
              <w:jc w:val="center"/>
              <w:rPr>
                <w:rFonts w:ascii="宋体" w:hAnsi="宋体" w:eastAsia="宋体" w:cs="宋体"/>
                <w:color w:val="auto"/>
                <w:sz w:val="20"/>
                <w:szCs w:val="20"/>
                <w:highlight w:val="none"/>
              </w:rPr>
            </w:pPr>
          </w:p>
        </w:tc>
        <w:tc>
          <w:tcPr>
            <w:tcW w:w="8569" w:type="dxa"/>
            <w:vAlign w:val="center"/>
          </w:tcPr>
          <w:p w14:paraId="29FA19E5">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全院人员岗位新增、编辑和删除。</w:t>
            </w:r>
          </w:p>
        </w:tc>
      </w:tr>
      <w:tr w14:paraId="3F3F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B83BA71">
            <w:pPr>
              <w:rPr>
                <w:rFonts w:ascii="宋体" w:hAnsi="宋体" w:eastAsia="宋体" w:cs="宋体"/>
                <w:color w:val="auto"/>
                <w:sz w:val="20"/>
                <w:szCs w:val="20"/>
                <w:highlight w:val="none"/>
              </w:rPr>
            </w:pPr>
          </w:p>
        </w:tc>
        <w:tc>
          <w:tcPr>
            <w:tcW w:w="808" w:type="dxa"/>
            <w:vMerge w:val="restart"/>
            <w:vAlign w:val="center"/>
          </w:tcPr>
          <w:p w14:paraId="7C38FD3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角色及权限管理</w:t>
            </w:r>
          </w:p>
        </w:tc>
        <w:tc>
          <w:tcPr>
            <w:tcW w:w="8569" w:type="dxa"/>
            <w:vAlign w:val="center"/>
          </w:tcPr>
          <w:p w14:paraId="4202BAFF">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支持角色自定义添加和删除；</w:t>
            </w:r>
          </w:p>
        </w:tc>
      </w:tr>
      <w:tr w14:paraId="53CB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B1DF09D">
            <w:pPr>
              <w:rPr>
                <w:rFonts w:ascii="宋体" w:hAnsi="宋体" w:eastAsia="宋体" w:cs="宋体"/>
                <w:color w:val="auto"/>
                <w:sz w:val="20"/>
                <w:szCs w:val="20"/>
                <w:highlight w:val="none"/>
              </w:rPr>
            </w:pPr>
          </w:p>
        </w:tc>
        <w:tc>
          <w:tcPr>
            <w:tcW w:w="808" w:type="dxa"/>
            <w:vMerge w:val="continue"/>
            <w:vAlign w:val="center"/>
          </w:tcPr>
          <w:p w14:paraId="2C1C0FE1">
            <w:pPr>
              <w:jc w:val="center"/>
              <w:rPr>
                <w:rFonts w:ascii="宋体" w:hAnsi="宋体" w:eastAsia="宋体" w:cs="宋体"/>
                <w:color w:val="auto"/>
                <w:sz w:val="20"/>
                <w:szCs w:val="20"/>
                <w:highlight w:val="none"/>
              </w:rPr>
            </w:pPr>
          </w:p>
        </w:tc>
        <w:tc>
          <w:tcPr>
            <w:tcW w:w="8569" w:type="dxa"/>
            <w:vAlign w:val="center"/>
          </w:tcPr>
          <w:p w14:paraId="2FC42211">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支持角色与科室、人员、岗位的绑定；</w:t>
            </w:r>
          </w:p>
        </w:tc>
      </w:tr>
      <w:tr w14:paraId="3A9D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AF252C3">
            <w:pPr>
              <w:rPr>
                <w:rFonts w:ascii="宋体" w:hAnsi="宋体" w:eastAsia="宋体" w:cs="宋体"/>
                <w:color w:val="auto"/>
                <w:sz w:val="20"/>
                <w:szCs w:val="20"/>
                <w:highlight w:val="none"/>
              </w:rPr>
            </w:pPr>
          </w:p>
        </w:tc>
        <w:tc>
          <w:tcPr>
            <w:tcW w:w="808" w:type="dxa"/>
            <w:vMerge w:val="continue"/>
            <w:vAlign w:val="center"/>
          </w:tcPr>
          <w:p w14:paraId="114DD629">
            <w:pPr>
              <w:jc w:val="center"/>
              <w:rPr>
                <w:rFonts w:ascii="宋体" w:hAnsi="宋体" w:eastAsia="宋体" w:cs="宋体"/>
                <w:color w:val="auto"/>
                <w:sz w:val="20"/>
                <w:szCs w:val="20"/>
                <w:highlight w:val="none"/>
              </w:rPr>
            </w:pPr>
          </w:p>
        </w:tc>
        <w:tc>
          <w:tcPr>
            <w:tcW w:w="8569" w:type="dxa"/>
            <w:vAlign w:val="center"/>
          </w:tcPr>
          <w:p w14:paraId="2A523C3C">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支持按多角色授予不同的页面菜单权限，按钮权限，支持至少个人级、科室级、片区级、全院级，4个大级别权限控制。</w:t>
            </w:r>
          </w:p>
        </w:tc>
      </w:tr>
      <w:tr w14:paraId="6FC5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D0ADBD6">
            <w:pPr>
              <w:rPr>
                <w:rFonts w:ascii="宋体" w:hAnsi="宋体" w:eastAsia="宋体" w:cs="宋体"/>
                <w:color w:val="auto"/>
                <w:sz w:val="20"/>
                <w:szCs w:val="20"/>
                <w:highlight w:val="none"/>
              </w:rPr>
            </w:pPr>
          </w:p>
        </w:tc>
        <w:tc>
          <w:tcPr>
            <w:tcW w:w="808" w:type="dxa"/>
            <w:vMerge w:val="restart"/>
            <w:vAlign w:val="center"/>
          </w:tcPr>
          <w:p w14:paraId="2E1CB2D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档案权限管理</w:t>
            </w:r>
          </w:p>
        </w:tc>
        <w:tc>
          <w:tcPr>
            <w:tcW w:w="8569" w:type="dxa"/>
            <w:vAlign w:val="center"/>
          </w:tcPr>
          <w:p w14:paraId="08F41BE2">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按角色分类控制所有管理类产品个人档案可编辑项目，如：性别、年龄、身份证、手机号等，支持控制每个档案字段是否必填；</w:t>
            </w:r>
          </w:p>
        </w:tc>
      </w:tr>
      <w:tr w14:paraId="157E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8439F44">
            <w:pPr>
              <w:rPr>
                <w:rFonts w:ascii="宋体" w:hAnsi="宋体" w:eastAsia="宋体" w:cs="宋体"/>
                <w:color w:val="auto"/>
                <w:sz w:val="20"/>
                <w:szCs w:val="20"/>
                <w:highlight w:val="none"/>
              </w:rPr>
            </w:pPr>
          </w:p>
        </w:tc>
        <w:tc>
          <w:tcPr>
            <w:tcW w:w="808" w:type="dxa"/>
            <w:vMerge w:val="continue"/>
            <w:vAlign w:val="center"/>
          </w:tcPr>
          <w:p w14:paraId="6AEAE687">
            <w:pPr>
              <w:jc w:val="center"/>
              <w:rPr>
                <w:rFonts w:ascii="宋体" w:hAnsi="宋体" w:eastAsia="宋体" w:cs="宋体"/>
                <w:color w:val="auto"/>
                <w:sz w:val="20"/>
                <w:szCs w:val="20"/>
                <w:highlight w:val="none"/>
              </w:rPr>
            </w:pPr>
          </w:p>
        </w:tc>
        <w:tc>
          <w:tcPr>
            <w:tcW w:w="8569" w:type="dxa"/>
            <w:vAlign w:val="center"/>
          </w:tcPr>
          <w:p w14:paraId="1543623C">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支持管理员查询调整操作日志，予以追溯使用；</w:t>
            </w:r>
          </w:p>
        </w:tc>
      </w:tr>
      <w:tr w14:paraId="78D0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885F9AF">
            <w:pPr>
              <w:rPr>
                <w:rFonts w:ascii="宋体" w:hAnsi="宋体" w:eastAsia="宋体" w:cs="宋体"/>
                <w:color w:val="auto"/>
                <w:sz w:val="20"/>
                <w:szCs w:val="20"/>
                <w:highlight w:val="none"/>
              </w:rPr>
            </w:pPr>
          </w:p>
        </w:tc>
        <w:tc>
          <w:tcPr>
            <w:tcW w:w="808" w:type="dxa"/>
            <w:vMerge w:val="continue"/>
            <w:vAlign w:val="center"/>
          </w:tcPr>
          <w:p w14:paraId="65087B70">
            <w:pPr>
              <w:jc w:val="center"/>
              <w:rPr>
                <w:rFonts w:ascii="宋体" w:hAnsi="宋体" w:eastAsia="宋体" w:cs="宋体"/>
                <w:color w:val="auto"/>
                <w:sz w:val="20"/>
                <w:szCs w:val="20"/>
                <w:highlight w:val="none"/>
              </w:rPr>
            </w:pPr>
          </w:p>
        </w:tc>
        <w:tc>
          <w:tcPr>
            <w:tcW w:w="8569" w:type="dxa"/>
            <w:vAlign w:val="center"/>
          </w:tcPr>
          <w:p w14:paraId="33379D53">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可按不同产品进行授权档案字段审批权限的设定。</w:t>
            </w:r>
          </w:p>
        </w:tc>
      </w:tr>
      <w:tr w14:paraId="3FB3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vAlign w:val="center"/>
          </w:tcPr>
          <w:p w14:paraId="4C924549">
            <w:pPr>
              <w:rPr>
                <w:rFonts w:ascii="宋体" w:hAnsi="宋体" w:eastAsia="宋体" w:cs="宋体"/>
                <w:color w:val="auto"/>
                <w:sz w:val="20"/>
                <w:szCs w:val="20"/>
                <w:highlight w:val="none"/>
              </w:rPr>
            </w:pPr>
          </w:p>
        </w:tc>
        <w:tc>
          <w:tcPr>
            <w:tcW w:w="808" w:type="dxa"/>
            <w:vMerge w:val="continue"/>
            <w:vAlign w:val="center"/>
          </w:tcPr>
          <w:p w14:paraId="66641D7E">
            <w:pPr>
              <w:jc w:val="center"/>
              <w:rPr>
                <w:rFonts w:ascii="宋体" w:hAnsi="宋体" w:eastAsia="宋体" w:cs="宋体"/>
                <w:color w:val="auto"/>
                <w:sz w:val="20"/>
                <w:szCs w:val="20"/>
                <w:highlight w:val="none"/>
              </w:rPr>
            </w:pPr>
          </w:p>
        </w:tc>
        <w:tc>
          <w:tcPr>
            <w:tcW w:w="8569" w:type="dxa"/>
            <w:vAlign w:val="center"/>
          </w:tcPr>
          <w:p w14:paraId="7F265138">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w:t>
            </w:r>
          </w:p>
        </w:tc>
      </w:tr>
      <w:tr w14:paraId="50D3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restart"/>
            <w:vAlign w:val="center"/>
          </w:tcPr>
          <w:p w14:paraId="2C5F2091">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1.8.</w:t>
            </w:r>
            <w:r>
              <w:rPr>
                <w:rStyle w:val="27"/>
                <w:rFonts w:hint="default"/>
                <w:color w:val="auto"/>
                <w:highlight w:val="none"/>
                <w:lang w:bidi="ar"/>
              </w:rPr>
              <w:t>4 系统支撑</w:t>
            </w:r>
          </w:p>
        </w:tc>
        <w:tc>
          <w:tcPr>
            <w:tcW w:w="808" w:type="dxa"/>
            <w:vMerge w:val="restart"/>
            <w:vAlign w:val="center"/>
          </w:tcPr>
          <w:p w14:paraId="4F70B4D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数据源设置</w:t>
            </w:r>
          </w:p>
        </w:tc>
        <w:tc>
          <w:tcPr>
            <w:tcW w:w="8569" w:type="dxa"/>
            <w:vAlign w:val="center"/>
          </w:tcPr>
          <w:p w14:paraId="5752B43C">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支持SQL设置不同的数据源信息，如：数据库信息、数据库名、用户名、密码、数据库连接数，并发数、空闲数、超时等待等参数设置；</w:t>
            </w:r>
          </w:p>
        </w:tc>
      </w:tr>
      <w:tr w14:paraId="581C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B407511">
            <w:pPr>
              <w:rPr>
                <w:rFonts w:ascii="宋体" w:hAnsi="宋体" w:eastAsia="宋体" w:cs="宋体"/>
                <w:color w:val="auto"/>
                <w:sz w:val="20"/>
                <w:szCs w:val="20"/>
                <w:highlight w:val="none"/>
              </w:rPr>
            </w:pPr>
          </w:p>
        </w:tc>
        <w:tc>
          <w:tcPr>
            <w:tcW w:w="808" w:type="dxa"/>
            <w:vMerge w:val="continue"/>
            <w:vAlign w:val="center"/>
          </w:tcPr>
          <w:p w14:paraId="7A4359FD">
            <w:pPr>
              <w:jc w:val="center"/>
              <w:rPr>
                <w:rFonts w:ascii="宋体" w:hAnsi="宋体" w:eastAsia="宋体" w:cs="宋体"/>
                <w:color w:val="auto"/>
                <w:sz w:val="20"/>
                <w:szCs w:val="20"/>
                <w:highlight w:val="none"/>
              </w:rPr>
            </w:pPr>
          </w:p>
        </w:tc>
        <w:tc>
          <w:tcPr>
            <w:tcW w:w="8569" w:type="dxa"/>
            <w:vAlign w:val="center"/>
          </w:tcPr>
          <w:p w14:paraId="2B58B64E">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支持WEBservice，WEBAPI设置不同的数据源信息，如连接地址、状态码、消息字段标记、数据字段标记、Token状态等。</w:t>
            </w:r>
          </w:p>
        </w:tc>
      </w:tr>
      <w:tr w14:paraId="168D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6A766BA">
            <w:pPr>
              <w:rPr>
                <w:rFonts w:ascii="宋体" w:hAnsi="宋体" w:eastAsia="宋体" w:cs="宋体"/>
                <w:color w:val="auto"/>
                <w:sz w:val="20"/>
                <w:szCs w:val="20"/>
                <w:highlight w:val="none"/>
              </w:rPr>
            </w:pPr>
          </w:p>
        </w:tc>
        <w:tc>
          <w:tcPr>
            <w:tcW w:w="808" w:type="dxa"/>
            <w:vMerge w:val="restart"/>
            <w:vAlign w:val="center"/>
          </w:tcPr>
          <w:p w14:paraId="27C0190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接口管理设置</w:t>
            </w:r>
          </w:p>
        </w:tc>
        <w:tc>
          <w:tcPr>
            <w:tcW w:w="8569" w:type="dxa"/>
            <w:vAlign w:val="center"/>
          </w:tcPr>
          <w:p w14:paraId="532C8275">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支持接口可视化中台，支持按不同的接口类型管理对接医院第三方系统的接口（HIS、LIS、PACS、EMR、手麻系统等）；</w:t>
            </w:r>
          </w:p>
        </w:tc>
      </w:tr>
      <w:tr w14:paraId="2504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CF892CC">
            <w:pPr>
              <w:rPr>
                <w:rFonts w:ascii="宋体" w:hAnsi="宋体" w:eastAsia="宋体" w:cs="宋体"/>
                <w:color w:val="auto"/>
                <w:sz w:val="20"/>
                <w:szCs w:val="20"/>
                <w:highlight w:val="none"/>
              </w:rPr>
            </w:pPr>
          </w:p>
        </w:tc>
        <w:tc>
          <w:tcPr>
            <w:tcW w:w="808" w:type="dxa"/>
            <w:vMerge w:val="continue"/>
            <w:vAlign w:val="center"/>
          </w:tcPr>
          <w:p w14:paraId="765D8572">
            <w:pPr>
              <w:jc w:val="center"/>
              <w:rPr>
                <w:rFonts w:ascii="宋体" w:hAnsi="宋体" w:eastAsia="宋体" w:cs="宋体"/>
                <w:color w:val="auto"/>
                <w:sz w:val="20"/>
                <w:szCs w:val="20"/>
                <w:highlight w:val="none"/>
              </w:rPr>
            </w:pPr>
          </w:p>
        </w:tc>
        <w:tc>
          <w:tcPr>
            <w:tcW w:w="8569" w:type="dxa"/>
            <w:vAlign w:val="center"/>
          </w:tcPr>
          <w:p w14:paraId="034AA5A2">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支持按SQL在线编辑模式、Webapi、Webservice三种模式连接不同系统数据源，支持三种模式可视化编辑连接内容信息，工程师可现场调整接口信息；</w:t>
            </w:r>
          </w:p>
        </w:tc>
      </w:tr>
      <w:tr w14:paraId="4CF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30CD6C0">
            <w:pPr>
              <w:rPr>
                <w:rFonts w:ascii="宋体" w:hAnsi="宋体" w:eastAsia="宋体" w:cs="宋体"/>
                <w:color w:val="auto"/>
                <w:sz w:val="20"/>
                <w:szCs w:val="20"/>
                <w:highlight w:val="none"/>
              </w:rPr>
            </w:pPr>
          </w:p>
        </w:tc>
        <w:tc>
          <w:tcPr>
            <w:tcW w:w="808" w:type="dxa"/>
            <w:vMerge w:val="continue"/>
            <w:vAlign w:val="center"/>
          </w:tcPr>
          <w:p w14:paraId="509B9D3B">
            <w:pPr>
              <w:jc w:val="center"/>
              <w:rPr>
                <w:rFonts w:ascii="宋体" w:hAnsi="宋体" w:eastAsia="宋体" w:cs="宋体"/>
                <w:color w:val="auto"/>
                <w:sz w:val="20"/>
                <w:szCs w:val="20"/>
                <w:highlight w:val="none"/>
              </w:rPr>
            </w:pPr>
          </w:p>
        </w:tc>
        <w:tc>
          <w:tcPr>
            <w:tcW w:w="8569" w:type="dxa"/>
            <w:vAlign w:val="center"/>
          </w:tcPr>
          <w:p w14:paraId="694F6188">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系统支持对多个接口进行调动计划安排，按需控制业务的定时调度行为，支持可视化调整调度任务。</w:t>
            </w:r>
          </w:p>
        </w:tc>
      </w:tr>
      <w:tr w14:paraId="2605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68F8F10">
            <w:pPr>
              <w:rPr>
                <w:rFonts w:ascii="宋体" w:hAnsi="宋体" w:eastAsia="宋体" w:cs="宋体"/>
                <w:color w:val="auto"/>
                <w:sz w:val="20"/>
                <w:szCs w:val="20"/>
                <w:highlight w:val="none"/>
              </w:rPr>
            </w:pPr>
          </w:p>
        </w:tc>
        <w:tc>
          <w:tcPr>
            <w:tcW w:w="808" w:type="dxa"/>
            <w:vMerge w:val="restart"/>
            <w:vAlign w:val="center"/>
          </w:tcPr>
          <w:p w14:paraId="36161CCE">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期初数据导入</w:t>
            </w:r>
          </w:p>
        </w:tc>
        <w:tc>
          <w:tcPr>
            <w:tcW w:w="8569" w:type="dxa"/>
            <w:vAlign w:val="center"/>
          </w:tcPr>
          <w:p w14:paraId="2A2878A5">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可提供不预制模板进行导入；</w:t>
            </w:r>
          </w:p>
        </w:tc>
      </w:tr>
      <w:tr w14:paraId="6E3B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E133081">
            <w:pPr>
              <w:rPr>
                <w:rFonts w:ascii="宋体" w:hAnsi="宋体" w:eastAsia="宋体" w:cs="宋体"/>
                <w:color w:val="auto"/>
                <w:sz w:val="20"/>
                <w:szCs w:val="20"/>
                <w:highlight w:val="none"/>
              </w:rPr>
            </w:pPr>
          </w:p>
        </w:tc>
        <w:tc>
          <w:tcPr>
            <w:tcW w:w="808" w:type="dxa"/>
            <w:vMerge w:val="continue"/>
            <w:vAlign w:val="center"/>
          </w:tcPr>
          <w:p w14:paraId="5B304382">
            <w:pPr>
              <w:jc w:val="center"/>
              <w:rPr>
                <w:rFonts w:ascii="宋体" w:hAnsi="宋体" w:eastAsia="宋体" w:cs="宋体"/>
                <w:color w:val="auto"/>
                <w:sz w:val="20"/>
                <w:szCs w:val="20"/>
                <w:highlight w:val="none"/>
              </w:rPr>
            </w:pPr>
          </w:p>
        </w:tc>
        <w:tc>
          <w:tcPr>
            <w:tcW w:w="8569" w:type="dxa"/>
            <w:vAlign w:val="center"/>
          </w:tcPr>
          <w:p w14:paraId="4BBE480B">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支持导入预览是否成功，导入失败会给出错误的提示原因。</w:t>
            </w:r>
          </w:p>
        </w:tc>
      </w:tr>
      <w:tr w14:paraId="694F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C317755">
            <w:pPr>
              <w:rPr>
                <w:rFonts w:ascii="宋体" w:hAnsi="宋体" w:eastAsia="宋体" w:cs="宋体"/>
                <w:color w:val="auto"/>
                <w:sz w:val="20"/>
                <w:szCs w:val="20"/>
                <w:highlight w:val="none"/>
              </w:rPr>
            </w:pPr>
          </w:p>
        </w:tc>
        <w:tc>
          <w:tcPr>
            <w:tcW w:w="808" w:type="dxa"/>
            <w:vMerge w:val="restart"/>
            <w:vAlign w:val="center"/>
          </w:tcPr>
          <w:p w14:paraId="119B2A37">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表单模版管理</w:t>
            </w:r>
          </w:p>
        </w:tc>
        <w:tc>
          <w:tcPr>
            <w:tcW w:w="8569" w:type="dxa"/>
            <w:vAlign w:val="center"/>
          </w:tcPr>
          <w:p w14:paraId="3BA679F9">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支持可配置化“表单设计器”，支持PC端和移动端多应用场景覆盖；</w:t>
            </w:r>
          </w:p>
        </w:tc>
      </w:tr>
      <w:tr w14:paraId="0A40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330ABCF">
            <w:pPr>
              <w:rPr>
                <w:rFonts w:ascii="宋体" w:hAnsi="宋体" w:eastAsia="宋体" w:cs="宋体"/>
                <w:color w:val="auto"/>
                <w:sz w:val="20"/>
                <w:szCs w:val="20"/>
                <w:highlight w:val="none"/>
              </w:rPr>
            </w:pPr>
          </w:p>
        </w:tc>
        <w:tc>
          <w:tcPr>
            <w:tcW w:w="808" w:type="dxa"/>
            <w:vMerge w:val="continue"/>
            <w:vAlign w:val="center"/>
          </w:tcPr>
          <w:p w14:paraId="4E7D447D">
            <w:pPr>
              <w:jc w:val="center"/>
              <w:rPr>
                <w:rFonts w:ascii="宋体" w:hAnsi="宋体" w:eastAsia="宋体" w:cs="宋体"/>
                <w:color w:val="auto"/>
                <w:sz w:val="20"/>
                <w:szCs w:val="20"/>
                <w:highlight w:val="none"/>
              </w:rPr>
            </w:pPr>
          </w:p>
        </w:tc>
        <w:tc>
          <w:tcPr>
            <w:tcW w:w="8569" w:type="dxa"/>
            <w:vAlign w:val="center"/>
          </w:tcPr>
          <w:p w14:paraId="6B9001F2">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可视化拖拽设计，多组件设计方案，如：单行文本框、多行文本框、富文本、附件上传、单选按钮、多选按钮、密码框、计数器、级联选择器、下拉选择器、开关按钮、滑块、时间选择器、日期选择器、日期范围选择器、评分模块、颜色选择器、表格模块等；</w:t>
            </w:r>
          </w:p>
        </w:tc>
      </w:tr>
      <w:tr w14:paraId="4215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632F21C">
            <w:pPr>
              <w:rPr>
                <w:rFonts w:ascii="宋体" w:hAnsi="宋体" w:eastAsia="宋体" w:cs="宋体"/>
                <w:color w:val="auto"/>
                <w:sz w:val="20"/>
                <w:szCs w:val="20"/>
                <w:highlight w:val="none"/>
              </w:rPr>
            </w:pPr>
          </w:p>
        </w:tc>
        <w:tc>
          <w:tcPr>
            <w:tcW w:w="808" w:type="dxa"/>
            <w:vMerge w:val="continue"/>
            <w:vAlign w:val="center"/>
          </w:tcPr>
          <w:p w14:paraId="5E1A347C">
            <w:pPr>
              <w:jc w:val="center"/>
              <w:rPr>
                <w:rFonts w:ascii="宋体" w:hAnsi="宋体" w:eastAsia="宋体" w:cs="宋体"/>
                <w:color w:val="auto"/>
                <w:sz w:val="20"/>
                <w:szCs w:val="20"/>
                <w:highlight w:val="none"/>
              </w:rPr>
            </w:pPr>
          </w:p>
        </w:tc>
        <w:tc>
          <w:tcPr>
            <w:tcW w:w="8569" w:type="dxa"/>
            <w:vAlign w:val="center"/>
          </w:tcPr>
          <w:p w14:paraId="201D689F">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支持自定义布局各组件的排列方式；</w:t>
            </w:r>
          </w:p>
        </w:tc>
      </w:tr>
      <w:tr w14:paraId="32AB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F8CFE12">
            <w:pPr>
              <w:rPr>
                <w:rFonts w:ascii="宋体" w:hAnsi="宋体" w:eastAsia="宋体" w:cs="宋体"/>
                <w:color w:val="auto"/>
                <w:sz w:val="20"/>
                <w:szCs w:val="20"/>
                <w:highlight w:val="none"/>
              </w:rPr>
            </w:pPr>
          </w:p>
        </w:tc>
        <w:tc>
          <w:tcPr>
            <w:tcW w:w="808" w:type="dxa"/>
            <w:vMerge w:val="continue"/>
            <w:vAlign w:val="center"/>
          </w:tcPr>
          <w:p w14:paraId="6606ED5B">
            <w:pPr>
              <w:jc w:val="center"/>
              <w:rPr>
                <w:rFonts w:ascii="宋体" w:hAnsi="宋体" w:eastAsia="宋体" w:cs="宋体"/>
                <w:color w:val="auto"/>
                <w:sz w:val="20"/>
                <w:szCs w:val="20"/>
                <w:highlight w:val="none"/>
              </w:rPr>
            </w:pPr>
          </w:p>
        </w:tc>
        <w:tc>
          <w:tcPr>
            <w:tcW w:w="8569" w:type="dxa"/>
            <w:vAlign w:val="center"/>
          </w:tcPr>
          <w:p w14:paraId="75040B95">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组件动态数据渲染，如：可以搭配调用门诊、住院患者数据、输入门诊号就能查询得到患者所有数据；</w:t>
            </w:r>
          </w:p>
        </w:tc>
      </w:tr>
      <w:tr w14:paraId="47FA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CB09025">
            <w:pPr>
              <w:rPr>
                <w:rFonts w:ascii="宋体" w:hAnsi="宋体" w:eastAsia="宋体" w:cs="宋体"/>
                <w:color w:val="auto"/>
                <w:sz w:val="20"/>
                <w:szCs w:val="20"/>
                <w:highlight w:val="none"/>
              </w:rPr>
            </w:pPr>
          </w:p>
        </w:tc>
        <w:tc>
          <w:tcPr>
            <w:tcW w:w="808" w:type="dxa"/>
            <w:vMerge w:val="continue"/>
            <w:vAlign w:val="center"/>
          </w:tcPr>
          <w:p w14:paraId="2E0071E9">
            <w:pPr>
              <w:jc w:val="center"/>
              <w:rPr>
                <w:rFonts w:ascii="宋体" w:hAnsi="宋体" w:eastAsia="宋体" w:cs="宋体"/>
                <w:color w:val="auto"/>
                <w:sz w:val="20"/>
                <w:szCs w:val="20"/>
                <w:highlight w:val="none"/>
              </w:rPr>
            </w:pPr>
          </w:p>
        </w:tc>
        <w:tc>
          <w:tcPr>
            <w:tcW w:w="8569" w:type="dxa"/>
            <w:vAlign w:val="center"/>
          </w:tcPr>
          <w:p w14:paraId="400159BD">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组件属性编辑，如：组件宽度、高度、对齐、是否必填、正则关联等；</w:t>
            </w:r>
          </w:p>
        </w:tc>
      </w:tr>
      <w:tr w14:paraId="2E62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642151A">
            <w:pPr>
              <w:rPr>
                <w:rFonts w:ascii="宋体" w:hAnsi="宋体" w:eastAsia="宋体" w:cs="宋体"/>
                <w:color w:val="auto"/>
                <w:sz w:val="20"/>
                <w:szCs w:val="20"/>
                <w:highlight w:val="none"/>
              </w:rPr>
            </w:pPr>
          </w:p>
        </w:tc>
        <w:tc>
          <w:tcPr>
            <w:tcW w:w="808" w:type="dxa"/>
            <w:vMerge w:val="continue"/>
            <w:vAlign w:val="center"/>
          </w:tcPr>
          <w:p w14:paraId="0E83E631">
            <w:pPr>
              <w:jc w:val="center"/>
              <w:rPr>
                <w:rFonts w:ascii="宋体" w:hAnsi="宋体" w:eastAsia="宋体" w:cs="宋体"/>
                <w:color w:val="auto"/>
                <w:sz w:val="20"/>
                <w:szCs w:val="20"/>
                <w:highlight w:val="none"/>
              </w:rPr>
            </w:pPr>
          </w:p>
        </w:tc>
        <w:tc>
          <w:tcPr>
            <w:tcW w:w="8569" w:type="dxa"/>
            <w:vAlign w:val="center"/>
          </w:tcPr>
          <w:p w14:paraId="34C54D8B">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支持表单打印模版定制，可以根据不同医院要求定制不同打印模版；</w:t>
            </w:r>
          </w:p>
        </w:tc>
      </w:tr>
      <w:tr w14:paraId="0C11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FEACDF3">
            <w:pPr>
              <w:rPr>
                <w:rFonts w:ascii="宋体" w:hAnsi="宋体" w:eastAsia="宋体" w:cs="宋体"/>
                <w:color w:val="auto"/>
                <w:sz w:val="20"/>
                <w:szCs w:val="20"/>
                <w:highlight w:val="none"/>
              </w:rPr>
            </w:pPr>
          </w:p>
        </w:tc>
        <w:tc>
          <w:tcPr>
            <w:tcW w:w="808" w:type="dxa"/>
            <w:vMerge w:val="continue"/>
            <w:vAlign w:val="center"/>
          </w:tcPr>
          <w:p w14:paraId="61ED4AE1">
            <w:pPr>
              <w:jc w:val="center"/>
              <w:rPr>
                <w:rFonts w:ascii="宋体" w:hAnsi="宋体" w:eastAsia="宋体" w:cs="宋体"/>
                <w:color w:val="auto"/>
                <w:sz w:val="20"/>
                <w:szCs w:val="20"/>
                <w:highlight w:val="none"/>
              </w:rPr>
            </w:pPr>
          </w:p>
        </w:tc>
        <w:tc>
          <w:tcPr>
            <w:tcW w:w="8569" w:type="dxa"/>
            <w:vAlign w:val="center"/>
          </w:tcPr>
          <w:p w14:paraId="4C237757">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可快捷复制表单，降低表单制作人工成本；</w:t>
            </w:r>
          </w:p>
        </w:tc>
      </w:tr>
      <w:tr w14:paraId="3E4D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2A5AABF">
            <w:pPr>
              <w:rPr>
                <w:rFonts w:ascii="宋体" w:hAnsi="宋体" w:eastAsia="宋体" w:cs="宋体"/>
                <w:color w:val="auto"/>
                <w:sz w:val="20"/>
                <w:szCs w:val="20"/>
                <w:highlight w:val="none"/>
              </w:rPr>
            </w:pPr>
          </w:p>
        </w:tc>
        <w:tc>
          <w:tcPr>
            <w:tcW w:w="808" w:type="dxa"/>
            <w:vMerge w:val="continue"/>
            <w:vAlign w:val="center"/>
          </w:tcPr>
          <w:p w14:paraId="1F46788A">
            <w:pPr>
              <w:jc w:val="center"/>
              <w:rPr>
                <w:rFonts w:ascii="宋体" w:hAnsi="宋体" w:eastAsia="宋体" w:cs="宋体"/>
                <w:color w:val="auto"/>
                <w:sz w:val="20"/>
                <w:szCs w:val="20"/>
                <w:highlight w:val="none"/>
              </w:rPr>
            </w:pPr>
          </w:p>
        </w:tc>
        <w:tc>
          <w:tcPr>
            <w:tcW w:w="8569" w:type="dxa"/>
            <w:vAlign w:val="center"/>
          </w:tcPr>
          <w:p w14:paraId="72AF2E45">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支持上传表单到云中心，也可下载云中心共享的表单库，供参考学习使用。</w:t>
            </w:r>
          </w:p>
        </w:tc>
      </w:tr>
      <w:tr w14:paraId="1388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D5943B8">
            <w:pPr>
              <w:rPr>
                <w:rFonts w:ascii="宋体" w:hAnsi="宋体" w:eastAsia="宋体" w:cs="宋体"/>
                <w:color w:val="auto"/>
                <w:sz w:val="20"/>
                <w:szCs w:val="20"/>
                <w:highlight w:val="none"/>
              </w:rPr>
            </w:pPr>
          </w:p>
        </w:tc>
        <w:tc>
          <w:tcPr>
            <w:tcW w:w="808" w:type="dxa"/>
            <w:vMerge w:val="restart"/>
            <w:vAlign w:val="center"/>
          </w:tcPr>
          <w:p w14:paraId="0D818C9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工作流引擎管理</w:t>
            </w:r>
          </w:p>
        </w:tc>
        <w:tc>
          <w:tcPr>
            <w:tcW w:w="8569" w:type="dxa"/>
            <w:vAlign w:val="center"/>
          </w:tcPr>
          <w:p w14:paraId="1740CA03">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支持设计可视化流程引擎配置界面；</w:t>
            </w:r>
          </w:p>
        </w:tc>
      </w:tr>
      <w:tr w14:paraId="0C7A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2D4B5E9">
            <w:pPr>
              <w:rPr>
                <w:rFonts w:ascii="宋体" w:hAnsi="宋体" w:eastAsia="宋体" w:cs="宋体"/>
                <w:color w:val="auto"/>
                <w:sz w:val="20"/>
                <w:szCs w:val="20"/>
                <w:highlight w:val="none"/>
              </w:rPr>
            </w:pPr>
          </w:p>
        </w:tc>
        <w:tc>
          <w:tcPr>
            <w:tcW w:w="808" w:type="dxa"/>
            <w:vMerge w:val="continue"/>
            <w:vAlign w:val="center"/>
          </w:tcPr>
          <w:p w14:paraId="657CE8A7">
            <w:pPr>
              <w:jc w:val="center"/>
              <w:rPr>
                <w:rFonts w:ascii="宋体" w:hAnsi="宋体" w:eastAsia="宋体" w:cs="宋体"/>
                <w:color w:val="auto"/>
                <w:sz w:val="20"/>
                <w:szCs w:val="20"/>
                <w:highlight w:val="none"/>
              </w:rPr>
            </w:pPr>
          </w:p>
        </w:tc>
        <w:tc>
          <w:tcPr>
            <w:tcW w:w="8569" w:type="dxa"/>
            <w:vAlign w:val="center"/>
          </w:tcPr>
          <w:p w14:paraId="0854D7AD">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支持各产品各业务模块的流程引擎搭配；</w:t>
            </w:r>
          </w:p>
        </w:tc>
      </w:tr>
      <w:tr w14:paraId="1E84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3ED1E6F">
            <w:pPr>
              <w:rPr>
                <w:rFonts w:ascii="宋体" w:hAnsi="宋体" w:eastAsia="宋体" w:cs="宋体"/>
                <w:color w:val="auto"/>
                <w:sz w:val="20"/>
                <w:szCs w:val="20"/>
                <w:highlight w:val="none"/>
              </w:rPr>
            </w:pPr>
          </w:p>
        </w:tc>
        <w:tc>
          <w:tcPr>
            <w:tcW w:w="808" w:type="dxa"/>
            <w:vMerge w:val="continue"/>
            <w:vAlign w:val="center"/>
          </w:tcPr>
          <w:p w14:paraId="1D63DDC6">
            <w:pPr>
              <w:jc w:val="center"/>
              <w:rPr>
                <w:rFonts w:ascii="宋体" w:hAnsi="宋体" w:eastAsia="宋体" w:cs="宋体"/>
                <w:color w:val="auto"/>
                <w:sz w:val="20"/>
                <w:szCs w:val="20"/>
                <w:highlight w:val="none"/>
              </w:rPr>
            </w:pPr>
          </w:p>
        </w:tc>
        <w:tc>
          <w:tcPr>
            <w:tcW w:w="8569" w:type="dxa"/>
            <w:vAlign w:val="center"/>
          </w:tcPr>
          <w:p w14:paraId="65EEE94D">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支持处理人各节点配置，如指定用户、指定岗位、是否会签、指定科室、动态处理人等，信息节点配置。</w:t>
            </w:r>
          </w:p>
        </w:tc>
      </w:tr>
      <w:tr w14:paraId="4B03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8D240E5">
            <w:pPr>
              <w:rPr>
                <w:rFonts w:ascii="宋体" w:hAnsi="宋体" w:eastAsia="宋体" w:cs="宋体"/>
                <w:color w:val="auto"/>
                <w:sz w:val="20"/>
                <w:szCs w:val="20"/>
                <w:highlight w:val="none"/>
              </w:rPr>
            </w:pPr>
          </w:p>
        </w:tc>
        <w:tc>
          <w:tcPr>
            <w:tcW w:w="808" w:type="dxa"/>
            <w:vMerge w:val="restart"/>
            <w:vAlign w:val="center"/>
          </w:tcPr>
          <w:p w14:paraId="726B619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表单流程引擎管理</w:t>
            </w:r>
          </w:p>
        </w:tc>
        <w:tc>
          <w:tcPr>
            <w:tcW w:w="8569" w:type="dxa"/>
            <w:vAlign w:val="center"/>
          </w:tcPr>
          <w:p w14:paraId="3E1763AD">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支持表单流程引擎，可以根据每一份表单中的不同填写区域控制流程流转；</w:t>
            </w:r>
          </w:p>
        </w:tc>
      </w:tr>
      <w:tr w14:paraId="2684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CEE15D3">
            <w:pPr>
              <w:rPr>
                <w:rFonts w:ascii="宋体" w:hAnsi="宋体" w:eastAsia="宋体" w:cs="宋体"/>
                <w:color w:val="auto"/>
                <w:sz w:val="20"/>
                <w:szCs w:val="20"/>
                <w:highlight w:val="none"/>
              </w:rPr>
            </w:pPr>
          </w:p>
        </w:tc>
        <w:tc>
          <w:tcPr>
            <w:tcW w:w="808" w:type="dxa"/>
            <w:vMerge w:val="continue"/>
            <w:vAlign w:val="center"/>
          </w:tcPr>
          <w:p w14:paraId="73A4586B">
            <w:pPr>
              <w:jc w:val="center"/>
              <w:rPr>
                <w:rFonts w:ascii="宋体" w:hAnsi="宋体" w:eastAsia="宋体" w:cs="宋体"/>
                <w:color w:val="auto"/>
                <w:sz w:val="20"/>
                <w:szCs w:val="20"/>
                <w:highlight w:val="none"/>
              </w:rPr>
            </w:pPr>
          </w:p>
        </w:tc>
        <w:tc>
          <w:tcPr>
            <w:tcW w:w="8569" w:type="dxa"/>
            <w:vAlign w:val="center"/>
          </w:tcPr>
          <w:p w14:paraId="271A3C1D">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支持每个填写区域的权限配置，如指定人、指定岗位等；</w:t>
            </w:r>
          </w:p>
        </w:tc>
      </w:tr>
      <w:tr w14:paraId="2C86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4B9260D">
            <w:pPr>
              <w:rPr>
                <w:rFonts w:ascii="宋体" w:hAnsi="宋体" w:eastAsia="宋体" w:cs="宋体"/>
                <w:color w:val="auto"/>
                <w:sz w:val="20"/>
                <w:szCs w:val="20"/>
                <w:highlight w:val="none"/>
              </w:rPr>
            </w:pPr>
          </w:p>
        </w:tc>
        <w:tc>
          <w:tcPr>
            <w:tcW w:w="808" w:type="dxa"/>
            <w:vMerge w:val="continue"/>
            <w:vAlign w:val="center"/>
          </w:tcPr>
          <w:p w14:paraId="41573E62">
            <w:pPr>
              <w:jc w:val="center"/>
              <w:rPr>
                <w:rFonts w:ascii="宋体" w:hAnsi="宋体" w:eastAsia="宋体" w:cs="宋体"/>
                <w:color w:val="auto"/>
                <w:sz w:val="20"/>
                <w:szCs w:val="20"/>
                <w:highlight w:val="none"/>
              </w:rPr>
            </w:pPr>
          </w:p>
        </w:tc>
        <w:tc>
          <w:tcPr>
            <w:tcW w:w="8569" w:type="dxa"/>
            <w:vAlign w:val="center"/>
          </w:tcPr>
          <w:p w14:paraId="348955E1">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支持会签；</w:t>
            </w:r>
          </w:p>
        </w:tc>
      </w:tr>
      <w:tr w14:paraId="0A10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09B2D38">
            <w:pPr>
              <w:rPr>
                <w:rFonts w:ascii="宋体" w:hAnsi="宋体" w:eastAsia="宋体" w:cs="宋体"/>
                <w:color w:val="auto"/>
                <w:sz w:val="20"/>
                <w:szCs w:val="20"/>
                <w:highlight w:val="none"/>
              </w:rPr>
            </w:pPr>
          </w:p>
        </w:tc>
        <w:tc>
          <w:tcPr>
            <w:tcW w:w="808" w:type="dxa"/>
            <w:vMerge w:val="continue"/>
            <w:vAlign w:val="center"/>
          </w:tcPr>
          <w:p w14:paraId="6391BB58">
            <w:pPr>
              <w:jc w:val="center"/>
              <w:rPr>
                <w:rFonts w:ascii="宋体" w:hAnsi="宋体" w:eastAsia="宋体" w:cs="宋体"/>
                <w:color w:val="auto"/>
                <w:sz w:val="20"/>
                <w:szCs w:val="20"/>
                <w:highlight w:val="none"/>
              </w:rPr>
            </w:pPr>
          </w:p>
        </w:tc>
        <w:tc>
          <w:tcPr>
            <w:tcW w:w="8569" w:type="dxa"/>
            <w:vAlign w:val="center"/>
          </w:tcPr>
          <w:p w14:paraId="008B8436">
            <w:pPr>
              <w:widowControl/>
              <w:textAlignment w:val="center"/>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支持表单填写组件类型为富文本和文本域。</w:t>
            </w:r>
          </w:p>
        </w:tc>
      </w:tr>
    </w:tbl>
    <w:p w14:paraId="3CE75A77">
      <w:pPr>
        <w:pStyle w:val="7"/>
        <w:widowControl/>
        <w:jc w:val="left"/>
        <w:textAlignment w:val="center"/>
        <w:outlineLvl w:val="1"/>
        <w:rPr>
          <w:rFonts w:hint="eastAsia" w:ascii="宋体" w:hAnsi="宋体" w:eastAsia="宋体" w:cs="宋体"/>
          <w:b/>
          <w:bCs/>
          <w:color w:val="auto"/>
          <w:kern w:val="0"/>
          <w:sz w:val="20"/>
          <w:szCs w:val="20"/>
          <w:highlight w:val="none"/>
          <w:lang w:bidi="ar"/>
        </w:rPr>
      </w:pPr>
      <w:r>
        <w:rPr>
          <w:rFonts w:hint="eastAsia"/>
          <w:highlight w:val="none"/>
        </w:rPr>
        <w:t>1.</w:t>
      </w:r>
      <w:r>
        <w:rPr>
          <w:rFonts w:hint="eastAsia"/>
          <w:highlight w:val="none"/>
          <w:lang w:val="en-US" w:eastAsia="zh-CN"/>
        </w:rPr>
        <w:t>9</w:t>
      </w:r>
      <w:r>
        <w:rPr>
          <w:rFonts w:hint="eastAsia"/>
          <w:highlight w:val="none"/>
        </w:rPr>
        <w:t xml:space="preserve"> 医务部智慧</w:t>
      </w:r>
      <w:r>
        <w:rPr>
          <w:rFonts w:hint="eastAsia"/>
          <w:highlight w:val="none"/>
          <w:lang w:eastAsia="zh-CN"/>
        </w:rPr>
        <w:t>驾驶舱展示</w:t>
      </w:r>
      <w:bookmarkEnd w:id="11"/>
    </w:p>
    <w:tbl>
      <w:tblPr>
        <w:tblStyle w:val="20"/>
        <w:tblW w:w="10138" w:type="dxa"/>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58BD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38" w:type="dxa"/>
            <w:gridSpan w:val="2"/>
            <w:shd w:val="clear" w:color="auto" w:fill="FFFF00"/>
            <w:vAlign w:val="center"/>
          </w:tcPr>
          <w:p w14:paraId="3A8F2D0D">
            <w:pPr>
              <w:widowControl/>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kern w:val="0"/>
                <w:sz w:val="22"/>
                <w:szCs w:val="22"/>
                <w:highlight w:val="none"/>
                <w:lang w:bidi="ar"/>
              </w:rPr>
              <w:t>1.</w:t>
            </w:r>
            <w:r>
              <w:rPr>
                <w:rFonts w:hint="eastAsia" w:ascii="宋体" w:hAnsi="宋体" w:eastAsia="宋体" w:cs="宋体"/>
                <w:b/>
                <w:bCs/>
                <w:color w:val="auto"/>
                <w:kern w:val="0"/>
                <w:sz w:val="22"/>
                <w:szCs w:val="22"/>
                <w:highlight w:val="none"/>
                <w:lang w:val="en-US" w:eastAsia="zh-CN" w:bidi="ar"/>
              </w:rPr>
              <w:t>12</w:t>
            </w:r>
            <w:r>
              <w:rPr>
                <w:rFonts w:hint="eastAsia" w:ascii="宋体" w:hAnsi="宋体" w:eastAsia="宋体" w:cs="宋体"/>
                <w:b/>
                <w:bCs/>
                <w:color w:val="auto"/>
                <w:kern w:val="0"/>
                <w:sz w:val="22"/>
                <w:szCs w:val="22"/>
                <w:highlight w:val="none"/>
                <w:lang w:bidi="ar"/>
              </w:rPr>
              <w:t>医务部智慧</w:t>
            </w:r>
            <w:r>
              <w:rPr>
                <w:rFonts w:hint="eastAsia" w:ascii="宋体" w:hAnsi="宋体" w:eastAsia="宋体" w:cs="宋体"/>
                <w:b/>
                <w:bCs/>
                <w:color w:val="auto"/>
                <w:kern w:val="0"/>
                <w:sz w:val="22"/>
                <w:szCs w:val="22"/>
                <w:highlight w:val="none"/>
                <w:lang w:eastAsia="zh-CN" w:bidi="ar"/>
              </w:rPr>
              <w:t>驾驶舱展示</w:t>
            </w:r>
          </w:p>
        </w:tc>
      </w:tr>
      <w:tr w14:paraId="43D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6D0FE67B">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1.9.</w:t>
            </w:r>
            <w:r>
              <w:rPr>
                <w:rStyle w:val="27"/>
                <w:rFonts w:hint="default"/>
                <w:color w:val="auto"/>
                <w:highlight w:val="none"/>
                <w:lang w:bidi="ar"/>
              </w:rPr>
              <w:t>1 医患指标</w:t>
            </w:r>
          </w:p>
        </w:tc>
        <w:tc>
          <w:tcPr>
            <w:tcW w:w="8569" w:type="dxa"/>
          </w:tcPr>
          <w:p w14:paraId="5696E3AE">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支持以曲线图，柱状图，饼状图展现医患比，全院医师数、全院床位使用率，全院患者数据信息等。</w:t>
            </w:r>
          </w:p>
        </w:tc>
      </w:tr>
      <w:tr w14:paraId="2D4C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69" w:type="dxa"/>
            <w:vAlign w:val="center"/>
          </w:tcPr>
          <w:p w14:paraId="673F2977">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1.9.</w:t>
            </w:r>
            <w:r>
              <w:rPr>
                <w:rStyle w:val="27"/>
                <w:rFonts w:hint="default"/>
                <w:color w:val="auto"/>
                <w:highlight w:val="none"/>
                <w:lang w:bidi="ar"/>
              </w:rPr>
              <w:t>2 全院患者动态</w:t>
            </w:r>
          </w:p>
        </w:tc>
        <w:tc>
          <w:tcPr>
            <w:tcW w:w="8569" w:type="dxa"/>
          </w:tcPr>
          <w:p w14:paraId="3F2DE5FC">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支持以病区/科室模块化的方式展示全院病区患者数据动态</w:t>
            </w:r>
          </w:p>
        </w:tc>
      </w:tr>
      <w:tr w14:paraId="32CE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3C692A80">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1.9.</w:t>
            </w:r>
            <w:r>
              <w:rPr>
                <w:rStyle w:val="27"/>
                <w:rFonts w:hint="default"/>
                <w:color w:val="auto"/>
                <w:highlight w:val="none"/>
                <w:lang w:bidi="ar"/>
              </w:rPr>
              <w:t>3 病区患者</w:t>
            </w:r>
          </w:p>
        </w:tc>
        <w:tc>
          <w:tcPr>
            <w:tcW w:w="8569" w:type="dxa"/>
          </w:tcPr>
          <w:p w14:paraId="40011A33">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支持以病区/科室列表的格式展示科室患者数据动态。</w:t>
            </w:r>
          </w:p>
        </w:tc>
      </w:tr>
      <w:tr w14:paraId="1FBE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1889BDD0">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1.9.</w:t>
            </w:r>
            <w:r>
              <w:rPr>
                <w:rStyle w:val="27"/>
                <w:rFonts w:hint="default"/>
                <w:color w:val="auto"/>
                <w:highlight w:val="none"/>
                <w:lang w:bidi="ar"/>
              </w:rPr>
              <w:t>4 手术安排</w:t>
            </w:r>
          </w:p>
        </w:tc>
        <w:tc>
          <w:tcPr>
            <w:tcW w:w="8569" w:type="dxa"/>
          </w:tcPr>
          <w:p w14:paraId="6D88BA61">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支持以列表滚动形式显示每天开展手术情况。</w:t>
            </w:r>
          </w:p>
        </w:tc>
      </w:tr>
      <w:tr w14:paraId="1FD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2B8B6004">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1.9.</w:t>
            </w:r>
            <w:r>
              <w:rPr>
                <w:rStyle w:val="27"/>
                <w:rFonts w:hint="default"/>
                <w:color w:val="auto"/>
                <w:highlight w:val="none"/>
                <w:lang w:bidi="ar"/>
              </w:rPr>
              <w:t>5 医师结构</w:t>
            </w:r>
          </w:p>
        </w:tc>
        <w:tc>
          <w:tcPr>
            <w:tcW w:w="8569" w:type="dxa"/>
          </w:tcPr>
          <w:p w14:paraId="4A90E115">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支持以动态饼状图展示各类医师的占比及数量，含各职称，年龄，工龄，用工形式、年龄、学历情况、新入职医师等；</w:t>
            </w:r>
          </w:p>
        </w:tc>
      </w:tr>
      <w:tr w14:paraId="1FDC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67151ED1">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1.9.</w:t>
            </w:r>
            <w:r>
              <w:rPr>
                <w:rStyle w:val="27"/>
                <w:rFonts w:hint="default"/>
                <w:color w:val="auto"/>
                <w:highlight w:val="none"/>
                <w:lang w:bidi="ar"/>
              </w:rPr>
              <w:t>6 医务大事记</w:t>
            </w:r>
          </w:p>
        </w:tc>
        <w:tc>
          <w:tcPr>
            <w:tcW w:w="8569" w:type="dxa"/>
          </w:tcPr>
          <w:p w14:paraId="4CD9EDF7">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支持以时间轴格式展示全院医务大事记录，支持图片显示；</w:t>
            </w:r>
          </w:p>
        </w:tc>
      </w:tr>
      <w:tr w14:paraId="1C51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77E333CF">
            <w:pPr>
              <w:widowControl/>
              <w:textAlignment w:val="center"/>
              <w:rPr>
                <w:rFonts w:ascii="宋体" w:hAnsi="宋体" w:eastAsia="宋体" w:cs="宋体"/>
                <w:color w:val="auto"/>
                <w:sz w:val="20"/>
                <w:szCs w:val="20"/>
                <w:highlight w:val="none"/>
              </w:rPr>
            </w:pPr>
            <w:r>
              <w:rPr>
                <w:rStyle w:val="27"/>
                <w:rFonts w:hint="eastAsia" w:eastAsia="宋体"/>
                <w:color w:val="auto"/>
                <w:highlight w:val="none"/>
                <w:lang w:eastAsia="zh-CN" w:bidi="ar"/>
              </w:rPr>
              <w:t>1.9.</w:t>
            </w:r>
            <w:r>
              <w:rPr>
                <w:rStyle w:val="27"/>
                <w:rFonts w:hint="default"/>
                <w:color w:val="auto"/>
                <w:highlight w:val="none"/>
                <w:lang w:bidi="ar"/>
              </w:rPr>
              <w:t>7 医师动态</w:t>
            </w:r>
          </w:p>
        </w:tc>
        <w:tc>
          <w:tcPr>
            <w:tcW w:w="8569" w:type="dxa"/>
          </w:tcPr>
          <w:p w14:paraId="66DA513B">
            <w:pPr>
              <w:widowControl/>
              <w:textAlignment w:val="top"/>
              <w:rPr>
                <w:rFonts w:hint="eastAsia" w:ascii="Wingdings" w:hAnsi="Wingdings" w:eastAsia="宋体" w:cs="Wingdings"/>
                <w:color w:val="auto"/>
                <w:sz w:val="20"/>
                <w:szCs w:val="20"/>
                <w:highlight w:val="none"/>
              </w:rPr>
            </w:pPr>
            <w:r>
              <w:rPr>
                <w:rStyle w:val="26"/>
                <w:rFonts w:eastAsia="宋体"/>
                <w:color w:val="auto"/>
                <w:highlight w:val="none"/>
                <w:lang w:bidi="ar"/>
              </w:rPr>
              <w:t></w:t>
            </w:r>
            <w:r>
              <w:rPr>
                <w:rStyle w:val="27"/>
                <w:rFonts w:hint="default"/>
                <w:color w:val="auto"/>
                <w:highlight w:val="none"/>
                <w:lang w:bidi="ar"/>
              </w:rPr>
              <w:t>支持以表格形式展示全院医师动态，含请休假、离转退等人员动态数据</w:t>
            </w:r>
          </w:p>
        </w:tc>
      </w:tr>
      <w:tr w14:paraId="1B00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13CA827E">
            <w:pPr>
              <w:widowControl/>
              <w:textAlignment w:val="center"/>
              <w:rPr>
                <w:rStyle w:val="27"/>
                <w:rFonts w:hint="eastAsia" w:eastAsia="宋体"/>
                <w:color w:val="C00000"/>
                <w:highlight w:val="none"/>
                <w:lang w:eastAsia="zh-CN" w:bidi="ar"/>
              </w:rPr>
            </w:pPr>
            <w:r>
              <w:rPr>
                <w:rStyle w:val="27"/>
                <w:rFonts w:hint="eastAsia" w:eastAsia="宋体"/>
                <w:color w:val="C00000"/>
                <w:highlight w:val="none"/>
                <w:lang w:eastAsia="zh-CN" w:bidi="ar"/>
              </w:rPr>
              <w:t>系统对接</w:t>
            </w:r>
          </w:p>
        </w:tc>
        <w:tc>
          <w:tcPr>
            <w:tcW w:w="8569" w:type="dxa"/>
          </w:tcPr>
          <w:p w14:paraId="0834815B">
            <w:pPr>
              <w:widowControl/>
              <w:textAlignment w:val="top"/>
              <w:rPr>
                <w:rStyle w:val="26"/>
                <w:rFonts w:hint="eastAsia" w:eastAsia="宋体"/>
                <w:color w:val="C00000"/>
                <w:highlight w:val="none"/>
                <w:lang w:eastAsia="zh-CN" w:bidi="ar"/>
              </w:rPr>
            </w:pPr>
            <w:r>
              <w:rPr>
                <w:rStyle w:val="26"/>
                <w:rFonts w:hint="eastAsia" w:eastAsia="宋体"/>
                <w:color w:val="C00000"/>
                <w:highlight w:val="none"/>
                <w:lang w:eastAsia="zh-CN" w:bidi="ar"/>
              </w:rPr>
              <w:t>支持对接院内数据湖，获取数据湖数据进行上述相关展示</w:t>
            </w:r>
          </w:p>
        </w:tc>
      </w:tr>
    </w:tbl>
    <w:p w14:paraId="0E1620DE">
      <w:pPr>
        <w:widowControl/>
        <w:jc w:val="both"/>
        <w:textAlignment w:val="center"/>
        <w:rPr>
          <w:rFonts w:hint="eastAsia" w:ascii="宋体" w:hAnsi="宋体" w:eastAsia="宋体" w:cs="宋体"/>
          <w:b/>
          <w:bCs/>
          <w:color w:val="auto"/>
          <w:kern w:val="0"/>
          <w:sz w:val="22"/>
          <w:szCs w:val="22"/>
          <w:highlight w:val="none"/>
          <w:lang w:eastAsia="zh-CN" w:bidi="ar"/>
        </w:rPr>
      </w:pPr>
    </w:p>
    <w:p w14:paraId="14B60B91">
      <w:pPr>
        <w:pStyle w:val="5"/>
        <w:numPr>
          <w:ilvl w:val="0"/>
          <w:numId w:val="2"/>
        </w:numPr>
        <w:bidi w:val="0"/>
        <w:ind w:left="-210" w:leftChars="0" w:firstLine="420" w:firstLineChars="0"/>
        <w:outlineLvl w:val="0"/>
        <w:rPr>
          <w:rFonts w:hint="eastAsia"/>
          <w:sz w:val="30"/>
          <w:szCs w:val="30"/>
          <w:lang w:eastAsia="zh-CN"/>
        </w:rPr>
      </w:pPr>
      <w:bookmarkStart w:id="12" w:name="_Toc18309"/>
      <w:r>
        <w:rPr>
          <w:rFonts w:hint="eastAsia"/>
          <w:sz w:val="30"/>
          <w:szCs w:val="30"/>
          <w:lang w:eastAsia="zh-CN"/>
        </w:rPr>
        <w:t>医患管理模块</w:t>
      </w:r>
      <w:bookmarkEnd w:id="12"/>
    </w:p>
    <w:p w14:paraId="3C474887">
      <w:pPr>
        <w:pStyle w:val="7"/>
        <w:widowControl/>
        <w:jc w:val="left"/>
        <w:textAlignment w:val="center"/>
        <w:outlineLvl w:val="1"/>
        <w:rPr>
          <w:rFonts w:hint="eastAsia"/>
          <w:highlight w:val="none"/>
        </w:rPr>
      </w:pPr>
      <w:bookmarkStart w:id="13" w:name="_Toc6970"/>
      <w:r>
        <w:rPr>
          <w:rFonts w:hint="eastAsia"/>
          <w:highlight w:val="none"/>
          <w:lang w:val="en-US" w:eastAsia="zh-CN"/>
        </w:rPr>
        <w:t>1.</w:t>
      </w:r>
      <w:r>
        <w:rPr>
          <w:rFonts w:hint="eastAsia"/>
          <w:highlight w:val="none"/>
        </w:rPr>
        <w:t>基础信息管理模块</w:t>
      </w:r>
      <w:bookmarkEnd w:id="13"/>
    </w:p>
    <w:p w14:paraId="426991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患者信息管理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患者基本信息：姓名、性别、年龄、联系方式、身份证/医保号、住址等。</w:t>
      </w:r>
    </w:p>
    <w:p w14:paraId="327377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与HIS</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电子病历系统、</w:t>
      </w:r>
      <w:r>
        <w:rPr>
          <w:rFonts w:hint="eastAsia" w:ascii="宋体" w:hAnsi="宋体" w:eastAsia="宋体" w:cs="宋体"/>
          <w:sz w:val="24"/>
          <w:szCs w:val="24"/>
        </w:rPr>
        <w:t>病案</w:t>
      </w:r>
      <w:r>
        <w:rPr>
          <w:rFonts w:hint="eastAsia" w:ascii="宋体" w:hAnsi="宋体" w:eastAsia="宋体" w:cs="宋体"/>
          <w:sz w:val="24"/>
          <w:szCs w:val="24"/>
          <w:lang w:val="en-US" w:eastAsia="zh-CN"/>
        </w:rPr>
        <w:t>首页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收费系统</w:t>
      </w:r>
      <w:r>
        <w:rPr>
          <w:rFonts w:hint="eastAsia" w:ascii="宋体" w:hAnsi="宋体" w:eastAsia="宋体" w:cs="宋体"/>
          <w:sz w:val="24"/>
          <w:szCs w:val="24"/>
        </w:rPr>
        <w:t>对接，自动同步就诊信息：科室、病区、床号、主治医生、入院/出院时间、诊断、手术、费用信息等。</w:t>
      </w:r>
    </w:p>
    <w:p w14:paraId="617649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支持匿名/脱敏展示，保护隐私，同时满足投诉登记需要。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1.2业务</w:t>
      </w:r>
      <w:r>
        <w:rPr>
          <w:rFonts w:hint="eastAsia" w:ascii="宋体" w:hAnsi="宋体" w:eastAsia="宋体" w:cs="宋体"/>
          <w:sz w:val="24"/>
          <w:szCs w:val="24"/>
        </w:rPr>
        <w:t>科室与人员信息管理</w:t>
      </w:r>
    </w:p>
    <w:p w14:paraId="2ACDD9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1.2.1临床</w:t>
      </w:r>
      <w:r>
        <w:rPr>
          <w:rFonts w:hint="eastAsia" w:ascii="宋体" w:hAnsi="宋体" w:eastAsia="宋体" w:cs="宋体"/>
          <w:sz w:val="24"/>
          <w:szCs w:val="24"/>
        </w:rPr>
        <w:t>科室、病区、门诊诊室、医技科室等</w:t>
      </w:r>
      <w:r>
        <w:rPr>
          <w:rFonts w:hint="eastAsia" w:ascii="宋体" w:hAnsi="宋体" w:eastAsia="宋体" w:cs="宋体"/>
          <w:sz w:val="24"/>
          <w:szCs w:val="24"/>
          <w:lang w:val="en-US" w:eastAsia="zh-CN"/>
        </w:rPr>
        <w:t>同步医院</w:t>
      </w:r>
      <w:r>
        <w:rPr>
          <w:rFonts w:hint="eastAsia" w:ascii="宋体" w:hAnsi="宋体" w:eastAsia="宋体" w:cs="宋体"/>
          <w:sz w:val="24"/>
          <w:szCs w:val="24"/>
        </w:rPr>
        <w:t>组织架构</w:t>
      </w:r>
      <w:r>
        <w:rPr>
          <w:rFonts w:hint="eastAsia" w:ascii="宋体" w:hAnsi="宋体" w:eastAsia="宋体" w:cs="宋体"/>
          <w:sz w:val="24"/>
          <w:szCs w:val="24"/>
          <w:lang w:val="en-US" w:eastAsia="zh-CN"/>
        </w:rPr>
        <w:t>信息</w:t>
      </w:r>
      <w:r>
        <w:rPr>
          <w:rFonts w:hint="eastAsia" w:ascii="宋体" w:hAnsi="宋体" w:eastAsia="宋体" w:cs="宋体"/>
          <w:sz w:val="24"/>
          <w:szCs w:val="24"/>
        </w:rPr>
        <w:t>。</w:t>
      </w:r>
    </w:p>
    <w:p w14:paraId="760555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rPr>
        <w:t>医务人员信息</w:t>
      </w:r>
    </w:p>
    <w:p w14:paraId="5BBD04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姓名、职称、科室、工号、</w:t>
      </w:r>
      <w:r>
        <w:rPr>
          <w:rFonts w:hint="eastAsia" w:ascii="宋体" w:hAnsi="宋体" w:eastAsia="宋体" w:cs="宋体"/>
          <w:sz w:val="24"/>
          <w:szCs w:val="24"/>
          <w:lang w:val="en-US" w:eastAsia="zh-CN"/>
        </w:rPr>
        <w:t>注册时间、执业类别、</w:t>
      </w:r>
      <w:r>
        <w:rPr>
          <w:rFonts w:hint="eastAsia" w:ascii="宋体" w:hAnsi="宋体" w:eastAsia="宋体" w:cs="宋体"/>
          <w:sz w:val="24"/>
          <w:szCs w:val="24"/>
        </w:rPr>
        <w:t>执业范围、</w:t>
      </w:r>
      <w:r>
        <w:rPr>
          <w:rFonts w:hint="eastAsia" w:ascii="宋体" w:hAnsi="宋体" w:eastAsia="宋体" w:cs="宋体"/>
          <w:sz w:val="24"/>
          <w:szCs w:val="24"/>
          <w:lang w:val="en-US" w:eastAsia="zh-CN"/>
        </w:rPr>
        <w:t>定期考核周期、</w:t>
      </w:r>
      <w:r>
        <w:rPr>
          <w:rFonts w:hint="eastAsia" w:ascii="宋体" w:hAnsi="宋体" w:eastAsia="宋体" w:cs="宋体"/>
          <w:sz w:val="24"/>
          <w:szCs w:val="24"/>
        </w:rPr>
        <w:t>不良事件关联记录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既往投诉记录</w:t>
      </w:r>
      <w:r>
        <w:rPr>
          <w:rFonts w:hint="eastAsia" w:ascii="宋体" w:hAnsi="宋体" w:eastAsia="宋体" w:cs="宋体"/>
          <w:sz w:val="24"/>
          <w:szCs w:val="24"/>
        </w:rPr>
        <w:t>等。</w:t>
      </w:r>
    </w:p>
    <w:p w14:paraId="2A7C3B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支持按科室/个人统计投诉量、纠纷率、整改情况，用于绩效考核。</w:t>
      </w:r>
    </w:p>
    <w:p w14:paraId="27647AB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字典与分类管理</w:t>
      </w:r>
    </w:p>
    <w:p w14:paraId="2AAD989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投诉类型</w:t>
      </w:r>
    </w:p>
    <w:p w14:paraId="333E9E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服务态度、沟通问题、诊疗质量</w:t>
      </w:r>
      <w:r>
        <w:rPr>
          <w:rFonts w:hint="eastAsia" w:ascii="宋体" w:hAnsi="宋体" w:eastAsia="宋体" w:cs="宋体"/>
          <w:sz w:val="24"/>
          <w:szCs w:val="24"/>
          <w:lang w:val="en-US" w:eastAsia="zh-CN"/>
        </w:rPr>
        <w:t>、</w:t>
      </w:r>
      <w:r>
        <w:rPr>
          <w:rFonts w:hint="eastAsia" w:ascii="宋体" w:hAnsi="宋体" w:eastAsia="宋体" w:cs="宋体"/>
          <w:sz w:val="24"/>
          <w:szCs w:val="24"/>
        </w:rPr>
        <w:t>收费问题、环境设施、后勤保障、医保等。</w:t>
      </w:r>
    </w:p>
    <w:p w14:paraId="7183680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纠纷等级</w:t>
      </w:r>
    </w:p>
    <w:p w14:paraId="62B9709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一般投诉、重大投诉、医疗纠纷、涉法涉诉、媒体关注、上级督办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国满件</w:t>
      </w:r>
      <w:r>
        <w:rPr>
          <w:rFonts w:hint="eastAsia" w:ascii="宋体" w:hAnsi="宋体" w:eastAsia="宋体" w:cs="宋体"/>
          <w:sz w:val="24"/>
          <w:szCs w:val="24"/>
        </w:rPr>
        <w:t>等。</w:t>
      </w:r>
    </w:p>
    <w:p w14:paraId="7DC396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1.3.3</w:t>
      </w:r>
      <w:r>
        <w:rPr>
          <w:rFonts w:hint="eastAsia" w:ascii="宋体" w:hAnsi="宋体" w:eastAsia="宋体" w:cs="宋体"/>
          <w:sz w:val="24"/>
          <w:szCs w:val="24"/>
        </w:rPr>
        <w:t>处置状态</w:t>
      </w:r>
    </w:p>
    <w:p w14:paraId="67AA68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rPr>
        <w:t>待受理、调查中、协调中、已办结、延期、挂起、撤销等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加备注框。</w:t>
      </w:r>
    </w:p>
    <w:p w14:paraId="655973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1.3.4经办人</w:t>
      </w:r>
    </w:p>
    <w:p w14:paraId="768941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经办人姓名、时间、现阶段任务、协办科室、协办人员等。</w:t>
      </w:r>
    </w:p>
    <w:p w14:paraId="04C01C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1.3.5</w:t>
      </w:r>
      <w:r>
        <w:rPr>
          <w:rFonts w:hint="eastAsia" w:ascii="宋体" w:hAnsi="宋体" w:eastAsia="宋体" w:cs="宋体"/>
          <w:sz w:val="24"/>
          <w:szCs w:val="24"/>
        </w:rPr>
        <w:t>满意度评价字典</w:t>
      </w:r>
    </w:p>
    <w:p w14:paraId="68D562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rPr>
        <w:t>非常满意/满意/一般/不满意/非常不满意</w:t>
      </w:r>
      <w:r>
        <w:rPr>
          <w:rFonts w:hint="eastAsia" w:ascii="宋体" w:hAnsi="宋体" w:eastAsia="宋体" w:cs="宋体"/>
          <w:sz w:val="24"/>
          <w:szCs w:val="24"/>
          <w:lang w:val="en-US" w:eastAsia="zh-CN"/>
        </w:rPr>
        <w:t>/待评价。</w:t>
      </w:r>
    </w:p>
    <w:p w14:paraId="5C460330">
      <w:pPr>
        <w:pStyle w:val="7"/>
        <w:widowControl/>
        <w:jc w:val="left"/>
        <w:textAlignment w:val="center"/>
        <w:outlineLvl w:val="1"/>
        <w:rPr>
          <w:rFonts w:hint="eastAsia"/>
          <w:highlight w:val="none"/>
          <w:lang w:val="en-US" w:eastAsia="zh-CN"/>
        </w:rPr>
      </w:pPr>
      <w:bookmarkStart w:id="14" w:name="_Toc8064"/>
      <w:r>
        <w:rPr>
          <w:rFonts w:hint="eastAsia"/>
          <w:highlight w:val="none"/>
          <w:lang w:val="en-US" w:eastAsia="zh-CN"/>
        </w:rPr>
        <w:t>2.投诉/纠纷登记与受理模块</w:t>
      </w:r>
      <w:bookmarkEnd w:id="14"/>
    </w:p>
    <w:p w14:paraId="6FAE0B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多渠道统一登记</w:t>
      </w:r>
    </w:p>
    <w:p w14:paraId="1A7CA4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支持：现场登记、电话登记、12345/政务平台导入、上级部门转办、院内科室转办、网络留言/APP/公众号投诉等。</w:t>
      </w:r>
    </w:p>
    <w:p w14:paraId="0CCAEB2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登记要素</w:t>
      </w:r>
    </w:p>
    <w:p w14:paraId="39E613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2.2.1</w:t>
      </w:r>
      <w:r>
        <w:rPr>
          <w:rFonts w:hint="eastAsia" w:ascii="宋体" w:hAnsi="宋体" w:eastAsia="宋体" w:cs="宋体"/>
          <w:sz w:val="24"/>
          <w:szCs w:val="24"/>
        </w:rPr>
        <w:t>投诉人信息、联系方式、与患者关系</w:t>
      </w:r>
      <w:r>
        <w:rPr>
          <w:rFonts w:hint="eastAsia" w:ascii="宋体" w:hAnsi="宋体" w:eastAsia="宋体" w:cs="宋体"/>
          <w:sz w:val="24"/>
          <w:szCs w:val="24"/>
          <w:lang w:eastAsia="zh-CN"/>
        </w:rPr>
        <w:t>。</w:t>
      </w:r>
    </w:p>
    <w:p w14:paraId="1A324E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2.2.2</w:t>
      </w:r>
      <w:r>
        <w:rPr>
          <w:rFonts w:hint="eastAsia" w:ascii="宋体" w:hAnsi="宋体" w:eastAsia="宋体" w:cs="宋体"/>
          <w:sz w:val="24"/>
          <w:szCs w:val="24"/>
        </w:rPr>
        <w:t>被投诉对象（科室/个人/岗位）</w:t>
      </w:r>
      <w:r>
        <w:rPr>
          <w:rFonts w:hint="eastAsia" w:ascii="宋体" w:hAnsi="宋体" w:eastAsia="宋体" w:cs="宋体"/>
          <w:sz w:val="24"/>
          <w:szCs w:val="24"/>
          <w:lang w:eastAsia="zh-CN"/>
        </w:rPr>
        <w:t>。</w:t>
      </w:r>
    </w:p>
    <w:p w14:paraId="6E984C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2.3.3</w:t>
      </w:r>
      <w:r>
        <w:rPr>
          <w:rFonts w:hint="eastAsia" w:ascii="宋体" w:hAnsi="宋体" w:eastAsia="宋体" w:cs="宋体"/>
          <w:sz w:val="24"/>
          <w:szCs w:val="24"/>
        </w:rPr>
        <w:t>事件发生时间、地点、涉及诊疗环节（门诊/住院/手术/检查/护理/药房等）</w:t>
      </w:r>
      <w:r>
        <w:rPr>
          <w:rFonts w:hint="eastAsia" w:ascii="宋体" w:hAnsi="宋体" w:eastAsia="宋体" w:cs="宋体"/>
          <w:sz w:val="24"/>
          <w:szCs w:val="24"/>
          <w:lang w:eastAsia="zh-CN"/>
        </w:rPr>
        <w:t>。</w:t>
      </w:r>
    </w:p>
    <w:p w14:paraId="36A2BC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2.3.4</w:t>
      </w:r>
      <w:r>
        <w:rPr>
          <w:rFonts w:hint="eastAsia" w:ascii="宋体" w:hAnsi="宋体" w:eastAsia="宋体" w:cs="宋体"/>
          <w:sz w:val="24"/>
          <w:szCs w:val="24"/>
        </w:rPr>
        <w:t>投诉事由、诉求、关键事实描述</w:t>
      </w:r>
      <w:r>
        <w:rPr>
          <w:rFonts w:hint="eastAsia" w:ascii="宋体" w:hAnsi="宋体" w:eastAsia="宋体" w:cs="宋体"/>
          <w:sz w:val="24"/>
          <w:szCs w:val="24"/>
          <w:lang w:eastAsia="zh-CN"/>
        </w:rPr>
        <w:t>。</w:t>
      </w:r>
    </w:p>
    <w:p w14:paraId="1AB039F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2.3.5</w:t>
      </w:r>
      <w:r>
        <w:rPr>
          <w:rFonts w:hint="eastAsia" w:ascii="宋体" w:hAnsi="宋体" w:eastAsia="宋体" w:cs="宋体"/>
          <w:sz w:val="24"/>
          <w:szCs w:val="24"/>
        </w:rPr>
        <w:t>附件上传</w:t>
      </w:r>
    </w:p>
    <w:p w14:paraId="7EEC2E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录音、照片、视频、文字材料、票据、病历复印件等。</w:t>
      </w:r>
    </w:p>
    <w:p w14:paraId="6A1806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自动编号与分类</w:t>
      </w:r>
    </w:p>
    <w:p w14:paraId="10D1F3D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2.4.1</w:t>
      </w:r>
      <w:r>
        <w:rPr>
          <w:rFonts w:hint="eastAsia" w:ascii="宋体" w:hAnsi="宋体" w:eastAsia="宋体" w:cs="宋体"/>
          <w:sz w:val="24"/>
          <w:szCs w:val="24"/>
        </w:rPr>
        <w:t>系统自动生成唯一投诉/纠纷编号，支持按年度/季度/</w:t>
      </w:r>
      <w:r>
        <w:rPr>
          <w:rFonts w:hint="eastAsia" w:ascii="宋体" w:hAnsi="宋体" w:eastAsia="宋体" w:cs="宋体"/>
          <w:sz w:val="24"/>
          <w:szCs w:val="24"/>
          <w:lang w:val="en-US" w:eastAsia="zh-CN"/>
        </w:rPr>
        <w:t>投诉类型</w:t>
      </w:r>
      <w:r>
        <w:rPr>
          <w:rFonts w:hint="eastAsia" w:ascii="宋体" w:hAnsi="宋体" w:eastAsia="宋体" w:cs="宋体"/>
          <w:sz w:val="24"/>
          <w:szCs w:val="24"/>
        </w:rPr>
        <w:t>规则编码。</w:t>
      </w:r>
    </w:p>
    <w:p w14:paraId="6611B1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2.4.2</w:t>
      </w:r>
      <w:r>
        <w:rPr>
          <w:rFonts w:hint="eastAsia" w:ascii="宋体" w:hAnsi="宋体" w:eastAsia="宋体" w:cs="宋体"/>
          <w:sz w:val="24"/>
          <w:szCs w:val="24"/>
        </w:rPr>
        <w:t>自动/人工分类：投诉类型、纠纷等级、紧急程度（一般/紧急/特急）。</w:t>
      </w:r>
    </w:p>
    <w:p w14:paraId="361CC88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受理与分流</w:t>
      </w:r>
    </w:p>
    <w:p w14:paraId="2B9104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2.5.1</w:t>
      </w:r>
      <w:r>
        <w:rPr>
          <w:rFonts w:hint="eastAsia" w:ascii="宋体" w:hAnsi="宋体" w:eastAsia="宋体" w:cs="宋体"/>
          <w:sz w:val="24"/>
          <w:szCs w:val="24"/>
        </w:rPr>
        <w:t>医患办受理后，可分派至责任科室/责任人/调查组。</w:t>
      </w:r>
    </w:p>
    <w:p w14:paraId="6DCF70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2.5.2</w:t>
      </w:r>
      <w:r>
        <w:rPr>
          <w:rFonts w:hint="eastAsia" w:ascii="宋体" w:hAnsi="宋体" w:eastAsia="宋体" w:cs="宋体"/>
          <w:sz w:val="24"/>
          <w:szCs w:val="24"/>
        </w:rPr>
        <w:t>支持转派、退回、协办、多科室联合处置。</w:t>
      </w:r>
    </w:p>
    <w:p w14:paraId="387E93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2.5.3</w:t>
      </w:r>
      <w:r>
        <w:rPr>
          <w:rFonts w:hint="eastAsia" w:ascii="宋体" w:hAnsi="宋体" w:eastAsia="宋体" w:cs="宋体"/>
          <w:sz w:val="24"/>
          <w:szCs w:val="24"/>
        </w:rPr>
        <w:t>自动发送待办提醒：短信/系统消息/院内OA</w:t>
      </w:r>
      <w:r>
        <w:rPr>
          <w:rFonts w:hint="eastAsia" w:ascii="宋体" w:hAnsi="宋体" w:eastAsia="宋体" w:cs="宋体"/>
          <w:sz w:val="24"/>
          <w:szCs w:val="24"/>
          <w:lang w:val="en-US" w:eastAsia="zh-CN"/>
        </w:rPr>
        <w:t>/企业微信</w:t>
      </w:r>
      <w:r>
        <w:rPr>
          <w:rFonts w:hint="eastAsia" w:ascii="宋体" w:hAnsi="宋体" w:eastAsia="宋体" w:cs="宋体"/>
          <w:sz w:val="24"/>
          <w:szCs w:val="24"/>
        </w:rPr>
        <w:t>提醒。</w:t>
      </w:r>
    </w:p>
    <w:p w14:paraId="0CCA5212">
      <w:pPr>
        <w:pStyle w:val="7"/>
        <w:widowControl/>
        <w:jc w:val="left"/>
        <w:textAlignment w:val="center"/>
        <w:outlineLvl w:val="1"/>
        <w:rPr>
          <w:rFonts w:hint="eastAsia"/>
          <w:highlight w:val="none"/>
          <w:lang w:val="en-US" w:eastAsia="zh-CN"/>
        </w:rPr>
      </w:pPr>
      <w:bookmarkStart w:id="15" w:name="_Toc24750"/>
      <w:r>
        <w:rPr>
          <w:rFonts w:hint="eastAsia"/>
          <w:highlight w:val="none"/>
          <w:lang w:val="en-US" w:eastAsia="zh-CN"/>
        </w:rPr>
        <w:t>3.调查与处置过程管理模块</w:t>
      </w:r>
      <w:bookmarkEnd w:id="15"/>
    </w:p>
    <w:p w14:paraId="546930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调查记录管理</w:t>
      </w:r>
    </w:p>
    <w:p w14:paraId="2585AA8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调查人员、调查时间、调查方式（谈话、查阅病历、调取监控、询问医护/患者/家属）。</w:t>
      </w:r>
    </w:p>
    <w:p w14:paraId="6F3ED1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3.1.2</w:t>
      </w:r>
      <w:r>
        <w:rPr>
          <w:rFonts w:hint="eastAsia" w:ascii="宋体" w:hAnsi="宋体" w:eastAsia="宋体" w:cs="宋体"/>
          <w:sz w:val="24"/>
          <w:szCs w:val="24"/>
        </w:rPr>
        <w:t>调查内容</w:t>
      </w:r>
    </w:p>
    <w:p w14:paraId="59F519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事实经过、争议焦点、院方/患方观点、证据清单。</w:t>
      </w:r>
    </w:p>
    <w:p w14:paraId="76191B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3.1.3</w:t>
      </w:r>
      <w:r>
        <w:rPr>
          <w:rFonts w:hint="eastAsia" w:ascii="宋体" w:hAnsi="宋体" w:eastAsia="宋体" w:cs="宋体"/>
          <w:sz w:val="24"/>
          <w:szCs w:val="24"/>
        </w:rPr>
        <w:t>支持上传调查笔录、谈话录音、病历摘要、监控截图等。</w:t>
      </w:r>
    </w:p>
    <w:p w14:paraId="477EBF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纠纷处置流程管理</w:t>
      </w:r>
    </w:p>
    <w:p w14:paraId="1052441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eastAsia="宋体" w:cs="宋体"/>
          <w:sz w:val="24"/>
          <w:szCs w:val="24"/>
        </w:rPr>
        <w:t>院内沟通协调</w:t>
      </w:r>
    </w:p>
    <w:p w14:paraId="252FDE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医患办、科室主任、主治医生、医务科、法务、医保、护理部等协同。</w:t>
      </w:r>
    </w:p>
    <w:p w14:paraId="71533B2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eastAsia="宋体" w:cs="宋体"/>
          <w:sz w:val="24"/>
          <w:szCs w:val="24"/>
        </w:rPr>
        <w:t>支持调解方案记录</w:t>
      </w:r>
    </w:p>
    <w:p w14:paraId="3096C2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协商内容、补偿/退费/整改措施、协议要点。</w:t>
      </w:r>
    </w:p>
    <w:p w14:paraId="0432ACB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3.2.3</w:t>
      </w:r>
      <w:r>
        <w:rPr>
          <w:rFonts w:hint="eastAsia" w:ascii="宋体" w:hAnsi="宋体" w:eastAsia="宋体" w:cs="宋体"/>
          <w:sz w:val="24"/>
          <w:szCs w:val="24"/>
        </w:rPr>
        <w:t>支持第三方调解/医调委/法院诉讼对接</w:t>
      </w:r>
    </w:p>
    <w:p w14:paraId="3D3935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记录对接单位、案号、进展、结果。</w:t>
      </w:r>
    </w:p>
    <w:p w14:paraId="1795AA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3.2.4</w:t>
      </w:r>
      <w:r>
        <w:rPr>
          <w:rFonts w:hint="eastAsia" w:ascii="宋体" w:hAnsi="宋体" w:eastAsia="宋体" w:cs="宋体"/>
          <w:sz w:val="24"/>
          <w:szCs w:val="24"/>
        </w:rPr>
        <w:t>支持重大纠纷上报流程</w:t>
      </w:r>
    </w:p>
    <w:p w14:paraId="2BAEF38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自动/手动上报医务科、分管院长、院长办公会。</w:t>
      </w:r>
    </w:p>
    <w:p w14:paraId="7D5AEA2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整改与反馈管理</w:t>
      </w:r>
    </w:p>
    <w:p w14:paraId="1B2654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3.3.1</w:t>
      </w:r>
      <w:r>
        <w:rPr>
          <w:rFonts w:hint="eastAsia" w:ascii="宋体" w:hAnsi="宋体" w:eastAsia="宋体" w:cs="宋体"/>
          <w:sz w:val="24"/>
          <w:szCs w:val="24"/>
        </w:rPr>
        <w:t>责任科室提交整改报告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w:t>
      </w:r>
      <w:r>
        <w:rPr>
          <w:rFonts w:hint="eastAsia" w:ascii="宋体" w:hAnsi="宋体" w:eastAsia="宋体" w:cs="宋体"/>
          <w:sz w:val="24"/>
          <w:szCs w:val="24"/>
        </w:rPr>
        <w:t>整改措施、完成时限、责任人</w:t>
      </w:r>
      <w:r>
        <w:rPr>
          <w:rFonts w:hint="eastAsia" w:ascii="宋体" w:hAnsi="宋体" w:eastAsia="宋体" w:cs="宋体"/>
          <w:sz w:val="24"/>
          <w:szCs w:val="24"/>
          <w:lang w:eastAsia="zh-CN"/>
        </w:rPr>
        <w:t>；</w:t>
      </w:r>
      <w:r>
        <w:rPr>
          <w:rFonts w:hint="eastAsia" w:ascii="宋体" w:hAnsi="宋体" w:eastAsia="宋体" w:cs="宋体"/>
          <w:sz w:val="24"/>
          <w:szCs w:val="24"/>
        </w:rPr>
        <w:t>支持系统自动生成整改建议清单，推送至责任科室；支持跟踪整改措施落实情况</w:t>
      </w:r>
      <w:r>
        <w:rPr>
          <w:rFonts w:hint="eastAsia" w:ascii="宋体" w:hAnsi="宋体" w:eastAsia="宋体" w:cs="宋体"/>
          <w:sz w:val="24"/>
          <w:szCs w:val="24"/>
          <w:lang w:eastAsia="zh-CN"/>
        </w:rPr>
        <w:t>。</w:t>
      </w:r>
    </w:p>
    <w:p w14:paraId="6D6A019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医患办审核整改情况，标记是否整改到位、是否需要复查。</w:t>
      </w:r>
    </w:p>
    <w:p w14:paraId="1664E3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向投诉人反馈</w:t>
      </w:r>
    </w:p>
    <w:p w14:paraId="649480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反馈方式、反馈内容、反馈时间、患者满意度。</w:t>
      </w:r>
    </w:p>
    <w:p w14:paraId="548D4EC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回访管理</w:t>
      </w:r>
    </w:p>
    <w:p w14:paraId="09915E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支持定期回访：电话、现场、线上问卷。</w:t>
      </w:r>
    </w:p>
    <w:p w14:paraId="0014E6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3.4.2</w:t>
      </w:r>
      <w:r>
        <w:rPr>
          <w:rFonts w:hint="eastAsia" w:ascii="宋体" w:hAnsi="宋体" w:eastAsia="宋体" w:cs="宋体"/>
          <w:sz w:val="24"/>
          <w:szCs w:val="24"/>
        </w:rPr>
        <w:t>记录回访结果、满意度、是否仍有异议、是否需要二次处置。</w:t>
      </w:r>
    </w:p>
    <w:p w14:paraId="440A02D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3.4.3</w:t>
      </w:r>
      <w:r>
        <w:rPr>
          <w:rFonts w:hint="eastAsia" w:ascii="宋体" w:hAnsi="宋体" w:eastAsia="宋体" w:cs="宋体"/>
          <w:sz w:val="24"/>
          <w:szCs w:val="24"/>
        </w:rPr>
        <w:t>未回访/逾期自动提醒。</w:t>
      </w:r>
    </w:p>
    <w:p w14:paraId="3C7720D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3.5复盘管理</w:t>
      </w:r>
    </w:p>
    <w:p w14:paraId="5A8FAE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支持复盘纠纷案例，形成知识库和培训材料，可自定义选择院内培训范围，并生成培训分析结果。</w:t>
      </w:r>
    </w:p>
    <w:p w14:paraId="272A2BCC">
      <w:pPr>
        <w:pStyle w:val="7"/>
        <w:widowControl/>
        <w:jc w:val="left"/>
        <w:textAlignment w:val="center"/>
        <w:outlineLvl w:val="1"/>
        <w:rPr>
          <w:rFonts w:hint="eastAsia"/>
          <w:highlight w:val="none"/>
          <w:lang w:val="en-US" w:eastAsia="zh-CN"/>
        </w:rPr>
      </w:pPr>
      <w:bookmarkStart w:id="16" w:name="_Toc3731"/>
      <w:r>
        <w:rPr>
          <w:rFonts w:hint="eastAsia"/>
          <w:highlight w:val="none"/>
          <w:lang w:val="en-US" w:eastAsia="zh-CN"/>
        </w:rPr>
        <w:t>4.病历与证据管理模块</w:t>
      </w:r>
      <w:bookmarkEnd w:id="16"/>
    </w:p>
    <w:p w14:paraId="566909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病历信息对接与查阅</w:t>
      </w:r>
    </w:p>
    <w:p w14:paraId="44B8B9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4.1.1</w:t>
      </w:r>
      <w:r>
        <w:rPr>
          <w:rFonts w:hint="eastAsia" w:ascii="宋体" w:hAnsi="宋体" w:eastAsia="宋体" w:cs="宋体"/>
          <w:sz w:val="24"/>
          <w:szCs w:val="24"/>
        </w:rPr>
        <w:t>与</w:t>
      </w:r>
      <w:r>
        <w:rPr>
          <w:rFonts w:hint="eastAsia" w:ascii="宋体" w:hAnsi="宋体" w:eastAsia="宋体" w:cs="宋体"/>
          <w:sz w:val="24"/>
          <w:szCs w:val="24"/>
          <w:lang w:val="en-US" w:eastAsia="zh-CN"/>
        </w:rPr>
        <w:t>HIS、</w:t>
      </w:r>
      <w:r>
        <w:rPr>
          <w:rFonts w:hint="eastAsia" w:ascii="宋体" w:hAnsi="宋体" w:eastAsia="宋体" w:cs="宋体"/>
          <w:sz w:val="24"/>
          <w:szCs w:val="24"/>
        </w:rPr>
        <w:t>病案</w:t>
      </w:r>
      <w:r>
        <w:rPr>
          <w:rFonts w:hint="eastAsia" w:ascii="宋体" w:hAnsi="宋体" w:eastAsia="宋体" w:cs="宋体"/>
          <w:sz w:val="24"/>
          <w:szCs w:val="24"/>
          <w:lang w:val="en-US" w:eastAsia="zh-CN"/>
        </w:rPr>
        <w:t>首页</w:t>
      </w:r>
      <w:r>
        <w:rPr>
          <w:rFonts w:hint="eastAsia" w:ascii="宋体" w:hAnsi="宋体" w:eastAsia="宋体" w:cs="宋体"/>
          <w:sz w:val="24"/>
          <w:szCs w:val="24"/>
        </w:rPr>
        <w:t>对接，授权查阅：病程记录、医嘱、检查检验、手术记录、护理记录、费用明细等</w:t>
      </w:r>
      <w:r>
        <w:rPr>
          <w:rFonts w:hint="eastAsia" w:ascii="宋体" w:hAnsi="宋体" w:eastAsia="宋体" w:cs="宋体"/>
          <w:sz w:val="24"/>
          <w:szCs w:val="24"/>
          <w:lang w:val="en-US" w:eastAsia="zh-CN"/>
        </w:rPr>
        <w:t>所有医疗文书</w:t>
      </w:r>
      <w:r>
        <w:rPr>
          <w:rFonts w:hint="eastAsia" w:ascii="宋体" w:hAnsi="宋体" w:eastAsia="宋体" w:cs="宋体"/>
          <w:sz w:val="24"/>
          <w:szCs w:val="24"/>
        </w:rPr>
        <w:t>。</w:t>
      </w:r>
    </w:p>
    <w:p w14:paraId="273E87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支持病历摘要、关键页导出、水印/脱敏，用于投诉调查与纠纷举证。</w:t>
      </w:r>
    </w:p>
    <w:p w14:paraId="7D4ED64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证据链管理</w:t>
      </w:r>
    </w:p>
    <w:p w14:paraId="365383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4.2.1</w:t>
      </w:r>
      <w:r>
        <w:rPr>
          <w:rFonts w:hint="eastAsia" w:ascii="宋体" w:hAnsi="宋体" w:eastAsia="宋体" w:cs="宋体"/>
          <w:sz w:val="24"/>
          <w:szCs w:val="24"/>
        </w:rPr>
        <w:t>统一管理：录音、视频、照片、票据、协议、调解记录、法院文书等。</w:t>
      </w:r>
    </w:p>
    <w:p w14:paraId="5CC0FA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4.2.2</w:t>
      </w:r>
      <w:r>
        <w:rPr>
          <w:rFonts w:hint="eastAsia" w:ascii="宋体" w:hAnsi="宋体" w:eastAsia="宋体" w:cs="宋体"/>
          <w:sz w:val="24"/>
          <w:szCs w:val="24"/>
        </w:rPr>
        <w:t>按投诉/纠纷编号自动归档，支持版本管理、修改留痕。</w:t>
      </w:r>
      <w:r>
        <w:rPr>
          <w:rFonts w:hint="eastAsia" w:ascii="宋体" w:hAnsi="宋体" w:eastAsia="宋体" w:cs="宋体"/>
          <w:sz w:val="24"/>
          <w:szCs w:val="24"/>
        </w:rPr>
        <w:br w:type="textWrapping"/>
      </w:r>
      <w:r>
        <w:rPr>
          <w:rFonts w:hint="eastAsia" w:ascii="宋体" w:hAnsi="宋体" w:eastAsia="宋体" w:cs="宋体"/>
          <w:sz w:val="24"/>
          <w:szCs w:val="24"/>
        </w:rPr>
        <w:t>支持权限控制：仅医患办/医务/法务/院领导可查看敏感证据。</w:t>
      </w:r>
    </w:p>
    <w:p w14:paraId="1744F4F7">
      <w:pPr>
        <w:pStyle w:val="7"/>
        <w:widowControl/>
        <w:jc w:val="left"/>
        <w:textAlignment w:val="center"/>
        <w:outlineLvl w:val="1"/>
        <w:rPr>
          <w:rFonts w:hint="eastAsia"/>
          <w:highlight w:val="none"/>
          <w:lang w:val="en-US" w:eastAsia="zh-CN"/>
        </w:rPr>
      </w:pPr>
      <w:bookmarkStart w:id="17" w:name="_Toc24134"/>
      <w:r>
        <w:rPr>
          <w:rFonts w:hint="eastAsia"/>
          <w:highlight w:val="none"/>
          <w:lang w:val="en-US" w:eastAsia="zh-CN"/>
        </w:rPr>
        <w:t>5.协同办公与流程审批模块</w:t>
      </w:r>
      <w:bookmarkEnd w:id="17"/>
    </w:p>
    <w:p w14:paraId="6FBEEC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多角色协同</w:t>
      </w:r>
    </w:p>
    <w:p w14:paraId="2C238A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5.1.1</w:t>
      </w:r>
      <w:r>
        <w:rPr>
          <w:rFonts w:hint="eastAsia" w:ascii="宋体" w:hAnsi="宋体" w:eastAsia="宋体" w:cs="宋体"/>
          <w:sz w:val="24"/>
          <w:szCs w:val="24"/>
        </w:rPr>
        <w:t>医患办、医务科、护理部、质控科、医保办、财务</w:t>
      </w:r>
      <w:r>
        <w:rPr>
          <w:rFonts w:hint="eastAsia" w:ascii="宋体" w:hAnsi="宋体" w:eastAsia="宋体" w:cs="宋体"/>
          <w:sz w:val="24"/>
          <w:szCs w:val="24"/>
          <w:lang w:val="en-US" w:eastAsia="zh-CN"/>
        </w:rPr>
        <w:t>部</w:t>
      </w:r>
      <w:r>
        <w:rPr>
          <w:rFonts w:hint="eastAsia" w:ascii="宋体" w:hAnsi="宋体" w:eastAsia="宋体" w:cs="宋体"/>
          <w:sz w:val="24"/>
          <w:szCs w:val="24"/>
        </w:rPr>
        <w:t>、法务、纪检、宣传科、院领导等角色权限区分。</w:t>
      </w:r>
    </w:p>
    <w:p w14:paraId="279108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5.1.2</w:t>
      </w:r>
      <w:r>
        <w:rPr>
          <w:rFonts w:hint="eastAsia" w:ascii="宋体" w:hAnsi="宋体" w:eastAsia="宋体" w:cs="宋体"/>
          <w:sz w:val="24"/>
          <w:szCs w:val="24"/>
        </w:rPr>
        <w:t>支持会签、传阅、意见征询、督办。</w:t>
      </w:r>
    </w:p>
    <w:p w14:paraId="7507894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审批流程配置</w:t>
      </w:r>
    </w:p>
    <w:p w14:paraId="6EF293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5.2.1</w:t>
      </w:r>
      <w:r>
        <w:rPr>
          <w:rFonts w:hint="eastAsia" w:ascii="宋体" w:hAnsi="宋体" w:eastAsia="宋体" w:cs="宋体"/>
          <w:sz w:val="24"/>
          <w:szCs w:val="24"/>
        </w:rPr>
        <w:t>重大投诉/纠纷上报审批</w:t>
      </w:r>
    </w:p>
    <w:p w14:paraId="7E7456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科室→医患办→医务科→分管院领导→院长。</w:t>
      </w:r>
    </w:p>
    <w:p w14:paraId="27D098B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5.2.2</w:t>
      </w:r>
      <w:r>
        <w:rPr>
          <w:rFonts w:hint="eastAsia" w:ascii="宋体" w:hAnsi="宋体" w:eastAsia="宋体" w:cs="宋体"/>
          <w:sz w:val="24"/>
          <w:szCs w:val="24"/>
        </w:rPr>
        <w:t>退费/补偿/减免审批</w:t>
      </w:r>
    </w:p>
    <w:p w14:paraId="392474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医患办→医务→财务→院领导。</w:t>
      </w:r>
    </w:p>
    <w:p w14:paraId="084B14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5.2.3</w:t>
      </w:r>
      <w:r>
        <w:rPr>
          <w:rFonts w:hint="eastAsia" w:ascii="宋体" w:hAnsi="宋体" w:eastAsia="宋体" w:cs="宋体"/>
          <w:sz w:val="24"/>
          <w:szCs w:val="24"/>
        </w:rPr>
        <w:t>整改报告审核、延期申请审批等。</w:t>
      </w:r>
    </w:p>
    <w:p w14:paraId="387DB10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督办与时效管理</w:t>
      </w:r>
    </w:p>
    <w:p w14:paraId="2B05149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5.3.1</w:t>
      </w:r>
      <w:r>
        <w:rPr>
          <w:rFonts w:hint="eastAsia" w:ascii="宋体" w:hAnsi="宋体" w:eastAsia="宋体" w:cs="宋体"/>
          <w:sz w:val="24"/>
          <w:szCs w:val="24"/>
        </w:rPr>
        <w:t>设定各环节时限</w:t>
      </w:r>
    </w:p>
    <w:p w14:paraId="508233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受理时限、调查时限、反馈时限、整改时限。</w:t>
      </w:r>
    </w:p>
    <w:p w14:paraId="1788DE0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超期自动预警、红灯提醒，支持督办记录与问责记录。</w:t>
      </w:r>
    </w:p>
    <w:p w14:paraId="48A08192">
      <w:pPr>
        <w:pStyle w:val="7"/>
        <w:widowControl/>
        <w:jc w:val="left"/>
        <w:textAlignment w:val="center"/>
        <w:outlineLvl w:val="1"/>
        <w:rPr>
          <w:rFonts w:hint="eastAsia"/>
          <w:highlight w:val="none"/>
          <w:lang w:val="en-US" w:eastAsia="zh-CN"/>
        </w:rPr>
      </w:pPr>
      <w:bookmarkStart w:id="18" w:name="_Toc6649"/>
      <w:r>
        <w:rPr>
          <w:rFonts w:hint="eastAsia"/>
          <w:highlight w:val="none"/>
          <w:lang w:val="en-US" w:eastAsia="zh-CN"/>
        </w:rPr>
        <w:t>6.风险预警与质控管理模块</w:t>
      </w:r>
      <w:bookmarkEnd w:id="18"/>
    </w:p>
    <w:p w14:paraId="3879F62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风险预警</w:t>
      </w:r>
    </w:p>
    <w:p w14:paraId="6411A8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6.1.1</w:t>
      </w:r>
      <w:r>
        <w:rPr>
          <w:rFonts w:hint="eastAsia" w:ascii="宋体" w:hAnsi="宋体" w:eastAsia="宋体" w:cs="宋体"/>
          <w:sz w:val="24"/>
          <w:szCs w:val="24"/>
        </w:rPr>
        <w:t>按关键词/投诉类型/科室/医生进行高频预警</w:t>
      </w:r>
    </w:p>
    <w:p w14:paraId="7C2D1E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如某科室连续多起投诉、某医生多次被投诉。</w:t>
      </w:r>
    </w:p>
    <w:p w14:paraId="24F917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6.1.2</w:t>
      </w:r>
      <w:r>
        <w:rPr>
          <w:rFonts w:hint="eastAsia" w:ascii="宋体" w:hAnsi="宋体" w:eastAsia="宋体" w:cs="宋体"/>
          <w:sz w:val="24"/>
          <w:szCs w:val="24"/>
        </w:rPr>
        <w:t>重大纠纷、媒体关注、上级督办、群体性事件自动标红预警。</w:t>
      </w:r>
    </w:p>
    <w:p w14:paraId="3B9554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质量分析与整改追踪</w:t>
      </w:r>
    </w:p>
    <w:p w14:paraId="4FB498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6.2.1</w:t>
      </w:r>
      <w:r>
        <w:rPr>
          <w:rFonts w:hint="eastAsia" w:ascii="宋体" w:hAnsi="宋体" w:eastAsia="宋体" w:cs="宋体"/>
          <w:sz w:val="24"/>
          <w:szCs w:val="24"/>
        </w:rPr>
        <w:t>投诉原因分析</w:t>
      </w:r>
    </w:p>
    <w:p w14:paraId="67F14D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rPr>
        <w:t>服务、沟通、技术、流程、管理、收费、环境等维度</w:t>
      </w:r>
      <w:r>
        <w:rPr>
          <w:rFonts w:hint="eastAsia" w:ascii="宋体" w:hAnsi="宋体" w:eastAsia="宋体" w:cs="宋体"/>
          <w:sz w:val="24"/>
          <w:szCs w:val="24"/>
          <w:lang w:val="en-US" w:eastAsia="zh-CN"/>
        </w:rPr>
        <w:t>;</w:t>
      </w:r>
      <w:r>
        <w:rPr>
          <w:rFonts w:hint="eastAsia" w:ascii="宋体" w:hAnsi="宋体" w:eastAsia="宋体" w:cs="宋体"/>
          <w:sz w:val="24"/>
          <w:szCs w:val="24"/>
        </w:rPr>
        <w:t>形成问题清单、责任清单、整改清单、效果评估闭环</w:t>
      </w:r>
      <w:r>
        <w:rPr>
          <w:rFonts w:hint="eastAsia" w:ascii="宋体" w:hAnsi="宋体" w:eastAsia="宋体" w:cs="宋体"/>
          <w:sz w:val="24"/>
          <w:szCs w:val="24"/>
          <w:lang w:val="en-US" w:eastAsia="zh-CN"/>
        </w:rPr>
        <w:t>;</w:t>
      </w:r>
    </w:p>
    <w:p w14:paraId="399362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6.2.2</w:t>
      </w:r>
      <w:r>
        <w:rPr>
          <w:rFonts w:hint="eastAsia" w:ascii="宋体" w:hAnsi="宋体" w:eastAsia="宋体" w:cs="宋体"/>
          <w:sz w:val="24"/>
          <w:szCs w:val="24"/>
        </w:rPr>
        <w:t>支持PDCA管理</w:t>
      </w:r>
    </w:p>
    <w:p w14:paraId="4DF1CCB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计划-执行-检查-处理。</w:t>
      </w:r>
    </w:p>
    <w:p w14:paraId="7D5E0178">
      <w:pPr>
        <w:pStyle w:val="7"/>
        <w:widowControl/>
        <w:jc w:val="left"/>
        <w:textAlignment w:val="center"/>
        <w:outlineLvl w:val="1"/>
        <w:rPr>
          <w:rFonts w:hint="eastAsia"/>
          <w:highlight w:val="none"/>
          <w:lang w:val="en-US" w:eastAsia="zh-CN"/>
        </w:rPr>
      </w:pPr>
      <w:bookmarkStart w:id="19" w:name="_Toc425"/>
      <w:r>
        <w:rPr>
          <w:rFonts w:hint="eastAsia"/>
          <w:highlight w:val="none"/>
          <w:lang w:val="en-US" w:eastAsia="zh-CN"/>
        </w:rPr>
        <w:t>7.统计分析与报表模块</w:t>
      </w:r>
      <w:bookmarkEnd w:id="19"/>
    </w:p>
    <w:p w14:paraId="6719EC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综合统计</w:t>
      </w:r>
    </w:p>
    <w:p w14:paraId="333F14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按时间：日/周/月/季/年投诉量、纠纷量、办结率、超时率、满意度。</w:t>
      </w:r>
    </w:p>
    <w:p w14:paraId="1A8A6C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按科室/病区/门诊/个人：投诉量、纠纷率、重复投诉率、整改完成率。</w:t>
      </w:r>
    </w:p>
    <w:p w14:paraId="581559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rPr>
        <w:t>按类型：服务类、质量类、收费类、环境类、医保类等占比。</w:t>
      </w:r>
      <w:r>
        <w:rPr>
          <w:rFonts w:hint="eastAsia" w:ascii="宋体" w:hAnsi="宋体" w:eastAsia="宋体" w:cs="宋体"/>
          <w:sz w:val="24"/>
          <w:szCs w:val="24"/>
        </w:rPr>
        <w:br w:type="textWrapping"/>
      </w:r>
      <w:r>
        <w:rPr>
          <w:rFonts w:hint="eastAsia" w:ascii="宋体" w:hAnsi="宋体" w:eastAsia="宋体" w:cs="宋体"/>
          <w:sz w:val="24"/>
          <w:szCs w:val="24"/>
        </w:rPr>
        <w:t>常用报表</w:t>
      </w:r>
      <w:r>
        <w:rPr>
          <w:rFonts w:hint="eastAsia" w:ascii="宋体" w:hAnsi="宋体" w:eastAsia="宋体" w:cs="宋体"/>
          <w:sz w:val="24"/>
          <w:szCs w:val="24"/>
          <w:lang w:eastAsia="zh-CN"/>
        </w:rPr>
        <w:t>。</w:t>
      </w:r>
    </w:p>
    <w:p w14:paraId="648D66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投诉/纠纷台账（明细）</w:t>
      </w:r>
    </w:p>
    <w:p w14:paraId="27E610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月度/季度/年度医患关系分析报告</w:t>
      </w:r>
      <w:r>
        <w:rPr>
          <w:rFonts w:hint="eastAsia" w:ascii="宋体" w:hAnsi="宋体" w:eastAsia="宋体" w:cs="宋体"/>
          <w:sz w:val="24"/>
          <w:szCs w:val="24"/>
          <w:lang w:eastAsia="zh-CN"/>
        </w:rPr>
        <w:t>；</w:t>
      </w:r>
      <w:r>
        <w:rPr>
          <w:rFonts w:hint="eastAsia" w:ascii="宋体" w:hAnsi="宋体" w:eastAsia="宋体" w:cs="宋体"/>
          <w:sz w:val="24"/>
          <w:szCs w:val="24"/>
        </w:rPr>
        <w:t>科室投诉排名、医生投诉排名</w:t>
      </w:r>
      <w:r>
        <w:rPr>
          <w:rFonts w:hint="eastAsia" w:ascii="宋体" w:hAnsi="宋体" w:eastAsia="宋体" w:cs="宋体"/>
          <w:sz w:val="24"/>
          <w:szCs w:val="24"/>
          <w:lang w:eastAsia="zh-CN"/>
        </w:rPr>
        <w:t>；</w:t>
      </w:r>
      <w:r>
        <w:rPr>
          <w:rFonts w:hint="eastAsia" w:ascii="宋体" w:hAnsi="宋体" w:eastAsia="宋体" w:cs="宋体"/>
          <w:sz w:val="24"/>
          <w:szCs w:val="24"/>
        </w:rPr>
        <w:t>上级部门转办件办理情况报表</w:t>
      </w:r>
      <w:r>
        <w:rPr>
          <w:rFonts w:hint="eastAsia" w:ascii="宋体" w:hAnsi="宋体" w:eastAsia="宋体" w:cs="宋体"/>
          <w:sz w:val="24"/>
          <w:szCs w:val="24"/>
          <w:lang w:eastAsia="zh-CN"/>
        </w:rPr>
        <w:t>；</w:t>
      </w:r>
      <w:r>
        <w:rPr>
          <w:rFonts w:hint="eastAsia" w:ascii="宋体" w:hAnsi="宋体" w:eastAsia="宋体" w:cs="宋体"/>
          <w:sz w:val="24"/>
          <w:szCs w:val="24"/>
        </w:rPr>
        <w:t>重大纠纷专项报表、涉法涉诉报表。</w:t>
      </w:r>
    </w:p>
    <w:p w14:paraId="1D23E5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rPr>
        <w:t>支持自动化生成统计报表自定义，按需配置报表维度，自动抓取数据生成报表，至少包括：基础台账（投诉总量、科室分布、人员分布、投诉类型占比、处置时效）；合规报表（按期办结率、患者满意度、重复投诉率、重大纠纷占比）；上报报表（对接卫健部门要求的投诉纠纷月度/年度上报报表，一键导出）</w:t>
      </w:r>
      <w:r>
        <w:rPr>
          <w:rFonts w:hint="eastAsia" w:ascii="宋体" w:hAnsi="宋体" w:eastAsia="宋体" w:cs="宋体"/>
          <w:sz w:val="24"/>
          <w:szCs w:val="24"/>
          <w:lang w:eastAsia="zh-CN"/>
        </w:rPr>
        <w:t>。</w:t>
      </w:r>
    </w:p>
    <w:p w14:paraId="3C56F6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可视化大屏/驾驶舱</w:t>
      </w:r>
    </w:p>
    <w:p w14:paraId="2E57AD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投诉趋势图、类型分布图、科室热力图、办结率、满意度趋势</w:t>
      </w:r>
      <w:r>
        <w:rPr>
          <w:rFonts w:hint="eastAsia" w:ascii="宋体" w:hAnsi="宋体" w:eastAsia="宋体" w:cs="宋体"/>
          <w:sz w:val="24"/>
          <w:szCs w:val="24"/>
          <w:lang w:eastAsia="zh-CN"/>
        </w:rPr>
        <w:t>；</w:t>
      </w:r>
      <w:r>
        <w:rPr>
          <w:rFonts w:hint="eastAsia" w:ascii="宋体" w:hAnsi="宋体" w:eastAsia="宋体" w:cs="宋体"/>
          <w:sz w:val="24"/>
          <w:szCs w:val="24"/>
        </w:rPr>
        <w:t>院领导/质控部门实时查看全院医患风险态势。</w:t>
      </w:r>
    </w:p>
    <w:p w14:paraId="19C421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7.4数据分析</w:t>
      </w:r>
    </w:p>
    <w:p w14:paraId="57FA49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自动化数据多维度分析，至少包括：趋势分析（按周/月/季统计投诉变化，识别节假日、就诊高峰等波动规律）；归因分析（定位高频投诉科室/人员、高发问题类型，如挂号排队、医嘱沟通、收费争议）；风险分析（高风险人员就诊频次、预警触发率、处置成功率分析）；效能分析（各科室处置时效、办结率、整改完成率对比排名）等</w:t>
      </w:r>
      <w:r>
        <w:rPr>
          <w:rFonts w:hint="eastAsia" w:ascii="宋体" w:hAnsi="宋体" w:eastAsia="宋体" w:cs="宋体"/>
          <w:sz w:val="24"/>
          <w:szCs w:val="24"/>
          <w:lang w:eastAsia="zh-CN"/>
        </w:rPr>
        <w:t>。</w:t>
      </w:r>
    </w:p>
    <w:p w14:paraId="4C8EDA21">
      <w:pPr>
        <w:pStyle w:val="7"/>
        <w:widowControl/>
        <w:jc w:val="left"/>
        <w:textAlignment w:val="center"/>
        <w:outlineLvl w:val="1"/>
        <w:rPr>
          <w:rFonts w:hint="eastAsia"/>
          <w:highlight w:val="none"/>
          <w:lang w:val="en-US" w:eastAsia="zh-CN"/>
        </w:rPr>
      </w:pPr>
      <w:bookmarkStart w:id="20" w:name="_Toc26799"/>
      <w:r>
        <w:rPr>
          <w:rFonts w:hint="eastAsia"/>
          <w:highlight w:val="none"/>
          <w:lang w:val="en-US" w:eastAsia="zh-CN"/>
        </w:rPr>
        <w:t>8.考核管理模块</w:t>
      </w:r>
      <w:bookmarkEnd w:id="20"/>
    </w:p>
    <w:p w14:paraId="0D5090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default" w:ascii="宋体" w:hAnsi="宋体" w:eastAsia="宋体" w:cs="宋体"/>
          <w:sz w:val="24"/>
          <w:szCs w:val="24"/>
          <w:lang w:val="en-US"/>
        </w:rPr>
      </w:pPr>
      <w:r>
        <w:rPr>
          <w:rFonts w:hint="eastAsia" w:ascii="宋体" w:hAnsi="宋体" w:eastAsia="宋体" w:cs="宋体"/>
          <w:sz w:val="24"/>
          <w:szCs w:val="24"/>
          <w:lang w:val="en-US" w:eastAsia="zh-CN"/>
        </w:rPr>
        <w:t>8.1 投诉指标统计功能</w:t>
      </w:r>
    </w:p>
    <w:p w14:paraId="4F11FC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输出科室/个人投诉指标：投诉次数、纠纷次数、重大纠纷次数、整改情况。</w:t>
      </w:r>
    </w:p>
    <w:p w14:paraId="6CFF1B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支持设置扣分规则，自动/半自动化导入医院绩效考核系统。</w:t>
      </w:r>
    </w:p>
    <w:p w14:paraId="48AB7AF6">
      <w:pPr>
        <w:pStyle w:val="7"/>
        <w:widowControl/>
        <w:jc w:val="left"/>
        <w:textAlignment w:val="center"/>
        <w:outlineLvl w:val="1"/>
        <w:rPr>
          <w:rFonts w:hint="eastAsia"/>
          <w:highlight w:val="none"/>
          <w:lang w:val="en-US" w:eastAsia="zh-CN"/>
        </w:rPr>
      </w:pPr>
      <w:bookmarkStart w:id="21" w:name="_Toc19981"/>
      <w:r>
        <w:rPr>
          <w:rFonts w:hint="eastAsia"/>
          <w:highlight w:val="none"/>
          <w:lang w:val="en-US" w:eastAsia="zh-CN"/>
        </w:rPr>
        <w:t>9.系统管理与安全合规模块</w:t>
      </w:r>
      <w:bookmarkEnd w:id="21"/>
    </w:p>
    <w:p w14:paraId="7B4FE0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9.1</w:t>
      </w:r>
      <w:r>
        <w:rPr>
          <w:rFonts w:hint="eastAsia" w:ascii="宋体" w:hAnsi="宋体" w:eastAsia="宋体" w:cs="宋体"/>
          <w:sz w:val="24"/>
          <w:szCs w:val="24"/>
        </w:rPr>
        <w:t>权限与角色管理</w:t>
      </w:r>
    </w:p>
    <w:p w14:paraId="023608A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9.1.1</w:t>
      </w:r>
      <w:r>
        <w:rPr>
          <w:rFonts w:hint="eastAsia" w:ascii="宋体" w:hAnsi="宋体" w:eastAsia="宋体" w:cs="宋体"/>
          <w:sz w:val="24"/>
          <w:szCs w:val="24"/>
        </w:rPr>
        <w:t>细粒度权限</w:t>
      </w:r>
    </w:p>
    <w:p w14:paraId="0A970A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查看、登记、编辑、审批、导出、删除、归档、敏感信息查看等。</w:t>
      </w:r>
    </w:p>
    <w:p w14:paraId="4C90F50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9.1.2</w:t>
      </w:r>
      <w:r>
        <w:rPr>
          <w:rFonts w:hint="eastAsia" w:ascii="宋体" w:hAnsi="宋体" w:eastAsia="宋体" w:cs="宋体"/>
          <w:sz w:val="24"/>
          <w:szCs w:val="24"/>
        </w:rPr>
        <w:t>三员管理</w:t>
      </w:r>
    </w:p>
    <w:p w14:paraId="05A510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系统管理员、安全管理员、审计管理员。</w:t>
      </w:r>
    </w:p>
    <w:p w14:paraId="2357DFB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9.2</w:t>
      </w:r>
      <w:r>
        <w:rPr>
          <w:rFonts w:hint="eastAsia" w:ascii="宋体" w:hAnsi="宋体" w:eastAsia="宋体" w:cs="宋体"/>
          <w:sz w:val="24"/>
          <w:szCs w:val="24"/>
        </w:rPr>
        <w:t>日志与审计</w:t>
      </w:r>
    </w:p>
    <w:p w14:paraId="652B8F1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9.2.1</w:t>
      </w:r>
      <w:r>
        <w:rPr>
          <w:rFonts w:hint="eastAsia" w:ascii="宋体" w:hAnsi="宋体" w:eastAsia="宋体" w:cs="宋体"/>
          <w:sz w:val="24"/>
          <w:szCs w:val="24"/>
        </w:rPr>
        <w:t>操作日志：登录、查询、修改、删除、导出、打印、授权等。</w:t>
      </w:r>
    </w:p>
    <w:p w14:paraId="0CEEE6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9.2.2</w:t>
      </w:r>
      <w:r>
        <w:rPr>
          <w:rFonts w:hint="eastAsia" w:ascii="宋体" w:hAnsi="宋体" w:eastAsia="宋体" w:cs="宋体"/>
          <w:sz w:val="24"/>
          <w:szCs w:val="24"/>
        </w:rPr>
        <w:t>支持日志导出、留存、审计追溯，满足等级保护/医院评审要求。</w:t>
      </w:r>
    </w:p>
    <w:p w14:paraId="16BE36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9.3</w:t>
      </w:r>
      <w:r>
        <w:rPr>
          <w:rFonts w:hint="eastAsia" w:ascii="宋体" w:hAnsi="宋体" w:eastAsia="宋体" w:cs="宋体"/>
          <w:sz w:val="24"/>
          <w:szCs w:val="24"/>
        </w:rPr>
        <w:t>数据安全与隐私保护</w:t>
      </w:r>
    </w:p>
    <w:p w14:paraId="7D1507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患者信息脱敏展示，敏感信息分级授权</w:t>
      </w:r>
      <w:r>
        <w:rPr>
          <w:rFonts w:hint="eastAsia" w:ascii="宋体" w:hAnsi="宋体" w:eastAsia="宋体" w:cs="宋体"/>
          <w:sz w:val="24"/>
          <w:szCs w:val="24"/>
          <w:lang w:eastAsia="zh-CN"/>
        </w:rPr>
        <w:t>；</w:t>
      </w:r>
      <w:r>
        <w:rPr>
          <w:rFonts w:hint="eastAsia" w:ascii="宋体" w:hAnsi="宋体" w:eastAsia="宋体" w:cs="宋体"/>
          <w:sz w:val="24"/>
          <w:szCs w:val="24"/>
        </w:rPr>
        <w:t>数据备份、恢复机制，防篡改、防泄露</w:t>
      </w:r>
      <w:r>
        <w:rPr>
          <w:rFonts w:hint="eastAsia" w:ascii="宋体" w:hAnsi="宋体" w:eastAsia="宋体" w:cs="宋体"/>
          <w:sz w:val="24"/>
          <w:szCs w:val="24"/>
          <w:lang w:eastAsia="zh-CN"/>
        </w:rPr>
        <w:t>；</w:t>
      </w:r>
      <w:r>
        <w:rPr>
          <w:rFonts w:hint="eastAsia" w:ascii="宋体" w:hAnsi="宋体" w:eastAsia="宋体" w:cs="宋体"/>
          <w:sz w:val="24"/>
          <w:szCs w:val="24"/>
        </w:rPr>
        <w:t>符合《个人信息保护法》《医疗数据安全规范》等要求。</w:t>
      </w:r>
    </w:p>
    <w:p w14:paraId="4890B81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接口与集成需求</w:t>
      </w:r>
    </w:p>
    <w:p w14:paraId="24F844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与HIS、病案</w:t>
      </w:r>
      <w:r>
        <w:rPr>
          <w:rFonts w:hint="eastAsia" w:ascii="宋体" w:hAnsi="宋体" w:eastAsia="宋体" w:cs="宋体"/>
          <w:sz w:val="24"/>
          <w:szCs w:val="24"/>
          <w:lang w:val="en-US" w:eastAsia="zh-CN"/>
        </w:rPr>
        <w:t>首页</w:t>
      </w:r>
      <w:r>
        <w:rPr>
          <w:rFonts w:hint="eastAsia" w:ascii="宋体" w:hAnsi="宋体" w:eastAsia="宋体" w:cs="宋体"/>
          <w:sz w:val="24"/>
          <w:szCs w:val="24"/>
        </w:rPr>
        <w:t>、OA、</w:t>
      </w:r>
      <w:r>
        <w:rPr>
          <w:rFonts w:hint="eastAsia" w:ascii="宋体" w:hAnsi="宋体" w:eastAsia="宋体" w:cs="宋体"/>
          <w:sz w:val="24"/>
          <w:szCs w:val="24"/>
          <w:lang w:val="en-US" w:eastAsia="zh-CN"/>
        </w:rPr>
        <w:t>企业微信、</w:t>
      </w:r>
      <w:r>
        <w:rPr>
          <w:rFonts w:hint="eastAsia" w:ascii="宋体" w:hAnsi="宋体" w:eastAsia="宋体" w:cs="宋体"/>
          <w:sz w:val="24"/>
          <w:szCs w:val="24"/>
        </w:rPr>
        <w:t>短信平台、12345平台、医保系统、财务系统</w:t>
      </w:r>
      <w:r>
        <w:rPr>
          <w:rFonts w:hint="eastAsia" w:ascii="宋体" w:hAnsi="宋体" w:eastAsia="宋体" w:cs="宋体"/>
          <w:sz w:val="24"/>
          <w:szCs w:val="24"/>
          <w:lang w:val="en-US" w:eastAsia="zh-CN"/>
        </w:rPr>
        <w:t>等</w:t>
      </w:r>
      <w:r>
        <w:rPr>
          <w:rFonts w:hint="eastAsia" w:ascii="宋体" w:hAnsi="宋体" w:eastAsia="宋体" w:cs="宋体"/>
          <w:sz w:val="24"/>
          <w:szCs w:val="24"/>
        </w:rPr>
        <w:t>对接。</w:t>
      </w:r>
    </w:p>
    <w:p w14:paraId="2BACE5DE">
      <w:pPr>
        <w:pStyle w:val="7"/>
        <w:widowControl/>
        <w:jc w:val="left"/>
        <w:textAlignment w:val="center"/>
        <w:outlineLvl w:val="1"/>
        <w:rPr>
          <w:rFonts w:hint="eastAsia"/>
          <w:highlight w:val="none"/>
          <w:lang w:val="en-US" w:eastAsia="zh-CN"/>
        </w:rPr>
      </w:pPr>
      <w:bookmarkStart w:id="22" w:name="_Toc12436"/>
      <w:r>
        <w:rPr>
          <w:rFonts w:hint="eastAsia"/>
          <w:highlight w:val="none"/>
          <w:lang w:val="en-US" w:eastAsia="zh-CN"/>
        </w:rPr>
        <w:t>10.移动端与便捷功能</w:t>
      </w:r>
      <w:bookmarkEnd w:id="22"/>
    </w:p>
    <w:p w14:paraId="418BAD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10.1企业微信端口/</w:t>
      </w:r>
      <w:r>
        <w:rPr>
          <w:rFonts w:hint="eastAsia" w:ascii="宋体" w:hAnsi="宋体" w:eastAsia="宋体" w:cs="宋体"/>
          <w:sz w:val="24"/>
          <w:szCs w:val="24"/>
        </w:rPr>
        <w:t>移动端APP</w:t>
      </w:r>
      <w:r>
        <w:rPr>
          <w:rFonts w:hint="eastAsia" w:ascii="宋体" w:hAnsi="宋体" w:eastAsia="宋体" w:cs="宋体"/>
          <w:sz w:val="24"/>
          <w:szCs w:val="24"/>
          <w:lang w:val="en-US" w:eastAsia="zh-CN"/>
        </w:rPr>
        <w:t>/</w:t>
      </w:r>
      <w:r>
        <w:rPr>
          <w:rFonts w:hint="eastAsia" w:ascii="宋体" w:hAnsi="宋体" w:eastAsia="宋体" w:cs="宋体"/>
          <w:sz w:val="24"/>
          <w:szCs w:val="24"/>
        </w:rPr>
        <w:t>微信小程序</w:t>
      </w:r>
      <w:r>
        <w:rPr>
          <w:rFonts w:hint="eastAsia" w:ascii="宋体" w:hAnsi="宋体" w:eastAsia="宋体" w:cs="宋体"/>
          <w:sz w:val="24"/>
          <w:szCs w:val="24"/>
          <w:lang w:eastAsia="zh-CN"/>
        </w:rPr>
        <w:t>。</w:t>
      </w:r>
    </w:p>
    <w:p w14:paraId="67C476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10.1.1</w:t>
      </w:r>
      <w:r>
        <w:rPr>
          <w:rFonts w:hint="eastAsia" w:ascii="宋体" w:hAnsi="宋体" w:eastAsia="宋体" w:cs="宋体"/>
          <w:sz w:val="24"/>
          <w:szCs w:val="24"/>
        </w:rPr>
        <w:t>投诉登记、查看待办、审批、回访、上传照片/录音。</w:t>
      </w:r>
    </w:p>
    <w:p w14:paraId="56DC18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10.1.2</w:t>
      </w:r>
      <w:r>
        <w:rPr>
          <w:rFonts w:hint="eastAsia" w:ascii="宋体" w:hAnsi="宋体" w:eastAsia="宋体" w:cs="宋体"/>
          <w:sz w:val="24"/>
          <w:szCs w:val="24"/>
        </w:rPr>
        <w:t>消息推送、超期提醒、扫码调取投诉信息。</w:t>
      </w:r>
    </w:p>
    <w:p w14:paraId="531717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便捷功能</w:t>
      </w:r>
    </w:p>
    <w:p w14:paraId="3519A0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10.2.1</w:t>
      </w:r>
      <w:r>
        <w:rPr>
          <w:rFonts w:hint="eastAsia" w:ascii="宋体" w:hAnsi="宋体" w:eastAsia="宋体" w:cs="宋体"/>
          <w:sz w:val="24"/>
          <w:szCs w:val="24"/>
        </w:rPr>
        <w:t>批量导入/导出、模板打印（投诉登记表、调解协议、整改通知书）。</w:t>
      </w:r>
    </w:p>
    <w:p w14:paraId="2D7955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10.2.2</w:t>
      </w:r>
      <w:r>
        <w:rPr>
          <w:rFonts w:hint="eastAsia" w:ascii="宋体" w:hAnsi="宋体" w:eastAsia="宋体" w:cs="宋体"/>
          <w:sz w:val="24"/>
          <w:szCs w:val="24"/>
        </w:rPr>
        <w:t>关键词检索、高级组合查询、数据脱敏导出。</w:t>
      </w:r>
    </w:p>
    <w:p w14:paraId="3285F17B">
      <w:pPr>
        <w:pStyle w:val="5"/>
        <w:numPr>
          <w:ilvl w:val="0"/>
          <w:numId w:val="2"/>
        </w:numPr>
        <w:bidi w:val="0"/>
        <w:ind w:left="-210" w:leftChars="0" w:firstLine="420" w:firstLineChars="0"/>
        <w:outlineLvl w:val="0"/>
        <w:rPr>
          <w:rFonts w:hint="eastAsia"/>
          <w:sz w:val="30"/>
          <w:szCs w:val="30"/>
          <w:lang w:eastAsia="zh-CN"/>
        </w:rPr>
      </w:pPr>
      <w:bookmarkStart w:id="23" w:name="_Toc27467"/>
      <w:r>
        <w:rPr>
          <w:rFonts w:hint="eastAsia"/>
          <w:sz w:val="30"/>
          <w:szCs w:val="30"/>
          <w:lang w:eastAsia="zh-CN"/>
        </w:rPr>
        <w:t>其他需求</w:t>
      </w:r>
      <w:bookmarkEnd w:id="23"/>
    </w:p>
    <w:tbl>
      <w:tblPr>
        <w:tblStyle w:val="20"/>
        <w:tblW w:w="47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318"/>
        <w:gridCol w:w="25"/>
        <w:gridCol w:w="6999"/>
      </w:tblGrid>
      <w:tr w14:paraId="4DDA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9" w:type="pct"/>
            <w:noWrap w:val="0"/>
            <w:vAlign w:val="center"/>
          </w:tcPr>
          <w:p w14:paraId="2832F2C6">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序号</w:t>
            </w:r>
          </w:p>
        </w:tc>
        <w:tc>
          <w:tcPr>
            <w:tcW w:w="733" w:type="pct"/>
            <w:noWrap w:val="0"/>
            <w:vAlign w:val="center"/>
          </w:tcPr>
          <w:p w14:paraId="5A01C5E5">
            <w:pPr>
              <w:widowControl/>
              <w:jc w:val="center"/>
              <w:textAlignment w:val="center"/>
              <w:rPr>
                <w:rFonts w:hint="eastAsia" w:ascii="宋体" w:hAnsi="宋体" w:eastAsia="宋体" w:cs="宋体"/>
                <w:b/>
                <w:bCs/>
                <w:color w:val="auto"/>
                <w:kern w:val="0"/>
                <w:sz w:val="21"/>
                <w:szCs w:val="21"/>
                <w:highlight w:val="yellow"/>
                <w:lang w:eastAsia="zh-CN" w:bidi="ar"/>
              </w:rPr>
            </w:pPr>
            <w:r>
              <w:rPr>
                <w:rFonts w:hint="eastAsia" w:ascii="宋体" w:hAnsi="宋体" w:cs="宋体"/>
                <w:b/>
                <w:bCs/>
                <w:color w:val="auto"/>
                <w:kern w:val="0"/>
                <w:szCs w:val="21"/>
                <w:lang w:eastAsia="zh-CN"/>
              </w:rPr>
              <w:t>需求名称</w:t>
            </w:r>
          </w:p>
        </w:tc>
        <w:tc>
          <w:tcPr>
            <w:tcW w:w="3906" w:type="pct"/>
            <w:gridSpan w:val="2"/>
            <w:noWrap w:val="0"/>
            <w:vAlign w:val="center"/>
          </w:tcPr>
          <w:p w14:paraId="2B99DB81">
            <w:pPr>
              <w:widowControl/>
              <w:jc w:val="center"/>
              <w:textAlignment w:val="center"/>
              <w:rPr>
                <w:rFonts w:hint="eastAsia" w:ascii="宋体" w:hAnsi="宋体" w:eastAsia="宋体" w:cs="宋体"/>
                <w:b/>
                <w:bCs/>
                <w:color w:val="auto"/>
                <w:kern w:val="0"/>
                <w:sz w:val="21"/>
                <w:szCs w:val="21"/>
                <w:highlight w:val="yellow"/>
                <w:lang w:eastAsia="zh-CN" w:bidi="ar"/>
              </w:rPr>
            </w:pPr>
            <w:r>
              <w:rPr>
                <w:rFonts w:hint="eastAsia" w:ascii="宋体" w:hAnsi="宋体" w:cs="宋体"/>
                <w:b/>
                <w:bCs/>
                <w:color w:val="auto"/>
                <w:kern w:val="0"/>
                <w:szCs w:val="21"/>
                <w:lang w:eastAsia="zh-CN"/>
              </w:rPr>
              <w:t>需求描述内容</w:t>
            </w:r>
          </w:p>
        </w:tc>
      </w:tr>
      <w:tr w14:paraId="4A5B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0A985FA8">
            <w:pPr>
              <w:widowControl w:val="0"/>
              <w:shd w:val="clear" w:color="auto" w:fill="auto"/>
              <w:adjustRightInd/>
              <w:snapToGrid/>
              <w:spacing w:line="240" w:lineRule="auto"/>
              <w:jc w:val="center"/>
              <w:rPr>
                <w:rFonts w:hint="default" w:ascii="宋体" w:hAnsi="宋体" w:eastAsia="宋体" w:cs="宋体"/>
                <w:b/>
                <w:bCs/>
                <w:sz w:val="21"/>
                <w:szCs w:val="21"/>
                <w:highlight w:val="none"/>
                <w:lang w:val="en-US" w:eastAsia="zh-CN"/>
              </w:rPr>
            </w:pPr>
            <w:r>
              <w:rPr>
                <w:rStyle w:val="22"/>
                <w:rFonts w:hint="eastAsia" w:ascii="宋体" w:hAnsi="宋体" w:eastAsia="宋体" w:cs="宋体"/>
                <w:b w:val="0"/>
                <w:bCs w:val="0"/>
                <w:i w:val="0"/>
                <w:iCs w:val="0"/>
                <w:caps w:val="0"/>
                <w:color w:val="0F1115"/>
                <w:spacing w:val="0"/>
                <w:sz w:val="21"/>
                <w:szCs w:val="21"/>
                <w:shd w:val="clear" w:fill="FFFFFF"/>
                <w:lang w:val="en-US" w:eastAsia="zh-CN"/>
              </w:rPr>
              <w:t>1</w:t>
            </w:r>
          </w:p>
        </w:tc>
        <w:tc>
          <w:tcPr>
            <w:tcW w:w="747" w:type="pct"/>
            <w:gridSpan w:val="2"/>
            <w:noWrap w:val="0"/>
            <w:vAlign w:val="center"/>
          </w:tcPr>
          <w:p w14:paraId="77145D35">
            <w:pPr>
              <w:widowControl w:val="0"/>
              <w:shd w:val="clear" w:color="auto" w:fill="auto"/>
              <w:adjustRightInd/>
              <w:snapToGrid/>
              <w:spacing w:line="240" w:lineRule="auto"/>
              <w:rPr>
                <w:rFonts w:hint="eastAsia" w:ascii="宋体" w:hAnsi="宋体" w:eastAsia="宋体" w:cs="宋体"/>
                <w:b w:val="0"/>
                <w:bCs w:val="0"/>
                <w:sz w:val="21"/>
                <w:szCs w:val="21"/>
                <w:highlight w:val="none"/>
                <w:lang w:eastAsia="zh-CN"/>
              </w:rPr>
            </w:pPr>
            <w:r>
              <w:rPr>
                <w:rFonts w:hint="eastAsia" w:ascii="宋体" w:hAnsi="宋体" w:cs="宋体"/>
                <w:color w:val="auto"/>
                <w:kern w:val="0"/>
                <w:szCs w:val="21"/>
              </w:rPr>
              <w:t>对接需求</w:t>
            </w:r>
          </w:p>
        </w:tc>
        <w:tc>
          <w:tcPr>
            <w:tcW w:w="3892" w:type="pct"/>
            <w:noWrap w:val="0"/>
            <w:vAlign w:val="top"/>
          </w:tcPr>
          <w:p w14:paraId="3836FBB0">
            <w:pPr>
              <w:widowControl w:val="0"/>
              <w:numPr>
                <w:ilvl w:val="0"/>
                <w:numId w:val="0"/>
              </w:numPr>
              <w:shd w:val="clear" w:color="auto" w:fill="auto"/>
              <w:adjustRightInd/>
              <w:snapToGrid/>
              <w:spacing w:line="240" w:lineRule="auto"/>
              <w:ind w:leftChars="0"/>
              <w:rPr>
                <w:rFonts w:hint="eastAsia"/>
                <w:b w:val="0"/>
                <w:bCs w:val="0"/>
                <w:color w:val="auto"/>
                <w:highlight w:val="none"/>
                <w:lang w:val="en-US" w:eastAsia="zh-CN"/>
              </w:rPr>
            </w:pPr>
            <w:r>
              <w:rPr>
                <w:rFonts w:hint="eastAsia"/>
                <w:b w:val="0"/>
                <w:bCs w:val="0"/>
                <w:color w:val="auto"/>
                <w:highlight w:val="none"/>
                <w:lang w:val="en-US" w:eastAsia="zh-CN"/>
              </w:rPr>
              <w:t>需满足本项目各模块提出的所有对接要求，包括但不限于：</w:t>
            </w:r>
          </w:p>
          <w:p w14:paraId="5A6F463E">
            <w:pPr>
              <w:widowControl w:val="0"/>
              <w:numPr>
                <w:ilvl w:val="0"/>
                <w:numId w:val="6"/>
              </w:numPr>
              <w:shd w:val="clear" w:color="auto" w:fill="auto"/>
              <w:adjustRightInd/>
              <w:snapToGrid/>
              <w:spacing w:line="240" w:lineRule="auto"/>
              <w:ind w:left="0" w:leftChars="0" w:firstLine="0" w:firstLineChars="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各类资质及操作授权信息与HIS系统、手术管理系统等与授权相关系统进行数据双向对接</w:t>
            </w:r>
            <w:r>
              <w:rPr>
                <w:rFonts w:hint="default"/>
                <w:b w:val="0"/>
                <w:bCs w:val="0"/>
                <w:color w:val="auto"/>
                <w:sz w:val="21"/>
                <w:szCs w:val="21"/>
                <w:highlight w:val="none"/>
                <w:lang w:val="en-US" w:eastAsia="zh-CN"/>
              </w:rPr>
              <w:t>，</w:t>
            </w:r>
            <w:r>
              <w:rPr>
                <w:rFonts w:hint="eastAsia"/>
                <w:b w:val="0"/>
                <w:bCs w:val="0"/>
                <w:color w:val="auto"/>
                <w:sz w:val="21"/>
                <w:szCs w:val="21"/>
                <w:highlight w:val="none"/>
                <w:lang w:val="en-US" w:eastAsia="zh-CN"/>
              </w:rPr>
              <w:t>实现权限的</w:t>
            </w:r>
            <w:r>
              <w:rPr>
                <w:rFonts w:hint="default"/>
                <w:b w:val="0"/>
                <w:bCs w:val="0"/>
                <w:color w:val="auto"/>
                <w:sz w:val="21"/>
                <w:szCs w:val="21"/>
                <w:highlight w:val="none"/>
                <w:lang w:val="en-US" w:eastAsia="zh-CN"/>
              </w:rPr>
              <w:t>联动权限控制。</w:t>
            </w:r>
          </w:p>
          <w:p w14:paraId="4B91D9B8">
            <w:pPr>
              <w:widowControl w:val="0"/>
              <w:numPr>
                <w:ilvl w:val="0"/>
                <w:numId w:val="6"/>
              </w:numPr>
              <w:shd w:val="clear" w:color="auto" w:fill="auto"/>
              <w:adjustRightInd/>
              <w:snapToGrid/>
              <w:spacing w:line="240" w:lineRule="auto"/>
              <w:ind w:left="0" w:leftChars="0" w:firstLine="0" w:firstLineChars="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支持对接HIS、EMR等业务系统，获取相关患者及医护人员主要业务数据。</w:t>
            </w:r>
          </w:p>
          <w:p w14:paraId="4594B7EA">
            <w:pPr>
              <w:widowControl w:val="0"/>
              <w:numPr>
                <w:ilvl w:val="0"/>
                <w:numId w:val="6"/>
              </w:numPr>
              <w:shd w:val="clear" w:color="auto" w:fill="auto"/>
              <w:adjustRightInd/>
              <w:snapToGrid/>
              <w:spacing w:line="240" w:lineRule="auto"/>
              <w:ind w:left="0" w:leftChars="0" w:firstLine="0" w:firstLineChars="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支持对接当前院方人事系统，获取人员相关数据；</w:t>
            </w:r>
          </w:p>
          <w:p w14:paraId="58873C1E">
            <w:pPr>
              <w:widowControl w:val="0"/>
              <w:numPr>
                <w:ilvl w:val="0"/>
                <w:numId w:val="6"/>
              </w:numPr>
              <w:shd w:val="clear" w:color="auto" w:fill="auto"/>
              <w:adjustRightInd/>
              <w:snapToGrid/>
              <w:spacing w:line="240" w:lineRule="auto"/>
              <w:ind w:left="0" w:leftChars="0" w:firstLine="0" w:firstLineChars="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支持对接获取当前院方OA系统中请假、出差等人员相关信息。</w:t>
            </w:r>
          </w:p>
          <w:p w14:paraId="0BE8624D">
            <w:pPr>
              <w:widowControl w:val="0"/>
              <w:numPr>
                <w:ilvl w:val="0"/>
                <w:numId w:val="6"/>
              </w:numPr>
              <w:shd w:val="clear" w:color="auto" w:fill="auto"/>
              <w:adjustRightInd/>
              <w:snapToGrid/>
              <w:spacing w:line="240" w:lineRule="auto"/>
              <w:ind w:left="0" w:leftChars="0" w:firstLine="0" w:firstLineChars="0"/>
              <w:rPr>
                <w:rFonts w:hint="eastAsia" w:ascii="宋体" w:hAnsi="宋体" w:eastAsia="宋体" w:cs="宋体"/>
                <w:b w:val="0"/>
                <w:bCs w:val="0"/>
                <w:color w:val="auto"/>
                <w:sz w:val="21"/>
                <w:szCs w:val="21"/>
                <w:highlight w:val="none"/>
                <w:lang w:eastAsia="zh-CN"/>
              </w:rPr>
            </w:pPr>
            <w:r>
              <w:rPr>
                <w:rFonts w:hint="eastAsia"/>
                <w:b w:val="0"/>
                <w:bCs w:val="0"/>
                <w:color w:val="auto"/>
                <w:sz w:val="21"/>
                <w:szCs w:val="21"/>
                <w:highlight w:val="none"/>
                <w:lang w:val="en-US" w:eastAsia="zh-CN"/>
              </w:rPr>
              <w:t>支持对接获取</w:t>
            </w:r>
            <w:r>
              <w:rPr>
                <w:rFonts w:hint="eastAsia"/>
                <w:b w:val="0"/>
                <w:bCs w:val="0"/>
                <w:color w:val="auto"/>
                <w:sz w:val="21"/>
                <w:szCs w:val="21"/>
                <w:highlight w:val="none"/>
                <w:lang w:eastAsia="zh-CN"/>
              </w:rPr>
              <w:t>院方</w:t>
            </w:r>
            <w:r>
              <w:rPr>
                <w:rFonts w:hint="eastAsia"/>
                <w:b w:val="0"/>
                <w:bCs w:val="0"/>
                <w:color w:val="auto"/>
                <w:sz w:val="21"/>
                <w:szCs w:val="21"/>
                <w:highlight w:val="none"/>
                <w:lang w:val="en-US" w:eastAsia="zh-CN"/>
              </w:rPr>
              <w:t>教育系统人员进修、学分、外出学习等及</w:t>
            </w:r>
            <w:r>
              <w:rPr>
                <w:rStyle w:val="27"/>
                <w:rFonts w:hint="eastAsia" w:eastAsia="宋体"/>
                <w:b w:val="0"/>
                <w:bCs w:val="0"/>
                <w:color w:val="auto"/>
                <w:sz w:val="21"/>
                <w:szCs w:val="21"/>
                <w:highlight w:val="none"/>
                <w:lang w:eastAsia="zh-CN" w:bidi="ar"/>
              </w:rPr>
              <w:t>考试系统的</w:t>
            </w:r>
            <w:r>
              <w:rPr>
                <w:rFonts w:hint="eastAsia"/>
                <w:b w:val="0"/>
                <w:bCs w:val="0"/>
                <w:color w:val="auto"/>
                <w:sz w:val="21"/>
                <w:szCs w:val="21"/>
                <w:highlight w:val="none"/>
                <w:lang w:val="en-US" w:eastAsia="zh-CN"/>
              </w:rPr>
              <w:t>相关数据（如院方建设有）。</w:t>
            </w:r>
          </w:p>
          <w:p w14:paraId="330A30DA">
            <w:pPr>
              <w:widowControl w:val="0"/>
              <w:numPr>
                <w:ilvl w:val="0"/>
                <w:numId w:val="6"/>
              </w:numPr>
              <w:shd w:val="clear" w:color="auto" w:fill="auto"/>
              <w:adjustRightInd/>
              <w:snapToGrid/>
              <w:spacing w:line="240" w:lineRule="auto"/>
              <w:ind w:left="0" w:leftChars="0" w:firstLine="0" w:firstLineChars="0"/>
              <w:rPr>
                <w:rFonts w:hint="eastAsia" w:ascii="宋体" w:hAnsi="宋体" w:eastAsia="宋体" w:cs="宋体"/>
                <w:b w:val="0"/>
                <w:bCs w:val="0"/>
                <w:sz w:val="21"/>
                <w:szCs w:val="21"/>
                <w:highlight w:val="none"/>
                <w:lang w:eastAsia="zh-CN"/>
              </w:rPr>
            </w:pPr>
            <w:r>
              <w:rPr>
                <w:rFonts w:hint="eastAsia"/>
                <w:b w:val="0"/>
                <w:bCs w:val="0"/>
                <w:color w:val="auto"/>
                <w:sz w:val="21"/>
                <w:szCs w:val="21"/>
                <w:highlight w:val="none"/>
                <w:lang w:val="en-US" w:eastAsia="zh-CN"/>
              </w:rPr>
              <w:t>支持对接智慧护理病房系统，获取护理人员排班、资质档案等信息.</w:t>
            </w:r>
          </w:p>
          <w:p w14:paraId="126EB2B9">
            <w:pPr>
              <w:widowControl w:val="0"/>
              <w:numPr>
                <w:ilvl w:val="0"/>
                <w:numId w:val="6"/>
              </w:numPr>
              <w:shd w:val="clear" w:color="auto" w:fill="auto"/>
              <w:adjustRightInd/>
              <w:snapToGrid/>
              <w:spacing w:line="240" w:lineRule="auto"/>
              <w:ind w:left="0" w:leftChars="0" w:firstLine="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根据院方要求，配合完成与HIS系统及微信企业号的接口开发与联调。</w:t>
            </w:r>
          </w:p>
          <w:p w14:paraId="19E3E2DC">
            <w:pPr>
              <w:widowControl w:val="0"/>
              <w:numPr>
                <w:ilvl w:val="0"/>
                <w:numId w:val="6"/>
              </w:numPr>
              <w:shd w:val="clear" w:color="auto" w:fill="auto"/>
              <w:adjustRightInd/>
              <w:snapToGrid/>
              <w:spacing w:line="240" w:lineRule="auto"/>
              <w:ind w:left="0" w:leftChars="0" w:firstLine="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需实现与“深圳市手术目录”的对接。</w:t>
            </w:r>
          </w:p>
          <w:p w14:paraId="79B47E11">
            <w:pPr>
              <w:widowControl w:val="0"/>
              <w:numPr>
                <w:ilvl w:val="0"/>
                <w:numId w:val="6"/>
              </w:numPr>
              <w:shd w:val="clear" w:color="auto" w:fill="auto"/>
              <w:adjustRightInd/>
              <w:snapToGrid/>
              <w:spacing w:line="240" w:lineRule="auto"/>
              <w:ind w:left="0" w:leftChars="0" w:firstLine="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本系统所有审批业务须统一集成至院方OA系统，并在OA及企业微信移动端同步推送审批待办提醒；用户点击提醒后，通过URL链接直接跳转至本系统对应审批页面完成处理，无需在多个系统间切换。</w:t>
            </w:r>
          </w:p>
          <w:p w14:paraId="648B0E82">
            <w:pPr>
              <w:widowControl w:val="0"/>
              <w:numPr>
                <w:ilvl w:val="0"/>
                <w:numId w:val="6"/>
              </w:numPr>
              <w:shd w:val="clear" w:color="auto" w:fill="auto"/>
              <w:adjustRightInd/>
              <w:snapToGrid/>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eastAsia="zh-CN"/>
              </w:rPr>
              <w:t>本系统产生的相关数据支持接入院方数据湖项目，支持从数据湖获取相关信息。</w:t>
            </w:r>
          </w:p>
        </w:tc>
      </w:tr>
      <w:tr w14:paraId="33D6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5D1DB343">
            <w:pPr>
              <w:widowControl w:val="0"/>
              <w:shd w:val="clear" w:color="auto" w:fill="auto"/>
              <w:adjustRightInd/>
              <w:snapToGrid/>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p>
        </w:tc>
        <w:tc>
          <w:tcPr>
            <w:tcW w:w="747" w:type="pct"/>
            <w:gridSpan w:val="2"/>
            <w:noWrap w:val="0"/>
            <w:vAlign w:val="center"/>
          </w:tcPr>
          <w:p w14:paraId="036E36D8">
            <w:pPr>
              <w:widowControl w:val="0"/>
              <w:shd w:val="clear" w:color="auto" w:fill="auto"/>
              <w:adjustRightInd/>
              <w:snapToGrid/>
              <w:spacing w:line="240" w:lineRule="auto"/>
              <w:rPr>
                <w:rFonts w:hint="eastAsia" w:ascii="宋体" w:hAnsi="宋体" w:eastAsia="宋体" w:cs="宋体"/>
                <w:b w:val="0"/>
                <w:bCs w:val="0"/>
                <w:color w:val="000000"/>
                <w:sz w:val="21"/>
                <w:szCs w:val="21"/>
                <w:highlight w:val="none"/>
                <w:lang w:val="en-US" w:eastAsia="zh-CN"/>
              </w:rPr>
            </w:pPr>
            <w:r>
              <w:rPr>
                <w:rStyle w:val="22"/>
                <w:rFonts w:hint="eastAsia" w:ascii="宋体" w:hAnsi="宋体" w:eastAsia="宋体" w:cs="宋体"/>
                <w:b w:val="0"/>
                <w:bCs w:val="0"/>
                <w:i w:val="0"/>
                <w:iCs w:val="0"/>
                <w:caps w:val="0"/>
                <w:color w:val="0F1115"/>
                <w:spacing w:val="0"/>
                <w:sz w:val="21"/>
                <w:szCs w:val="21"/>
                <w:shd w:val="clear" w:fill="FFFFFF"/>
              </w:rPr>
              <w:t>多端支持与访问</w:t>
            </w:r>
          </w:p>
        </w:tc>
        <w:tc>
          <w:tcPr>
            <w:tcW w:w="3892" w:type="pct"/>
            <w:noWrap w:val="0"/>
            <w:vAlign w:val="top"/>
          </w:tcPr>
          <w:p w14:paraId="2B685D31">
            <w:pPr>
              <w:widowControl w:val="0"/>
              <w:numPr>
                <w:ilvl w:val="0"/>
                <w:numId w:val="7"/>
              </w:numPr>
              <w:shd w:val="clear" w:color="auto" w:fill="auto"/>
              <w:adjustRightInd/>
              <w:snapToGrid/>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应支持电脑网页端（H5）、企业微信移动端及APP（如需要）使用。</w:t>
            </w:r>
          </w:p>
          <w:p w14:paraId="772BB993">
            <w:pPr>
              <w:widowControl w:val="0"/>
              <w:numPr>
                <w:ilvl w:val="0"/>
                <w:numId w:val="7"/>
              </w:numPr>
              <w:shd w:val="clear" w:color="auto" w:fill="auto"/>
              <w:adjustRightInd/>
              <w:snapToGrid/>
              <w:spacing w:line="240" w:lineRule="auto"/>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需实现在网页端、手机端（企业微信）同步进行业务申请与审批。</w:t>
            </w:r>
          </w:p>
        </w:tc>
      </w:tr>
      <w:tr w14:paraId="7E49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72983BAA">
            <w:pPr>
              <w:widowControl w:val="0"/>
              <w:shd w:val="clear" w:color="auto" w:fill="auto"/>
              <w:adjustRightInd/>
              <w:snapToGrid/>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c>
          <w:tcPr>
            <w:tcW w:w="747" w:type="pct"/>
            <w:gridSpan w:val="2"/>
            <w:noWrap w:val="0"/>
            <w:vAlign w:val="center"/>
          </w:tcPr>
          <w:p w14:paraId="758A3A36">
            <w:pPr>
              <w:widowControl w:val="0"/>
              <w:shd w:val="clear" w:color="auto" w:fill="auto"/>
              <w:adjustRightInd/>
              <w:snapToGrid/>
              <w:spacing w:line="240" w:lineRule="auto"/>
              <w:rPr>
                <w:rFonts w:hint="eastAsia" w:ascii="宋体" w:hAnsi="宋体" w:eastAsia="宋体" w:cs="宋体"/>
                <w:b w:val="0"/>
                <w:bCs w:val="0"/>
                <w:color w:val="000000"/>
                <w:sz w:val="21"/>
                <w:szCs w:val="21"/>
                <w:highlight w:val="none"/>
                <w:lang w:val="en-US" w:eastAsia="zh-CN"/>
              </w:rPr>
            </w:pPr>
            <w:r>
              <w:rPr>
                <w:rStyle w:val="22"/>
                <w:rFonts w:hint="eastAsia" w:ascii="宋体" w:hAnsi="宋体" w:eastAsia="宋体" w:cs="宋体"/>
                <w:b w:val="0"/>
                <w:bCs w:val="0"/>
                <w:i w:val="0"/>
                <w:iCs w:val="0"/>
                <w:caps w:val="0"/>
                <w:color w:val="0F1115"/>
                <w:spacing w:val="0"/>
                <w:sz w:val="21"/>
                <w:szCs w:val="21"/>
                <w:shd w:val="clear" w:fill="FFFFFF"/>
              </w:rPr>
              <w:t>统一身份认证</w:t>
            </w:r>
          </w:p>
        </w:tc>
        <w:tc>
          <w:tcPr>
            <w:tcW w:w="3892" w:type="pct"/>
            <w:noWrap w:val="0"/>
            <w:vAlign w:val="top"/>
          </w:tcPr>
          <w:p w14:paraId="11179014">
            <w:pPr>
              <w:widowControl w:val="0"/>
              <w:numPr>
                <w:ilvl w:val="0"/>
                <w:numId w:val="8"/>
              </w:numPr>
              <w:shd w:val="clear" w:color="auto" w:fill="auto"/>
              <w:adjustRightInd/>
              <w:snapToGrid/>
              <w:spacing w:line="240" w:lineRule="auto"/>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所有功能模块须整合于同一应用内，用户无需重复登录。</w:t>
            </w:r>
          </w:p>
          <w:p w14:paraId="334E8923">
            <w:pPr>
              <w:widowControl w:val="0"/>
              <w:numPr>
                <w:ilvl w:val="0"/>
                <w:numId w:val="8"/>
              </w:numPr>
              <w:shd w:val="clear" w:color="auto" w:fill="auto"/>
              <w:adjustRightInd/>
              <w:snapToGrid/>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系统应支持与医院现有单点登录（SSO）系统集成。</w:t>
            </w:r>
          </w:p>
        </w:tc>
      </w:tr>
      <w:tr w14:paraId="20D2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56069033">
            <w:pPr>
              <w:widowControl w:val="0"/>
              <w:shd w:val="clear" w:color="auto" w:fill="auto"/>
              <w:adjustRightInd/>
              <w:snapToGrid/>
              <w:spacing w:line="240" w:lineRule="auto"/>
              <w:jc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p>
        </w:tc>
        <w:tc>
          <w:tcPr>
            <w:tcW w:w="747" w:type="pct"/>
            <w:gridSpan w:val="2"/>
            <w:noWrap w:val="0"/>
            <w:vAlign w:val="center"/>
          </w:tcPr>
          <w:p w14:paraId="7FEEBDE3">
            <w:pPr>
              <w:widowControl w:val="0"/>
              <w:shd w:val="clear" w:color="auto" w:fill="auto"/>
              <w:adjustRightInd/>
              <w:snapToGrid/>
              <w:spacing w:line="240" w:lineRule="auto"/>
              <w:rPr>
                <w:rStyle w:val="22"/>
                <w:rFonts w:hint="eastAsia" w:ascii="宋体" w:hAnsi="宋体" w:eastAsia="宋体" w:cs="宋体"/>
                <w:b w:val="0"/>
                <w:bCs w:val="0"/>
                <w:i w:val="0"/>
                <w:iCs w:val="0"/>
                <w:caps w:val="0"/>
                <w:color w:val="0F1115"/>
                <w:spacing w:val="0"/>
                <w:sz w:val="21"/>
                <w:szCs w:val="21"/>
                <w:shd w:val="clear" w:fill="FFFFFF"/>
              </w:rPr>
            </w:pPr>
            <w:r>
              <w:rPr>
                <w:rStyle w:val="22"/>
                <w:rFonts w:hint="eastAsia" w:ascii="宋体" w:hAnsi="宋体" w:eastAsia="宋体" w:cs="宋体"/>
                <w:b w:val="0"/>
                <w:bCs w:val="0"/>
                <w:i w:val="0"/>
                <w:iCs w:val="0"/>
                <w:caps w:val="0"/>
                <w:color w:val="0F1115"/>
                <w:spacing w:val="0"/>
                <w:sz w:val="21"/>
                <w:szCs w:val="21"/>
                <w:shd w:val="clear" w:fill="FFFFFF"/>
                <w:lang w:val="en-US" w:eastAsia="zh-CN"/>
              </w:rPr>
              <w:t>评级要求</w:t>
            </w:r>
          </w:p>
        </w:tc>
        <w:tc>
          <w:tcPr>
            <w:tcW w:w="3892" w:type="pct"/>
            <w:noWrap w:val="0"/>
            <w:vAlign w:val="center"/>
          </w:tcPr>
          <w:p w14:paraId="712414AE">
            <w:pPr>
              <w:widowControl w:val="0"/>
              <w:numPr>
                <w:ilvl w:val="0"/>
                <w:numId w:val="0"/>
              </w:numPr>
              <w:shd w:val="clear" w:color="auto" w:fill="auto"/>
              <w:adjustRightInd/>
              <w:snapToGrid/>
              <w:spacing w:line="240" w:lineRule="auto"/>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本系统建设需符合以下评级标准，并包含项目维护期内因评级标准变化的功能升级改造，院方无需为此再支付其他任何费用：</w:t>
            </w:r>
          </w:p>
          <w:p w14:paraId="0036FDCE">
            <w:pPr>
              <w:widowControl w:val="0"/>
              <w:numPr>
                <w:ilvl w:val="0"/>
                <w:numId w:val="9"/>
              </w:numPr>
              <w:shd w:val="clear" w:color="auto" w:fill="auto"/>
              <w:adjustRightInd/>
              <w:snapToGrid/>
              <w:spacing w:line="240" w:lineRule="auto"/>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智慧医疗分级评价6级，即电子病历系统应用水平分级评价6级；</w:t>
            </w:r>
          </w:p>
          <w:p w14:paraId="18C1AE71">
            <w:pPr>
              <w:widowControl w:val="0"/>
              <w:numPr>
                <w:ilvl w:val="0"/>
                <w:numId w:val="9"/>
              </w:numPr>
              <w:shd w:val="clear" w:color="auto" w:fill="auto"/>
              <w:adjustRightInd/>
              <w:snapToGrid/>
              <w:spacing w:line="240" w:lineRule="auto"/>
              <w:ind w:left="0" w:leftChars="0" w:firstLine="0" w:firstLineChars="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互联互通标准化成熟度测评</w:t>
            </w:r>
            <w:r>
              <w:rPr>
                <w:rFonts w:hint="eastAsia" w:ascii="宋体" w:hAnsi="宋体" w:eastAsia="宋体" w:cs="宋体"/>
                <w:sz w:val="21"/>
                <w:szCs w:val="21"/>
                <w:highlight w:val="none"/>
                <w:lang w:val="en-US" w:eastAsia="zh-CN"/>
              </w:rPr>
              <w:t>五乙；</w:t>
            </w:r>
          </w:p>
          <w:p w14:paraId="7F100C73">
            <w:pPr>
              <w:widowControl w:val="0"/>
              <w:numPr>
                <w:ilvl w:val="0"/>
                <w:numId w:val="9"/>
              </w:numPr>
              <w:shd w:val="clear" w:color="auto" w:fill="auto"/>
              <w:adjustRightInd/>
              <w:snapToGrid/>
              <w:spacing w:line="240" w:lineRule="auto"/>
              <w:ind w:left="0" w:leftChars="0"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智慧服务分级评价4级；</w:t>
            </w:r>
          </w:p>
          <w:p w14:paraId="578E0690">
            <w:pPr>
              <w:widowControl w:val="0"/>
              <w:numPr>
                <w:ilvl w:val="0"/>
                <w:numId w:val="9"/>
              </w:numPr>
              <w:shd w:val="clear" w:color="auto" w:fill="auto"/>
              <w:adjustRightInd/>
              <w:snapToGrid/>
              <w:spacing w:line="240" w:lineRule="auto"/>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智慧管理分级评价4级；</w:t>
            </w:r>
          </w:p>
        </w:tc>
      </w:tr>
      <w:tr w14:paraId="5F3E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7507E30C">
            <w:pPr>
              <w:widowControl w:val="0"/>
              <w:shd w:val="clear" w:color="auto" w:fill="auto"/>
              <w:adjustRightInd/>
              <w:snapToGrid/>
              <w:spacing w:line="240" w:lineRule="auto"/>
              <w:jc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c>
          <w:tcPr>
            <w:tcW w:w="747" w:type="pct"/>
            <w:gridSpan w:val="2"/>
            <w:noWrap w:val="0"/>
            <w:vAlign w:val="center"/>
          </w:tcPr>
          <w:p w14:paraId="258B40C7">
            <w:pPr>
              <w:widowControl w:val="0"/>
              <w:shd w:val="clear" w:color="auto" w:fill="auto"/>
              <w:adjustRightInd/>
              <w:snapToGrid/>
              <w:spacing w:line="240" w:lineRule="auto"/>
              <w:rPr>
                <w:rStyle w:val="22"/>
                <w:rFonts w:hint="eastAsia" w:ascii="宋体" w:hAnsi="宋体" w:eastAsia="宋体" w:cs="宋体"/>
                <w:b w:val="0"/>
                <w:bCs w:val="0"/>
                <w:i w:val="0"/>
                <w:iCs w:val="0"/>
                <w:caps w:val="0"/>
                <w:color w:val="0F1115"/>
                <w:spacing w:val="0"/>
                <w:sz w:val="21"/>
                <w:szCs w:val="21"/>
                <w:shd w:val="clear" w:fill="FFFFFF"/>
                <w:lang w:val="en-US" w:eastAsia="zh-CN"/>
              </w:rPr>
            </w:pPr>
            <w:r>
              <w:rPr>
                <w:rStyle w:val="22"/>
                <w:rFonts w:hint="default" w:ascii="宋体" w:hAnsi="宋体" w:eastAsia="宋体" w:cs="宋体"/>
                <w:b w:val="0"/>
                <w:bCs w:val="0"/>
                <w:i w:val="0"/>
                <w:iCs w:val="0"/>
                <w:caps w:val="0"/>
                <w:color w:val="0F1115"/>
                <w:spacing w:val="0"/>
                <w:sz w:val="21"/>
                <w:szCs w:val="21"/>
                <w:shd w:val="clear" w:fill="FFFFFF"/>
                <w:lang w:val="en-US" w:eastAsia="zh-CN"/>
              </w:rPr>
              <w:t>系统性能要求</w:t>
            </w:r>
          </w:p>
        </w:tc>
        <w:tc>
          <w:tcPr>
            <w:tcW w:w="3892" w:type="pct"/>
            <w:noWrap w:val="0"/>
            <w:vAlign w:val="center"/>
          </w:tcPr>
          <w:p w14:paraId="3CD71894">
            <w:pPr>
              <w:pStyle w:val="51"/>
              <w:numPr>
                <w:ilvl w:val="0"/>
                <w:numId w:val="10"/>
              </w:numPr>
              <w:spacing w:line="240" w:lineRule="auto"/>
              <w:ind w:left="0" w:leftChars="0" w:firstLine="0" w:firstLineChars="0"/>
              <w:rPr>
                <w:rFonts w:hint="eastAsia" w:ascii="宋体" w:hAnsi="宋体" w:eastAsia="宋体" w:cs="宋体"/>
                <w:bCs w:val="0"/>
                <w:spacing w:val="0"/>
                <w:kern w:val="2"/>
                <w:sz w:val="21"/>
                <w:szCs w:val="21"/>
                <w:highlight w:val="none"/>
                <w:lang w:val="en-US" w:eastAsia="zh-CN" w:bidi="ar-SA"/>
              </w:rPr>
            </w:pPr>
            <w:r>
              <w:rPr>
                <w:rFonts w:hint="default" w:ascii="宋体" w:hAnsi="宋体" w:eastAsia="宋体" w:cs="宋体"/>
                <w:bCs w:val="0"/>
                <w:spacing w:val="0"/>
                <w:kern w:val="2"/>
                <w:sz w:val="21"/>
                <w:szCs w:val="21"/>
                <w:highlight w:val="none"/>
                <w:lang w:val="en-US" w:eastAsia="zh-CN" w:bidi="ar-SA"/>
              </w:rPr>
              <w:t>系统应支持≥</w:t>
            </w:r>
            <w:r>
              <w:rPr>
                <w:rFonts w:hint="eastAsia" w:ascii="宋体" w:hAnsi="宋体" w:eastAsia="宋体" w:cs="宋体"/>
                <w:bCs w:val="0"/>
                <w:spacing w:val="0"/>
                <w:kern w:val="2"/>
                <w:sz w:val="21"/>
                <w:szCs w:val="21"/>
                <w:highlight w:val="none"/>
                <w:lang w:val="en-US" w:eastAsia="zh-CN" w:bidi="ar-SA"/>
              </w:rPr>
              <w:t>3000</w:t>
            </w:r>
            <w:r>
              <w:rPr>
                <w:rFonts w:hint="default" w:ascii="宋体" w:hAnsi="宋体" w:eastAsia="宋体" w:cs="宋体"/>
                <w:bCs w:val="0"/>
                <w:spacing w:val="0"/>
                <w:kern w:val="2"/>
                <w:sz w:val="21"/>
                <w:szCs w:val="21"/>
                <w:highlight w:val="none"/>
                <w:lang w:val="en-US" w:eastAsia="zh-CN" w:bidi="ar-SA"/>
              </w:rPr>
              <w:t>用户并发访问，核心页面平均响应时间≤2秒，复杂报表生成时间≤5秒。</w:t>
            </w:r>
            <w:r>
              <w:rPr>
                <w:rFonts w:hint="default" w:ascii="宋体" w:hAnsi="宋体" w:eastAsia="宋体" w:cs="宋体"/>
                <w:bCs w:val="0"/>
                <w:spacing w:val="0"/>
                <w:kern w:val="2"/>
                <w:sz w:val="21"/>
                <w:szCs w:val="21"/>
                <w:highlight w:val="none"/>
                <w:lang w:val="en-US" w:eastAsia="zh-CN" w:bidi="ar-SA"/>
              </w:rPr>
              <w:br w:type="textWrapping"/>
            </w:r>
            <w:r>
              <w:rPr>
                <w:rFonts w:hint="default" w:ascii="宋体" w:hAnsi="宋体" w:eastAsia="宋体" w:cs="宋体"/>
                <w:bCs w:val="0"/>
                <w:spacing w:val="0"/>
                <w:kern w:val="2"/>
                <w:sz w:val="21"/>
                <w:szCs w:val="21"/>
                <w:highlight w:val="none"/>
                <w:lang w:val="en-US" w:eastAsia="zh-CN" w:bidi="ar-SA"/>
              </w:rPr>
              <w:t>2. 系统支持7×24小时不间断运行，年可用性≥99.9%。</w:t>
            </w:r>
            <w:r>
              <w:rPr>
                <w:rFonts w:hint="default" w:ascii="宋体" w:hAnsi="宋体" w:eastAsia="宋体" w:cs="宋体"/>
                <w:bCs w:val="0"/>
                <w:spacing w:val="0"/>
                <w:kern w:val="2"/>
                <w:sz w:val="21"/>
                <w:szCs w:val="21"/>
                <w:highlight w:val="none"/>
                <w:lang w:val="en-US" w:eastAsia="zh-CN" w:bidi="ar-SA"/>
              </w:rPr>
              <w:br w:type="textWrapping"/>
            </w:r>
            <w:r>
              <w:rPr>
                <w:rFonts w:hint="default" w:ascii="宋体" w:hAnsi="宋体" w:eastAsia="宋体" w:cs="宋体"/>
                <w:bCs w:val="0"/>
                <w:spacing w:val="0"/>
                <w:kern w:val="2"/>
                <w:sz w:val="21"/>
                <w:szCs w:val="21"/>
                <w:highlight w:val="none"/>
                <w:lang w:val="en-US" w:eastAsia="zh-CN" w:bidi="ar-SA"/>
              </w:rPr>
              <w:t>3. 数据库设计应支持读写分离、索引优化，满足未来5年数据量增长需求。</w:t>
            </w:r>
          </w:p>
        </w:tc>
      </w:tr>
      <w:tr w14:paraId="0480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115C5A19">
            <w:pPr>
              <w:widowControl w:val="0"/>
              <w:shd w:val="clear" w:color="auto" w:fill="auto"/>
              <w:adjustRightInd/>
              <w:snapToGrid/>
              <w:spacing w:line="240" w:lineRule="auto"/>
              <w:jc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w:t>
            </w:r>
          </w:p>
        </w:tc>
        <w:tc>
          <w:tcPr>
            <w:tcW w:w="747" w:type="pct"/>
            <w:gridSpan w:val="2"/>
            <w:shd w:val="clear" w:color="auto" w:fill="auto"/>
            <w:noWrap w:val="0"/>
            <w:vAlign w:val="center"/>
          </w:tcPr>
          <w:p w14:paraId="3514381A">
            <w:pPr>
              <w:widowControl w:val="0"/>
              <w:shd w:val="clear" w:color="auto" w:fill="auto"/>
              <w:adjustRightInd/>
              <w:snapToGrid/>
              <w:spacing w:line="240" w:lineRule="auto"/>
              <w:rPr>
                <w:rFonts w:hint="eastAsia" w:ascii="宋体" w:hAnsi="宋体" w:eastAsia="宋体" w:cs="宋体"/>
                <w:b w:val="0"/>
                <w:bCs w:val="0"/>
                <w:i w:val="0"/>
                <w:iCs w:val="0"/>
                <w:caps w:val="0"/>
                <w:color w:val="0F1115"/>
                <w:spacing w:val="0"/>
                <w:kern w:val="2"/>
                <w:sz w:val="21"/>
                <w:szCs w:val="21"/>
                <w:shd w:val="clear" w:fill="FFFFFF"/>
                <w:lang w:val="en-US" w:eastAsia="zh-CN" w:bidi="ar-SA"/>
              </w:rPr>
            </w:pPr>
            <w:r>
              <w:rPr>
                <w:rStyle w:val="22"/>
                <w:rFonts w:hint="eastAsia" w:ascii="宋体" w:hAnsi="宋体" w:eastAsia="宋体" w:cs="宋体"/>
                <w:b w:val="0"/>
                <w:bCs w:val="0"/>
                <w:i w:val="0"/>
                <w:iCs w:val="0"/>
                <w:caps w:val="0"/>
                <w:color w:val="0F1115"/>
                <w:spacing w:val="0"/>
                <w:sz w:val="21"/>
                <w:szCs w:val="21"/>
                <w:shd w:val="clear" w:fill="FFFFFF"/>
                <w:lang w:val="en-US" w:eastAsia="zh-CN"/>
              </w:rPr>
              <w:t>其他要求</w:t>
            </w:r>
          </w:p>
        </w:tc>
        <w:tc>
          <w:tcPr>
            <w:tcW w:w="3892" w:type="pct"/>
            <w:shd w:val="clear" w:color="auto" w:fill="auto"/>
            <w:noWrap w:val="0"/>
            <w:vAlign w:val="center"/>
          </w:tcPr>
          <w:p w14:paraId="1F11B431">
            <w:pPr>
              <w:widowControl/>
              <w:numPr>
                <w:ilvl w:val="0"/>
                <w:numId w:val="11"/>
              </w:numPr>
              <w:spacing w:line="240" w:lineRule="auto"/>
              <w:ind w:left="0" w:leftChars="0" w:firstLine="0" w:firstLineChars="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支持软件系统所在服务器重启后，相应系统服务实现自动启动。</w:t>
            </w:r>
          </w:p>
          <w:p w14:paraId="5C815F27">
            <w:pPr>
              <w:pStyle w:val="44"/>
              <w:numPr>
                <w:ilvl w:val="0"/>
                <w:numId w:val="11"/>
              </w:numPr>
              <w:spacing w:line="240" w:lineRule="auto"/>
              <w:ind w:left="0" w:leftChars="0"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rPr>
              <w:t>符合网络安全等级保护2.0标准要求。</w:t>
            </w:r>
          </w:p>
        </w:tc>
      </w:tr>
      <w:tr w14:paraId="103A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54220B02">
            <w:pPr>
              <w:widowControl w:val="0"/>
              <w:shd w:val="clear" w:color="auto" w:fill="auto"/>
              <w:adjustRightInd/>
              <w:snapToGrid/>
              <w:spacing w:line="240" w:lineRule="auto"/>
              <w:jc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w:t>
            </w:r>
          </w:p>
        </w:tc>
        <w:tc>
          <w:tcPr>
            <w:tcW w:w="747" w:type="pct"/>
            <w:gridSpan w:val="2"/>
            <w:shd w:val="clear" w:color="auto" w:fill="auto"/>
            <w:noWrap w:val="0"/>
            <w:vAlign w:val="center"/>
          </w:tcPr>
          <w:p w14:paraId="140BED77">
            <w:pPr>
              <w:widowControl w:val="0"/>
              <w:shd w:val="clear" w:color="auto" w:fill="auto"/>
              <w:adjustRightInd/>
              <w:snapToGrid/>
              <w:spacing w:line="240" w:lineRule="auto"/>
              <w:rPr>
                <w:rFonts w:hint="eastAsia" w:ascii="宋体" w:hAnsi="宋体" w:cs="宋体"/>
                <w:color w:val="auto"/>
                <w:kern w:val="0"/>
                <w:szCs w:val="21"/>
                <w:lang w:eastAsia="zh-CN"/>
              </w:rPr>
            </w:pPr>
            <w:r>
              <w:rPr>
                <w:rStyle w:val="22"/>
                <w:rFonts w:hint="default" w:ascii="宋体" w:hAnsi="宋体" w:eastAsia="宋体" w:cs="宋体"/>
                <w:b w:val="0"/>
                <w:bCs w:val="0"/>
                <w:i w:val="0"/>
                <w:iCs w:val="0"/>
                <w:caps w:val="0"/>
                <w:color w:val="0F1115"/>
                <w:spacing w:val="0"/>
                <w:sz w:val="21"/>
                <w:szCs w:val="21"/>
                <w:shd w:val="clear" w:fill="FFFFFF"/>
                <w:lang w:val="en-US" w:eastAsia="zh-CN"/>
              </w:rPr>
              <w:t>知识产权</w:t>
            </w:r>
          </w:p>
        </w:tc>
        <w:tc>
          <w:tcPr>
            <w:tcW w:w="3892" w:type="pct"/>
            <w:shd w:val="clear" w:color="auto" w:fill="auto"/>
            <w:noWrap w:val="0"/>
            <w:vAlign w:val="center"/>
          </w:tcPr>
          <w:p w14:paraId="017DE6E8">
            <w:pPr>
              <w:keepNext w:val="0"/>
              <w:keepLines w:val="0"/>
              <w:widowControl/>
              <w:numPr>
                <w:ilvl w:val="0"/>
                <w:numId w:val="12"/>
              </w:numPr>
              <w:suppressLineNumbers w:val="0"/>
              <w:spacing w:line="240" w:lineRule="auto"/>
              <w:ind w:left="0" w:leftChars="0" w:firstLine="0"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参加评审</w:t>
            </w:r>
            <w:r>
              <w:rPr>
                <w:rFonts w:hint="default" w:ascii="宋体" w:hAnsi="宋体" w:eastAsia="宋体" w:cs="宋体"/>
                <w:color w:val="auto"/>
                <w:kern w:val="0"/>
                <w:sz w:val="21"/>
                <w:szCs w:val="21"/>
                <w:lang w:val="en-US" w:eastAsia="zh-CN"/>
              </w:rPr>
              <w:t>单位须保证所提供软件为自主研发或拥有合法授权，无第三方知识产权纠纷。</w:t>
            </w:r>
          </w:p>
          <w:p w14:paraId="107CAFE8">
            <w:pPr>
              <w:keepNext w:val="0"/>
              <w:keepLines w:val="0"/>
              <w:widowControl/>
              <w:numPr>
                <w:ilvl w:val="0"/>
                <w:numId w:val="12"/>
              </w:numPr>
              <w:suppressLineNumbers w:val="0"/>
              <w:spacing w:line="240" w:lineRule="auto"/>
              <w:ind w:left="0" w:leftChars="0" w:firstLine="0" w:firstLineChars="0"/>
              <w:jc w:val="left"/>
              <w:rPr>
                <w:rFonts w:hint="eastAsia" w:ascii="宋体" w:hAnsi="宋体" w:eastAsia="宋体" w:cs="宋体"/>
                <w:color w:val="auto"/>
                <w:sz w:val="21"/>
                <w:szCs w:val="21"/>
              </w:rPr>
            </w:pPr>
            <w:r>
              <w:rPr>
                <w:rFonts w:hint="default" w:ascii="宋体" w:hAnsi="宋体" w:eastAsia="宋体" w:cs="宋体"/>
                <w:color w:val="auto"/>
                <w:kern w:val="0"/>
                <w:sz w:val="21"/>
                <w:szCs w:val="21"/>
                <w:lang w:val="en-US" w:eastAsia="zh-CN"/>
              </w:rPr>
              <w:t>定制开发部分的知识产权归医院所有。</w:t>
            </w:r>
          </w:p>
        </w:tc>
      </w:tr>
    </w:tbl>
    <w:p w14:paraId="50A791DE">
      <w:pPr>
        <w:numPr>
          <w:ilvl w:val="0"/>
          <w:numId w:val="0"/>
        </w:numPr>
        <w:rPr>
          <w:rFonts w:hint="eastAsia"/>
          <w:lang w:eastAsia="zh-CN"/>
        </w:rPr>
      </w:pPr>
    </w:p>
    <w:p w14:paraId="630E3681">
      <w:pPr>
        <w:pStyle w:val="5"/>
        <w:numPr>
          <w:ilvl w:val="0"/>
          <w:numId w:val="1"/>
        </w:numPr>
        <w:bidi w:val="0"/>
        <w:spacing w:line="240" w:lineRule="auto"/>
        <w:ind w:left="0" w:leftChars="0" w:firstLine="420" w:firstLineChars="0"/>
        <w:outlineLvl w:val="0"/>
        <w:rPr>
          <w:rFonts w:hint="eastAsia"/>
          <w:lang w:eastAsia="zh-CN"/>
        </w:rPr>
      </w:pPr>
      <w:bookmarkStart w:id="24" w:name="_Toc1454"/>
      <w:r>
        <w:rPr>
          <w:rFonts w:hint="eastAsia"/>
          <w:sz w:val="30"/>
          <w:szCs w:val="30"/>
          <w:lang w:eastAsia="zh-CN"/>
        </w:rPr>
        <w:t>商务需求</w:t>
      </w:r>
      <w:bookmarkEnd w:id="24"/>
    </w:p>
    <w:tbl>
      <w:tblPr>
        <w:tblStyle w:val="20"/>
        <w:tblpPr w:leftFromText="180" w:rightFromText="180" w:vertAnchor="text" w:horzAnchor="page" w:tblpX="1143" w:tblpY="927"/>
        <w:tblOverlap w:val="never"/>
        <w:tblW w:w="9885" w:type="dxa"/>
        <w:tblInd w:w="0" w:type="dxa"/>
        <w:tblLayout w:type="autofit"/>
        <w:tblCellMar>
          <w:top w:w="0" w:type="dxa"/>
          <w:left w:w="108" w:type="dxa"/>
          <w:bottom w:w="0" w:type="dxa"/>
          <w:right w:w="108" w:type="dxa"/>
        </w:tblCellMar>
      </w:tblPr>
      <w:tblGrid>
        <w:gridCol w:w="522"/>
        <w:gridCol w:w="1772"/>
        <w:gridCol w:w="7591"/>
      </w:tblGrid>
      <w:tr w14:paraId="47735F49">
        <w:tblPrEx>
          <w:tblCellMar>
            <w:top w:w="0" w:type="dxa"/>
            <w:left w:w="108" w:type="dxa"/>
            <w:bottom w:w="0" w:type="dxa"/>
            <w:right w:w="108" w:type="dxa"/>
          </w:tblCellMar>
        </w:tblPrEx>
        <w:trPr>
          <w:trHeight w:val="901"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1130CC46">
            <w:pPr>
              <w:widowControl/>
              <w:spacing w:line="240" w:lineRule="auto"/>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F8D1FC5">
            <w:pPr>
              <w:widowControl/>
              <w:spacing w:line="240" w:lineRule="auto"/>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需求名称</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5D9F39C9">
            <w:pPr>
              <w:widowControl/>
              <w:spacing w:line="240" w:lineRule="auto"/>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需求描述内容</w:t>
            </w:r>
          </w:p>
        </w:tc>
      </w:tr>
      <w:tr w14:paraId="0B18F669">
        <w:tblPrEx>
          <w:tblCellMar>
            <w:top w:w="0" w:type="dxa"/>
            <w:left w:w="108" w:type="dxa"/>
            <w:bottom w:w="0" w:type="dxa"/>
            <w:right w:w="108" w:type="dxa"/>
          </w:tblCellMar>
        </w:tblPrEx>
        <w:trPr>
          <w:trHeight w:val="801"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6288B33D">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6523C65">
            <w:pPr>
              <w:widowControl/>
              <w:spacing w:line="240" w:lineRule="auto"/>
              <w:jc w:val="center"/>
              <w:rPr>
                <w:rFonts w:hint="eastAsia" w:ascii="宋体" w:hAnsi="宋体" w:eastAsia="宋体" w:cs="宋体"/>
                <w:color w:val="auto"/>
                <w:kern w:val="0"/>
                <w:szCs w:val="21"/>
                <w:lang w:eastAsia="zh-CN"/>
              </w:rPr>
            </w:pPr>
            <w:r>
              <w:rPr>
                <w:rFonts w:hint="eastAsia" w:ascii="宋体" w:hAnsi="宋体" w:cs="宋体"/>
                <w:color w:val="auto"/>
                <w:kern w:val="0"/>
                <w:sz w:val="21"/>
                <w:szCs w:val="21"/>
                <w:highlight w:val="none"/>
                <w:lang w:val="en-US" w:eastAsia="zh-CN"/>
              </w:rPr>
              <w:t>实施周期</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56CF8493">
            <w:pPr>
              <w:widowControl/>
              <w:tabs>
                <w:tab w:val="left" w:pos="3850"/>
              </w:tabs>
              <w:spacing w:line="240" w:lineRule="auto"/>
              <w:rPr>
                <w:rFonts w:hint="eastAsia" w:ascii="宋体" w:hAnsi="宋体" w:cs="宋体" w:eastAsiaTheme="minorEastAsia"/>
                <w:kern w:val="2"/>
                <w:sz w:val="21"/>
                <w:szCs w:val="21"/>
                <w:lang w:val="en-US" w:eastAsia="zh-CN" w:bidi="ar-SA"/>
              </w:rPr>
            </w:pPr>
            <w:r>
              <w:rPr>
                <w:rFonts w:hint="eastAsia" w:ascii="宋体" w:hAnsi="宋体" w:cs="宋体"/>
                <w:szCs w:val="21"/>
              </w:rPr>
              <w:t>合同签订之日起</w:t>
            </w:r>
            <w:r>
              <w:rPr>
                <w:rFonts w:hint="eastAsia" w:ascii="宋体" w:hAnsi="宋体" w:cs="宋体"/>
                <w:szCs w:val="21"/>
                <w:lang w:val="en-US" w:eastAsia="zh-CN"/>
              </w:rPr>
              <w:t>12</w:t>
            </w:r>
            <w:r>
              <w:rPr>
                <w:rFonts w:hint="eastAsia" w:ascii="宋体" w:hAnsi="宋体" w:cs="宋体"/>
                <w:szCs w:val="21"/>
              </w:rPr>
              <w:t>个月内完成项目建设</w:t>
            </w:r>
            <w:r>
              <w:rPr>
                <w:rFonts w:hint="eastAsia" w:ascii="宋体" w:hAnsi="宋体" w:cs="宋体"/>
                <w:szCs w:val="21"/>
                <w:lang w:eastAsia="zh-CN"/>
              </w:rPr>
              <w:t>，</w:t>
            </w:r>
            <w:r>
              <w:rPr>
                <w:rFonts w:hint="eastAsia" w:ascii="宋体" w:hAnsi="宋体" w:cs="宋体"/>
                <w:szCs w:val="21"/>
              </w:rPr>
              <w:t>并上线稳定运行1个月后组织验收。</w:t>
            </w:r>
          </w:p>
        </w:tc>
      </w:tr>
      <w:tr w14:paraId="4A7BFC79">
        <w:tblPrEx>
          <w:tblCellMar>
            <w:top w:w="0" w:type="dxa"/>
            <w:left w:w="108" w:type="dxa"/>
            <w:bottom w:w="0" w:type="dxa"/>
            <w:right w:w="108" w:type="dxa"/>
          </w:tblCellMar>
        </w:tblPrEx>
        <w:trPr>
          <w:trHeight w:val="670"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209D1AEF">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B4C0FEF">
            <w:pPr>
              <w:widowControl/>
              <w:spacing w:line="24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highlight w:val="none"/>
                <w:lang w:val="en-US" w:eastAsia="zh-CN"/>
              </w:rPr>
              <w:t>实施要求</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22803198">
            <w:pPr>
              <w:pStyle w:val="51"/>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Theme="minorEastAsia" w:cstheme="minorBidi"/>
                <w:bCs w:val="0"/>
                <w:color w:val="auto"/>
                <w:spacing w:val="0"/>
                <w:kern w:val="2"/>
                <w:sz w:val="21"/>
                <w:szCs w:val="21"/>
                <w:highlight w:val="none"/>
                <w:lang w:val="en-US" w:eastAsia="zh-CN" w:bidi="ar-SA"/>
              </w:rPr>
            </w:pPr>
            <w:r>
              <w:rPr>
                <w:rFonts w:hint="eastAsia" w:ascii="宋体" w:hAnsi="宋体" w:eastAsiaTheme="minorEastAsia" w:cstheme="minorBidi"/>
                <w:bCs w:val="0"/>
                <w:color w:val="auto"/>
                <w:spacing w:val="0"/>
                <w:kern w:val="2"/>
                <w:sz w:val="21"/>
                <w:szCs w:val="21"/>
                <w:highlight w:val="none"/>
                <w:lang w:val="en-US" w:eastAsia="zh-CN" w:bidi="ar-SA"/>
              </w:rPr>
              <w:t>系统安装及使用：支持在中山大学附属第七医院（深圳）现有操作系统的主机设备上应用，系统的安装使用不限制客户端数量，不限制系统使用的用户数。</w:t>
            </w:r>
          </w:p>
          <w:p w14:paraId="74A1135A">
            <w:pPr>
              <w:pStyle w:val="51"/>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Theme="minorEastAsia" w:cstheme="minorBidi"/>
                <w:bCs w:val="0"/>
                <w:color w:val="auto"/>
                <w:spacing w:val="0"/>
                <w:kern w:val="2"/>
                <w:sz w:val="21"/>
                <w:szCs w:val="21"/>
                <w:highlight w:val="none"/>
                <w:lang w:val="en-US" w:eastAsia="zh-CN" w:bidi="ar-SA"/>
              </w:rPr>
            </w:pPr>
            <w:r>
              <w:rPr>
                <w:rFonts w:hint="eastAsia" w:ascii="宋体" w:hAnsi="宋体" w:eastAsiaTheme="minorEastAsia" w:cstheme="minorBidi"/>
                <w:bCs w:val="0"/>
                <w:color w:val="auto"/>
                <w:spacing w:val="0"/>
                <w:kern w:val="2"/>
                <w:sz w:val="21"/>
                <w:szCs w:val="21"/>
                <w:highlight w:val="none"/>
                <w:lang w:val="en-US" w:eastAsia="zh-CN" w:bidi="ar-SA"/>
              </w:rPr>
              <w:t>技术与服务升级：</w:t>
            </w:r>
          </w:p>
          <w:p w14:paraId="0F93424D">
            <w:pPr>
              <w:pStyle w:val="51"/>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Theme="minorEastAsia" w:cstheme="minorBidi"/>
                <w:bCs w:val="0"/>
                <w:color w:val="auto"/>
                <w:spacing w:val="0"/>
                <w:kern w:val="2"/>
                <w:sz w:val="21"/>
                <w:szCs w:val="21"/>
                <w:highlight w:val="none"/>
                <w:lang w:val="en-US" w:eastAsia="zh-CN" w:bidi="ar-SA"/>
              </w:rPr>
            </w:pPr>
            <w:r>
              <w:rPr>
                <w:rFonts w:hint="eastAsia" w:ascii="宋体" w:hAnsi="宋体" w:eastAsiaTheme="minorEastAsia" w:cstheme="minorBidi"/>
                <w:bCs w:val="0"/>
                <w:color w:val="auto"/>
                <w:spacing w:val="0"/>
                <w:kern w:val="2"/>
                <w:sz w:val="21"/>
                <w:szCs w:val="21"/>
                <w:highlight w:val="none"/>
                <w:lang w:val="en-US" w:eastAsia="zh-CN" w:bidi="ar-SA"/>
              </w:rPr>
              <w:t>（1）软件安装与部署：承建单位提供全面的现场培训、安装、调试和开通服务。</w:t>
            </w:r>
          </w:p>
          <w:p w14:paraId="5B2B43E9">
            <w:pPr>
              <w:pStyle w:val="51"/>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Theme="minorEastAsia" w:cstheme="minorBidi"/>
                <w:bCs w:val="0"/>
                <w:color w:val="auto"/>
                <w:spacing w:val="0"/>
                <w:kern w:val="2"/>
                <w:sz w:val="21"/>
                <w:szCs w:val="21"/>
                <w:highlight w:val="none"/>
                <w:lang w:val="en-US" w:eastAsia="zh-CN" w:bidi="ar-SA"/>
              </w:rPr>
            </w:pPr>
            <w:r>
              <w:rPr>
                <w:rFonts w:hint="eastAsia" w:ascii="宋体" w:hAnsi="宋体" w:eastAsiaTheme="minorEastAsia" w:cstheme="minorBidi"/>
                <w:bCs w:val="0"/>
                <w:color w:val="auto"/>
                <w:spacing w:val="0"/>
                <w:kern w:val="2"/>
                <w:sz w:val="21"/>
                <w:szCs w:val="21"/>
                <w:highlight w:val="none"/>
                <w:lang w:val="en-US" w:eastAsia="zh-CN" w:bidi="ar-SA"/>
              </w:rPr>
              <w:t>（2）系统升级与维护：承建单位在质保期内免费提供软件升级服务，并对系统自身缺陷引起的故障提供终身免费维护。</w:t>
            </w:r>
          </w:p>
          <w:p w14:paraId="00BA7781">
            <w:pPr>
              <w:pStyle w:val="51"/>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Theme="minorEastAsia" w:cstheme="minorBidi"/>
                <w:bCs w:val="0"/>
                <w:color w:val="auto"/>
                <w:spacing w:val="0"/>
                <w:kern w:val="2"/>
                <w:sz w:val="21"/>
                <w:szCs w:val="21"/>
                <w:highlight w:val="none"/>
                <w:lang w:val="en-US" w:eastAsia="zh-CN" w:bidi="ar-SA"/>
              </w:rPr>
            </w:pPr>
            <w:r>
              <w:rPr>
                <w:rFonts w:hint="eastAsia" w:ascii="宋体" w:hAnsi="宋体" w:eastAsiaTheme="minorEastAsia" w:cstheme="minorBidi"/>
                <w:bCs w:val="0"/>
                <w:color w:val="auto"/>
                <w:spacing w:val="0"/>
                <w:kern w:val="2"/>
                <w:sz w:val="21"/>
                <w:szCs w:val="21"/>
                <w:highlight w:val="none"/>
                <w:lang w:val="en-US" w:eastAsia="zh-CN" w:bidi="ar-SA"/>
              </w:rPr>
              <w:t>（3）系统培训：承建单位提供分类培训，确保工作人员全面掌握系统操作。</w:t>
            </w:r>
          </w:p>
          <w:p w14:paraId="3DA26C81">
            <w:pPr>
              <w:pStyle w:val="51"/>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Theme="minorEastAsia" w:cstheme="minorBidi"/>
                <w:bCs w:val="0"/>
                <w:color w:val="auto"/>
                <w:spacing w:val="0"/>
                <w:kern w:val="2"/>
                <w:sz w:val="21"/>
                <w:szCs w:val="21"/>
                <w:highlight w:val="none"/>
                <w:lang w:val="en-US" w:eastAsia="zh-CN" w:bidi="ar-SA"/>
              </w:rPr>
            </w:pPr>
            <w:r>
              <w:rPr>
                <w:rFonts w:hint="eastAsia" w:ascii="宋体" w:hAnsi="宋体" w:eastAsiaTheme="minorEastAsia" w:cstheme="minorBidi"/>
                <w:bCs w:val="0"/>
                <w:color w:val="auto"/>
                <w:spacing w:val="0"/>
                <w:kern w:val="2"/>
                <w:sz w:val="21"/>
                <w:szCs w:val="21"/>
                <w:highlight w:val="none"/>
                <w:lang w:val="en-US" w:eastAsia="zh-CN" w:bidi="ar-SA"/>
              </w:rPr>
              <w:t>（4）故障响应：承建单位保证软件故障5分钟内响应，紧急问题2小时内解决。</w:t>
            </w:r>
          </w:p>
          <w:p w14:paraId="232D31A9">
            <w:pPr>
              <w:pStyle w:val="51"/>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1"/>
                <w:szCs w:val="21"/>
              </w:rPr>
            </w:pPr>
            <w:r>
              <w:rPr>
                <w:rFonts w:hint="eastAsia" w:ascii="宋体" w:hAnsi="宋体" w:eastAsiaTheme="minorEastAsia" w:cstheme="minorBidi"/>
                <w:bCs w:val="0"/>
                <w:color w:val="auto"/>
                <w:spacing w:val="0"/>
                <w:kern w:val="2"/>
                <w:sz w:val="21"/>
                <w:szCs w:val="21"/>
                <w:highlight w:val="none"/>
                <w:lang w:val="en-US" w:eastAsia="zh-CN" w:bidi="ar-SA"/>
              </w:rPr>
              <w:t>（5）技术支持：承建单位提供持续的技术支持服务，解答中山大学附属第七医院（深圳）在使用过程中的问题。</w:t>
            </w:r>
          </w:p>
        </w:tc>
      </w:tr>
      <w:tr w14:paraId="097C344D">
        <w:tblPrEx>
          <w:tblCellMar>
            <w:top w:w="0" w:type="dxa"/>
            <w:left w:w="108" w:type="dxa"/>
            <w:bottom w:w="0" w:type="dxa"/>
            <w:right w:w="108" w:type="dxa"/>
          </w:tblCellMar>
        </w:tblPrEx>
        <w:trPr>
          <w:trHeight w:val="2303"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2D774843">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8E02F60">
            <w:pPr>
              <w:widowControl/>
              <w:spacing w:line="24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highlight w:val="none"/>
              </w:rPr>
              <w:t>实施</w:t>
            </w:r>
            <w:r>
              <w:rPr>
                <w:rFonts w:hint="eastAsia" w:ascii="宋体" w:hAnsi="宋体" w:eastAsia="宋体" w:cs="宋体"/>
                <w:color w:val="auto"/>
                <w:kern w:val="0"/>
                <w:sz w:val="21"/>
                <w:szCs w:val="21"/>
                <w:highlight w:val="none"/>
                <w:lang w:val="en-US" w:eastAsia="zh-CN"/>
              </w:rPr>
              <w:t>团队要求</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55C14076">
            <w:pPr>
              <w:pStyle w:val="51"/>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项目团队成员</w:t>
            </w:r>
            <w:r>
              <w:rPr>
                <w:rFonts w:hint="eastAsia" w:ascii="宋体" w:hAnsi="宋体" w:eastAsia="宋体" w:cs="宋体"/>
                <w:b w:val="0"/>
                <w:bCs/>
                <w:color w:val="auto"/>
                <w:sz w:val="21"/>
                <w:szCs w:val="21"/>
                <w:highlight w:val="none"/>
                <w:lang w:val="en-US" w:eastAsia="zh-CN"/>
              </w:rPr>
              <w:t>配置</w:t>
            </w:r>
            <w:r>
              <w:rPr>
                <w:rFonts w:hint="eastAsia" w:ascii="宋体" w:hAnsi="宋体" w:eastAsia="宋体" w:cs="宋体"/>
                <w:b/>
                <w:bCs w:val="0"/>
                <w:color w:val="auto"/>
                <w:sz w:val="21"/>
                <w:szCs w:val="21"/>
                <w:highlight w:val="none"/>
                <w:lang w:val="en-US" w:eastAsia="zh-CN"/>
              </w:rPr>
              <w:t>：</w:t>
            </w:r>
            <w:r>
              <w:rPr>
                <w:rFonts w:hint="eastAsia" w:ascii="宋体" w:hAnsi="宋体" w:cstheme="minorBidi"/>
                <w:bCs w:val="0"/>
                <w:color w:val="auto"/>
                <w:spacing w:val="0"/>
                <w:kern w:val="2"/>
                <w:sz w:val="21"/>
                <w:szCs w:val="21"/>
                <w:highlight w:val="none"/>
                <w:lang w:val="en-US" w:eastAsia="zh-CN" w:bidi="ar-SA"/>
              </w:rPr>
              <w:t>项目经理</w:t>
            </w:r>
            <w:r>
              <w:rPr>
                <w:rFonts w:hint="eastAsia" w:ascii="宋体" w:hAnsi="宋体" w:eastAsia="宋体" w:cs="宋体"/>
                <w:color w:val="auto"/>
                <w:sz w:val="21"/>
                <w:szCs w:val="21"/>
                <w:highlight w:val="none"/>
                <w:lang w:val="en-US" w:eastAsia="zh-CN"/>
              </w:rPr>
              <w:t>1人，团队成员不少于4人；</w:t>
            </w:r>
          </w:p>
          <w:p w14:paraId="3716A74B">
            <w:pPr>
              <w:pStyle w:val="51"/>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cstheme="minorBidi"/>
                <w:bCs w:val="0"/>
                <w:color w:val="auto"/>
                <w:spacing w:val="0"/>
                <w:kern w:val="2"/>
                <w:sz w:val="21"/>
                <w:szCs w:val="21"/>
                <w:highlight w:val="none"/>
                <w:lang w:val="en-US" w:eastAsia="zh-CN" w:bidi="ar-SA"/>
              </w:rPr>
              <w:t>项目经理要求</w:t>
            </w:r>
            <w:r>
              <w:rPr>
                <w:rFonts w:hint="eastAsia" w:ascii="宋体" w:hAnsi="宋体" w:eastAsia="宋体" w:cs="宋体"/>
                <w:color w:val="auto"/>
                <w:sz w:val="21"/>
                <w:szCs w:val="21"/>
                <w:highlight w:val="none"/>
                <w:lang w:val="en-US" w:eastAsia="zh-CN"/>
              </w:rPr>
              <w:t>：</w:t>
            </w:r>
          </w:p>
          <w:p w14:paraId="045F9065">
            <w:pPr>
              <w:pStyle w:val="51"/>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Theme="minorEastAsia" w:cstheme="minorBidi"/>
                <w:bCs w:val="0"/>
                <w:color w:val="auto"/>
                <w:spacing w:val="0"/>
                <w:kern w:val="2"/>
                <w:sz w:val="21"/>
                <w:szCs w:val="21"/>
                <w:highlight w:val="none"/>
                <w:lang w:val="en-US" w:eastAsia="zh-CN" w:bidi="ar-SA"/>
              </w:rPr>
              <w:t>（1）资质要求：须具备计算机或医学信息相关专业本科及以上学历，具有3年以上医院信息化项目管理经验，熟悉医疗业务流程及智慧医院评级标准（包括电子病历、互联互通、智慧服务、智慧管理等）。</w:t>
            </w:r>
          </w:p>
          <w:p w14:paraId="7AF0081F">
            <w:pPr>
              <w:pStyle w:val="51"/>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1"/>
                <w:szCs w:val="21"/>
              </w:rPr>
            </w:pPr>
            <w:r>
              <w:rPr>
                <w:rFonts w:hint="eastAsia" w:ascii="宋体" w:hAnsi="宋体" w:cstheme="minorBidi"/>
                <w:bCs w:val="0"/>
                <w:color w:val="auto"/>
                <w:spacing w:val="0"/>
                <w:kern w:val="2"/>
                <w:sz w:val="21"/>
                <w:szCs w:val="21"/>
                <w:highlight w:val="none"/>
                <w:lang w:val="en-US" w:eastAsia="zh-CN" w:bidi="ar-SA"/>
              </w:rPr>
              <w:t>（2）更换限制：</w:t>
            </w:r>
            <w:r>
              <w:rPr>
                <w:rFonts w:hint="eastAsia" w:ascii="宋体" w:hAnsi="宋体" w:eastAsiaTheme="minorEastAsia" w:cstheme="minorBidi"/>
                <w:bCs w:val="0"/>
                <w:color w:val="auto"/>
                <w:spacing w:val="0"/>
                <w:kern w:val="2"/>
                <w:sz w:val="21"/>
                <w:szCs w:val="21"/>
                <w:highlight w:val="none"/>
                <w:lang w:val="en-US" w:eastAsia="zh-CN" w:bidi="ar-SA"/>
              </w:rPr>
              <w:t>原则上不允许随意更换；如需更换，须经医院书面同意，且新项目经理资质不低于原项目经理。(</w:t>
            </w:r>
            <w:r>
              <w:rPr>
                <w:rFonts w:hint="eastAsia" w:ascii="宋体" w:hAnsi="宋体" w:cstheme="minorBidi"/>
                <w:bCs w:val="0"/>
                <w:color w:val="auto"/>
                <w:spacing w:val="0"/>
                <w:kern w:val="2"/>
                <w:sz w:val="21"/>
                <w:szCs w:val="21"/>
                <w:highlight w:val="none"/>
                <w:lang w:val="en-US" w:eastAsia="zh-CN" w:bidi="ar-SA"/>
              </w:rPr>
              <w:t>参加评审人</w:t>
            </w:r>
            <w:r>
              <w:rPr>
                <w:rFonts w:hint="eastAsia" w:ascii="宋体" w:hAnsi="宋体" w:eastAsiaTheme="minorEastAsia" w:cstheme="minorBidi"/>
                <w:bCs w:val="0"/>
                <w:color w:val="auto"/>
                <w:spacing w:val="0"/>
                <w:kern w:val="2"/>
                <w:sz w:val="21"/>
                <w:szCs w:val="21"/>
                <w:highlight w:val="none"/>
                <w:lang w:val="en-US" w:eastAsia="zh-CN" w:bidi="ar-SA"/>
              </w:rPr>
              <w:t>需在评审会提供</w:t>
            </w:r>
            <w:r>
              <w:rPr>
                <w:rFonts w:hint="eastAsia" w:ascii="宋体" w:hAnsi="宋体" w:cstheme="minorBidi"/>
                <w:bCs w:val="0"/>
                <w:color w:val="auto"/>
                <w:spacing w:val="0"/>
                <w:kern w:val="2"/>
                <w:sz w:val="21"/>
                <w:szCs w:val="21"/>
                <w:highlight w:val="none"/>
                <w:lang w:val="en-US" w:eastAsia="zh-CN" w:bidi="ar-SA"/>
              </w:rPr>
              <w:t>盖章</w:t>
            </w:r>
            <w:r>
              <w:rPr>
                <w:rFonts w:hint="eastAsia" w:ascii="宋体" w:hAnsi="宋体" w:eastAsiaTheme="minorEastAsia" w:cstheme="minorBidi"/>
                <w:bCs w:val="0"/>
                <w:color w:val="auto"/>
                <w:spacing w:val="0"/>
                <w:kern w:val="2"/>
                <w:sz w:val="21"/>
                <w:szCs w:val="21"/>
                <w:highlight w:val="none"/>
                <w:lang w:val="en-US" w:eastAsia="zh-CN" w:bidi="ar-SA"/>
              </w:rPr>
              <w:t>的</w:t>
            </w:r>
            <w:r>
              <w:rPr>
                <w:rFonts w:hint="eastAsia" w:ascii="宋体" w:hAnsi="宋体" w:cstheme="minorBidi"/>
                <w:bCs w:val="0"/>
                <w:color w:val="auto"/>
                <w:spacing w:val="0"/>
                <w:kern w:val="2"/>
                <w:sz w:val="21"/>
                <w:szCs w:val="21"/>
                <w:highlight w:val="none"/>
                <w:lang w:val="en-US" w:eastAsia="zh-CN" w:bidi="ar-SA"/>
              </w:rPr>
              <w:t>项目经理</w:t>
            </w:r>
            <w:r>
              <w:rPr>
                <w:rFonts w:hint="eastAsia" w:ascii="宋体" w:hAnsi="宋体" w:eastAsiaTheme="minorEastAsia" w:cstheme="minorBidi"/>
                <w:bCs w:val="0"/>
                <w:color w:val="auto"/>
                <w:spacing w:val="0"/>
                <w:kern w:val="2"/>
                <w:sz w:val="21"/>
                <w:szCs w:val="21"/>
                <w:highlight w:val="none"/>
                <w:lang w:val="en-US" w:eastAsia="zh-CN" w:bidi="ar-SA"/>
              </w:rPr>
              <w:t>名单及履历，并承诺在招标阶段项目经理的人选与评审会的人选保持一致)</w:t>
            </w:r>
          </w:p>
        </w:tc>
      </w:tr>
      <w:tr w14:paraId="510954CC">
        <w:tblPrEx>
          <w:tblCellMar>
            <w:top w:w="0" w:type="dxa"/>
            <w:left w:w="108" w:type="dxa"/>
            <w:bottom w:w="0" w:type="dxa"/>
            <w:right w:w="108" w:type="dxa"/>
          </w:tblCellMar>
        </w:tblPrEx>
        <w:trPr>
          <w:trHeight w:val="2155"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4F01E43F">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4</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70EB84CD">
            <w:pPr>
              <w:widowControl/>
              <w:spacing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验收要求</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1104450A">
            <w:pPr>
              <w:widowControl/>
              <w:tabs>
                <w:tab w:val="left" w:pos="3850"/>
              </w:tabs>
              <w:spacing w:line="240" w:lineRule="auto"/>
              <w:rPr>
                <w:rFonts w:hint="eastAsia" w:ascii="宋体" w:hAnsi="宋体" w:cs="宋体"/>
                <w:szCs w:val="21"/>
              </w:rPr>
            </w:pPr>
            <w:r>
              <w:rPr>
                <w:rFonts w:hint="eastAsia" w:ascii="宋体" w:hAnsi="宋体" w:cs="宋体"/>
                <w:szCs w:val="21"/>
              </w:rPr>
              <w:t>完成软件系统建设部署、测试上线并上线稳定使用1个月后进行验收并提供验收报告。由</w:t>
            </w:r>
            <w:r>
              <w:rPr>
                <w:rFonts w:hint="eastAsia" w:ascii="宋体" w:hAnsi="宋体" w:cs="宋体"/>
                <w:szCs w:val="21"/>
                <w:lang w:eastAsia="zh-CN"/>
              </w:rPr>
              <w:t>供应商</w:t>
            </w:r>
            <w:r>
              <w:rPr>
                <w:rFonts w:hint="eastAsia" w:ascii="宋体" w:hAnsi="宋体" w:cs="宋体"/>
                <w:szCs w:val="21"/>
              </w:rPr>
              <w:t>代表和采购人代表组成验收小组对项目进行验收。验收标准按照采购人规定标准执行。项目验收标准包括但不限于：项目实现软件系统稳定运行使用目标；软件系统功能通过安装调试且运行稳定，满足正式运行要求；各里程碑交付物完整</w:t>
            </w:r>
            <w:r>
              <w:rPr>
                <w:rFonts w:hint="eastAsia" w:ascii="宋体" w:hAnsi="宋体" w:cs="宋体"/>
                <w:szCs w:val="21"/>
                <w:lang w:eastAsia="zh-CN"/>
              </w:rPr>
              <w:t>， 交付物包括但不限于全部接口文档、部署手册、用户操作手册等</w:t>
            </w:r>
            <w:r>
              <w:rPr>
                <w:rFonts w:hint="eastAsia" w:ascii="宋体" w:hAnsi="宋体" w:cs="宋体"/>
                <w:szCs w:val="21"/>
              </w:rPr>
              <w:t>。</w:t>
            </w:r>
          </w:p>
        </w:tc>
      </w:tr>
      <w:tr w14:paraId="7E583C54">
        <w:tblPrEx>
          <w:tblCellMar>
            <w:top w:w="0" w:type="dxa"/>
            <w:left w:w="108" w:type="dxa"/>
            <w:bottom w:w="0" w:type="dxa"/>
            <w:right w:w="108" w:type="dxa"/>
          </w:tblCellMar>
        </w:tblPrEx>
        <w:trPr>
          <w:trHeight w:val="2155"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56B76564">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5</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2A65C277">
            <w:pPr>
              <w:widowControl/>
              <w:spacing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付款方式</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2CB8B33F">
            <w:pPr>
              <w:widowControl/>
              <w:numPr>
                <w:ilvl w:val="0"/>
                <w:numId w:val="0"/>
              </w:numPr>
              <w:tabs>
                <w:tab w:val="left" w:pos="3850"/>
              </w:tabs>
              <w:spacing w:line="240" w:lineRule="auto"/>
              <w:ind w:leftChars="0"/>
              <w:rPr>
                <w:rFonts w:hint="eastAsia" w:ascii="宋体" w:hAnsi="宋体" w:cs="宋体" w:eastAsiaTheme="minorEastAsia"/>
                <w:szCs w:val="21"/>
                <w:lang w:eastAsia="zh-CN"/>
              </w:rPr>
            </w:pPr>
            <w:r>
              <w:rPr>
                <w:rFonts w:hint="eastAsia" w:ascii="宋体" w:hAnsi="宋体" w:cs="宋体"/>
                <w:szCs w:val="21"/>
                <w:lang w:eastAsia="zh-CN"/>
              </w:rPr>
              <w:t>本项目参加评审人需接受拟定的支付方式：</w:t>
            </w:r>
          </w:p>
          <w:p w14:paraId="78EF1AC7">
            <w:pPr>
              <w:widowControl/>
              <w:numPr>
                <w:ilvl w:val="0"/>
                <w:numId w:val="15"/>
              </w:numPr>
              <w:tabs>
                <w:tab w:val="left" w:pos="3850"/>
              </w:tabs>
              <w:spacing w:line="240" w:lineRule="auto"/>
              <w:ind w:left="0" w:leftChars="0" w:firstLine="0" w:firstLineChars="0"/>
              <w:rPr>
                <w:rFonts w:hint="eastAsia" w:ascii="宋体" w:hAnsi="宋体" w:cs="宋体"/>
                <w:szCs w:val="21"/>
              </w:rPr>
            </w:pPr>
            <w:r>
              <w:rPr>
                <w:rFonts w:hint="eastAsia" w:ascii="宋体" w:hAnsi="宋体" w:cs="宋体"/>
                <w:szCs w:val="21"/>
              </w:rPr>
              <w:t>合同签订</w:t>
            </w:r>
            <w:r>
              <w:rPr>
                <w:rFonts w:hint="eastAsia" w:ascii="宋体" w:hAnsi="宋体" w:cs="宋体"/>
                <w:szCs w:val="21"/>
                <w:lang w:eastAsia="zh-CN"/>
              </w:rPr>
              <w:t>生效后，</w:t>
            </w:r>
            <w:r>
              <w:rPr>
                <w:rFonts w:hint="eastAsia" w:ascii="宋体" w:hAnsi="宋体" w:cs="宋体"/>
                <w:szCs w:val="21"/>
              </w:rPr>
              <w:t>支付合同总金额的30%</w:t>
            </w:r>
            <w:r>
              <w:rPr>
                <w:rFonts w:hint="eastAsia" w:ascii="宋体" w:hAnsi="宋体" w:cs="宋体"/>
                <w:szCs w:val="21"/>
                <w:lang w:eastAsia="zh-CN"/>
              </w:rPr>
              <w:t>；</w:t>
            </w:r>
          </w:p>
          <w:p w14:paraId="1E3AE2BE">
            <w:pPr>
              <w:widowControl/>
              <w:numPr>
                <w:ilvl w:val="0"/>
                <w:numId w:val="15"/>
              </w:numPr>
              <w:tabs>
                <w:tab w:val="left" w:pos="3850"/>
              </w:tabs>
              <w:spacing w:line="240" w:lineRule="auto"/>
              <w:ind w:left="0" w:leftChars="0" w:firstLine="0" w:firstLineChars="0"/>
              <w:rPr>
                <w:rFonts w:hint="eastAsia" w:ascii="宋体" w:hAnsi="宋体" w:cs="宋体"/>
                <w:szCs w:val="21"/>
                <w:lang w:eastAsia="zh-CN"/>
              </w:rPr>
            </w:pPr>
            <w:r>
              <w:rPr>
                <w:rFonts w:hint="eastAsia" w:ascii="宋体" w:hAnsi="宋体" w:cs="宋体"/>
                <w:szCs w:val="21"/>
              </w:rPr>
              <w:t>系统上线稳定运行并通过验收后，支付合同总金额的6</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w:t>
            </w:r>
          </w:p>
          <w:p w14:paraId="08B2FF7A">
            <w:pPr>
              <w:widowControl/>
              <w:numPr>
                <w:ilvl w:val="0"/>
                <w:numId w:val="15"/>
              </w:numPr>
              <w:tabs>
                <w:tab w:val="left" w:pos="3850"/>
              </w:tabs>
              <w:spacing w:line="240" w:lineRule="auto"/>
              <w:ind w:left="0" w:leftChars="0" w:firstLine="0" w:firstLineChars="0"/>
              <w:rPr>
                <w:rFonts w:hint="eastAsia" w:ascii="宋体" w:hAnsi="宋体" w:cs="宋体"/>
                <w:szCs w:val="21"/>
                <w:lang w:eastAsia="zh-CN"/>
              </w:rPr>
            </w:pPr>
            <w:r>
              <w:rPr>
                <w:rFonts w:hint="eastAsia" w:ascii="宋体" w:hAnsi="宋体" w:cs="宋体"/>
                <w:szCs w:val="21"/>
              </w:rPr>
              <w:t>系统正式验收合格之日起进入</w:t>
            </w:r>
            <w:r>
              <w:rPr>
                <w:rFonts w:hint="default" w:ascii="宋体" w:hAnsi="宋体" w:cs="宋体"/>
                <w:szCs w:val="21"/>
              </w:rPr>
              <w:t>质保期（</w:t>
            </w:r>
            <w:r>
              <w:rPr>
                <w:rFonts w:hint="eastAsia" w:ascii="宋体" w:hAnsi="宋体" w:cs="宋体"/>
                <w:szCs w:val="21"/>
                <w:lang w:val="en-US" w:eastAsia="zh-CN"/>
              </w:rPr>
              <w:t>5</w:t>
            </w:r>
            <w:r>
              <w:rPr>
                <w:rFonts w:hint="default" w:ascii="宋体" w:hAnsi="宋体" w:cs="宋体"/>
                <w:szCs w:val="21"/>
              </w:rPr>
              <w:t>年），质保期满且无重大质量问题，</w:t>
            </w:r>
            <w:r>
              <w:rPr>
                <w:rFonts w:hint="eastAsia" w:ascii="宋体" w:hAnsi="宋体" w:cs="宋体"/>
                <w:szCs w:val="21"/>
                <w:lang w:eastAsia="zh-CN"/>
              </w:rPr>
              <w:t>供应商</w:t>
            </w:r>
            <w:r>
              <w:rPr>
                <w:rFonts w:hint="default" w:ascii="宋体" w:hAnsi="宋体" w:cs="宋体"/>
                <w:szCs w:val="21"/>
              </w:rPr>
              <w:t>完成全部售后服务承诺后</w:t>
            </w:r>
            <w:r>
              <w:rPr>
                <w:rFonts w:hint="eastAsia" w:ascii="宋体" w:hAnsi="宋体" w:cs="宋体"/>
                <w:szCs w:val="21"/>
              </w:rPr>
              <w:t>，支付合同总金额的</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w:t>
            </w:r>
          </w:p>
          <w:p w14:paraId="43280B93">
            <w:pPr>
              <w:widowControl/>
              <w:numPr>
                <w:ilvl w:val="0"/>
                <w:numId w:val="15"/>
              </w:numPr>
              <w:tabs>
                <w:tab w:val="left" w:pos="3850"/>
              </w:tabs>
              <w:spacing w:line="240" w:lineRule="auto"/>
              <w:ind w:left="0" w:leftChars="0" w:firstLine="0" w:firstLineChars="0"/>
              <w:rPr>
                <w:rFonts w:hint="eastAsia" w:ascii="宋体" w:hAnsi="宋体" w:cs="宋体"/>
                <w:szCs w:val="21"/>
                <w:lang w:eastAsia="zh-CN"/>
              </w:rPr>
            </w:pPr>
            <w:r>
              <w:rPr>
                <w:rFonts w:hint="eastAsia" w:ascii="宋体" w:hAnsi="宋体" w:cs="宋体"/>
                <w:szCs w:val="21"/>
              </w:rPr>
              <w:t>每次支付前，</w:t>
            </w:r>
            <w:r>
              <w:rPr>
                <w:rFonts w:hint="eastAsia" w:ascii="宋体" w:hAnsi="宋体" w:cs="宋体"/>
                <w:szCs w:val="21"/>
                <w:lang w:eastAsia="zh-CN"/>
              </w:rPr>
              <w:t>供应商</w:t>
            </w:r>
            <w:r>
              <w:rPr>
                <w:rFonts w:hint="eastAsia" w:ascii="宋体" w:hAnsi="宋体" w:cs="宋体"/>
                <w:szCs w:val="21"/>
              </w:rPr>
              <w:t>均需向</w:t>
            </w:r>
            <w:r>
              <w:rPr>
                <w:rFonts w:hint="eastAsia" w:ascii="宋体" w:hAnsi="宋体" w:cs="宋体"/>
                <w:szCs w:val="21"/>
                <w:lang w:eastAsia="zh-CN"/>
              </w:rPr>
              <w:t>采购方</w:t>
            </w:r>
            <w:r>
              <w:rPr>
                <w:rFonts w:hint="eastAsia" w:ascii="宋体" w:hAnsi="宋体" w:cs="宋体"/>
                <w:szCs w:val="21"/>
              </w:rPr>
              <w:t>提供符合税务机关认可的合法有效的等额发票</w:t>
            </w:r>
            <w:r>
              <w:rPr>
                <w:rFonts w:hint="eastAsia" w:ascii="宋体" w:hAnsi="宋体" w:cs="宋体"/>
                <w:szCs w:val="21"/>
                <w:lang w:eastAsia="zh-CN"/>
              </w:rPr>
              <w:t>；</w:t>
            </w:r>
          </w:p>
          <w:p w14:paraId="1D91AF3F">
            <w:pPr>
              <w:widowControl/>
              <w:numPr>
                <w:ilvl w:val="0"/>
                <w:numId w:val="15"/>
              </w:numPr>
              <w:tabs>
                <w:tab w:val="left" w:pos="3850"/>
              </w:tabs>
              <w:spacing w:line="240" w:lineRule="auto"/>
              <w:ind w:left="0" w:leftChars="0" w:firstLine="0" w:firstLineChars="0"/>
              <w:rPr>
                <w:rFonts w:hint="eastAsia" w:ascii="宋体" w:hAnsi="宋体" w:cs="宋体"/>
                <w:szCs w:val="21"/>
                <w:lang w:eastAsia="zh-CN"/>
              </w:rPr>
            </w:pPr>
            <w:r>
              <w:rPr>
                <w:rFonts w:hint="eastAsia" w:ascii="宋体" w:hAnsi="宋体" w:cs="宋体"/>
                <w:szCs w:val="21"/>
                <w:lang w:val="en-US" w:eastAsia="zh-CN"/>
              </w:rPr>
              <w:t>因院方使用的是银医合作资金，由于银行部门审批造成支付延迟的，院方不承担违约责任，</w:t>
            </w:r>
            <w:r>
              <w:rPr>
                <w:rFonts w:hint="eastAsia" w:ascii="宋体" w:hAnsi="宋体" w:cs="宋体"/>
                <w:szCs w:val="21"/>
                <w:lang w:eastAsia="zh-CN"/>
              </w:rPr>
              <w:t>供应商</w:t>
            </w:r>
            <w:r>
              <w:rPr>
                <w:rFonts w:hint="eastAsia" w:ascii="宋体" w:hAnsi="宋体" w:cs="宋体"/>
                <w:szCs w:val="21"/>
                <w:lang w:val="en-US" w:eastAsia="zh-CN"/>
              </w:rPr>
              <w:t>不得据此拒绝履行合同义务。</w:t>
            </w:r>
          </w:p>
        </w:tc>
      </w:tr>
      <w:tr w14:paraId="749FB8A5">
        <w:tblPrEx>
          <w:tblCellMar>
            <w:top w:w="0" w:type="dxa"/>
            <w:left w:w="108" w:type="dxa"/>
            <w:bottom w:w="0" w:type="dxa"/>
            <w:right w:w="108" w:type="dxa"/>
          </w:tblCellMar>
        </w:tblPrEx>
        <w:trPr>
          <w:trHeight w:val="90"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6B9FA341">
            <w:pPr>
              <w:widowControl/>
              <w:spacing w:line="240"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6</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5B00F1CE">
            <w:pPr>
              <w:widowControl/>
              <w:spacing w:line="240" w:lineRule="auto"/>
              <w:jc w:val="center"/>
              <w:rPr>
                <w:rFonts w:ascii="宋体" w:hAnsi="宋体" w:cs="宋体"/>
                <w:color w:val="auto"/>
                <w:kern w:val="0"/>
                <w:szCs w:val="21"/>
              </w:rPr>
            </w:pPr>
            <w:r>
              <w:rPr>
                <w:rFonts w:hint="eastAsia" w:ascii="宋体" w:hAnsi="宋体" w:cs="宋体"/>
                <w:color w:val="auto"/>
                <w:kern w:val="0"/>
                <w:szCs w:val="21"/>
              </w:rPr>
              <w:t>售后服务</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1D302E02">
            <w:pPr>
              <w:widowControl/>
              <w:numPr>
                <w:ilvl w:val="0"/>
                <w:numId w:val="0"/>
              </w:numPr>
              <w:spacing w:line="240" w:lineRule="auto"/>
              <w:rPr>
                <w:rFonts w:hint="eastAsia" w:ascii="宋体" w:hAnsi="宋体" w:eastAsia="宋体" w:cs="宋体"/>
                <w:i w:val="0"/>
                <w:iCs w:val="0"/>
                <w:caps w:val="0"/>
                <w:color w:val="0F1115"/>
                <w:spacing w:val="0"/>
                <w:sz w:val="21"/>
                <w:szCs w:val="21"/>
                <w:shd w:val="clear" w:color="auto" w:fill="FFFFFF"/>
              </w:rPr>
            </w:pPr>
            <w:r>
              <w:rPr>
                <w:rStyle w:val="22"/>
                <w:rFonts w:hint="eastAsia" w:ascii="宋体" w:hAnsi="宋体" w:eastAsia="宋体" w:cs="宋体"/>
                <w:b/>
                <w:bCs/>
                <w:i w:val="0"/>
                <w:iCs w:val="0"/>
                <w:caps w:val="0"/>
                <w:color w:val="0F1115"/>
                <w:spacing w:val="0"/>
                <w:sz w:val="21"/>
                <w:szCs w:val="21"/>
                <w:shd w:val="clear" w:color="auto" w:fill="FFFFFF"/>
                <w:lang w:val="en-US" w:eastAsia="zh-CN"/>
              </w:rPr>
              <w:t>1.</w:t>
            </w:r>
            <w:r>
              <w:rPr>
                <w:rStyle w:val="22"/>
                <w:rFonts w:hint="eastAsia" w:ascii="宋体" w:hAnsi="宋体" w:eastAsia="宋体" w:cs="宋体"/>
                <w:b/>
                <w:bCs/>
                <w:i w:val="0"/>
                <w:iCs w:val="0"/>
                <w:caps w:val="0"/>
                <w:color w:val="0F1115"/>
                <w:spacing w:val="0"/>
                <w:sz w:val="21"/>
                <w:szCs w:val="21"/>
                <w:shd w:val="clear" w:color="auto" w:fill="FFFFFF"/>
              </w:rPr>
              <w:t>免费维护期</w:t>
            </w:r>
            <w:r>
              <w:rPr>
                <w:rStyle w:val="22"/>
                <w:rFonts w:hint="eastAsia" w:ascii="宋体" w:hAnsi="宋体" w:eastAsia="宋体" w:cs="宋体"/>
                <w:b/>
                <w:bCs/>
                <w:i w:val="0"/>
                <w:iCs w:val="0"/>
                <w:caps w:val="0"/>
                <w:color w:val="0F1115"/>
                <w:spacing w:val="0"/>
                <w:sz w:val="21"/>
                <w:szCs w:val="21"/>
                <w:shd w:val="clear" w:color="auto" w:fill="FFFFFF"/>
                <w:lang w:eastAsia="zh-CN"/>
              </w:rPr>
              <w:t>内</w:t>
            </w:r>
            <w:r>
              <w:rPr>
                <w:rStyle w:val="22"/>
                <w:rFonts w:hint="eastAsia" w:ascii="宋体" w:hAnsi="宋体" w:eastAsia="宋体" w:cs="宋体"/>
                <w:b/>
                <w:bCs/>
                <w:i w:val="0"/>
                <w:iCs w:val="0"/>
                <w:caps w:val="0"/>
                <w:color w:val="0F1115"/>
                <w:spacing w:val="0"/>
                <w:sz w:val="21"/>
                <w:szCs w:val="21"/>
                <w:shd w:val="clear" w:color="auto" w:fill="FFFFFF"/>
              </w:rPr>
              <w:t>（自项目验收通过之日起</w:t>
            </w:r>
            <w:r>
              <w:rPr>
                <w:rStyle w:val="22"/>
                <w:rFonts w:hint="eastAsia" w:ascii="宋体" w:hAnsi="宋体" w:eastAsia="宋体" w:cs="宋体"/>
                <w:b/>
                <w:bCs/>
                <w:i w:val="0"/>
                <w:iCs w:val="0"/>
                <w:caps w:val="0"/>
                <w:color w:val="0F1115"/>
                <w:spacing w:val="0"/>
                <w:sz w:val="21"/>
                <w:szCs w:val="21"/>
                <w:shd w:val="clear" w:color="auto" w:fill="FFFFFF"/>
                <w:lang w:val="en-US" w:eastAsia="zh-CN"/>
              </w:rPr>
              <w:t>5</w:t>
            </w:r>
            <w:r>
              <w:rPr>
                <w:rStyle w:val="22"/>
                <w:rFonts w:hint="eastAsia" w:ascii="宋体" w:hAnsi="宋体" w:eastAsia="宋体" w:cs="宋体"/>
                <w:b/>
                <w:bCs/>
                <w:i w:val="0"/>
                <w:iCs w:val="0"/>
                <w:caps w:val="0"/>
                <w:color w:val="0F1115"/>
                <w:spacing w:val="0"/>
                <w:sz w:val="21"/>
                <w:szCs w:val="21"/>
                <w:shd w:val="clear" w:color="auto" w:fill="FFFFFF"/>
              </w:rPr>
              <w:t>年</w:t>
            </w:r>
            <w:r>
              <w:rPr>
                <w:rStyle w:val="22"/>
                <w:rFonts w:hint="eastAsia" w:ascii="宋体" w:hAnsi="宋体" w:eastAsia="宋体" w:cs="宋体"/>
                <w:b/>
                <w:bCs/>
                <w:i w:val="0"/>
                <w:iCs w:val="0"/>
                <w:caps w:val="0"/>
                <w:color w:val="0F1115"/>
                <w:spacing w:val="0"/>
                <w:sz w:val="21"/>
                <w:szCs w:val="21"/>
                <w:shd w:val="clear" w:color="auto" w:fill="FFFFFF"/>
                <w:lang w:eastAsia="zh-CN"/>
              </w:rPr>
              <w:t>内</w:t>
            </w:r>
            <w:r>
              <w:rPr>
                <w:rStyle w:val="22"/>
                <w:rFonts w:hint="eastAsia" w:ascii="宋体" w:hAnsi="宋体" w:eastAsia="宋体" w:cs="宋体"/>
                <w:b/>
                <w:bCs/>
                <w:i w:val="0"/>
                <w:iCs w:val="0"/>
                <w:caps w:val="0"/>
                <w:color w:val="0F1115"/>
                <w:spacing w:val="0"/>
                <w:sz w:val="21"/>
                <w:szCs w:val="21"/>
                <w:shd w:val="clear" w:color="auto" w:fill="FFFFFF"/>
              </w:rPr>
              <w:t>）</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项目验收通过后，</w:t>
            </w:r>
            <w:r>
              <w:rPr>
                <w:rFonts w:hint="eastAsia" w:ascii="宋体" w:hAnsi="宋体" w:eastAsia="宋体" w:cs="宋体"/>
                <w:i w:val="0"/>
                <w:iCs w:val="0"/>
                <w:caps w:val="0"/>
                <w:color w:val="0F1115"/>
                <w:spacing w:val="0"/>
                <w:sz w:val="21"/>
                <w:szCs w:val="21"/>
                <w:shd w:val="clear" w:color="auto" w:fill="FFFFFF"/>
                <w:lang w:eastAsia="zh-CN"/>
              </w:rPr>
              <w:t>供应商（中标人）</w:t>
            </w:r>
            <w:r>
              <w:rPr>
                <w:rFonts w:hint="eastAsia" w:ascii="宋体" w:hAnsi="宋体" w:eastAsia="宋体" w:cs="宋体"/>
                <w:i w:val="0"/>
                <w:iCs w:val="0"/>
                <w:caps w:val="0"/>
                <w:color w:val="0F1115"/>
                <w:spacing w:val="0"/>
                <w:sz w:val="21"/>
                <w:szCs w:val="21"/>
                <w:shd w:val="clear" w:color="auto" w:fill="FFFFFF"/>
              </w:rPr>
              <w:t>至少提供</w:t>
            </w:r>
            <w:r>
              <w:rPr>
                <w:rFonts w:hint="eastAsia" w:ascii="宋体" w:hAnsi="宋体" w:eastAsia="宋体" w:cs="宋体"/>
                <w:i w:val="0"/>
                <w:iCs w:val="0"/>
                <w:caps w:val="0"/>
                <w:color w:val="0F1115"/>
                <w:spacing w:val="0"/>
                <w:sz w:val="21"/>
                <w:szCs w:val="21"/>
                <w:shd w:val="clear" w:color="auto" w:fill="FFFFFF"/>
                <w:lang w:val="en-US" w:eastAsia="zh-CN"/>
              </w:rPr>
              <w:t>5</w:t>
            </w:r>
            <w:r>
              <w:rPr>
                <w:rFonts w:hint="eastAsia" w:ascii="宋体" w:hAnsi="宋体" w:eastAsia="宋体" w:cs="宋体"/>
                <w:i w:val="0"/>
                <w:iCs w:val="0"/>
                <w:caps w:val="0"/>
                <w:color w:val="0F1115"/>
                <w:spacing w:val="0"/>
                <w:sz w:val="21"/>
                <w:szCs w:val="21"/>
                <w:shd w:val="clear" w:color="auto" w:fill="FFFFFF"/>
              </w:rPr>
              <w:t>年的售后服务期，售后服务期内提供升级维护服务。</w:t>
            </w:r>
            <w:r>
              <w:rPr>
                <w:rFonts w:hint="eastAsia" w:ascii="宋体" w:hAnsi="宋体" w:eastAsia="宋体" w:cs="宋体"/>
                <w:i w:val="0"/>
                <w:iCs w:val="0"/>
                <w:caps w:val="0"/>
                <w:color w:val="0F1115"/>
                <w:spacing w:val="0"/>
                <w:sz w:val="21"/>
                <w:szCs w:val="21"/>
                <w:shd w:val="clear" w:color="auto" w:fill="FFFFFF"/>
                <w:lang w:eastAsia="zh-CN"/>
              </w:rPr>
              <w:t>主要包括</w:t>
            </w:r>
            <w:r>
              <w:rPr>
                <w:rFonts w:hint="eastAsia" w:ascii="宋体" w:hAnsi="宋体" w:eastAsia="宋体" w:cs="宋体"/>
                <w:i w:val="0"/>
                <w:iCs w:val="0"/>
                <w:caps w:val="0"/>
                <w:color w:val="0F1115"/>
                <w:spacing w:val="0"/>
                <w:sz w:val="21"/>
                <w:szCs w:val="21"/>
                <w:shd w:val="clear" w:color="auto" w:fill="FFFFFF"/>
              </w:rPr>
              <w:t>以下服务：</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（1）</w:t>
            </w:r>
            <w:r>
              <w:rPr>
                <w:rFonts w:hint="eastAsia" w:ascii="宋体" w:hAnsi="宋体" w:eastAsia="宋体" w:cs="宋体"/>
                <w:i w:val="0"/>
                <w:iCs w:val="0"/>
                <w:caps w:val="0"/>
                <w:color w:val="0F1115"/>
                <w:spacing w:val="0"/>
                <w:sz w:val="21"/>
                <w:szCs w:val="21"/>
                <w:shd w:val="clear" w:color="auto" w:fill="FFFFFF"/>
                <w:lang w:eastAsia="zh-CN"/>
              </w:rPr>
              <w:t>提供</w:t>
            </w:r>
            <w:r>
              <w:rPr>
                <w:rFonts w:hint="eastAsia" w:ascii="宋体" w:hAnsi="宋体" w:eastAsia="宋体" w:cs="宋体"/>
                <w:i w:val="0"/>
                <w:iCs w:val="0"/>
                <w:caps w:val="0"/>
                <w:color w:val="0F1115"/>
                <w:spacing w:val="0"/>
                <w:sz w:val="21"/>
                <w:szCs w:val="21"/>
                <w:shd w:val="clear" w:color="auto" w:fill="FFFFFF"/>
              </w:rPr>
              <w:t>系统的日常运行维护、故障修复、安全补丁更新</w:t>
            </w:r>
            <w:r>
              <w:rPr>
                <w:rFonts w:hint="eastAsia" w:ascii="宋体" w:hAnsi="宋体" w:eastAsia="宋体" w:cs="宋体"/>
                <w:i w:val="0"/>
                <w:iCs w:val="0"/>
                <w:caps w:val="0"/>
                <w:color w:val="0F1115"/>
                <w:spacing w:val="0"/>
                <w:sz w:val="21"/>
                <w:szCs w:val="21"/>
                <w:shd w:val="clear" w:color="auto" w:fill="FFFFFF"/>
                <w:lang w:eastAsia="zh-CN"/>
              </w:rPr>
              <w:t>；提供</w:t>
            </w:r>
            <w:r>
              <w:rPr>
                <w:rFonts w:hint="eastAsia"/>
                <w:szCs w:val="21"/>
              </w:rPr>
              <w:t>统计数据核验修正、统计指标增补与算法结果正确输出等服务。</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（2）</w:t>
            </w:r>
            <w:r>
              <w:rPr>
                <w:rFonts w:hint="eastAsia"/>
                <w:highlight w:val="none"/>
              </w:rPr>
              <w:t>基础</w:t>
            </w:r>
            <w:r>
              <w:rPr>
                <w:rFonts w:hint="eastAsia"/>
                <w:highlight w:val="none"/>
                <w:lang w:eastAsia="zh-CN"/>
              </w:rPr>
              <w:t>管理</w:t>
            </w:r>
            <w:r>
              <w:rPr>
                <w:rFonts w:hint="eastAsia"/>
                <w:highlight w:val="none"/>
              </w:rPr>
              <w:t>平台</w:t>
            </w:r>
            <w:r>
              <w:rPr>
                <w:rFonts w:hint="eastAsia"/>
                <w:highlight w:val="none"/>
                <w:lang w:eastAsia="zh-CN"/>
              </w:rPr>
              <w:t>获得永久授权及升级。</w:t>
            </w:r>
          </w:p>
          <w:p w14:paraId="5CD1E51C">
            <w:pPr>
              <w:widowControl/>
              <w:numPr>
                <w:ilvl w:val="0"/>
                <w:numId w:val="16"/>
              </w:numPr>
              <w:spacing w:line="240" w:lineRule="auto"/>
              <w:rPr>
                <w:rFonts w:hint="eastAsia"/>
                <w:szCs w:val="21"/>
              </w:rPr>
            </w:pPr>
            <w:r>
              <w:rPr>
                <w:rFonts w:hint="eastAsia" w:ascii="宋体" w:hAnsi="宋体" w:cs="宋体"/>
                <w:kern w:val="0"/>
                <w:szCs w:val="21"/>
              </w:rPr>
              <w:t>提供全天</w:t>
            </w:r>
            <w:r>
              <w:rPr>
                <w:rFonts w:hint="eastAsia"/>
                <w:szCs w:val="21"/>
              </w:rPr>
              <w:t>7*</w:t>
            </w:r>
            <w:r>
              <w:rPr>
                <w:rFonts w:hint="eastAsia"/>
                <w:szCs w:val="21"/>
                <w:lang w:val="en-US" w:eastAsia="zh-CN"/>
              </w:rPr>
              <w:t>16</w:t>
            </w:r>
            <w:r>
              <w:rPr>
                <w:rFonts w:hint="eastAsia"/>
                <w:szCs w:val="21"/>
              </w:rPr>
              <w:t>小时</w:t>
            </w:r>
            <w:r>
              <w:rPr>
                <w:rFonts w:hint="eastAsia" w:ascii="宋体" w:hAnsi="宋体" w:cs="宋体"/>
                <w:kern w:val="0"/>
                <w:szCs w:val="21"/>
              </w:rPr>
              <w:t>的远程、现场支持服务，答采购人在系统使用、维护过程中遇到的问题，及时提出解决问题的建议和操作方法。</w:t>
            </w:r>
            <w:r>
              <w:rPr>
                <w:rFonts w:hint="eastAsia"/>
                <w:szCs w:val="21"/>
              </w:rPr>
              <w:t>在线无法处理的故障，需在</w:t>
            </w:r>
            <w:r>
              <w:rPr>
                <w:rFonts w:hint="eastAsia"/>
                <w:szCs w:val="21"/>
                <w:lang w:val="en-US" w:eastAsia="zh-CN"/>
              </w:rPr>
              <w:t>6</w:t>
            </w:r>
            <w:r>
              <w:rPr>
                <w:rFonts w:hint="eastAsia"/>
                <w:szCs w:val="21"/>
              </w:rPr>
              <w:t>小时内赶赴现场，解决故障。</w:t>
            </w:r>
          </w:p>
          <w:p w14:paraId="312CF18C">
            <w:pPr>
              <w:widowControl/>
              <w:numPr>
                <w:ilvl w:val="0"/>
                <w:numId w:val="16"/>
              </w:numPr>
              <w:spacing w:line="240" w:lineRule="auto"/>
              <w:rPr>
                <w:rFonts w:hint="eastAsia"/>
                <w:szCs w:val="21"/>
                <w:lang w:eastAsia="zh-CN"/>
              </w:rPr>
            </w:pPr>
            <w:r>
              <w:rPr>
                <w:rFonts w:hint="eastAsia" w:ascii="宋体" w:hAnsi="宋体" w:cs="宋体"/>
                <w:kern w:val="0"/>
                <w:szCs w:val="21"/>
              </w:rPr>
              <w:t>售后服务期内所有保修服务产生的一切费用均由成交</w:t>
            </w:r>
            <w:r>
              <w:rPr>
                <w:rFonts w:hint="eastAsia" w:ascii="宋体" w:hAnsi="宋体" w:eastAsia="宋体" w:cs="宋体"/>
                <w:i w:val="0"/>
                <w:iCs w:val="0"/>
                <w:caps w:val="0"/>
                <w:color w:val="0F1115"/>
                <w:spacing w:val="0"/>
                <w:sz w:val="21"/>
                <w:szCs w:val="21"/>
                <w:shd w:val="clear" w:color="auto" w:fill="FFFFFF"/>
                <w:lang w:eastAsia="zh-CN"/>
              </w:rPr>
              <w:t>供应商（中标人）</w:t>
            </w:r>
            <w:r>
              <w:rPr>
                <w:rFonts w:hint="eastAsia" w:ascii="宋体" w:hAnsi="宋体" w:cs="宋体"/>
                <w:kern w:val="0"/>
                <w:szCs w:val="21"/>
              </w:rPr>
              <w:t>承担。</w:t>
            </w:r>
          </w:p>
          <w:p w14:paraId="2AFB2025">
            <w:pPr>
              <w:widowControl/>
              <w:numPr>
                <w:ilvl w:val="0"/>
                <w:numId w:val="16"/>
              </w:numPr>
              <w:spacing w:line="240" w:lineRule="auto"/>
              <w:rPr>
                <w:rFonts w:hint="eastAsia" w:ascii="宋体" w:hAnsi="宋体" w:cs="宋体"/>
                <w:kern w:val="0"/>
                <w:szCs w:val="21"/>
                <w:lang w:eastAsia="zh-CN"/>
              </w:rPr>
            </w:pPr>
            <w:r>
              <w:rPr>
                <w:rFonts w:hint="eastAsia" w:ascii="宋体" w:hAnsi="宋体" w:cs="宋体"/>
                <w:kern w:val="0"/>
                <w:szCs w:val="21"/>
                <w:lang w:val="en-US" w:eastAsia="zh-CN"/>
              </w:rPr>
              <w:t>售后服务</w:t>
            </w:r>
            <w:r>
              <w:rPr>
                <w:rFonts w:hint="eastAsia" w:ascii="宋体" w:hAnsi="宋体" w:cs="宋体"/>
                <w:kern w:val="0"/>
                <w:szCs w:val="21"/>
                <w:lang w:eastAsia="zh-CN"/>
              </w:rPr>
              <w:t>期内，如需与其他第三方系统及平台进行接口对接，进行免费实施处理。</w:t>
            </w:r>
          </w:p>
          <w:p w14:paraId="4B0D860E">
            <w:pPr>
              <w:widowControl/>
              <w:numPr>
                <w:ilvl w:val="0"/>
                <w:numId w:val="0"/>
              </w:numPr>
              <w:spacing w:line="240" w:lineRule="auto"/>
              <w:ind w:leftChars="0"/>
              <w:rPr>
                <w:rFonts w:hint="eastAsia" w:ascii="宋体" w:hAnsi="宋体" w:eastAsia="宋体" w:cs="宋体"/>
                <w:color w:val="auto"/>
                <w:kern w:val="0"/>
                <w:sz w:val="21"/>
                <w:szCs w:val="21"/>
                <w:lang w:eastAsia="zh-CN"/>
              </w:rPr>
            </w:pPr>
            <w:r>
              <w:rPr>
                <w:rStyle w:val="22"/>
                <w:rFonts w:hint="eastAsia" w:ascii="宋体" w:hAnsi="宋体" w:eastAsia="宋体" w:cs="宋体"/>
                <w:b/>
                <w:bCs/>
                <w:i w:val="0"/>
                <w:iCs w:val="0"/>
                <w:caps w:val="0"/>
                <w:color w:val="0F1115"/>
                <w:spacing w:val="0"/>
                <w:sz w:val="21"/>
                <w:szCs w:val="21"/>
                <w:shd w:val="clear" w:color="auto" w:fill="FFFFFF"/>
                <w:lang w:val="en-US" w:eastAsia="zh-CN"/>
              </w:rPr>
              <w:t>2.</w:t>
            </w:r>
            <w:r>
              <w:rPr>
                <w:rStyle w:val="22"/>
                <w:rFonts w:hint="eastAsia" w:ascii="宋体" w:hAnsi="宋体" w:eastAsia="宋体" w:cs="宋体"/>
                <w:b/>
                <w:bCs/>
                <w:i w:val="0"/>
                <w:iCs w:val="0"/>
                <w:caps w:val="0"/>
                <w:color w:val="0F1115"/>
                <w:spacing w:val="0"/>
                <w:sz w:val="21"/>
                <w:szCs w:val="21"/>
                <w:shd w:val="clear" w:color="auto" w:fill="FFFFFF"/>
              </w:rPr>
              <w:t>免费维护期满后</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lang w:eastAsia="zh-CN"/>
              </w:rPr>
              <w:t>供应商</w:t>
            </w:r>
            <w:r>
              <w:rPr>
                <w:rFonts w:hint="eastAsia" w:ascii="宋体" w:hAnsi="宋体" w:eastAsia="宋体" w:cs="宋体"/>
                <w:i w:val="0"/>
                <w:iCs w:val="0"/>
                <w:caps w:val="0"/>
                <w:color w:val="0F1115"/>
                <w:spacing w:val="0"/>
                <w:sz w:val="21"/>
                <w:szCs w:val="21"/>
                <w:shd w:val="clear" w:color="auto" w:fill="FFFFFF"/>
                <w:lang w:val="en-US" w:eastAsia="zh-CN"/>
              </w:rPr>
              <w:t>应以每年不高于合同价格6%的维保费用延续维保合同</w:t>
            </w:r>
            <w:r>
              <w:rPr>
                <w:rFonts w:ascii="Segoe UI" w:hAnsi="Segoe UI" w:eastAsia="Segoe UI" w:cs="Segoe UI"/>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1"/>
                <w:szCs w:val="21"/>
                <w:shd w:val="clear" w:color="auto" w:fill="FFFFFF"/>
                <w:lang w:val="en-US" w:eastAsia="zh-CN"/>
              </w:rPr>
              <w:t>维保范围包括系统常规维护、系统故障修复、安全补丁、接口维护、评级标准适配等。</w:t>
            </w:r>
          </w:p>
        </w:tc>
      </w:tr>
      <w:tr w14:paraId="27BB95FA">
        <w:tblPrEx>
          <w:tblCellMar>
            <w:top w:w="0" w:type="dxa"/>
            <w:left w:w="108" w:type="dxa"/>
            <w:bottom w:w="0" w:type="dxa"/>
            <w:right w:w="108" w:type="dxa"/>
          </w:tblCellMar>
        </w:tblPrEx>
        <w:trPr>
          <w:trHeight w:val="1051"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23885057">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7</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189F67BD">
            <w:pPr>
              <w:spacing w:line="240" w:lineRule="auto"/>
              <w:jc w:val="center"/>
              <w:rPr>
                <w:rFonts w:hint="eastAsia" w:ascii="宋体" w:hAnsi="宋体" w:cs="宋体"/>
                <w:szCs w:val="21"/>
              </w:rPr>
            </w:pPr>
            <w:r>
              <w:rPr>
                <w:rFonts w:hint="eastAsia" w:ascii="宋体" w:hAnsi="宋体" w:cs="宋体"/>
                <w:szCs w:val="21"/>
              </w:rPr>
              <w:t>违约</w:t>
            </w:r>
          </w:p>
          <w:p w14:paraId="1D660F98">
            <w:pPr>
              <w:spacing w:line="240" w:lineRule="auto"/>
              <w:jc w:val="center"/>
              <w:rPr>
                <w:rFonts w:hint="eastAsia" w:ascii="宋体" w:hAnsi="宋体" w:cs="宋体"/>
                <w:b/>
                <w:kern w:val="2"/>
                <w:sz w:val="21"/>
                <w:szCs w:val="21"/>
                <w:lang w:val="en-US" w:eastAsia="zh-CN" w:bidi="ar-SA"/>
              </w:rPr>
            </w:pPr>
            <w:r>
              <w:rPr>
                <w:rFonts w:hint="eastAsia" w:ascii="宋体" w:hAnsi="宋体" w:cs="宋体"/>
                <w:szCs w:val="21"/>
              </w:rPr>
              <w:t>要求</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1B815244">
            <w:pPr>
              <w:widowControl/>
              <w:tabs>
                <w:tab w:val="left" w:pos="3850"/>
              </w:tabs>
              <w:spacing w:line="240" w:lineRule="auto"/>
              <w:rPr>
                <w:rFonts w:hint="eastAsia" w:ascii="宋体" w:hAnsi="宋体" w:cs="宋体"/>
                <w:bCs/>
                <w:color w:val="000000"/>
                <w:kern w:val="0"/>
                <w:sz w:val="21"/>
                <w:szCs w:val="21"/>
                <w:lang w:val="en-US" w:eastAsia="zh-CN" w:bidi="ar-SA"/>
              </w:rPr>
            </w:pPr>
            <w:r>
              <w:rPr>
                <w:rFonts w:hint="eastAsia" w:ascii="宋体" w:hAnsi="宋体" w:cs="宋体"/>
                <w:bCs/>
                <w:color w:val="000000"/>
                <w:kern w:val="0"/>
                <w:szCs w:val="21"/>
                <w:lang w:eastAsia="zh-CN"/>
              </w:rPr>
              <w:t>供应商</w:t>
            </w:r>
            <w:r>
              <w:rPr>
                <w:rFonts w:hint="eastAsia" w:ascii="宋体" w:hAnsi="宋体" w:cs="宋体"/>
                <w:bCs/>
                <w:color w:val="000000"/>
                <w:kern w:val="0"/>
                <w:szCs w:val="21"/>
              </w:rPr>
              <w:t>未按照合同中承诺的时间提供服务，</w:t>
            </w:r>
            <w:r>
              <w:rPr>
                <w:rFonts w:hint="eastAsia" w:ascii="宋体" w:hAnsi="宋体" w:cs="宋体"/>
                <w:bCs/>
                <w:color w:val="000000"/>
                <w:kern w:val="0"/>
                <w:szCs w:val="21"/>
                <w:lang w:eastAsia="zh-CN"/>
              </w:rPr>
              <w:t>供应商</w:t>
            </w:r>
            <w:r>
              <w:rPr>
                <w:rFonts w:hint="eastAsia" w:ascii="宋体" w:hAnsi="宋体" w:cs="宋体"/>
                <w:bCs/>
                <w:color w:val="000000"/>
                <w:kern w:val="0"/>
                <w:szCs w:val="21"/>
              </w:rPr>
              <w:t>应承担延期服务的违约责任，每逾期一日，应按合同总金额的0.03%向甲方支付违约金，逾期不足一日按一日计算。违约金总额不超过合同总金额的20%。延期超过30日的，采购人有权单方解除/终止合同。</w:t>
            </w:r>
          </w:p>
        </w:tc>
      </w:tr>
      <w:tr w14:paraId="00A0F578">
        <w:tblPrEx>
          <w:tblCellMar>
            <w:top w:w="0" w:type="dxa"/>
            <w:left w:w="108" w:type="dxa"/>
            <w:bottom w:w="0" w:type="dxa"/>
            <w:right w:w="108" w:type="dxa"/>
          </w:tblCellMar>
        </w:tblPrEx>
        <w:trPr>
          <w:trHeight w:val="1051"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66B510DC">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8</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6911B87">
            <w:pPr>
              <w:spacing w:line="240" w:lineRule="auto"/>
              <w:jc w:val="center"/>
              <w:rPr>
                <w:rFonts w:hint="eastAsia" w:ascii="宋体" w:hAnsi="宋体" w:cs="宋体"/>
                <w:szCs w:val="21"/>
              </w:rPr>
            </w:pPr>
            <w:r>
              <w:rPr>
                <w:rFonts w:hint="eastAsia" w:ascii="宋体" w:hAnsi="宋体" w:cs="宋体"/>
                <w:szCs w:val="21"/>
              </w:rPr>
              <w:t>报价</w:t>
            </w:r>
          </w:p>
          <w:p w14:paraId="0A811A7D">
            <w:pPr>
              <w:spacing w:line="240" w:lineRule="auto"/>
              <w:jc w:val="center"/>
              <w:rPr>
                <w:rFonts w:hint="eastAsia" w:ascii="宋体" w:hAnsi="宋体" w:cs="宋体"/>
                <w:szCs w:val="21"/>
              </w:rPr>
            </w:pPr>
            <w:r>
              <w:rPr>
                <w:rFonts w:hint="eastAsia" w:ascii="宋体" w:hAnsi="宋体" w:cs="宋体"/>
                <w:szCs w:val="21"/>
              </w:rPr>
              <w:t>要求</w:t>
            </w:r>
          </w:p>
        </w:tc>
        <w:tc>
          <w:tcPr>
            <w:tcW w:w="7591" w:type="dxa"/>
            <w:tcBorders>
              <w:top w:val="single" w:color="auto" w:sz="4" w:space="0"/>
              <w:left w:val="single" w:color="auto" w:sz="4" w:space="0"/>
              <w:bottom w:val="single" w:color="auto" w:sz="4" w:space="0"/>
              <w:right w:val="single" w:color="auto" w:sz="4" w:space="0"/>
            </w:tcBorders>
            <w:noWrap w:val="0"/>
            <w:vAlign w:val="center"/>
          </w:tcPr>
          <w:p w14:paraId="71673181">
            <w:pPr>
              <w:widowControl/>
              <w:numPr>
                <w:ilvl w:val="0"/>
                <w:numId w:val="17"/>
              </w:numPr>
              <w:tabs>
                <w:tab w:val="left" w:pos="3850"/>
              </w:tabs>
              <w:spacing w:line="240" w:lineRule="auto"/>
              <w:ind w:left="0" w:leftChars="0" w:firstLine="0" w:firstLineChars="0"/>
              <w:rPr>
                <w:rFonts w:hint="eastAsia" w:ascii="宋体" w:hAnsi="宋体" w:cs="宋体"/>
                <w:color w:val="000000"/>
                <w:szCs w:val="21"/>
                <w:lang w:val="zh-CN"/>
              </w:rPr>
            </w:pPr>
            <w:r>
              <w:rPr>
                <w:rFonts w:hint="eastAsia" w:ascii="宋体" w:hAnsi="宋体" w:cs="宋体"/>
                <w:color w:val="000000"/>
                <w:szCs w:val="21"/>
                <w:lang w:val="zh-CN"/>
              </w:rPr>
              <w:t>报价应为总包价，包含软件授权费、定制开发费、接口开发费、安装调试费、培训费、三年质保服务费、税费等。</w:t>
            </w:r>
          </w:p>
          <w:p w14:paraId="51175183">
            <w:pPr>
              <w:widowControl/>
              <w:numPr>
                <w:ilvl w:val="0"/>
                <w:numId w:val="17"/>
              </w:numPr>
              <w:tabs>
                <w:tab w:val="left" w:pos="3850"/>
              </w:tabs>
              <w:spacing w:line="240" w:lineRule="auto"/>
              <w:ind w:left="0" w:leftChars="0" w:firstLine="0" w:firstLineChars="0"/>
              <w:rPr>
                <w:rFonts w:hint="eastAsia" w:ascii="宋体" w:hAnsi="宋体" w:cs="宋体"/>
                <w:color w:val="000000"/>
                <w:szCs w:val="21"/>
                <w:lang w:val="zh-CN"/>
              </w:rPr>
            </w:pPr>
            <w:r>
              <w:rPr>
                <w:rFonts w:hint="eastAsia" w:ascii="宋体" w:hAnsi="宋体" w:cs="宋体"/>
                <w:color w:val="000000"/>
                <w:szCs w:val="21"/>
                <w:lang w:val="zh-CN"/>
              </w:rPr>
              <w:t>接口费用不得以“第三方系统配合”为由额外收费，所有接口开发及协调费用由</w:t>
            </w:r>
            <w:r>
              <w:rPr>
                <w:rFonts w:hint="eastAsia" w:ascii="宋体" w:hAnsi="宋体" w:cs="宋体"/>
                <w:bCs/>
                <w:color w:val="000000"/>
                <w:kern w:val="0"/>
                <w:szCs w:val="21"/>
                <w:lang w:eastAsia="zh-CN"/>
              </w:rPr>
              <w:t>供应商</w:t>
            </w:r>
            <w:r>
              <w:rPr>
                <w:rFonts w:hint="eastAsia" w:ascii="宋体" w:hAnsi="宋体" w:cs="宋体"/>
                <w:color w:val="000000"/>
                <w:szCs w:val="21"/>
                <w:lang w:val="zh-CN"/>
              </w:rPr>
              <w:t>承担。</w:t>
            </w:r>
          </w:p>
          <w:p w14:paraId="3F003361">
            <w:pPr>
              <w:widowControl/>
              <w:numPr>
                <w:ilvl w:val="0"/>
                <w:numId w:val="17"/>
              </w:numPr>
              <w:tabs>
                <w:tab w:val="left" w:pos="3850"/>
              </w:tabs>
              <w:spacing w:line="240" w:lineRule="auto"/>
              <w:ind w:left="0" w:leftChars="0" w:firstLine="0" w:firstLineChars="0"/>
              <w:rPr>
                <w:rFonts w:hint="eastAsia" w:ascii="宋体" w:hAnsi="宋体" w:cs="宋体"/>
                <w:bCs/>
                <w:color w:val="000000"/>
                <w:kern w:val="0"/>
                <w:szCs w:val="21"/>
              </w:rPr>
            </w:pPr>
            <w:r>
              <w:rPr>
                <w:rFonts w:hint="eastAsia" w:ascii="宋体" w:hAnsi="宋体" w:cs="宋体"/>
                <w:color w:val="000000"/>
                <w:szCs w:val="21"/>
                <w:lang w:val="zh-CN"/>
              </w:rPr>
              <w:t>报价中需提供分项报价表（按模块及服务分类）。</w:t>
            </w:r>
          </w:p>
        </w:tc>
      </w:tr>
    </w:tbl>
    <w:p w14:paraId="660ED557">
      <w:pPr>
        <w:rPr>
          <w:highlight w:val="none"/>
        </w:rPr>
      </w:pPr>
    </w:p>
    <w:sectPr>
      <w:footerReference r:id="rId6" w:type="default"/>
      <w:pgSz w:w="11906" w:h="16838"/>
      <w:pgMar w:top="820" w:right="1080" w:bottom="1039" w:left="15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5C9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DF0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9E54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A3640">
                          <w:pPr>
                            <w:pStyle w:val="14"/>
                            <w:rPr>
                              <w:rFonts w:ascii="宋体" w:hAnsi="宋体" w:eastAsia="宋体"/>
                              <w:sz w:val="2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5A3640">
                    <w:pPr>
                      <w:pStyle w:val="14"/>
                      <w:rPr>
                        <w:rFonts w:ascii="宋体" w:hAnsi="宋体" w:eastAsia="宋体"/>
                        <w:sz w:val="2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8C175">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E52C7"/>
    <w:multiLevelType w:val="singleLevel"/>
    <w:tmpl w:val="9FAE52C7"/>
    <w:lvl w:ilvl="0" w:tentative="0">
      <w:start w:val="1"/>
      <w:numFmt w:val="decimal"/>
      <w:suff w:val="nothing"/>
      <w:lvlText w:val="%1．"/>
      <w:lvlJc w:val="left"/>
      <w:pPr>
        <w:ind w:left="0" w:firstLine="400"/>
      </w:pPr>
      <w:rPr>
        <w:rFonts w:hint="default"/>
      </w:rPr>
    </w:lvl>
  </w:abstractNum>
  <w:abstractNum w:abstractNumId="1">
    <w:nsid w:val="B71906DA"/>
    <w:multiLevelType w:val="singleLevel"/>
    <w:tmpl w:val="B71906DA"/>
    <w:lvl w:ilvl="0" w:tentative="0">
      <w:start w:val="1"/>
      <w:numFmt w:val="decimal"/>
      <w:suff w:val="nothing"/>
      <w:lvlText w:val="%1．"/>
      <w:lvlJc w:val="left"/>
      <w:pPr>
        <w:ind w:left="0" w:firstLine="400"/>
      </w:pPr>
      <w:rPr>
        <w:rFonts w:hint="default"/>
      </w:rPr>
    </w:lvl>
  </w:abstractNum>
  <w:abstractNum w:abstractNumId="2">
    <w:nsid w:val="BB99E520"/>
    <w:multiLevelType w:val="singleLevel"/>
    <w:tmpl w:val="BB99E520"/>
    <w:lvl w:ilvl="0" w:tentative="0">
      <w:start w:val="1"/>
      <w:numFmt w:val="chineseCounting"/>
      <w:suff w:val="nothing"/>
      <w:lvlText w:val="（%1）"/>
      <w:lvlJc w:val="left"/>
      <w:pPr>
        <w:ind w:left="-210" w:firstLine="420"/>
      </w:pPr>
      <w:rPr>
        <w:rFonts w:hint="eastAsia"/>
      </w:rPr>
    </w:lvl>
  </w:abstractNum>
  <w:abstractNum w:abstractNumId="3">
    <w:nsid w:val="C87167AC"/>
    <w:multiLevelType w:val="singleLevel"/>
    <w:tmpl w:val="C87167AC"/>
    <w:lvl w:ilvl="0" w:tentative="0">
      <w:start w:val="1"/>
      <w:numFmt w:val="decimal"/>
      <w:suff w:val="nothing"/>
      <w:lvlText w:val="%1．"/>
      <w:lvlJc w:val="left"/>
      <w:pPr>
        <w:ind w:left="0" w:firstLine="400"/>
      </w:pPr>
      <w:rPr>
        <w:rFonts w:hint="default"/>
      </w:rPr>
    </w:lvl>
  </w:abstractNum>
  <w:abstractNum w:abstractNumId="4">
    <w:nsid w:val="D501DB59"/>
    <w:multiLevelType w:val="singleLevel"/>
    <w:tmpl w:val="D501DB59"/>
    <w:lvl w:ilvl="0" w:tentative="0">
      <w:start w:val="1"/>
      <w:numFmt w:val="decimal"/>
      <w:suff w:val="nothing"/>
      <w:lvlText w:val="%1．"/>
      <w:lvlJc w:val="left"/>
      <w:pPr>
        <w:ind w:left="0" w:firstLine="400"/>
      </w:pPr>
      <w:rPr>
        <w:rFonts w:hint="default"/>
      </w:rPr>
    </w:lvl>
  </w:abstractNum>
  <w:abstractNum w:abstractNumId="5">
    <w:nsid w:val="D70C8EA8"/>
    <w:multiLevelType w:val="singleLevel"/>
    <w:tmpl w:val="D70C8EA8"/>
    <w:lvl w:ilvl="0" w:tentative="0">
      <w:start w:val="1"/>
      <w:numFmt w:val="decimal"/>
      <w:suff w:val="nothing"/>
      <w:lvlText w:val="%1．"/>
      <w:lvlJc w:val="left"/>
      <w:pPr>
        <w:ind w:left="0" w:firstLine="400"/>
      </w:pPr>
      <w:rPr>
        <w:rFonts w:hint="default"/>
      </w:rPr>
    </w:lvl>
  </w:abstractNum>
  <w:abstractNum w:abstractNumId="6">
    <w:nsid w:val="F98B503C"/>
    <w:multiLevelType w:val="singleLevel"/>
    <w:tmpl w:val="F98B503C"/>
    <w:lvl w:ilvl="0" w:tentative="0">
      <w:start w:val="1"/>
      <w:numFmt w:val="chineseCounting"/>
      <w:suff w:val="nothing"/>
      <w:lvlText w:val="%1、"/>
      <w:lvlJc w:val="left"/>
      <w:pPr>
        <w:ind w:left="0" w:firstLine="420"/>
      </w:pPr>
      <w:rPr>
        <w:rFonts w:hint="eastAsia"/>
      </w:rPr>
    </w:lvl>
  </w:abstractNum>
  <w:abstractNum w:abstractNumId="7">
    <w:nsid w:val="123C32E4"/>
    <w:multiLevelType w:val="singleLevel"/>
    <w:tmpl w:val="123C32E4"/>
    <w:lvl w:ilvl="0" w:tentative="0">
      <w:start w:val="1"/>
      <w:numFmt w:val="decimal"/>
      <w:lvlText w:val="%1."/>
      <w:lvlJc w:val="left"/>
      <w:pPr>
        <w:tabs>
          <w:tab w:val="left" w:pos="312"/>
        </w:tabs>
      </w:pPr>
    </w:lvl>
  </w:abstractNum>
  <w:abstractNum w:abstractNumId="8">
    <w:nsid w:val="171A41FE"/>
    <w:multiLevelType w:val="singleLevel"/>
    <w:tmpl w:val="171A41FE"/>
    <w:lvl w:ilvl="0" w:tentative="0">
      <w:start w:val="1"/>
      <w:numFmt w:val="decimal"/>
      <w:suff w:val="nothing"/>
      <w:lvlText w:val="%1．"/>
      <w:lvlJc w:val="left"/>
      <w:pPr>
        <w:ind w:left="0" w:firstLine="400"/>
      </w:pPr>
      <w:rPr>
        <w:rFonts w:hint="default"/>
      </w:rPr>
    </w:lvl>
  </w:abstractNum>
  <w:abstractNum w:abstractNumId="9">
    <w:nsid w:val="1C10F007"/>
    <w:multiLevelType w:val="singleLevel"/>
    <w:tmpl w:val="1C10F007"/>
    <w:lvl w:ilvl="0" w:tentative="0">
      <w:start w:val="1"/>
      <w:numFmt w:val="decimal"/>
      <w:suff w:val="nothing"/>
      <w:lvlText w:val="%1．"/>
      <w:lvlJc w:val="left"/>
      <w:pPr>
        <w:ind w:left="0" w:firstLine="400"/>
      </w:pPr>
      <w:rPr>
        <w:rFonts w:hint="default"/>
      </w:rPr>
    </w:lvl>
  </w:abstractNum>
  <w:abstractNum w:abstractNumId="10">
    <w:nsid w:val="2AB63C1B"/>
    <w:multiLevelType w:val="singleLevel"/>
    <w:tmpl w:val="2AB63C1B"/>
    <w:lvl w:ilvl="0" w:tentative="0">
      <w:start w:val="1"/>
      <w:numFmt w:val="decimal"/>
      <w:suff w:val="nothing"/>
      <w:lvlText w:val="%1．"/>
      <w:lvlJc w:val="left"/>
      <w:pPr>
        <w:ind w:left="0" w:firstLine="400"/>
      </w:pPr>
      <w:rPr>
        <w:rFonts w:hint="default"/>
      </w:rPr>
    </w:lvl>
  </w:abstractNum>
  <w:abstractNum w:abstractNumId="11">
    <w:nsid w:val="3C7D73FD"/>
    <w:multiLevelType w:val="singleLevel"/>
    <w:tmpl w:val="3C7D73FD"/>
    <w:lvl w:ilvl="0" w:tentative="0">
      <w:start w:val="1"/>
      <w:numFmt w:val="decimal"/>
      <w:suff w:val="nothing"/>
      <w:lvlText w:val="%1．"/>
      <w:lvlJc w:val="left"/>
      <w:pPr>
        <w:ind w:left="0" w:firstLine="400"/>
      </w:pPr>
      <w:rPr>
        <w:rFonts w:hint="default"/>
      </w:rPr>
    </w:lvl>
  </w:abstractNum>
  <w:abstractNum w:abstractNumId="12">
    <w:nsid w:val="4D14A51E"/>
    <w:multiLevelType w:val="singleLevel"/>
    <w:tmpl w:val="4D14A51E"/>
    <w:lvl w:ilvl="0" w:tentative="0">
      <w:start w:val="1"/>
      <w:numFmt w:val="decimal"/>
      <w:suff w:val="nothing"/>
      <w:lvlText w:val="%1．"/>
      <w:lvlJc w:val="left"/>
      <w:pPr>
        <w:ind w:left="0" w:firstLine="400"/>
      </w:pPr>
      <w:rPr>
        <w:rFonts w:hint="default"/>
      </w:rPr>
    </w:lvl>
  </w:abstractNum>
  <w:abstractNum w:abstractNumId="13">
    <w:nsid w:val="5EA613B0"/>
    <w:multiLevelType w:val="singleLevel"/>
    <w:tmpl w:val="5EA613B0"/>
    <w:lvl w:ilvl="0" w:tentative="0">
      <w:start w:val="1"/>
      <w:numFmt w:val="decimal"/>
      <w:suff w:val="nothing"/>
      <w:lvlText w:val="%1、"/>
      <w:lvlJc w:val="left"/>
    </w:lvl>
  </w:abstractNum>
  <w:abstractNum w:abstractNumId="14">
    <w:nsid w:val="5F4C473D"/>
    <w:multiLevelType w:val="singleLevel"/>
    <w:tmpl w:val="5F4C473D"/>
    <w:lvl w:ilvl="0" w:tentative="0">
      <w:start w:val="4"/>
      <w:numFmt w:val="decimal"/>
      <w:suff w:val="nothing"/>
      <w:lvlText w:val="（%1）"/>
      <w:lvlJc w:val="left"/>
    </w:lvl>
  </w:abstractNum>
  <w:abstractNum w:abstractNumId="15">
    <w:nsid w:val="69F0EAA3"/>
    <w:multiLevelType w:val="singleLevel"/>
    <w:tmpl w:val="69F0EAA3"/>
    <w:lvl w:ilvl="0" w:tentative="0">
      <w:start w:val="1"/>
      <w:numFmt w:val="decimal"/>
      <w:suff w:val="nothing"/>
      <w:lvlText w:val="%1．"/>
      <w:lvlJc w:val="left"/>
      <w:pPr>
        <w:ind w:left="0" w:firstLine="400"/>
      </w:pPr>
      <w:rPr>
        <w:rFonts w:hint="default"/>
      </w:rPr>
    </w:lvl>
  </w:abstractNum>
  <w:abstractNum w:abstractNumId="16">
    <w:nsid w:val="6F371CF5"/>
    <w:multiLevelType w:val="singleLevel"/>
    <w:tmpl w:val="6F371CF5"/>
    <w:lvl w:ilvl="0" w:tentative="0">
      <w:start w:val="1"/>
      <w:numFmt w:val="bullet"/>
      <w:lvlText w:val=""/>
      <w:lvlJc w:val="left"/>
      <w:pPr>
        <w:ind w:left="420" w:hanging="420"/>
      </w:pPr>
      <w:rPr>
        <w:rFonts w:hint="default" w:ascii="Wingdings" w:hAnsi="Wingdings"/>
      </w:rPr>
    </w:lvl>
  </w:abstractNum>
  <w:num w:numId="1">
    <w:abstractNumId w:val="6"/>
  </w:num>
  <w:num w:numId="2">
    <w:abstractNumId w:val="2"/>
  </w:num>
  <w:num w:numId="3">
    <w:abstractNumId w:val="7"/>
  </w:num>
  <w:num w:numId="4">
    <w:abstractNumId w:val="16"/>
  </w:num>
  <w:num w:numId="5">
    <w:abstractNumId w:val="13"/>
  </w:num>
  <w:num w:numId="6">
    <w:abstractNumId w:val="15"/>
  </w:num>
  <w:num w:numId="7">
    <w:abstractNumId w:val="1"/>
  </w:num>
  <w:num w:numId="8">
    <w:abstractNumId w:val="0"/>
  </w:num>
  <w:num w:numId="9">
    <w:abstractNumId w:val="11"/>
  </w:num>
  <w:num w:numId="10">
    <w:abstractNumId w:val="4"/>
  </w:num>
  <w:num w:numId="11">
    <w:abstractNumId w:val="9"/>
  </w:num>
  <w:num w:numId="12">
    <w:abstractNumId w:val="10"/>
  </w:num>
  <w:num w:numId="13">
    <w:abstractNumId w:val="5"/>
  </w:num>
  <w:num w:numId="14">
    <w:abstractNumId w:val="8"/>
  </w:num>
  <w:num w:numId="15">
    <w:abstractNumId w:val="3"/>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276728D"/>
    <w:rsid w:val="00046A00"/>
    <w:rsid w:val="00134BAD"/>
    <w:rsid w:val="004602D3"/>
    <w:rsid w:val="005148C8"/>
    <w:rsid w:val="00625EC2"/>
    <w:rsid w:val="00663164"/>
    <w:rsid w:val="0067307C"/>
    <w:rsid w:val="00A07E58"/>
    <w:rsid w:val="00AB59C6"/>
    <w:rsid w:val="00C671E2"/>
    <w:rsid w:val="00D33B8B"/>
    <w:rsid w:val="00DD3DB6"/>
    <w:rsid w:val="01811087"/>
    <w:rsid w:val="01DA544C"/>
    <w:rsid w:val="02317AF5"/>
    <w:rsid w:val="023422A8"/>
    <w:rsid w:val="030D03A0"/>
    <w:rsid w:val="0323368C"/>
    <w:rsid w:val="03327FC8"/>
    <w:rsid w:val="03E40057"/>
    <w:rsid w:val="04461020"/>
    <w:rsid w:val="04860FD8"/>
    <w:rsid w:val="04911272"/>
    <w:rsid w:val="05894E1C"/>
    <w:rsid w:val="0667442D"/>
    <w:rsid w:val="067B4EB3"/>
    <w:rsid w:val="06D929D6"/>
    <w:rsid w:val="07203BA6"/>
    <w:rsid w:val="074917EE"/>
    <w:rsid w:val="07A13372"/>
    <w:rsid w:val="08412B2A"/>
    <w:rsid w:val="08F101EA"/>
    <w:rsid w:val="09555A8B"/>
    <w:rsid w:val="09A777B0"/>
    <w:rsid w:val="09AD66F7"/>
    <w:rsid w:val="0A2D3298"/>
    <w:rsid w:val="0A7E35B0"/>
    <w:rsid w:val="0B217619"/>
    <w:rsid w:val="0C24614C"/>
    <w:rsid w:val="0CC43682"/>
    <w:rsid w:val="0D004C93"/>
    <w:rsid w:val="0D8412BA"/>
    <w:rsid w:val="0EA54DE4"/>
    <w:rsid w:val="0EB34F3D"/>
    <w:rsid w:val="0EC5746E"/>
    <w:rsid w:val="0F386966"/>
    <w:rsid w:val="0FB474F6"/>
    <w:rsid w:val="0FD241C0"/>
    <w:rsid w:val="0FF1090B"/>
    <w:rsid w:val="0FF209C1"/>
    <w:rsid w:val="11962B20"/>
    <w:rsid w:val="11EB4164"/>
    <w:rsid w:val="11F95E63"/>
    <w:rsid w:val="12302D61"/>
    <w:rsid w:val="12944A1D"/>
    <w:rsid w:val="13641A07"/>
    <w:rsid w:val="13A742A6"/>
    <w:rsid w:val="13AE7D5A"/>
    <w:rsid w:val="13FF0D0B"/>
    <w:rsid w:val="157E7781"/>
    <w:rsid w:val="16134702"/>
    <w:rsid w:val="16240D75"/>
    <w:rsid w:val="1662251B"/>
    <w:rsid w:val="17263548"/>
    <w:rsid w:val="17332A73"/>
    <w:rsid w:val="17DD67B5"/>
    <w:rsid w:val="182A7068"/>
    <w:rsid w:val="18480EF1"/>
    <w:rsid w:val="18494B82"/>
    <w:rsid w:val="185E4B24"/>
    <w:rsid w:val="18A038E4"/>
    <w:rsid w:val="18A901F8"/>
    <w:rsid w:val="19616ABA"/>
    <w:rsid w:val="1A030CF7"/>
    <w:rsid w:val="1A3F504D"/>
    <w:rsid w:val="1B2D759B"/>
    <w:rsid w:val="1BA6504D"/>
    <w:rsid w:val="1D5057BB"/>
    <w:rsid w:val="1D5F6556"/>
    <w:rsid w:val="1D695675"/>
    <w:rsid w:val="1D70551D"/>
    <w:rsid w:val="1D972EC8"/>
    <w:rsid w:val="1E1F0720"/>
    <w:rsid w:val="1F09049D"/>
    <w:rsid w:val="1F422EEA"/>
    <w:rsid w:val="1F7E19A6"/>
    <w:rsid w:val="1FAD303A"/>
    <w:rsid w:val="20190227"/>
    <w:rsid w:val="20EE2679"/>
    <w:rsid w:val="21395B15"/>
    <w:rsid w:val="22315470"/>
    <w:rsid w:val="22696FF6"/>
    <w:rsid w:val="227E6175"/>
    <w:rsid w:val="235B5B93"/>
    <w:rsid w:val="24146568"/>
    <w:rsid w:val="246759AE"/>
    <w:rsid w:val="248E60F9"/>
    <w:rsid w:val="2549505A"/>
    <w:rsid w:val="25EC2454"/>
    <w:rsid w:val="261C26E6"/>
    <w:rsid w:val="26B029A2"/>
    <w:rsid w:val="275068CA"/>
    <w:rsid w:val="27B12574"/>
    <w:rsid w:val="27CF3FC1"/>
    <w:rsid w:val="2829733C"/>
    <w:rsid w:val="285D165C"/>
    <w:rsid w:val="28991DCC"/>
    <w:rsid w:val="28E31299"/>
    <w:rsid w:val="293D2493"/>
    <w:rsid w:val="2A0F31F4"/>
    <w:rsid w:val="2A1C7F9E"/>
    <w:rsid w:val="2A5778E1"/>
    <w:rsid w:val="2AC450FA"/>
    <w:rsid w:val="2AD23A30"/>
    <w:rsid w:val="2B156525"/>
    <w:rsid w:val="2B472E6C"/>
    <w:rsid w:val="2BD355F5"/>
    <w:rsid w:val="2C2440A3"/>
    <w:rsid w:val="2C742F1C"/>
    <w:rsid w:val="2CCD1427"/>
    <w:rsid w:val="2D4331C7"/>
    <w:rsid w:val="2D9E64E4"/>
    <w:rsid w:val="2DA16D3A"/>
    <w:rsid w:val="2DC31699"/>
    <w:rsid w:val="2DF604D5"/>
    <w:rsid w:val="2E114AFB"/>
    <w:rsid w:val="2E654653"/>
    <w:rsid w:val="2E6C1D31"/>
    <w:rsid w:val="2E7D5CEC"/>
    <w:rsid w:val="2EEC50EF"/>
    <w:rsid w:val="2F0B5D91"/>
    <w:rsid w:val="2F2F7506"/>
    <w:rsid w:val="2F9C21A2"/>
    <w:rsid w:val="300E6C23"/>
    <w:rsid w:val="306A7AB8"/>
    <w:rsid w:val="30B05F05"/>
    <w:rsid w:val="3140197F"/>
    <w:rsid w:val="31A87524"/>
    <w:rsid w:val="31FF6F86"/>
    <w:rsid w:val="323C3E7D"/>
    <w:rsid w:val="327E7C81"/>
    <w:rsid w:val="328455F4"/>
    <w:rsid w:val="34325E68"/>
    <w:rsid w:val="34842C2E"/>
    <w:rsid w:val="349034E8"/>
    <w:rsid w:val="351D3D85"/>
    <w:rsid w:val="354F0DFC"/>
    <w:rsid w:val="35D2022F"/>
    <w:rsid w:val="360F4CD4"/>
    <w:rsid w:val="36CE423E"/>
    <w:rsid w:val="36E52680"/>
    <w:rsid w:val="36FB1DD0"/>
    <w:rsid w:val="371F37CD"/>
    <w:rsid w:val="37BA549F"/>
    <w:rsid w:val="38060621"/>
    <w:rsid w:val="38371F7A"/>
    <w:rsid w:val="386B2B53"/>
    <w:rsid w:val="387F2C15"/>
    <w:rsid w:val="38AA5930"/>
    <w:rsid w:val="38AB4E4E"/>
    <w:rsid w:val="390C2146"/>
    <w:rsid w:val="39FA75A2"/>
    <w:rsid w:val="3A2B21D3"/>
    <w:rsid w:val="3A360333"/>
    <w:rsid w:val="3A47553E"/>
    <w:rsid w:val="3A9A5EE2"/>
    <w:rsid w:val="3AB72586"/>
    <w:rsid w:val="3ADC5544"/>
    <w:rsid w:val="3B1B59C7"/>
    <w:rsid w:val="3B506C62"/>
    <w:rsid w:val="3BC761E8"/>
    <w:rsid w:val="3C3A6FCB"/>
    <w:rsid w:val="3C487939"/>
    <w:rsid w:val="3C7F54DB"/>
    <w:rsid w:val="3D300BA9"/>
    <w:rsid w:val="3D48776F"/>
    <w:rsid w:val="3E663401"/>
    <w:rsid w:val="3E6F38A3"/>
    <w:rsid w:val="3FA030C8"/>
    <w:rsid w:val="3FA13831"/>
    <w:rsid w:val="3FC10A29"/>
    <w:rsid w:val="3FF24EF7"/>
    <w:rsid w:val="401146D6"/>
    <w:rsid w:val="4051393B"/>
    <w:rsid w:val="408B2DDE"/>
    <w:rsid w:val="41B617E9"/>
    <w:rsid w:val="41C17C00"/>
    <w:rsid w:val="41EE5CAC"/>
    <w:rsid w:val="4276728D"/>
    <w:rsid w:val="42E72EE3"/>
    <w:rsid w:val="43664B49"/>
    <w:rsid w:val="43993170"/>
    <w:rsid w:val="443A16C8"/>
    <w:rsid w:val="4473637A"/>
    <w:rsid w:val="44845B17"/>
    <w:rsid w:val="449F26BC"/>
    <w:rsid w:val="45581B00"/>
    <w:rsid w:val="45C1452C"/>
    <w:rsid w:val="45C75A56"/>
    <w:rsid w:val="461B7E6D"/>
    <w:rsid w:val="46517D32"/>
    <w:rsid w:val="46572E93"/>
    <w:rsid w:val="480706A9"/>
    <w:rsid w:val="495125BE"/>
    <w:rsid w:val="4A207391"/>
    <w:rsid w:val="4A3B2E08"/>
    <w:rsid w:val="4B3E63FC"/>
    <w:rsid w:val="4B55510C"/>
    <w:rsid w:val="4B6127C6"/>
    <w:rsid w:val="4BE1103E"/>
    <w:rsid w:val="4CA3422E"/>
    <w:rsid w:val="4CDA612E"/>
    <w:rsid w:val="4D2E157C"/>
    <w:rsid w:val="4D422183"/>
    <w:rsid w:val="4D5438C9"/>
    <w:rsid w:val="4D754306"/>
    <w:rsid w:val="4DBF37D4"/>
    <w:rsid w:val="4DC54612"/>
    <w:rsid w:val="4E586946"/>
    <w:rsid w:val="4E9361D0"/>
    <w:rsid w:val="4EFD4D67"/>
    <w:rsid w:val="4EFF6838"/>
    <w:rsid w:val="4F437C05"/>
    <w:rsid w:val="4F6D6A9E"/>
    <w:rsid w:val="4F7F480E"/>
    <w:rsid w:val="4F9F2990"/>
    <w:rsid w:val="4FE6324C"/>
    <w:rsid w:val="51517578"/>
    <w:rsid w:val="515C6A23"/>
    <w:rsid w:val="517455C0"/>
    <w:rsid w:val="51F07898"/>
    <w:rsid w:val="52027E8A"/>
    <w:rsid w:val="52AA4A52"/>
    <w:rsid w:val="52BA3C9F"/>
    <w:rsid w:val="52DB3681"/>
    <w:rsid w:val="536B7B8A"/>
    <w:rsid w:val="53DF7F49"/>
    <w:rsid w:val="543B44AB"/>
    <w:rsid w:val="54423302"/>
    <w:rsid w:val="5491213E"/>
    <w:rsid w:val="54A123C2"/>
    <w:rsid w:val="54BA1264"/>
    <w:rsid w:val="54D23959"/>
    <w:rsid w:val="551D6150"/>
    <w:rsid w:val="553920BD"/>
    <w:rsid w:val="56723E20"/>
    <w:rsid w:val="569D7860"/>
    <w:rsid w:val="56F269C8"/>
    <w:rsid w:val="574C257C"/>
    <w:rsid w:val="580F0015"/>
    <w:rsid w:val="58AA691C"/>
    <w:rsid w:val="58F46A27"/>
    <w:rsid w:val="595E7ECE"/>
    <w:rsid w:val="59A83BCA"/>
    <w:rsid w:val="59E34C79"/>
    <w:rsid w:val="5A1E58B1"/>
    <w:rsid w:val="5AEE543B"/>
    <w:rsid w:val="5B3F0B38"/>
    <w:rsid w:val="5CD10E2D"/>
    <w:rsid w:val="5CF31EC5"/>
    <w:rsid w:val="5D6E5E03"/>
    <w:rsid w:val="5D8D2FA6"/>
    <w:rsid w:val="5D9C53FD"/>
    <w:rsid w:val="5DE80B25"/>
    <w:rsid w:val="5E536508"/>
    <w:rsid w:val="5EC55FC1"/>
    <w:rsid w:val="5F384AC5"/>
    <w:rsid w:val="5F9E76ED"/>
    <w:rsid w:val="5FE10B3E"/>
    <w:rsid w:val="60260AC6"/>
    <w:rsid w:val="60495F87"/>
    <w:rsid w:val="60FF065F"/>
    <w:rsid w:val="610361C1"/>
    <w:rsid w:val="615722F6"/>
    <w:rsid w:val="61C947C9"/>
    <w:rsid w:val="62076FEE"/>
    <w:rsid w:val="6291761F"/>
    <w:rsid w:val="62EE6294"/>
    <w:rsid w:val="631050DC"/>
    <w:rsid w:val="637846F9"/>
    <w:rsid w:val="63E853DA"/>
    <w:rsid w:val="642F3009"/>
    <w:rsid w:val="643B3920"/>
    <w:rsid w:val="64507A64"/>
    <w:rsid w:val="6508151F"/>
    <w:rsid w:val="655C1C66"/>
    <w:rsid w:val="65A369A9"/>
    <w:rsid w:val="65AE7F5E"/>
    <w:rsid w:val="669E29CA"/>
    <w:rsid w:val="66FC2F4B"/>
    <w:rsid w:val="67815680"/>
    <w:rsid w:val="68B242BC"/>
    <w:rsid w:val="68DA1379"/>
    <w:rsid w:val="69124CA8"/>
    <w:rsid w:val="691D37DB"/>
    <w:rsid w:val="6985495A"/>
    <w:rsid w:val="6A86594D"/>
    <w:rsid w:val="6ACF4DB3"/>
    <w:rsid w:val="6B0F76F1"/>
    <w:rsid w:val="6B930322"/>
    <w:rsid w:val="6BA3128D"/>
    <w:rsid w:val="6BDE62D6"/>
    <w:rsid w:val="6CBD6501"/>
    <w:rsid w:val="6CE8123C"/>
    <w:rsid w:val="6D876060"/>
    <w:rsid w:val="6E4C47B8"/>
    <w:rsid w:val="6E8E69EC"/>
    <w:rsid w:val="6E940B17"/>
    <w:rsid w:val="6EBF31DC"/>
    <w:rsid w:val="6FBB1BF5"/>
    <w:rsid w:val="6FEA3C19"/>
    <w:rsid w:val="70390CA2"/>
    <w:rsid w:val="706212BB"/>
    <w:rsid w:val="71234381"/>
    <w:rsid w:val="71416E7B"/>
    <w:rsid w:val="71701F6A"/>
    <w:rsid w:val="718536A7"/>
    <w:rsid w:val="71BA4ABB"/>
    <w:rsid w:val="71EA08E2"/>
    <w:rsid w:val="720A50D4"/>
    <w:rsid w:val="72A86907"/>
    <w:rsid w:val="73122185"/>
    <w:rsid w:val="73BC2007"/>
    <w:rsid w:val="73D72AE8"/>
    <w:rsid w:val="747674B1"/>
    <w:rsid w:val="747E6382"/>
    <w:rsid w:val="75361257"/>
    <w:rsid w:val="75884575"/>
    <w:rsid w:val="7609701F"/>
    <w:rsid w:val="76493EF4"/>
    <w:rsid w:val="764D7A2D"/>
    <w:rsid w:val="76A22155"/>
    <w:rsid w:val="76B25651"/>
    <w:rsid w:val="77845710"/>
    <w:rsid w:val="77AD1FDD"/>
    <w:rsid w:val="7889524B"/>
    <w:rsid w:val="78D2453A"/>
    <w:rsid w:val="795D5ACB"/>
    <w:rsid w:val="798D5037"/>
    <w:rsid w:val="79D522D2"/>
    <w:rsid w:val="7A9B0BA4"/>
    <w:rsid w:val="7B424ADC"/>
    <w:rsid w:val="7D16135F"/>
    <w:rsid w:val="7D4C20DE"/>
    <w:rsid w:val="7DE003EC"/>
    <w:rsid w:val="7E855D33"/>
    <w:rsid w:val="7F6E48FC"/>
    <w:rsid w:val="7FCD003B"/>
    <w:rsid w:val="7FD5D585"/>
    <w:rsid w:val="FB7DB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8"/>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ind w:firstLine="420"/>
    </w:pPr>
    <w:rPr>
      <w:kern w:val="0"/>
      <w:sz w:val="20"/>
      <w:szCs w:val="20"/>
    </w:rPr>
  </w:style>
  <w:style w:type="paragraph" w:styleId="10">
    <w:name w:val="annotation text"/>
    <w:basedOn w:val="1"/>
    <w:link w:val="46"/>
    <w:qFormat/>
    <w:uiPriority w:val="0"/>
    <w:pPr>
      <w:jc w:val="left"/>
    </w:pPr>
  </w:style>
  <w:style w:type="paragraph" w:styleId="11">
    <w:name w:val="Body Text"/>
    <w:basedOn w:val="1"/>
    <w:next w:val="1"/>
    <w:qFormat/>
    <w:uiPriority w:val="0"/>
    <w:pPr>
      <w:tabs>
        <w:tab w:val="left" w:pos="426"/>
      </w:tabs>
    </w:pPr>
    <w:rPr>
      <w:rFonts w:ascii="Times New Roman" w:hAnsi="Times New Roman" w:eastAsia="宋体" w:cs="Times New Roman"/>
      <w:b/>
      <w:bCs/>
      <w:sz w:val="24"/>
    </w:rPr>
  </w:style>
  <w:style w:type="paragraph" w:styleId="12">
    <w:name w:val="toc 3"/>
    <w:basedOn w:val="1"/>
    <w:next w:val="1"/>
    <w:qFormat/>
    <w:uiPriority w:val="0"/>
    <w:pPr>
      <w:ind w:left="840" w:leftChars="400"/>
    </w:pPr>
  </w:style>
  <w:style w:type="paragraph" w:styleId="13">
    <w:name w:val="Balloon Text"/>
    <w:basedOn w:val="1"/>
    <w:link w:val="45"/>
    <w:qFormat/>
    <w:uiPriority w:val="0"/>
    <w:rPr>
      <w:sz w:val="18"/>
      <w:szCs w:val="18"/>
    </w:rPr>
  </w:style>
  <w:style w:type="paragraph" w:styleId="14">
    <w:name w:val="footer"/>
    <w:basedOn w:val="1"/>
    <w:link w:val="49"/>
    <w:qFormat/>
    <w:uiPriority w:val="0"/>
    <w:pPr>
      <w:tabs>
        <w:tab w:val="center" w:pos="4153"/>
        <w:tab w:val="right" w:pos="8306"/>
      </w:tabs>
      <w:snapToGrid w:val="0"/>
      <w:jc w:val="left"/>
    </w:pPr>
    <w:rPr>
      <w:sz w:val="18"/>
      <w:szCs w:val="18"/>
    </w:rPr>
  </w:style>
  <w:style w:type="paragraph" w:styleId="15">
    <w:name w:val="header"/>
    <w:basedOn w:val="1"/>
    <w:link w:val="48"/>
    <w:qFormat/>
    <w:uiPriority w:val="0"/>
    <w:pP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rPr>
      <w:sz w:val="24"/>
    </w:rPr>
  </w:style>
  <w:style w:type="paragraph" w:styleId="19">
    <w:name w:val="annotation subject"/>
    <w:basedOn w:val="10"/>
    <w:next w:val="10"/>
    <w:link w:val="47"/>
    <w:qFormat/>
    <w:uiPriority w:val="0"/>
    <w:rPr>
      <w:b/>
      <w:bCs/>
    </w:r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character" w:customStyle="1" w:styleId="24">
    <w:name w:val="font21"/>
    <w:basedOn w:val="21"/>
    <w:qFormat/>
    <w:uiPriority w:val="0"/>
    <w:rPr>
      <w:rFonts w:hint="eastAsia" w:ascii="宋体" w:hAnsi="宋体" w:eastAsia="宋体" w:cs="宋体"/>
      <w:color w:val="000000"/>
      <w:sz w:val="20"/>
      <w:szCs w:val="20"/>
      <w:u w:val="none"/>
    </w:rPr>
  </w:style>
  <w:style w:type="character" w:customStyle="1" w:styleId="25">
    <w:name w:val="font161"/>
    <w:basedOn w:val="21"/>
    <w:qFormat/>
    <w:uiPriority w:val="0"/>
    <w:rPr>
      <w:rFonts w:hint="eastAsia" w:ascii="宋体" w:hAnsi="宋体" w:eastAsia="宋体" w:cs="宋体"/>
      <w:color w:val="FF0000"/>
      <w:sz w:val="20"/>
      <w:szCs w:val="20"/>
      <w:u w:val="none"/>
    </w:rPr>
  </w:style>
  <w:style w:type="character" w:customStyle="1" w:styleId="26">
    <w:name w:val="font61"/>
    <w:basedOn w:val="21"/>
    <w:qFormat/>
    <w:uiPriority w:val="0"/>
    <w:rPr>
      <w:rFonts w:hint="default" w:ascii="Wingdings" w:hAnsi="Wingdings" w:cs="Wingdings"/>
      <w:color w:val="000000"/>
      <w:sz w:val="20"/>
      <w:szCs w:val="20"/>
      <w:u w:val="none"/>
    </w:rPr>
  </w:style>
  <w:style w:type="character" w:customStyle="1" w:styleId="27">
    <w:name w:val="font51"/>
    <w:basedOn w:val="21"/>
    <w:qFormat/>
    <w:uiPriority w:val="0"/>
    <w:rPr>
      <w:rFonts w:hint="eastAsia" w:ascii="宋体" w:hAnsi="宋体" w:eastAsia="宋体" w:cs="宋体"/>
      <w:color w:val="000000"/>
      <w:sz w:val="20"/>
      <w:szCs w:val="20"/>
      <w:u w:val="none"/>
    </w:rPr>
  </w:style>
  <w:style w:type="character" w:customStyle="1" w:styleId="28">
    <w:name w:val="font251"/>
    <w:basedOn w:val="21"/>
    <w:qFormat/>
    <w:uiPriority w:val="0"/>
    <w:rPr>
      <w:rFonts w:hint="default" w:ascii="Wingdings" w:hAnsi="Wingdings" w:cs="Wingdings"/>
      <w:color w:val="000000"/>
      <w:sz w:val="20"/>
      <w:szCs w:val="20"/>
      <w:u w:val="none"/>
    </w:rPr>
  </w:style>
  <w:style w:type="character" w:customStyle="1" w:styleId="29">
    <w:name w:val="font71"/>
    <w:basedOn w:val="21"/>
    <w:qFormat/>
    <w:uiPriority w:val="0"/>
    <w:rPr>
      <w:rFonts w:hint="default" w:ascii="Wingdings" w:hAnsi="Wingdings" w:cs="Wingdings"/>
      <w:color w:val="FF0000"/>
      <w:sz w:val="20"/>
      <w:szCs w:val="20"/>
      <w:u w:val="none"/>
    </w:rPr>
  </w:style>
  <w:style w:type="character" w:customStyle="1" w:styleId="30">
    <w:name w:val="font151"/>
    <w:basedOn w:val="21"/>
    <w:qFormat/>
    <w:uiPriority w:val="0"/>
    <w:rPr>
      <w:rFonts w:ascii="宋体" w:hAnsi="宋体" w:eastAsia="宋体" w:cs="宋体"/>
      <w:color w:val="FF0000"/>
      <w:sz w:val="20"/>
      <w:szCs w:val="20"/>
      <w:u w:val="none"/>
    </w:rPr>
  </w:style>
  <w:style w:type="character" w:customStyle="1" w:styleId="31">
    <w:name w:val="font331"/>
    <w:basedOn w:val="21"/>
    <w:qFormat/>
    <w:uiPriority w:val="0"/>
    <w:rPr>
      <w:rFonts w:ascii="宋体" w:hAnsi="宋体" w:eastAsia="宋体" w:cs="宋体"/>
      <w:color w:val="000000"/>
      <w:sz w:val="20"/>
      <w:szCs w:val="20"/>
      <w:u w:val="none"/>
    </w:rPr>
  </w:style>
  <w:style w:type="character" w:customStyle="1" w:styleId="32">
    <w:name w:val="font81"/>
    <w:basedOn w:val="21"/>
    <w:qFormat/>
    <w:uiPriority w:val="0"/>
    <w:rPr>
      <w:rFonts w:ascii="宋体" w:hAnsi="宋体" w:eastAsia="宋体" w:cs="宋体"/>
      <w:color w:val="C00000"/>
      <w:sz w:val="20"/>
      <w:szCs w:val="20"/>
      <w:u w:val="none"/>
    </w:rPr>
  </w:style>
  <w:style w:type="character" w:customStyle="1" w:styleId="33">
    <w:name w:val="font91"/>
    <w:basedOn w:val="21"/>
    <w:qFormat/>
    <w:uiPriority w:val="0"/>
    <w:rPr>
      <w:rFonts w:hint="default" w:ascii="Wingdings" w:hAnsi="Wingdings" w:cs="Wingdings"/>
      <w:color w:val="C00000"/>
      <w:sz w:val="20"/>
      <w:szCs w:val="20"/>
      <w:u w:val="none"/>
    </w:rPr>
  </w:style>
  <w:style w:type="character" w:customStyle="1" w:styleId="34">
    <w:name w:val="font341"/>
    <w:basedOn w:val="21"/>
    <w:qFormat/>
    <w:uiPriority w:val="0"/>
    <w:rPr>
      <w:rFonts w:ascii="Helvetica Neue" w:hAnsi="Helvetica Neue" w:eastAsia="Helvetica Neue" w:cs="Helvetica Neue"/>
      <w:color w:val="C00000"/>
      <w:sz w:val="20"/>
      <w:szCs w:val="20"/>
      <w:u w:val="none"/>
    </w:rPr>
  </w:style>
  <w:style w:type="character" w:customStyle="1" w:styleId="35">
    <w:name w:val="font112"/>
    <w:basedOn w:val="21"/>
    <w:qFormat/>
    <w:uiPriority w:val="0"/>
    <w:rPr>
      <w:rFonts w:hint="eastAsia" w:ascii="宋体" w:hAnsi="宋体" w:eastAsia="宋体" w:cs="宋体"/>
      <w:color w:val="C00000"/>
      <w:sz w:val="20"/>
      <w:szCs w:val="20"/>
      <w:u w:val="none"/>
    </w:rPr>
  </w:style>
  <w:style w:type="character" w:customStyle="1" w:styleId="36">
    <w:name w:val="font181"/>
    <w:basedOn w:val="21"/>
    <w:qFormat/>
    <w:uiPriority w:val="0"/>
    <w:rPr>
      <w:rFonts w:hint="default" w:ascii="Wingdings" w:hAnsi="Wingdings" w:cs="Wingdings"/>
      <w:color w:val="DE3C36"/>
      <w:sz w:val="20"/>
      <w:szCs w:val="20"/>
      <w:u w:val="none"/>
    </w:rPr>
  </w:style>
  <w:style w:type="character" w:customStyle="1" w:styleId="37">
    <w:name w:val="font351"/>
    <w:basedOn w:val="21"/>
    <w:qFormat/>
    <w:uiPriority w:val="0"/>
    <w:rPr>
      <w:rFonts w:ascii="宋体" w:hAnsi="宋体" w:eastAsia="宋体" w:cs="宋体"/>
      <w:color w:val="DE3C36"/>
      <w:sz w:val="20"/>
      <w:szCs w:val="20"/>
      <w:u w:val="none"/>
    </w:rPr>
  </w:style>
  <w:style w:type="character" w:customStyle="1" w:styleId="38">
    <w:name w:val="font361"/>
    <w:basedOn w:val="21"/>
    <w:qFormat/>
    <w:uiPriority w:val="0"/>
    <w:rPr>
      <w:rFonts w:hint="eastAsia" w:ascii="宋体" w:hAnsi="宋体" w:eastAsia="宋体" w:cs="宋体"/>
      <w:b/>
      <w:bCs/>
      <w:color w:val="000000"/>
      <w:sz w:val="20"/>
      <w:szCs w:val="20"/>
      <w:u w:val="none"/>
    </w:rPr>
  </w:style>
  <w:style w:type="character" w:customStyle="1" w:styleId="39">
    <w:name w:val="font371"/>
    <w:basedOn w:val="21"/>
    <w:qFormat/>
    <w:uiPriority w:val="0"/>
    <w:rPr>
      <w:rFonts w:hint="eastAsia" w:ascii="宋体" w:hAnsi="宋体" w:eastAsia="宋体" w:cs="宋体"/>
      <w:b/>
      <w:bCs/>
      <w:color w:val="DE3C36"/>
      <w:sz w:val="20"/>
      <w:szCs w:val="20"/>
      <w:u w:val="none"/>
    </w:rPr>
  </w:style>
  <w:style w:type="character" w:customStyle="1" w:styleId="40">
    <w:name w:val="font231"/>
    <w:basedOn w:val="21"/>
    <w:qFormat/>
    <w:uiPriority w:val="0"/>
    <w:rPr>
      <w:rFonts w:ascii="Cambria" w:hAnsi="Cambria" w:eastAsia="Cambria" w:cs="Cambria"/>
      <w:color w:val="FF0000"/>
      <w:sz w:val="20"/>
      <w:szCs w:val="20"/>
      <w:u w:val="none"/>
    </w:rPr>
  </w:style>
  <w:style w:type="character" w:customStyle="1" w:styleId="41">
    <w:name w:val="font241"/>
    <w:basedOn w:val="21"/>
    <w:qFormat/>
    <w:uiPriority w:val="0"/>
    <w:rPr>
      <w:rFonts w:hint="default" w:ascii="Wingdings" w:hAnsi="Wingdings" w:cs="Wingdings"/>
      <w:b/>
      <w:bCs/>
      <w:color w:val="FF0000"/>
      <w:sz w:val="20"/>
      <w:szCs w:val="20"/>
      <w:u w:val="none"/>
    </w:rPr>
  </w:style>
  <w:style w:type="character" w:customStyle="1" w:styleId="42">
    <w:name w:val="font381"/>
    <w:basedOn w:val="21"/>
    <w:qFormat/>
    <w:uiPriority w:val="0"/>
    <w:rPr>
      <w:rFonts w:ascii="宋体" w:hAnsi="宋体" w:eastAsia="宋体" w:cs="宋体"/>
      <w:b/>
      <w:bCs/>
      <w:color w:val="FF0000"/>
      <w:sz w:val="20"/>
      <w:szCs w:val="20"/>
      <w:u w:val="none"/>
    </w:rPr>
  </w:style>
  <w:style w:type="character" w:customStyle="1" w:styleId="43">
    <w:name w:val="font281"/>
    <w:basedOn w:val="21"/>
    <w:qFormat/>
    <w:uiPriority w:val="0"/>
    <w:rPr>
      <w:rFonts w:ascii="宋体" w:hAnsi="宋体" w:eastAsia="宋体" w:cs="宋体"/>
      <w:color w:val="000000"/>
      <w:sz w:val="20"/>
      <w:szCs w:val="20"/>
      <w:u w:val="none"/>
    </w:rPr>
  </w:style>
  <w:style w:type="paragraph" w:customStyle="1" w:styleId="4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45">
    <w:name w:val="批注框文本 字符"/>
    <w:basedOn w:val="21"/>
    <w:link w:val="13"/>
    <w:qFormat/>
    <w:uiPriority w:val="0"/>
    <w:rPr>
      <w:rFonts w:asciiTheme="minorHAnsi" w:hAnsiTheme="minorHAnsi" w:eastAsiaTheme="minorEastAsia" w:cstheme="minorBidi"/>
      <w:kern w:val="2"/>
      <w:sz w:val="18"/>
      <w:szCs w:val="18"/>
    </w:rPr>
  </w:style>
  <w:style w:type="character" w:customStyle="1" w:styleId="46">
    <w:name w:val="批注文字 字符"/>
    <w:basedOn w:val="21"/>
    <w:link w:val="10"/>
    <w:qFormat/>
    <w:uiPriority w:val="0"/>
    <w:rPr>
      <w:rFonts w:asciiTheme="minorHAnsi" w:hAnsiTheme="minorHAnsi" w:eastAsiaTheme="minorEastAsia" w:cstheme="minorBidi"/>
      <w:kern w:val="2"/>
      <w:sz w:val="21"/>
      <w:szCs w:val="24"/>
    </w:rPr>
  </w:style>
  <w:style w:type="character" w:customStyle="1" w:styleId="47">
    <w:name w:val="批注主题 字符"/>
    <w:basedOn w:val="46"/>
    <w:link w:val="19"/>
    <w:qFormat/>
    <w:uiPriority w:val="0"/>
    <w:rPr>
      <w:rFonts w:asciiTheme="minorHAnsi" w:hAnsiTheme="minorHAnsi" w:eastAsiaTheme="minorEastAsia" w:cstheme="minorBidi"/>
      <w:b/>
      <w:bCs/>
      <w:kern w:val="2"/>
      <w:sz w:val="21"/>
      <w:szCs w:val="24"/>
    </w:rPr>
  </w:style>
  <w:style w:type="character" w:customStyle="1" w:styleId="48">
    <w:name w:val="页眉 字符"/>
    <w:basedOn w:val="21"/>
    <w:link w:val="15"/>
    <w:qFormat/>
    <w:uiPriority w:val="0"/>
    <w:rPr>
      <w:rFonts w:asciiTheme="minorHAnsi" w:hAnsiTheme="minorHAnsi" w:eastAsiaTheme="minorEastAsia" w:cstheme="minorBidi"/>
      <w:kern w:val="2"/>
      <w:sz w:val="18"/>
      <w:szCs w:val="18"/>
    </w:rPr>
  </w:style>
  <w:style w:type="character" w:customStyle="1" w:styleId="49">
    <w:name w:val="页脚 字符"/>
    <w:basedOn w:val="21"/>
    <w:link w:val="14"/>
    <w:qFormat/>
    <w:uiPriority w:val="0"/>
    <w:rPr>
      <w:rFonts w:asciiTheme="minorHAnsi" w:hAnsiTheme="minorHAnsi" w:eastAsiaTheme="minorEastAsia" w:cstheme="minorBidi"/>
      <w:kern w:val="2"/>
      <w:sz w:val="18"/>
      <w:szCs w:val="18"/>
    </w:rPr>
  </w:style>
  <w:style w:type="paragraph" w:customStyle="1" w:styleId="50">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paragraph" w:customStyle="1" w:styleId="51">
    <w:name w:val="表格文字"/>
    <w:basedOn w:val="52"/>
    <w:qFormat/>
    <w:uiPriority w:val="0"/>
    <w:pPr>
      <w:spacing w:before="25" w:after="25"/>
      <w:jc w:val="left"/>
    </w:pPr>
    <w:rPr>
      <w:bCs/>
      <w:spacing w:val="10"/>
      <w:kern w:val="0"/>
      <w:sz w:val="24"/>
    </w:rPr>
  </w:style>
  <w:style w:type="paragraph" w:customStyle="1" w:styleId="52">
    <w:name w:val="表格文字（两侧对齐）"/>
    <w:basedOn w:val="1"/>
    <w:qFormat/>
    <w:uiPriority w:val="0"/>
    <w:rPr>
      <w:rFonts w:ascii="Calibri" w:hAnsi="Calibri" w:cs="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10566</Words>
  <Characters>11091</Characters>
  <Lines>1763</Lines>
  <Paragraphs>1265</Paragraphs>
  <TotalTime>6</TotalTime>
  <ScaleCrop>false</ScaleCrop>
  <LinksUpToDate>false</LinksUpToDate>
  <CharactersWithSpaces>11228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2025-09-29T08:41:00Z</dcterms:created>
  <dc:creator>雨</dc:creator>
  <cp:lastModifiedBy>梁海芳</cp:lastModifiedBy>
  <dcterms:modified xsi:type="dcterms:W3CDTF">2026-06-04T03:26:07Z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9ECA5185205C4C9EAFB5CB1EA0103F2C_13</vt:lpwstr>
  </property>
  <property fmtid="{D5CDD505-2E9C-101B-9397-08002B2CF9AE}" pid="4" name="KSOTemplateDocerSaveRecord">
    <vt:lpwstr>eyJoZGlkIjoiNTdkNTRiZDRlNWY1MTQ3ZGNmNzljMmZiMDk0NWQ1YzkiLCJ1c2VySWQiOiIxNjgyNzQ2NDY3In0=</vt:lpwstr>
  </property>
</Properties>
</file>