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137CA8">
      <w:pPr>
        <w:jc w:val="center"/>
        <w:rPr>
          <w:rFonts w:hint="eastAsia" w:ascii="宋体" w:hAnsi="宋体" w:cs="宋体"/>
          <w:b/>
          <w:bCs/>
          <w:kern w:val="0"/>
          <w:sz w:val="48"/>
          <w:szCs w:val="48"/>
        </w:rPr>
      </w:pPr>
      <w:bookmarkStart w:id="0" w:name="_Toc14652"/>
      <w:bookmarkStart w:id="1" w:name="_Toc29517"/>
      <w:bookmarkStart w:id="2" w:name="_Toc3487"/>
      <w:bookmarkStart w:id="3" w:name="_Toc31030"/>
      <w:r>
        <w:rPr>
          <w:rFonts w:hint="eastAsia" w:ascii="宋体" w:hAnsi="宋体" w:cs="宋体"/>
          <w:b/>
          <w:bCs/>
          <w:kern w:val="0"/>
          <w:sz w:val="36"/>
          <w:szCs w:val="36"/>
        </w:rPr>
        <w:t>支撑结算的湖仓一体化系统项目</w:t>
      </w:r>
      <w:r>
        <w:rPr>
          <w:rFonts w:hint="eastAsia" w:ascii="宋体" w:hAnsi="宋体" w:cs="宋体"/>
          <w:b/>
          <w:bCs/>
          <w:kern w:val="0"/>
          <w:sz w:val="36"/>
          <w:szCs w:val="36"/>
          <w:lang w:eastAsia="zh-CN"/>
        </w:rPr>
        <w:t>（</w:t>
      </w:r>
      <w:r>
        <w:rPr>
          <w:rFonts w:hint="eastAsia" w:ascii="宋体" w:hAnsi="宋体" w:cs="宋体"/>
          <w:b/>
          <w:bCs/>
          <w:kern w:val="0"/>
          <w:sz w:val="36"/>
          <w:szCs w:val="36"/>
          <w:lang w:val="en-US" w:eastAsia="zh-CN"/>
        </w:rPr>
        <w:t>一期）评审</w:t>
      </w:r>
      <w:r>
        <w:rPr>
          <w:rFonts w:hint="eastAsia" w:ascii="宋体" w:hAnsi="宋体" w:cs="宋体"/>
          <w:b/>
          <w:bCs/>
          <w:kern w:val="0"/>
          <w:sz w:val="36"/>
          <w:szCs w:val="36"/>
        </w:rPr>
        <w:t>需求书</w:t>
      </w:r>
      <w:r>
        <w:rPr>
          <w:rFonts w:hint="eastAsia" w:ascii="宋体" w:hAnsi="宋体" w:cs="宋体"/>
          <w:b/>
          <w:bCs/>
          <w:kern w:val="0"/>
          <w:sz w:val="36"/>
          <w:szCs w:val="36"/>
        </w:rPr>
        <w:br w:type="textWrapping"/>
      </w:r>
    </w:p>
    <w:p w14:paraId="5B2EB7AD">
      <w:pPr>
        <w:rPr>
          <w:b/>
          <w:bCs/>
          <w:sz w:val="28"/>
          <w:szCs w:val="36"/>
        </w:rPr>
      </w:pPr>
      <w:r>
        <w:rPr>
          <w:rFonts w:hint="eastAsia" w:ascii="宋体" w:hAnsi="宋体" w:cs="宋体"/>
          <w:b/>
          <w:bCs/>
          <w:kern w:val="0"/>
          <w:sz w:val="28"/>
          <w:szCs w:val="28"/>
        </w:rPr>
        <w:t>（一）项目基本信息表</w:t>
      </w:r>
    </w:p>
    <w:tbl>
      <w:tblPr>
        <w:tblStyle w:val="43"/>
        <w:tblW w:w="5178" w:type="pct"/>
        <w:jc w:val="center"/>
        <w:tblLayout w:type="autofit"/>
        <w:tblCellMar>
          <w:top w:w="0" w:type="dxa"/>
          <w:left w:w="108" w:type="dxa"/>
          <w:bottom w:w="0" w:type="dxa"/>
          <w:right w:w="108" w:type="dxa"/>
        </w:tblCellMar>
      </w:tblPr>
      <w:tblGrid>
        <w:gridCol w:w="686"/>
        <w:gridCol w:w="2121"/>
        <w:gridCol w:w="2605"/>
        <w:gridCol w:w="650"/>
        <w:gridCol w:w="668"/>
        <w:gridCol w:w="1238"/>
        <w:gridCol w:w="865"/>
      </w:tblGrid>
      <w:tr w14:paraId="35DA83FE">
        <w:tblPrEx>
          <w:tblCellMar>
            <w:top w:w="0" w:type="dxa"/>
            <w:left w:w="108" w:type="dxa"/>
            <w:bottom w:w="0" w:type="dxa"/>
            <w:right w:w="108" w:type="dxa"/>
          </w:tblCellMar>
        </w:tblPrEx>
        <w:trPr>
          <w:trHeight w:val="575" w:hRule="atLeast"/>
          <w:jc w:val="center"/>
        </w:trPr>
        <w:tc>
          <w:tcPr>
            <w:tcW w:w="388" w:type="pct"/>
            <w:tcBorders>
              <w:top w:val="single" w:color="auto" w:sz="4" w:space="0"/>
              <w:left w:val="single" w:color="auto" w:sz="4" w:space="0"/>
              <w:bottom w:val="single" w:color="auto" w:sz="4" w:space="0"/>
              <w:right w:val="single" w:color="auto" w:sz="4" w:space="0"/>
            </w:tcBorders>
            <w:noWrap w:val="0"/>
            <w:vAlign w:val="center"/>
          </w:tcPr>
          <w:p w14:paraId="6872A7AA">
            <w:pPr>
              <w:widowControl/>
              <w:jc w:val="center"/>
              <w:rPr>
                <w:rFonts w:ascii="宋体" w:hAnsi="宋体" w:cs="宋体"/>
                <w:b/>
                <w:bCs/>
                <w:kern w:val="0"/>
                <w:szCs w:val="21"/>
              </w:rPr>
            </w:pPr>
            <w:r>
              <w:rPr>
                <w:rFonts w:hint="eastAsia" w:ascii="宋体" w:hAnsi="宋体" w:cs="宋体"/>
                <w:b/>
                <w:bCs/>
                <w:kern w:val="0"/>
                <w:szCs w:val="21"/>
              </w:rPr>
              <w:t>序号</w:t>
            </w:r>
          </w:p>
        </w:tc>
        <w:tc>
          <w:tcPr>
            <w:tcW w:w="1200" w:type="pct"/>
            <w:tcBorders>
              <w:top w:val="single" w:color="auto" w:sz="4" w:space="0"/>
              <w:left w:val="nil"/>
              <w:bottom w:val="single" w:color="auto" w:sz="4" w:space="0"/>
              <w:right w:val="single" w:color="auto" w:sz="4" w:space="0"/>
            </w:tcBorders>
            <w:noWrap w:val="0"/>
            <w:vAlign w:val="center"/>
          </w:tcPr>
          <w:p w14:paraId="1E164ABA">
            <w:pPr>
              <w:widowControl/>
              <w:jc w:val="center"/>
              <w:rPr>
                <w:rFonts w:hint="eastAsia" w:ascii="宋体" w:hAnsi="宋体"/>
                <w:b/>
                <w:bCs/>
                <w:szCs w:val="21"/>
              </w:rPr>
            </w:pPr>
            <w:r>
              <w:rPr>
                <w:rFonts w:hint="eastAsia" w:ascii="宋体" w:hAnsi="宋体"/>
                <w:b/>
                <w:bCs/>
                <w:szCs w:val="21"/>
              </w:rPr>
              <w:t>项目名称</w:t>
            </w:r>
          </w:p>
        </w:tc>
        <w:tc>
          <w:tcPr>
            <w:tcW w:w="1474" w:type="pct"/>
            <w:tcBorders>
              <w:top w:val="single" w:color="auto" w:sz="4" w:space="0"/>
              <w:left w:val="single" w:color="auto" w:sz="4" w:space="0"/>
              <w:bottom w:val="single" w:color="auto" w:sz="4" w:space="0"/>
              <w:right w:val="single" w:color="auto" w:sz="4" w:space="0"/>
            </w:tcBorders>
            <w:noWrap w:val="0"/>
            <w:vAlign w:val="center"/>
          </w:tcPr>
          <w:p w14:paraId="4265BC12">
            <w:pPr>
              <w:widowControl/>
              <w:jc w:val="center"/>
              <w:rPr>
                <w:rFonts w:hint="eastAsia" w:ascii="宋体" w:hAnsi="宋体"/>
                <w:b/>
                <w:bCs/>
                <w:szCs w:val="21"/>
              </w:rPr>
            </w:pPr>
            <w:r>
              <w:rPr>
                <w:rFonts w:hint="eastAsia" w:ascii="宋体" w:hAnsi="宋体"/>
                <w:b/>
                <w:bCs/>
                <w:szCs w:val="21"/>
              </w:rPr>
              <w:t>项目概述</w:t>
            </w:r>
          </w:p>
        </w:tc>
        <w:tc>
          <w:tcPr>
            <w:tcW w:w="368" w:type="pct"/>
            <w:tcBorders>
              <w:top w:val="single" w:color="auto" w:sz="4" w:space="0"/>
              <w:left w:val="single" w:color="auto" w:sz="4" w:space="0"/>
              <w:bottom w:val="single" w:color="auto" w:sz="4" w:space="0"/>
              <w:right w:val="single" w:color="auto" w:sz="4" w:space="0"/>
            </w:tcBorders>
            <w:noWrap w:val="0"/>
            <w:vAlign w:val="center"/>
          </w:tcPr>
          <w:p w14:paraId="6A9503BC">
            <w:pPr>
              <w:widowControl/>
              <w:jc w:val="center"/>
              <w:rPr>
                <w:rFonts w:ascii="宋体" w:hAnsi="宋体" w:cs="宋体"/>
                <w:b/>
                <w:bCs/>
                <w:kern w:val="0"/>
                <w:szCs w:val="21"/>
              </w:rPr>
            </w:pPr>
            <w:r>
              <w:rPr>
                <w:rFonts w:hint="eastAsia" w:ascii="宋体" w:hAnsi="宋体" w:cs="宋体"/>
                <w:b/>
                <w:bCs/>
                <w:kern w:val="0"/>
                <w:szCs w:val="21"/>
              </w:rPr>
              <w:t>数量</w:t>
            </w:r>
          </w:p>
        </w:tc>
        <w:tc>
          <w:tcPr>
            <w:tcW w:w="378" w:type="pct"/>
            <w:tcBorders>
              <w:top w:val="single" w:color="auto" w:sz="4" w:space="0"/>
              <w:left w:val="single" w:color="auto" w:sz="4" w:space="0"/>
              <w:bottom w:val="single" w:color="auto" w:sz="4" w:space="0"/>
              <w:right w:val="single" w:color="auto" w:sz="4" w:space="0"/>
            </w:tcBorders>
            <w:noWrap w:val="0"/>
            <w:vAlign w:val="center"/>
          </w:tcPr>
          <w:p w14:paraId="4C574117">
            <w:pPr>
              <w:widowControl/>
              <w:jc w:val="center"/>
              <w:rPr>
                <w:rFonts w:ascii="宋体" w:hAnsi="宋体" w:cs="宋体"/>
                <w:b/>
                <w:bCs/>
                <w:kern w:val="0"/>
                <w:szCs w:val="21"/>
              </w:rPr>
            </w:pPr>
            <w:r>
              <w:rPr>
                <w:rFonts w:hint="eastAsia" w:ascii="宋体" w:hAnsi="宋体" w:cs="宋体"/>
                <w:b/>
                <w:bCs/>
                <w:kern w:val="0"/>
                <w:szCs w:val="21"/>
              </w:rPr>
              <w:t>单位</w:t>
            </w:r>
          </w:p>
        </w:tc>
        <w:tc>
          <w:tcPr>
            <w:tcW w:w="700" w:type="pct"/>
            <w:tcBorders>
              <w:top w:val="single" w:color="auto" w:sz="4" w:space="0"/>
              <w:left w:val="nil"/>
              <w:bottom w:val="single" w:color="auto" w:sz="4" w:space="0"/>
              <w:right w:val="single" w:color="auto" w:sz="4" w:space="0"/>
            </w:tcBorders>
            <w:noWrap w:val="0"/>
            <w:vAlign w:val="center"/>
          </w:tcPr>
          <w:p w14:paraId="69473ECE">
            <w:pPr>
              <w:widowControl/>
              <w:jc w:val="center"/>
              <w:rPr>
                <w:rFonts w:hint="eastAsia" w:ascii="宋体" w:hAnsi="宋体" w:cs="宋体"/>
                <w:b/>
                <w:bCs/>
                <w:kern w:val="0"/>
                <w:szCs w:val="21"/>
              </w:rPr>
            </w:pPr>
            <w:r>
              <w:rPr>
                <w:rFonts w:hint="eastAsia" w:ascii="宋体" w:hAnsi="宋体" w:cs="宋体"/>
                <w:b/>
                <w:bCs/>
                <w:kern w:val="0"/>
                <w:szCs w:val="21"/>
              </w:rPr>
              <w:t>预算金额（元）</w:t>
            </w:r>
          </w:p>
        </w:tc>
        <w:tc>
          <w:tcPr>
            <w:tcW w:w="489" w:type="pct"/>
            <w:tcBorders>
              <w:top w:val="single" w:color="auto" w:sz="4" w:space="0"/>
              <w:left w:val="nil"/>
              <w:bottom w:val="single" w:color="auto" w:sz="4" w:space="0"/>
              <w:right w:val="single" w:color="auto" w:sz="4" w:space="0"/>
            </w:tcBorders>
            <w:noWrap w:val="0"/>
            <w:vAlign w:val="center"/>
          </w:tcPr>
          <w:p w14:paraId="5EBA6B67">
            <w:pPr>
              <w:widowControl/>
              <w:jc w:val="center"/>
              <w:rPr>
                <w:rFonts w:ascii="宋体" w:hAnsi="宋体" w:cs="宋体"/>
                <w:b/>
                <w:bCs/>
                <w:kern w:val="0"/>
                <w:szCs w:val="21"/>
              </w:rPr>
            </w:pPr>
            <w:r>
              <w:rPr>
                <w:rFonts w:hint="eastAsia" w:ascii="宋体" w:hAnsi="宋体" w:cs="宋体"/>
                <w:b/>
                <w:bCs/>
                <w:kern w:val="0"/>
                <w:szCs w:val="21"/>
              </w:rPr>
              <w:t>备注</w:t>
            </w:r>
          </w:p>
        </w:tc>
      </w:tr>
      <w:tr w14:paraId="7D1AFBB0">
        <w:tblPrEx>
          <w:tblCellMar>
            <w:top w:w="0" w:type="dxa"/>
            <w:left w:w="108" w:type="dxa"/>
            <w:bottom w:w="0" w:type="dxa"/>
            <w:right w:w="108" w:type="dxa"/>
          </w:tblCellMar>
        </w:tblPrEx>
        <w:trPr>
          <w:trHeight w:val="1953" w:hRule="atLeast"/>
          <w:jc w:val="center"/>
        </w:trPr>
        <w:tc>
          <w:tcPr>
            <w:tcW w:w="388" w:type="pct"/>
            <w:tcBorders>
              <w:top w:val="nil"/>
              <w:left w:val="single" w:color="auto" w:sz="4" w:space="0"/>
              <w:bottom w:val="single" w:color="auto" w:sz="4" w:space="0"/>
              <w:right w:val="single" w:color="auto" w:sz="4" w:space="0"/>
            </w:tcBorders>
            <w:noWrap w:val="0"/>
            <w:vAlign w:val="center"/>
          </w:tcPr>
          <w:p w14:paraId="12BD9533">
            <w:pPr>
              <w:widowControl/>
              <w:jc w:val="center"/>
              <w:rPr>
                <w:rFonts w:ascii="宋体" w:hAnsi="宋体" w:cs="宋体"/>
                <w:kern w:val="0"/>
                <w:szCs w:val="21"/>
              </w:rPr>
            </w:pPr>
            <w:r>
              <w:rPr>
                <w:rFonts w:hint="eastAsia" w:ascii="宋体" w:hAnsi="宋体" w:cs="宋体"/>
                <w:kern w:val="0"/>
                <w:szCs w:val="21"/>
              </w:rPr>
              <w:t>1</w:t>
            </w:r>
          </w:p>
        </w:tc>
        <w:tc>
          <w:tcPr>
            <w:tcW w:w="1200" w:type="pct"/>
            <w:tcBorders>
              <w:top w:val="nil"/>
              <w:left w:val="nil"/>
              <w:bottom w:val="single" w:color="auto" w:sz="4" w:space="0"/>
              <w:right w:val="single" w:color="auto" w:sz="4" w:space="0"/>
            </w:tcBorders>
            <w:noWrap w:val="0"/>
            <w:vAlign w:val="center"/>
          </w:tcPr>
          <w:p w14:paraId="5DBC3F9E">
            <w:pPr>
              <w:widowControl/>
              <w:jc w:val="left"/>
              <w:rPr>
                <w:rFonts w:hint="default" w:ascii="宋体" w:hAnsi="宋体" w:eastAsia="宋体"/>
                <w:szCs w:val="21"/>
                <w:lang w:val="en-US" w:eastAsia="zh-CN"/>
              </w:rPr>
            </w:pPr>
            <w:r>
              <w:rPr>
                <w:rFonts w:hint="eastAsia" w:ascii="宋体" w:hAnsi="宋体"/>
                <w:szCs w:val="21"/>
              </w:rPr>
              <w:t>支撑结算的湖仓一体化系统项目</w:t>
            </w:r>
            <w:r>
              <w:rPr>
                <w:rFonts w:hint="eastAsia" w:ascii="宋体" w:hAnsi="宋体"/>
                <w:szCs w:val="21"/>
                <w:lang w:eastAsia="zh-CN"/>
              </w:rPr>
              <w:t>（</w:t>
            </w:r>
            <w:r>
              <w:rPr>
                <w:rFonts w:hint="eastAsia" w:ascii="宋体" w:hAnsi="宋体"/>
                <w:szCs w:val="21"/>
                <w:lang w:val="en-US" w:eastAsia="zh-CN"/>
              </w:rPr>
              <w:t>一期）</w:t>
            </w:r>
          </w:p>
        </w:tc>
        <w:tc>
          <w:tcPr>
            <w:tcW w:w="1474" w:type="pct"/>
            <w:tcBorders>
              <w:top w:val="nil"/>
              <w:left w:val="single" w:color="auto" w:sz="4" w:space="0"/>
              <w:bottom w:val="single" w:color="000000" w:sz="4" w:space="0"/>
              <w:right w:val="single" w:color="auto" w:sz="4" w:space="0"/>
            </w:tcBorders>
            <w:noWrap w:val="0"/>
            <w:vAlign w:val="center"/>
          </w:tcPr>
          <w:p w14:paraId="1A60C894">
            <w:pPr>
              <w:widowControl/>
              <w:rPr>
                <w:rFonts w:hint="eastAsia"/>
              </w:rPr>
            </w:pPr>
            <w:r>
              <w:rPr>
                <w:rFonts w:hint="eastAsia"/>
              </w:rPr>
              <w:t>为全面支撑医院临床诊疗、运营管理及科研创新数字化转型战略，本项目拟规划并建设统一、安全、高效的医院级数据湖平台。项目旨在打破院内多源异构医疗信息系统间的数据壁垒，构建涵盖临床业务、医疗设备、教学管理、医院管理、患者服务等全领域数据的中心化存储与分析基座。通过标准化数据集成、治理与开放服务，本项目将形成高质量的数据资产，为提升医疗质量、优化运营效率、赋能精准医学研究及未来智慧医院应用提供坚实、可靠的核心数据支撑。</w:t>
            </w:r>
          </w:p>
        </w:tc>
        <w:tc>
          <w:tcPr>
            <w:tcW w:w="368" w:type="pct"/>
            <w:tcBorders>
              <w:top w:val="nil"/>
              <w:left w:val="single" w:color="auto" w:sz="4" w:space="0"/>
              <w:bottom w:val="single" w:color="000000" w:sz="4" w:space="0"/>
              <w:right w:val="single" w:color="auto" w:sz="4" w:space="0"/>
            </w:tcBorders>
            <w:noWrap w:val="0"/>
            <w:vAlign w:val="center"/>
          </w:tcPr>
          <w:p w14:paraId="39589886">
            <w:pPr>
              <w:widowControl/>
              <w:jc w:val="center"/>
              <w:rPr>
                <w:rFonts w:ascii="宋体" w:hAnsi="宋体" w:cs="宋体"/>
                <w:kern w:val="0"/>
                <w:szCs w:val="21"/>
              </w:rPr>
            </w:pPr>
            <w:r>
              <w:rPr>
                <w:rFonts w:hint="eastAsia" w:ascii="宋体" w:hAnsi="宋体" w:cs="宋体"/>
                <w:kern w:val="0"/>
                <w:szCs w:val="21"/>
              </w:rPr>
              <w:t>1</w:t>
            </w:r>
          </w:p>
        </w:tc>
        <w:tc>
          <w:tcPr>
            <w:tcW w:w="378" w:type="pct"/>
            <w:tcBorders>
              <w:top w:val="nil"/>
              <w:left w:val="single" w:color="auto" w:sz="4" w:space="0"/>
              <w:bottom w:val="single" w:color="000000" w:sz="4" w:space="0"/>
              <w:right w:val="single" w:color="auto" w:sz="4" w:space="0"/>
            </w:tcBorders>
            <w:noWrap w:val="0"/>
            <w:vAlign w:val="center"/>
          </w:tcPr>
          <w:p w14:paraId="0A24A298">
            <w:pPr>
              <w:widowControl/>
              <w:jc w:val="center"/>
              <w:rPr>
                <w:rFonts w:ascii="宋体" w:hAnsi="宋体" w:cs="宋体"/>
                <w:kern w:val="0"/>
                <w:szCs w:val="21"/>
              </w:rPr>
            </w:pPr>
            <w:r>
              <w:rPr>
                <w:rFonts w:hint="eastAsia" w:ascii="宋体" w:hAnsi="宋体" w:cs="宋体"/>
                <w:kern w:val="0"/>
                <w:szCs w:val="21"/>
              </w:rPr>
              <w:t>套</w:t>
            </w:r>
          </w:p>
        </w:tc>
        <w:tc>
          <w:tcPr>
            <w:tcW w:w="700" w:type="pct"/>
            <w:tcBorders>
              <w:top w:val="nil"/>
              <w:left w:val="nil"/>
              <w:bottom w:val="single" w:color="auto" w:sz="4" w:space="0"/>
              <w:right w:val="single" w:color="auto" w:sz="4" w:space="0"/>
            </w:tcBorders>
            <w:noWrap w:val="0"/>
            <w:vAlign w:val="center"/>
          </w:tcPr>
          <w:p w14:paraId="11E3C5AA">
            <w:pPr>
              <w:widowControl/>
              <w:jc w:val="center"/>
              <w:rPr>
                <w:rFonts w:hint="eastAsia" w:ascii="宋体" w:hAnsi="宋体" w:cs="宋体"/>
                <w:kern w:val="0"/>
                <w:szCs w:val="21"/>
              </w:rPr>
            </w:pPr>
          </w:p>
        </w:tc>
        <w:tc>
          <w:tcPr>
            <w:tcW w:w="489" w:type="pct"/>
            <w:tcBorders>
              <w:top w:val="nil"/>
              <w:left w:val="nil"/>
              <w:bottom w:val="single" w:color="auto" w:sz="4" w:space="0"/>
              <w:right w:val="single" w:color="auto" w:sz="4" w:space="0"/>
            </w:tcBorders>
            <w:noWrap w:val="0"/>
            <w:vAlign w:val="center"/>
          </w:tcPr>
          <w:p w14:paraId="21AABC91">
            <w:pPr>
              <w:widowControl/>
              <w:jc w:val="center"/>
              <w:rPr>
                <w:rFonts w:ascii="宋体" w:hAnsi="宋体" w:cs="宋体"/>
                <w:kern w:val="0"/>
                <w:szCs w:val="21"/>
              </w:rPr>
            </w:pPr>
          </w:p>
        </w:tc>
      </w:tr>
    </w:tbl>
    <w:p w14:paraId="21F61D06">
      <w:pPr>
        <w:spacing w:line="360" w:lineRule="auto"/>
        <w:rPr>
          <w:rFonts w:ascii="宋体" w:hAnsi="宋体" w:cs="宋体"/>
          <w:b/>
          <w:bCs/>
          <w:kern w:val="0"/>
          <w:sz w:val="28"/>
          <w:szCs w:val="28"/>
        </w:rPr>
      </w:pPr>
      <w:r>
        <w:rPr>
          <w:rFonts w:hint="eastAsia" w:ascii="宋体" w:hAnsi="宋体" w:cs="宋体"/>
          <w:b/>
          <w:bCs/>
          <w:kern w:val="0"/>
          <w:sz w:val="28"/>
          <w:szCs w:val="28"/>
        </w:rPr>
        <w:t>整体要求：</w:t>
      </w:r>
    </w:p>
    <w:p w14:paraId="15F00B95">
      <w:pPr>
        <w:spacing w:line="360" w:lineRule="auto"/>
        <w:ind w:firstLine="480"/>
        <w:rPr>
          <w:rFonts w:hint="eastAsia" w:ascii="宋体" w:hAnsi="宋体" w:cs="宋体"/>
          <w:sz w:val="24"/>
        </w:rPr>
      </w:pPr>
      <w:r>
        <w:rPr>
          <w:rFonts w:hint="eastAsia" w:ascii="宋体" w:hAnsi="宋体" w:cs="宋体"/>
          <w:sz w:val="24"/>
        </w:rPr>
        <w:t>全院统筹与实用性原则：以支撑医院临床诊疗、运营管理、科研创新数字化转型为核心目标，打破院内HIS、EMR、LIS、PACS、护理、运营、患者服务等多源异构系统数据壁垒，构建全院统一的数据基座，建设成果需直接落地临床、运营、科研等核心场景，避免技术与业务脱节，适配中山大学附属第七医院研究型医院发展定位与多院区建设规划。</w:t>
      </w:r>
    </w:p>
    <w:p w14:paraId="12C177A9">
      <w:pPr>
        <w:spacing w:line="360" w:lineRule="auto"/>
        <w:ind w:firstLine="480"/>
        <w:rPr>
          <w:rFonts w:hint="eastAsia" w:ascii="宋体" w:hAnsi="宋体" w:cs="宋体"/>
          <w:sz w:val="24"/>
        </w:rPr>
      </w:pPr>
      <w:r>
        <w:rPr>
          <w:rFonts w:hint="eastAsia" w:ascii="宋体" w:hAnsi="宋体" w:cs="宋体"/>
          <w:sz w:val="24"/>
        </w:rPr>
        <w:t>安全可控与连续可用原则：全面落实医疗数据全生命周期安全管控，遵循“数据不出院、隐私零风险”核心要求，同步适配已有的BI平台建设成果，满足医院核心业务指标迁移适配要求，支撑医院未来智慧医院应用连续可持续扩展。</w:t>
      </w:r>
    </w:p>
    <w:p w14:paraId="515F8FE8">
      <w:pPr>
        <w:spacing w:line="360" w:lineRule="auto"/>
        <w:ind w:firstLine="480"/>
        <w:rPr>
          <w:rFonts w:hint="eastAsia" w:ascii="宋体" w:hAnsi="宋体" w:cs="宋体"/>
          <w:sz w:val="24"/>
        </w:rPr>
      </w:pPr>
      <w:r>
        <w:rPr>
          <w:rFonts w:hint="eastAsia" w:ascii="宋体" w:hAnsi="宋体" w:cs="宋体"/>
          <w:sz w:val="24"/>
        </w:rPr>
        <w:t>先进性与可扩展性原则：采用云原生、分布式架构设计，兼顾技术前瞻性与落地可行性，支持算力、存储、功能模块的弹性扩展，可适配未来5年医院业务增长、系统迭代及科研创新需求，预留与省市全民健康信息平台的对接能力。</w:t>
      </w:r>
    </w:p>
    <w:p w14:paraId="0D6B5D9C">
      <w:pPr>
        <w:rPr>
          <w:rFonts w:hint="default" w:eastAsia="宋体"/>
          <w:b/>
          <w:bCs/>
          <w:sz w:val="28"/>
          <w:szCs w:val="36"/>
          <w:lang w:val="en-US" w:eastAsia="zh-CN"/>
        </w:rPr>
      </w:pPr>
      <w:r>
        <w:rPr>
          <w:rFonts w:hint="eastAsia" w:ascii="宋体" w:hAnsi="宋体" w:cs="宋体"/>
          <w:b/>
          <w:bCs/>
          <w:kern w:val="0"/>
          <w:sz w:val="28"/>
          <w:szCs w:val="28"/>
        </w:rPr>
        <w:t>（</w:t>
      </w:r>
      <w:r>
        <w:rPr>
          <w:rFonts w:hint="eastAsia" w:ascii="宋体" w:hAnsi="宋体" w:cs="宋体"/>
          <w:b/>
          <w:bCs/>
          <w:kern w:val="0"/>
          <w:sz w:val="28"/>
          <w:szCs w:val="28"/>
          <w:lang w:val="en-US" w:eastAsia="zh-CN"/>
        </w:rPr>
        <w:t>二</w:t>
      </w:r>
      <w:r>
        <w:rPr>
          <w:rFonts w:hint="eastAsia" w:ascii="宋体" w:hAnsi="宋体" w:cs="宋体"/>
          <w:b/>
          <w:bCs/>
          <w:kern w:val="0"/>
          <w:sz w:val="28"/>
          <w:szCs w:val="28"/>
        </w:rPr>
        <w:t>）</w:t>
      </w:r>
      <w:r>
        <w:rPr>
          <w:rFonts w:hint="eastAsia" w:ascii="宋体" w:hAnsi="宋体" w:cs="宋体"/>
          <w:b/>
          <w:bCs/>
          <w:kern w:val="0"/>
          <w:sz w:val="28"/>
          <w:szCs w:val="28"/>
          <w:lang w:val="en-US" w:eastAsia="zh-CN"/>
        </w:rPr>
        <w:t>商务要求</w:t>
      </w:r>
    </w:p>
    <w:tbl>
      <w:tblPr>
        <w:tblStyle w:val="43"/>
        <w:tblW w:w="88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1"/>
        <w:gridCol w:w="7557"/>
      </w:tblGrid>
      <w:tr w14:paraId="3FF23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91" w:type="dxa"/>
            <w:shd w:val="clear" w:color="auto" w:fill="FFFFFF"/>
            <w:vAlign w:val="center"/>
          </w:tcPr>
          <w:p w14:paraId="4DFD82C7">
            <w:pPr>
              <w:jc w:val="center"/>
              <w:rPr>
                <w:rFonts w:ascii="宋体" w:hAnsi="宋体" w:cs="宋体"/>
                <w:b/>
                <w:bCs/>
                <w:color w:val="auto"/>
                <w:sz w:val="24"/>
                <w:szCs w:val="24"/>
                <w:highlight w:val="none"/>
              </w:rPr>
            </w:pPr>
            <w:r>
              <w:rPr>
                <w:rFonts w:hint="eastAsia" w:ascii="宋体" w:hAnsi="宋体" w:cs="宋体"/>
                <w:b/>
                <w:bCs/>
                <w:color w:val="auto"/>
                <w:kern w:val="0"/>
                <w:sz w:val="24"/>
                <w:szCs w:val="24"/>
                <w:highlight w:val="none"/>
              </w:rPr>
              <w:t>需求名称</w:t>
            </w:r>
          </w:p>
        </w:tc>
        <w:tc>
          <w:tcPr>
            <w:tcW w:w="7557" w:type="dxa"/>
            <w:shd w:val="clear" w:color="auto" w:fill="FFFFFF"/>
            <w:vAlign w:val="center"/>
          </w:tcPr>
          <w:p w14:paraId="3D252BA3">
            <w:pPr>
              <w:jc w:val="center"/>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需求描述</w:t>
            </w:r>
          </w:p>
        </w:tc>
      </w:tr>
      <w:tr w14:paraId="4DEF1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291" w:type="dxa"/>
            <w:vAlign w:val="center"/>
          </w:tcPr>
          <w:p w14:paraId="7064488D">
            <w:pPr>
              <w:widowControl/>
              <w:jc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一、公司实力</w:t>
            </w:r>
          </w:p>
        </w:tc>
        <w:tc>
          <w:tcPr>
            <w:tcW w:w="7557" w:type="dxa"/>
            <w:vAlign w:val="center"/>
          </w:tcPr>
          <w:p w14:paraId="299E950F">
            <w:pPr>
              <w:pStyle w:val="142"/>
              <w:keepNext w:val="0"/>
              <w:keepLines w:val="0"/>
              <w:widowControl/>
              <w:suppressLineNumbers w:val="0"/>
              <w:shd w:val="clear" w:fill="FFFFFF"/>
              <w:spacing w:before="240" w:beforeAutospacing="0" w:after="240" w:afterAutospacing="0" w:line="360" w:lineRule="auto"/>
              <w:ind w:left="0" w:right="0"/>
              <w:rPr>
                <w:rFonts w:hint="eastAsia" w:ascii="宋体" w:hAnsi="宋体" w:eastAsia="宋体" w:cs="Times New Roman"/>
                <w:i w:val="0"/>
                <w:iCs w:val="0"/>
                <w:caps w:val="0"/>
                <w:color w:val="auto"/>
                <w:spacing w:val="10"/>
                <w:sz w:val="24"/>
                <w:szCs w:val="24"/>
                <w:highlight w:val="none"/>
              </w:rPr>
            </w:pPr>
            <w:r>
              <w:rPr>
                <w:rFonts w:hint="eastAsia" w:ascii="宋体" w:hAnsi="宋体" w:eastAsia="宋体" w:cs="Times New Roman"/>
                <w:i w:val="0"/>
                <w:iCs w:val="0"/>
                <w:caps w:val="0"/>
                <w:color w:val="auto"/>
                <w:spacing w:val="10"/>
                <w:sz w:val="24"/>
                <w:szCs w:val="24"/>
                <w:highlight w:val="none"/>
                <w:shd w:val="clear" w:fill="FFFFFF"/>
              </w:rPr>
              <w:t>1.1 </w:t>
            </w:r>
            <w:r>
              <w:rPr>
                <w:rFonts w:hint="eastAsia" w:ascii="宋体" w:hAnsi="宋体" w:eastAsia="宋体" w:cs="Times New Roman"/>
                <w:b w:val="0"/>
                <w:bCs/>
                <w:i w:val="0"/>
                <w:iCs w:val="0"/>
                <w:caps w:val="0"/>
                <w:color w:val="auto"/>
                <w:spacing w:val="10"/>
                <w:sz w:val="24"/>
                <w:szCs w:val="24"/>
                <w:highlight w:val="none"/>
                <w:shd w:val="clear" w:fill="FFFFFF"/>
              </w:rPr>
              <w:t>注册资本</w:t>
            </w:r>
            <w:r>
              <w:rPr>
                <w:rFonts w:hint="eastAsia" w:ascii="宋体" w:hAnsi="宋体" w:eastAsia="宋体" w:cs="Times New Roman"/>
                <w:i w:val="0"/>
                <w:iCs w:val="0"/>
                <w:caps w:val="0"/>
                <w:color w:val="auto"/>
                <w:spacing w:val="10"/>
                <w:sz w:val="24"/>
                <w:szCs w:val="24"/>
                <w:highlight w:val="none"/>
                <w:shd w:val="clear" w:fill="FFFFFF"/>
              </w:rPr>
              <w:t>：投标人注册资本不低于人民币1000万元（以营业执照为准）。</w:t>
            </w:r>
          </w:p>
          <w:p w14:paraId="02C21EFF">
            <w:pPr>
              <w:pStyle w:val="142"/>
              <w:keepNext w:val="0"/>
              <w:keepLines w:val="0"/>
              <w:widowControl/>
              <w:suppressLineNumbers w:val="0"/>
              <w:shd w:val="clear" w:fill="FFFFFF"/>
              <w:spacing w:before="240" w:beforeAutospacing="0" w:after="240" w:afterAutospacing="0" w:line="360" w:lineRule="auto"/>
              <w:ind w:left="0" w:right="0"/>
              <w:rPr>
                <w:rFonts w:hint="eastAsia" w:ascii="宋体" w:hAnsi="宋体" w:eastAsia="宋体" w:cs="Times New Roman"/>
                <w:i w:val="0"/>
                <w:iCs w:val="0"/>
                <w:caps w:val="0"/>
                <w:color w:val="auto"/>
                <w:spacing w:val="10"/>
                <w:sz w:val="24"/>
                <w:szCs w:val="24"/>
                <w:highlight w:val="none"/>
              </w:rPr>
            </w:pPr>
            <w:r>
              <w:rPr>
                <w:rFonts w:hint="eastAsia" w:ascii="宋体" w:hAnsi="宋体" w:eastAsia="宋体" w:cs="Times New Roman"/>
                <w:i w:val="0"/>
                <w:iCs w:val="0"/>
                <w:caps w:val="0"/>
                <w:color w:val="auto"/>
                <w:spacing w:val="10"/>
                <w:sz w:val="24"/>
                <w:szCs w:val="24"/>
                <w:highlight w:val="none"/>
                <w:shd w:val="clear" w:fill="FFFFFF"/>
              </w:rPr>
              <w:t>1.2 </w:t>
            </w:r>
            <w:r>
              <w:rPr>
                <w:rFonts w:hint="eastAsia" w:ascii="宋体" w:hAnsi="宋体" w:eastAsia="宋体" w:cs="Times New Roman"/>
                <w:b w:val="0"/>
                <w:bCs/>
                <w:i w:val="0"/>
                <w:iCs w:val="0"/>
                <w:caps w:val="0"/>
                <w:color w:val="auto"/>
                <w:spacing w:val="10"/>
                <w:sz w:val="24"/>
                <w:szCs w:val="24"/>
                <w:highlight w:val="none"/>
                <w:shd w:val="clear" w:fill="FFFFFF"/>
              </w:rPr>
              <w:t>员工总数</w:t>
            </w:r>
            <w:r>
              <w:rPr>
                <w:rFonts w:hint="eastAsia" w:ascii="宋体" w:hAnsi="宋体" w:eastAsia="宋体" w:cs="Times New Roman"/>
                <w:i w:val="0"/>
                <w:iCs w:val="0"/>
                <w:caps w:val="0"/>
                <w:color w:val="auto"/>
                <w:spacing w:val="10"/>
                <w:sz w:val="24"/>
                <w:szCs w:val="24"/>
                <w:highlight w:val="none"/>
                <w:shd w:val="clear" w:fill="FFFFFF"/>
              </w:rPr>
              <w:t>：投标人全职员工总数不少于200人，其中技术研发人员占比不低于60%。须提供投标截止时间前最近6个月内任意一个月的社保缴纳证明（各地社保部门出具的参保人员名单或社保系统截图），证明材料须清晰显示参保人数、缴纳单位名称及缴纳月份。</w:t>
            </w:r>
          </w:p>
          <w:p w14:paraId="7D87FD00">
            <w:pPr>
              <w:pStyle w:val="142"/>
              <w:keepNext w:val="0"/>
              <w:keepLines w:val="0"/>
              <w:widowControl/>
              <w:suppressLineNumbers w:val="0"/>
              <w:shd w:val="clear" w:fill="FFFFFF"/>
              <w:spacing w:before="240" w:beforeAutospacing="0" w:after="240" w:afterAutospacing="0" w:line="360" w:lineRule="auto"/>
              <w:ind w:left="0" w:right="0"/>
              <w:rPr>
                <w:rFonts w:hint="eastAsia" w:ascii="宋体" w:hAnsi="宋体" w:eastAsia="宋体" w:cs="Times New Roman"/>
                <w:i w:val="0"/>
                <w:iCs w:val="0"/>
                <w:caps w:val="0"/>
                <w:color w:val="auto"/>
                <w:spacing w:val="10"/>
                <w:sz w:val="24"/>
                <w:szCs w:val="24"/>
                <w:highlight w:val="none"/>
              </w:rPr>
            </w:pPr>
            <w:r>
              <w:rPr>
                <w:rFonts w:hint="eastAsia" w:ascii="宋体" w:hAnsi="宋体" w:eastAsia="宋体" w:cs="Times New Roman"/>
                <w:i w:val="0"/>
                <w:iCs w:val="0"/>
                <w:caps w:val="0"/>
                <w:color w:val="auto"/>
                <w:spacing w:val="10"/>
                <w:sz w:val="24"/>
                <w:szCs w:val="24"/>
                <w:highlight w:val="none"/>
                <w:shd w:val="clear" w:fill="FFFFFF"/>
              </w:rPr>
              <w:t>1.3 </w:t>
            </w:r>
            <w:r>
              <w:rPr>
                <w:rFonts w:hint="eastAsia" w:ascii="宋体" w:hAnsi="宋体" w:eastAsia="宋体" w:cs="Times New Roman"/>
                <w:b w:val="0"/>
                <w:bCs/>
                <w:i w:val="0"/>
                <w:iCs w:val="0"/>
                <w:caps w:val="0"/>
                <w:color w:val="auto"/>
                <w:spacing w:val="10"/>
                <w:sz w:val="24"/>
                <w:szCs w:val="24"/>
                <w:highlight w:val="none"/>
                <w:shd w:val="clear" w:fill="FFFFFF"/>
              </w:rPr>
              <w:t>财务状况</w:t>
            </w:r>
            <w:r>
              <w:rPr>
                <w:rFonts w:hint="eastAsia" w:ascii="宋体" w:hAnsi="宋体" w:eastAsia="宋体" w:cs="Times New Roman"/>
                <w:i w:val="0"/>
                <w:iCs w:val="0"/>
                <w:caps w:val="0"/>
                <w:color w:val="auto"/>
                <w:spacing w:val="10"/>
                <w:sz w:val="24"/>
                <w:szCs w:val="24"/>
                <w:highlight w:val="none"/>
                <w:shd w:val="clear" w:fill="FFFFFF"/>
              </w:rPr>
              <w:t>：投标人须提供近三年（2023—2025年度）经具备资质的会计师事务所审计的财务审计报告（含资产负债表、利润表、现金流量表及审计意见</w:t>
            </w:r>
            <w:r>
              <w:rPr>
                <w:rFonts w:hint="eastAsia" w:ascii="宋体" w:hAnsi="宋体" w:eastAsia="宋体" w:cs="Times New Roman"/>
                <w:i w:val="0"/>
                <w:iCs w:val="0"/>
                <w:caps w:val="0"/>
                <w:color w:val="auto"/>
                <w:spacing w:val="10"/>
                <w:sz w:val="24"/>
                <w:szCs w:val="24"/>
                <w:highlight w:val="none"/>
                <w:shd w:val="clear"/>
                <w:lang w:val="en-US" w:eastAsia="zh-CN"/>
              </w:rPr>
              <w:t>盖章</w:t>
            </w:r>
            <w:r>
              <w:rPr>
                <w:rFonts w:hint="eastAsia" w:ascii="宋体" w:hAnsi="宋体" w:eastAsia="宋体" w:cs="Times New Roman"/>
                <w:i w:val="0"/>
                <w:iCs w:val="0"/>
                <w:caps w:val="0"/>
                <w:color w:val="auto"/>
                <w:spacing w:val="10"/>
                <w:sz w:val="24"/>
                <w:szCs w:val="24"/>
                <w:highlight w:val="none"/>
                <w:shd w:val="clear" w:fill="FFFFFF"/>
              </w:rPr>
              <w:t>页</w:t>
            </w:r>
            <w:r>
              <w:rPr>
                <w:rFonts w:hint="eastAsia" w:ascii="宋体" w:hAnsi="宋体" w:eastAsia="宋体" w:cs="Times New Roman"/>
                <w:i w:val="0"/>
                <w:iCs w:val="0"/>
                <w:caps w:val="0"/>
                <w:color w:val="auto"/>
                <w:spacing w:val="10"/>
                <w:sz w:val="24"/>
                <w:szCs w:val="24"/>
                <w:highlight w:val="none"/>
                <w:shd w:val="clear"/>
                <w:lang w:eastAsia="zh-CN"/>
              </w:rPr>
              <w:t>（</w:t>
            </w:r>
            <w:r>
              <w:rPr>
                <w:rFonts w:hint="eastAsia" w:ascii="宋体" w:hAnsi="宋体" w:eastAsia="宋体" w:cs="Times New Roman"/>
                <w:i w:val="0"/>
                <w:iCs w:val="0"/>
                <w:caps w:val="0"/>
                <w:color w:val="auto"/>
                <w:spacing w:val="10"/>
                <w:sz w:val="24"/>
                <w:szCs w:val="24"/>
                <w:highlight w:val="none"/>
                <w:shd w:val="clear"/>
                <w:lang w:val="en-US" w:eastAsia="zh-CN"/>
              </w:rPr>
              <w:t>如有</w:t>
            </w:r>
            <w:r>
              <w:rPr>
                <w:rFonts w:hint="eastAsia" w:ascii="宋体" w:hAnsi="宋体" w:eastAsia="宋体" w:cs="Times New Roman"/>
                <w:i w:val="0"/>
                <w:iCs w:val="0"/>
                <w:caps w:val="0"/>
                <w:color w:val="auto"/>
                <w:spacing w:val="10"/>
                <w:sz w:val="24"/>
                <w:szCs w:val="24"/>
                <w:highlight w:val="none"/>
                <w:shd w:val="clear" w:fill="FFFFFF"/>
              </w:rPr>
              <w:t>）。</w:t>
            </w:r>
          </w:p>
          <w:p w14:paraId="4DB8D393">
            <w:pPr>
              <w:pStyle w:val="142"/>
              <w:keepNext w:val="0"/>
              <w:keepLines w:val="0"/>
              <w:widowControl/>
              <w:suppressLineNumbers w:val="0"/>
              <w:shd w:val="clear" w:fill="FFFFFF"/>
              <w:spacing w:before="240" w:beforeAutospacing="0" w:after="240" w:afterAutospacing="0" w:line="360" w:lineRule="auto"/>
              <w:ind w:left="0" w:right="0"/>
              <w:rPr>
                <w:rFonts w:hint="eastAsia" w:ascii="宋体" w:hAnsi="宋体" w:eastAsia="宋体" w:cs="Times New Roman"/>
                <w:i w:val="0"/>
                <w:iCs w:val="0"/>
                <w:caps w:val="0"/>
                <w:color w:val="auto"/>
                <w:spacing w:val="10"/>
                <w:sz w:val="24"/>
                <w:szCs w:val="24"/>
                <w:highlight w:val="none"/>
              </w:rPr>
            </w:pPr>
            <w:r>
              <w:rPr>
                <w:rFonts w:hint="eastAsia" w:ascii="宋体" w:hAnsi="宋体" w:eastAsia="宋体" w:cs="Times New Roman"/>
                <w:i w:val="0"/>
                <w:iCs w:val="0"/>
                <w:caps w:val="0"/>
                <w:color w:val="auto"/>
                <w:spacing w:val="10"/>
                <w:sz w:val="24"/>
                <w:szCs w:val="24"/>
                <w:highlight w:val="none"/>
                <w:shd w:val="clear" w:fill="FFFFFF"/>
              </w:rPr>
              <w:t>1.4 </w:t>
            </w:r>
            <w:r>
              <w:rPr>
                <w:rFonts w:hint="eastAsia" w:ascii="宋体" w:hAnsi="宋体" w:eastAsia="宋体" w:cs="Times New Roman"/>
                <w:b w:val="0"/>
                <w:bCs/>
                <w:i w:val="0"/>
                <w:iCs w:val="0"/>
                <w:caps w:val="0"/>
                <w:color w:val="auto"/>
                <w:spacing w:val="10"/>
                <w:sz w:val="24"/>
                <w:szCs w:val="24"/>
                <w:highlight w:val="none"/>
                <w:shd w:val="clear" w:fill="FFFFFF"/>
              </w:rPr>
              <w:t>经营年限</w:t>
            </w:r>
            <w:r>
              <w:rPr>
                <w:rFonts w:hint="eastAsia" w:ascii="宋体" w:hAnsi="宋体" w:eastAsia="宋体" w:cs="Times New Roman"/>
                <w:i w:val="0"/>
                <w:iCs w:val="0"/>
                <w:caps w:val="0"/>
                <w:color w:val="auto"/>
                <w:spacing w:val="10"/>
                <w:sz w:val="24"/>
                <w:szCs w:val="24"/>
                <w:highlight w:val="none"/>
                <w:shd w:val="clear" w:fill="FFFFFF"/>
              </w:rPr>
              <w:t>：投标人从事医疗信息化或大数据平台建设相关业务不少于5年（以首份医疗信息化或大数据类项目合同签订日期为准</w:t>
            </w:r>
            <w:r>
              <w:rPr>
                <w:rFonts w:hint="eastAsia" w:ascii="宋体" w:hAnsi="宋体" w:eastAsia="宋体" w:cs="Times New Roman"/>
                <w:i w:val="0"/>
                <w:iCs w:val="0"/>
                <w:caps w:val="0"/>
                <w:color w:val="auto"/>
                <w:spacing w:val="10"/>
                <w:sz w:val="24"/>
                <w:szCs w:val="24"/>
                <w:highlight w:val="none"/>
                <w:shd w:val="clear"/>
                <w:lang w:eastAsia="zh-CN"/>
              </w:rPr>
              <w:t>，</w:t>
            </w:r>
            <w:r>
              <w:rPr>
                <w:rFonts w:hint="eastAsia" w:ascii="宋体" w:hAnsi="宋体" w:eastAsia="宋体" w:cs="Times New Roman"/>
                <w:i w:val="0"/>
                <w:iCs w:val="0"/>
                <w:caps w:val="0"/>
                <w:color w:val="auto"/>
                <w:spacing w:val="10"/>
                <w:sz w:val="24"/>
                <w:szCs w:val="24"/>
                <w:highlight w:val="none"/>
                <w:shd w:val="clear"/>
                <w:lang w:val="en-US" w:eastAsia="zh-CN"/>
              </w:rPr>
              <w:t>并提供证明材料</w:t>
            </w:r>
            <w:r>
              <w:rPr>
                <w:rFonts w:hint="eastAsia" w:ascii="宋体" w:hAnsi="宋体" w:eastAsia="宋体" w:cs="Times New Roman"/>
                <w:i w:val="0"/>
                <w:iCs w:val="0"/>
                <w:caps w:val="0"/>
                <w:color w:val="auto"/>
                <w:spacing w:val="10"/>
                <w:sz w:val="24"/>
                <w:szCs w:val="24"/>
                <w:highlight w:val="none"/>
                <w:shd w:val="clear" w:fill="FFFFFF"/>
              </w:rPr>
              <w:t>）。</w:t>
            </w:r>
          </w:p>
          <w:p w14:paraId="7E9313A9">
            <w:pPr>
              <w:pStyle w:val="142"/>
              <w:spacing w:line="360" w:lineRule="auto"/>
              <w:rPr>
                <w:rFonts w:hint="eastAsia" w:ascii="宋体" w:hAnsi="宋体" w:eastAsia="宋体" w:cs="Times New Roman"/>
                <w:i w:val="0"/>
                <w:iCs w:val="0"/>
                <w:caps w:val="0"/>
                <w:color w:val="auto"/>
                <w:spacing w:val="10"/>
                <w:sz w:val="24"/>
                <w:szCs w:val="24"/>
                <w:highlight w:val="none"/>
                <w:shd w:val="clear"/>
              </w:rPr>
            </w:pPr>
            <w:r>
              <w:rPr>
                <w:rFonts w:hint="eastAsia" w:ascii="宋体" w:hAnsi="宋体" w:eastAsia="宋体" w:cs="Times New Roman"/>
                <w:i w:val="0"/>
                <w:iCs w:val="0"/>
                <w:caps w:val="0"/>
                <w:color w:val="auto"/>
                <w:spacing w:val="10"/>
                <w:sz w:val="24"/>
                <w:szCs w:val="24"/>
                <w:highlight w:val="none"/>
                <w:shd w:val="clear" w:fill="auto"/>
              </w:rPr>
              <w:t>1.5 </w:t>
            </w:r>
            <w:r>
              <w:rPr>
                <w:rFonts w:hint="eastAsia" w:ascii="宋体" w:hAnsi="宋体" w:eastAsia="宋体" w:cs="Times New Roman"/>
                <w:b w:val="0"/>
                <w:bCs/>
                <w:i w:val="0"/>
                <w:iCs w:val="0"/>
                <w:caps w:val="0"/>
                <w:color w:val="auto"/>
                <w:spacing w:val="10"/>
                <w:sz w:val="24"/>
                <w:szCs w:val="24"/>
                <w:highlight w:val="none"/>
                <w:shd w:val="clear" w:fill="auto"/>
              </w:rPr>
              <w:t>上市情况</w:t>
            </w:r>
            <w:r>
              <w:rPr>
                <w:rFonts w:hint="eastAsia" w:ascii="宋体" w:hAnsi="宋体" w:eastAsia="宋体" w:cs="Times New Roman"/>
                <w:i w:val="0"/>
                <w:iCs w:val="0"/>
                <w:caps w:val="0"/>
                <w:color w:val="auto"/>
                <w:spacing w:val="10"/>
                <w:sz w:val="24"/>
                <w:szCs w:val="24"/>
                <w:highlight w:val="none"/>
                <w:shd w:val="clear" w:fill="auto"/>
              </w:rPr>
              <w:t>：投标人如为上市公司，须提供证券简称及代码，并在投标文件中附上市公司证明材料。非上市公司须说明股权结构及主要股东情况。</w:t>
            </w:r>
          </w:p>
          <w:p w14:paraId="6AF4B435">
            <w:pPr>
              <w:pStyle w:val="142"/>
              <w:keepNext w:val="0"/>
              <w:keepLines w:val="0"/>
              <w:widowControl/>
              <w:suppressLineNumbers w:val="0"/>
              <w:shd w:val="clear" w:fill="FFFFFF"/>
              <w:spacing w:before="240" w:beforeAutospacing="0" w:after="240" w:afterAutospacing="0" w:line="360" w:lineRule="auto"/>
              <w:ind w:left="0" w:right="0"/>
              <w:rPr>
                <w:rFonts w:hint="eastAsia" w:ascii="宋体" w:hAnsi="宋体" w:eastAsia="宋体" w:cs="Times New Roman"/>
                <w:i w:val="0"/>
                <w:iCs w:val="0"/>
                <w:caps w:val="0"/>
                <w:color w:val="auto"/>
                <w:spacing w:val="10"/>
                <w:sz w:val="24"/>
                <w:szCs w:val="24"/>
                <w:highlight w:val="none"/>
              </w:rPr>
            </w:pPr>
            <w:r>
              <w:rPr>
                <w:rFonts w:hint="eastAsia" w:ascii="宋体" w:hAnsi="宋体" w:eastAsia="宋体" w:cs="Times New Roman"/>
                <w:i w:val="0"/>
                <w:iCs w:val="0"/>
                <w:caps w:val="0"/>
                <w:color w:val="auto"/>
                <w:spacing w:val="10"/>
                <w:sz w:val="24"/>
                <w:szCs w:val="24"/>
                <w:highlight w:val="none"/>
                <w:shd w:val="clear"/>
                <w:lang w:val="en-US" w:eastAsia="zh-CN"/>
              </w:rPr>
              <w:t>1.6 成功案例：</w:t>
            </w:r>
            <w:r>
              <w:rPr>
                <w:rFonts w:hint="eastAsia" w:ascii="宋体" w:hAnsi="宋体" w:eastAsia="宋体" w:cs="Times New Roman"/>
                <w:i w:val="0"/>
                <w:iCs w:val="0"/>
                <w:caps w:val="0"/>
                <w:color w:val="auto"/>
                <w:spacing w:val="10"/>
                <w:sz w:val="24"/>
                <w:szCs w:val="24"/>
                <w:highlight w:val="none"/>
                <w:shd w:val="clear" w:fill="FFFFFF"/>
              </w:rPr>
              <w:t>投标人须提供近三年内完成的医疗行业数据平台类项目（包括但不限于数据湖、数据仓库、数据中台、湖仓一体、数据中心、数据治理等同类项目）的案例。案例医疗机构须为三级甲等医院同等规模医疗机构。投标人须提供</w:t>
            </w:r>
            <w:r>
              <w:rPr>
                <w:rFonts w:hint="eastAsia" w:ascii="宋体" w:hAnsi="宋体" w:eastAsia="宋体" w:cs="Times New Roman"/>
                <w:i w:val="0"/>
                <w:iCs w:val="0"/>
                <w:caps w:val="0"/>
                <w:color w:val="auto"/>
                <w:spacing w:val="10"/>
                <w:sz w:val="24"/>
                <w:szCs w:val="24"/>
                <w:highlight w:val="none"/>
                <w:shd w:val="clear" w:fill="FFFFFF"/>
                <w:lang w:val="en-US" w:eastAsia="zh-CN"/>
              </w:rPr>
              <w:t>相关</w:t>
            </w:r>
            <w:r>
              <w:rPr>
                <w:rFonts w:hint="eastAsia" w:ascii="宋体" w:hAnsi="宋体" w:eastAsia="宋体" w:cs="Times New Roman"/>
                <w:i w:val="0"/>
                <w:iCs w:val="0"/>
                <w:caps w:val="0"/>
                <w:color w:val="auto"/>
                <w:spacing w:val="10"/>
                <w:sz w:val="24"/>
                <w:szCs w:val="24"/>
                <w:highlight w:val="none"/>
                <w:shd w:val="clear" w:fill="FFFFFF"/>
              </w:rPr>
              <w:t>证明材料</w:t>
            </w:r>
            <w:r>
              <w:rPr>
                <w:rFonts w:hint="eastAsia" w:ascii="宋体" w:hAnsi="宋体" w:eastAsia="宋体" w:cs="Times New Roman"/>
                <w:i w:val="0"/>
                <w:iCs w:val="0"/>
                <w:caps w:val="0"/>
                <w:color w:val="auto"/>
                <w:spacing w:val="10"/>
                <w:sz w:val="24"/>
                <w:szCs w:val="24"/>
                <w:highlight w:val="none"/>
                <w:shd w:val="clear" w:fill="FFFFFF"/>
                <w:lang w:eastAsia="zh-CN"/>
              </w:rPr>
              <w:t>（</w:t>
            </w:r>
            <w:r>
              <w:rPr>
                <w:rFonts w:hint="eastAsia" w:ascii="宋体" w:hAnsi="宋体" w:eastAsia="宋体" w:cs="Times New Roman"/>
                <w:b w:val="0"/>
                <w:bCs/>
                <w:i w:val="0"/>
                <w:iCs w:val="0"/>
                <w:caps w:val="0"/>
                <w:color w:val="auto"/>
                <w:spacing w:val="10"/>
                <w:sz w:val="24"/>
                <w:szCs w:val="24"/>
                <w:highlight w:val="none"/>
                <w:shd w:val="clear" w:fill="FFFFFF"/>
              </w:rPr>
              <w:t>合同关键页复印</w:t>
            </w:r>
            <w:r>
              <w:rPr>
                <w:rFonts w:hint="eastAsia" w:ascii="宋体" w:hAnsi="宋体" w:eastAsia="宋体" w:cs="Times New Roman"/>
                <w:b w:val="0"/>
                <w:bCs/>
                <w:i w:val="0"/>
                <w:iCs w:val="0"/>
                <w:caps w:val="0"/>
                <w:color w:val="auto"/>
                <w:spacing w:val="10"/>
                <w:sz w:val="24"/>
                <w:szCs w:val="24"/>
                <w:highlight w:val="none"/>
                <w:shd w:val="clear" w:fill="FFFFFF"/>
                <w:lang w:val="en-US" w:eastAsia="zh-CN"/>
              </w:rPr>
              <w:t>件、</w:t>
            </w:r>
            <w:r>
              <w:rPr>
                <w:rFonts w:hint="eastAsia" w:ascii="宋体" w:hAnsi="宋体" w:eastAsia="宋体" w:cs="Times New Roman"/>
                <w:i w:val="0"/>
                <w:iCs w:val="0"/>
                <w:caps w:val="0"/>
                <w:color w:val="auto"/>
                <w:spacing w:val="10"/>
                <w:sz w:val="24"/>
                <w:szCs w:val="24"/>
                <w:highlight w:val="none"/>
                <w:shd w:val="clear" w:fill="FFFFFF"/>
              </w:rPr>
              <w:t> </w:t>
            </w:r>
            <w:r>
              <w:rPr>
                <w:rFonts w:hint="eastAsia" w:ascii="宋体" w:hAnsi="宋体" w:eastAsia="宋体" w:cs="Times New Roman"/>
                <w:b w:val="0"/>
                <w:bCs/>
                <w:i w:val="0"/>
                <w:iCs w:val="0"/>
                <w:caps w:val="0"/>
                <w:color w:val="auto"/>
                <w:spacing w:val="10"/>
                <w:sz w:val="24"/>
                <w:szCs w:val="24"/>
                <w:highlight w:val="none"/>
                <w:shd w:val="clear" w:fill="FFFFFF"/>
              </w:rPr>
              <w:t>验收报告或验收证明文件</w:t>
            </w:r>
            <w:r>
              <w:rPr>
                <w:rFonts w:hint="eastAsia" w:ascii="宋体" w:hAnsi="宋体" w:eastAsia="宋体" w:cs="Times New Roman"/>
                <w:i w:val="0"/>
                <w:iCs w:val="0"/>
                <w:caps w:val="0"/>
                <w:color w:val="auto"/>
                <w:spacing w:val="10"/>
                <w:sz w:val="24"/>
                <w:szCs w:val="24"/>
                <w:highlight w:val="none"/>
                <w:shd w:val="clear" w:fill="FFFFFF"/>
                <w:lang w:eastAsia="zh-CN"/>
              </w:rPr>
              <w:t>、</w:t>
            </w:r>
            <w:r>
              <w:rPr>
                <w:rFonts w:hint="eastAsia" w:ascii="宋体" w:hAnsi="宋体" w:eastAsia="宋体" w:cs="Times New Roman"/>
                <w:i w:val="0"/>
                <w:iCs w:val="0"/>
                <w:caps w:val="0"/>
                <w:color w:val="auto"/>
                <w:spacing w:val="10"/>
                <w:sz w:val="24"/>
                <w:szCs w:val="24"/>
                <w:highlight w:val="none"/>
                <w:shd w:val="clear" w:fill="FFFFFF"/>
              </w:rPr>
              <w:t> </w:t>
            </w:r>
            <w:r>
              <w:rPr>
                <w:rFonts w:hint="eastAsia" w:ascii="宋体" w:hAnsi="宋体" w:eastAsia="宋体" w:cs="Times New Roman"/>
                <w:b w:val="0"/>
                <w:bCs/>
                <w:i w:val="0"/>
                <w:iCs w:val="0"/>
                <w:caps w:val="0"/>
                <w:color w:val="auto"/>
                <w:spacing w:val="10"/>
                <w:sz w:val="24"/>
                <w:szCs w:val="24"/>
                <w:highlight w:val="none"/>
                <w:shd w:val="clear" w:fill="FFFFFF"/>
              </w:rPr>
              <w:t>系统上线截图或用户使用证明</w:t>
            </w:r>
            <w:r>
              <w:rPr>
                <w:rFonts w:hint="eastAsia" w:ascii="宋体" w:hAnsi="宋体" w:eastAsia="宋体" w:cs="Times New Roman"/>
                <w:b w:val="0"/>
                <w:bCs/>
                <w:i w:val="0"/>
                <w:iCs w:val="0"/>
                <w:caps w:val="0"/>
                <w:color w:val="auto"/>
                <w:spacing w:val="10"/>
                <w:sz w:val="24"/>
                <w:szCs w:val="24"/>
                <w:highlight w:val="none"/>
                <w:shd w:val="clear" w:fill="FFFFFF"/>
                <w:lang w:eastAsia="zh-CN"/>
              </w:rPr>
              <w:t>），</w:t>
            </w:r>
            <w:r>
              <w:rPr>
                <w:rFonts w:hint="eastAsia" w:ascii="宋体" w:hAnsi="宋体" w:eastAsia="宋体" w:cs="Times New Roman"/>
                <w:i w:val="0"/>
                <w:iCs w:val="0"/>
                <w:caps w:val="0"/>
                <w:color w:val="auto"/>
                <w:spacing w:val="10"/>
                <w:sz w:val="24"/>
                <w:szCs w:val="24"/>
                <w:highlight w:val="none"/>
                <w:shd w:val="clear" w:fill="FFFFFF"/>
              </w:rPr>
              <w:t>须能证明项目已实际部署并投入使用。</w:t>
            </w:r>
          </w:p>
          <w:p w14:paraId="414250CA">
            <w:pPr>
              <w:pStyle w:val="142"/>
              <w:spacing w:line="360" w:lineRule="auto"/>
              <w:rPr>
                <w:rFonts w:hint="default" w:ascii="宋体" w:hAnsi="宋体"/>
                <w:color w:val="auto"/>
                <w:sz w:val="24"/>
                <w:szCs w:val="24"/>
                <w:highlight w:val="none"/>
                <w:lang w:val="en-US" w:eastAsia="zh-CN"/>
              </w:rPr>
            </w:pPr>
            <w:r>
              <w:rPr>
                <w:rFonts w:hint="eastAsia" w:ascii="宋体" w:hAnsi="宋体" w:eastAsia="宋体" w:cs="Times New Roman"/>
                <w:b w:val="0"/>
                <w:bCs/>
                <w:i w:val="0"/>
                <w:iCs w:val="0"/>
                <w:caps w:val="0"/>
                <w:color w:val="auto"/>
                <w:spacing w:val="10"/>
                <w:sz w:val="24"/>
                <w:szCs w:val="24"/>
                <w:highlight w:val="none"/>
                <w:shd w:val="clear"/>
                <w:lang w:eastAsia="zh-CN"/>
              </w:rPr>
              <w:t>（</w:t>
            </w:r>
            <w:r>
              <w:rPr>
                <w:rFonts w:hint="eastAsia" w:ascii="宋体" w:hAnsi="宋体" w:eastAsia="宋体" w:cs="Times New Roman"/>
                <w:b/>
                <w:bCs w:val="0"/>
                <w:i w:val="0"/>
                <w:iCs w:val="0"/>
                <w:caps w:val="0"/>
                <w:color w:val="auto"/>
                <w:spacing w:val="10"/>
                <w:sz w:val="24"/>
                <w:szCs w:val="24"/>
                <w:highlight w:val="none"/>
                <w:shd w:val="clear" w:fill="auto"/>
              </w:rPr>
              <w:t>关于证明材料真实性的特别声明</w:t>
            </w:r>
            <w:r>
              <w:rPr>
                <w:rFonts w:hint="eastAsia" w:ascii="宋体" w:hAnsi="宋体" w:eastAsia="宋体" w:cs="Times New Roman"/>
                <w:i w:val="0"/>
                <w:iCs w:val="0"/>
                <w:caps w:val="0"/>
                <w:color w:val="auto"/>
                <w:spacing w:val="10"/>
                <w:sz w:val="24"/>
                <w:szCs w:val="24"/>
                <w:highlight w:val="none"/>
                <w:shd w:val="clear" w:fill="auto"/>
              </w:rPr>
              <w:t>：投标人须对所提供案例证明材料的真实性承担法律责任。采购人保留在评审过程中进行核实的权利，包括但不限于通过电话、函件方式与案例业主单位核实项目合同金额及履行情况。一旦发现虚假材料，按废标处理，并列入不良行为记录名单。</w:t>
            </w:r>
            <w:r>
              <w:rPr>
                <w:rFonts w:hint="eastAsia" w:ascii="宋体" w:hAnsi="宋体" w:eastAsia="宋体" w:cs="Times New Roman"/>
                <w:i w:val="0"/>
                <w:iCs w:val="0"/>
                <w:caps w:val="0"/>
                <w:color w:val="auto"/>
                <w:spacing w:val="10"/>
                <w:sz w:val="24"/>
                <w:szCs w:val="24"/>
                <w:highlight w:val="none"/>
                <w:shd w:val="clear"/>
                <w:lang w:eastAsia="zh-CN"/>
              </w:rPr>
              <w:t>）</w:t>
            </w:r>
          </w:p>
        </w:tc>
      </w:tr>
      <w:tr w14:paraId="4CD54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291" w:type="dxa"/>
            <w:shd w:val="clear" w:color="auto" w:fill="auto"/>
            <w:vAlign w:val="center"/>
          </w:tcPr>
          <w:p w14:paraId="431914B5">
            <w:pPr>
              <w:widowControl/>
              <w:jc w:val="center"/>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rPr>
              <w:t>二、实施要求</w:t>
            </w:r>
          </w:p>
        </w:tc>
        <w:tc>
          <w:tcPr>
            <w:tcW w:w="7557" w:type="dxa"/>
            <w:shd w:val="clear" w:color="auto" w:fill="auto"/>
            <w:vAlign w:val="center"/>
          </w:tcPr>
          <w:p w14:paraId="461CC0C4">
            <w:pPr>
              <w:pStyle w:val="142"/>
              <w:spacing w:line="360" w:lineRule="auto"/>
              <w:rPr>
                <w:rFonts w:hint="default" w:ascii="Segoe UI" w:hAnsi="Segoe UI" w:eastAsia="宋体" w:cs="Segoe UI"/>
                <w:i w:val="0"/>
                <w:iCs w:val="0"/>
                <w:caps w:val="0"/>
                <w:color w:val="0F1115"/>
                <w:spacing w:val="0"/>
                <w:sz w:val="24"/>
                <w:szCs w:val="24"/>
                <w:shd w:val="clear" w:fill="FFFFFF"/>
                <w:lang w:val="en-US" w:eastAsia="zh-CN"/>
              </w:rPr>
            </w:pPr>
            <w:r>
              <w:rPr>
                <w:rFonts w:ascii="Segoe UI" w:hAnsi="Segoe UI" w:eastAsia="Segoe UI" w:cs="Segoe UI"/>
                <w:i w:val="0"/>
                <w:iCs w:val="0"/>
                <w:caps w:val="0"/>
                <w:color w:val="0F1115"/>
                <w:spacing w:val="0"/>
                <w:sz w:val="24"/>
                <w:szCs w:val="24"/>
                <w:shd w:val="clear" w:fill="FFFFFF"/>
              </w:rPr>
              <w:t>投标人须提供详细的项目</w:t>
            </w:r>
            <w:r>
              <w:rPr>
                <w:rFonts w:hint="eastAsia" w:ascii="Segoe UI" w:hAnsi="Segoe UI" w:eastAsia="宋体" w:cs="Segoe UI"/>
                <w:i w:val="0"/>
                <w:iCs w:val="0"/>
                <w:caps w:val="0"/>
                <w:color w:val="0F1115"/>
                <w:spacing w:val="0"/>
                <w:sz w:val="24"/>
                <w:szCs w:val="24"/>
                <w:shd w:val="clear" w:fill="FFFFFF"/>
                <w:lang w:val="en-US" w:eastAsia="zh-CN"/>
              </w:rPr>
              <w:t>实施方案和单列的专项数据治理方案，以下内容为必选项，要求如下：</w:t>
            </w:r>
          </w:p>
          <w:p w14:paraId="4A05A7DC">
            <w:pPr>
              <w:pStyle w:val="142"/>
              <w:spacing w:line="360" w:lineRule="auto"/>
              <w:rPr>
                <w:rFonts w:ascii="Segoe UI" w:hAnsi="Segoe UI" w:eastAsia="Segoe UI" w:cs="Segoe UI"/>
                <w:i w:val="0"/>
                <w:iCs w:val="0"/>
                <w:caps w:val="0"/>
                <w:color w:val="0F1115"/>
                <w:spacing w:val="0"/>
                <w:sz w:val="24"/>
                <w:szCs w:val="24"/>
                <w:shd w:val="clear" w:fill="FFFFFF"/>
              </w:rPr>
            </w:pPr>
            <w:r>
              <w:rPr>
                <w:rFonts w:hint="eastAsia" w:ascii="Segoe UI" w:hAnsi="Segoe UI" w:eastAsia="宋体" w:cs="Segoe UI"/>
                <w:b/>
                <w:bCs w:val="0"/>
                <w:i w:val="0"/>
                <w:iCs w:val="0"/>
                <w:caps w:val="0"/>
                <w:color w:val="0F1115"/>
                <w:spacing w:val="0"/>
                <w:sz w:val="24"/>
                <w:szCs w:val="24"/>
                <w:shd w:val="clear" w:fill="FFFFFF"/>
                <w:lang w:val="en-US" w:eastAsia="zh-CN"/>
              </w:rPr>
              <w:t>2.1</w:t>
            </w:r>
            <w:r>
              <w:rPr>
                <w:rFonts w:ascii="Segoe UI" w:hAnsi="Segoe UI" w:eastAsia="Segoe UI" w:cs="Segoe UI"/>
                <w:b/>
                <w:bCs w:val="0"/>
                <w:i w:val="0"/>
                <w:iCs w:val="0"/>
                <w:caps w:val="0"/>
                <w:color w:val="0F1115"/>
                <w:spacing w:val="0"/>
                <w:sz w:val="24"/>
                <w:szCs w:val="24"/>
                <w:shd w:val="clear" w:fill="FFFFFF"/>
              </w:rPr>
              <w:t>实施时间计划</w:t>
            </w:r>
            <w:r>
              <w:rPr>
                <w:rFonts w:hint="eastAsia" w:ascii="Segoe UI" w:hAnsi="Segoe UI" w:eastAsia="宋体" w:cs="Segoe UI"/>
                <w:b/>
                <w:bCs w:val="0"/>
                <w:i w:val="0"/>
                <w:iCs w:val="0"/>
                <w:caps w:val="0"/>
                <w:color w:val="0F1115"/>
                <w:spacing w:val="0"/>
                <w:sz w:val="24"/>
                <w:szCs w:val="24"/>
                <w:shd w:val="clear" w:fill="FFFFFF"/>
                <w:lang w:val="en-US" w:eastAsia="zh-CN"/>
              </w:rPr>
              <w:t>及各阶段工作内容</w:t>
            </w:r>
            <w:r>
              <w:rPr>
                <w:rFonts w:hint="eastAsia" w:ascii="Segoe UI" w:hAnsi="Segoe UI" w:eastAsia="宋体" w:cs="Segoe UI"/>
                <w:b/>
                <w:bCs w:val="0"/>
                <w:i w:val="0"/>
                <w:iCs w:val="0"/>
                <w:caps w:val="0"/>
                <w:color w:val="0F1115"/>
                <w:spacing w:val="0"/>
                <w:sz w:val="24"/>
                <w:szCs w:val="24"/>
                <w:shd w:val="clear" w:fill="FFFFFF"/>
                <w:lang w:eastAsia="zh-CN"/>
              </w:rPr>
              <w:t>：</w:t>
            </w:r>
            <w:r>
              <w:rPr>
                <w:rFonts w:ascii="Segoe UI" w:hAnsi="Segoe UI" w:eastAsia="Segoe UI" w:cs="Segoe UI"/>
                <w:i w:val="0"/>
                <w:iCs w:val="0"/>
                <w:caps w:val="0"/>
                <w:color w:val="0F1115"/>
                <w:spacing w:val="0"/>
                <w:sz w:val="24"/>
                <w:szCs w:val="24"/>
                <w:shd w:val="clear" w:fill="FFFFFF"/>
              </w:rPr>
              <w:t>总工期</w:t>
            </w:r>
            <w:r>
              <w:rPr>
                <w:rFonts w:hint="eastAsia" w:ascii="Segoe UI" w:hAnsi="Segoe UI" w:eastAsia="宋体" w:cs="Segoe UI"/>
                <w:i w:val="0"/>
                <w:iCs w:val="0"/>
                <w:caps w:val="0"/>
                <w:color w:val="0F1115"/>
                <w:spacing w:val="0"/>
                <w:sz w:val="24"/>
                <w:szCs w:val="24"/>
                <w:shd w:val="clear" w:fill="FFFFFF"/>
                <w:lang w:val="en-US" w:eastAsia="zh-CN"/>
              </w:rPr>
              <w:t>最长</w:t>
            </w:r>
            <w:r>
              <w:rPr>
                <w:rFonts w:ascii="Segoe UI" w:hAnsi="Segoe UI" w:eastAsia="Segoe UI" w:cs="Segoe UI"/>
                <w:b/>
                <w:bCs w:val="0"/>
                <w:i w:val="0"/>
                <w:iCs w:val="0"/>
                <w:caps w:val="0"/>
                <w:color w:val="0F1115"/>
                <w:spacing w:val="0"/>
                <w:sz w:val="24"/>
                <w:szCs w:val="24"/>
                <w:shd w:val="clear" w:fill="FFFFFF"/>
              </w:rPr>
              <w:t>不得超过12个月</w:t>
            </w:r>
            <w:r>
              <w:rPr>
                <w:rFonts w:hint="eastAsia" w:ascii="Segoe UI" w:hAnsi="Segoe UI" w:eastAsia="宋体" w:cs="Segoe UI"/>
                <w:b/>
                <w:bCs w:val="0"/>
                <w:i w:val="0"/>
                <w:iCs w:val="0"/>
                <w:caps w:val="0"/>
                <w:color w:val="0F1115"/>
                <w:spacing w:val="0"/>
                <w:sz w:val="24"/>
                <w:szCs w:val="24"/>
                <w:shd w:val="clear" w:fill="FFFFFF"/>
                <w:lang w:eastAsia="zh-CN"/>
              </w:rPr>
              <w:t>。</w:t>
            </w:r>
            <w:r>
              <w:rPr>
                <w:rFonts w:hint="eastAsia" w:ascii="Segoe UI" w:hAnsi="Segoe UI" w:eastAsia="宋体" w:cs="Segoe UI"/>
                <w:b/>
                <w:bCs w:val="0"/>
                <w:i w:val="0"/>
                <w:iCs w:val="0"/>
                <w:caps w:val="0"/>
                <w:color w:val="0F1115"/>
                <w:spacing w:val="0"/>
                <w:sz w:val="24"/>
                <w:szCs w:val="24"/>
                <w:shd w:val="clear" w:fill="FFFFFF"/>
                <w:lang w:val="en-US" w:eastAsia="zh-CN"/>
              </w:rPr>
              <w:t>工作内容</w:t>
            </w:r>
            <w:r>
              <w:rPr>
                <w:rFonts w:hint="eastAsia" w:ascii="Segoe UI" w:hAnsi="Segoe UI" w:eastAsia="宋体" w:cs="Segoe UI"/>
                <w:i w:val="0"/>
                <w:iCs w:val="0"/>
                <w:caps w:val="0"/>
                <w:color w:val="0F1115"/>
                <w:spacing w:val="0"/>
                <w:sz w:val="24"/>
                <w:szCs w:val="24"/>
                <w:shd w:val="clear" w:fill="FFFFFF"/>
                <w:lang w:val="en-US" w:eastAsia="zh-CN"/>
              </w:rPr>
              <w:t>包括并不限于</w:t>
            </w:r>
            <w:r>
              <w:rPr>
                <w:rFonts w:ascii="Segoe UI" w:hAnsi="Segoe UI" w:eastAsia="Segoe UI" w:cs="Segoe UI"/>
                <w:i w:val="0"/>
                <w:iCs w:val="0"/>
                <w:caps w:val="0"/>
                <w:color w:val="0F1115"/>
                <w:spacing w:val="0"/>
                <w:sz w:val="24"/>
                <w:szCs w:val="24"/>
                <w:shd w:val="clear" w:fill="FFFFFF"/>
              </w:rPr>
              <w:t>以下阶段</w:t>
            </w:r>
            <w:r>
              <w:rPr>
                <w:rFonts w:hint="eastAsia" w:ascii="Segoe UI" w:hAnsi="Segoe UI" w:eastAsia="宋体" w:cs="Segoe UI"/>
                <w:i w:val="0"/>
                <w:iCs w:val="0"/>
                <w:caps w:val="0"/>
                <w:color w:val="0F1115"/>
                <w:spacing w:val="0"/>
                <w:sz w:val="24"/>
                <w:szCs w:val="24"/>
                <w:shd w:val="clear" w:fill="FFFFFF"/>
                <w:lang w:eastAsia="zh-CN"/>
              </w:rPr>
              <w:t>：</w:t>
            </w:r>
            <w:r>
              <w:rPr>
                <w:rFonts w:ascii="Segoe UI" w:hAnsi="Segoe UI" w:eastAsia="Segoe UI" w:cs="Segoe UI"/>
                <w:i w:val="0"/>
                <w:iCs w:val="0"/>
                <w:caps w:val="0"/>
                <w:color w:val="0F1115"/>
                <w:spacing w:val="0"/>
                <w:sz w:val="22"/>
                <w:szCs w:val="22"/>
                <w:shd w:val="clear" w:fill="FFFFFF"/>
              </w:rPr>
              <w:t>项目启动与需求调研</w:t>
            </w:r>
            <w:r>
              <w:rPr>
                <w:rFonts w:hint="eastAsia" w:ascii="Segoe UI" w:hAnsi="Segoe UI" w:eastAsia="宋体" w:cs="Segoe UI"/>
                <w:i w:val="0"/>
                <w:iCs w:val="0"/>
                <w:caps w:val="0"/>
                <w:color w:val="0F1115"/>
                <w:spacing w:val="0"/>
                <w:sz w:val="22"/>
                <w:szCs w:val="22"/>
                <w:shd w:val="clear" w:fill="FFFFFF"/>
                <w:lang w:eastAsia="zh-CN"/>
              </w:rPr>
              <w:t>、</w:t>
            </w:r>
            <w:r>
              <w:rPr>
                <w:rFonts w:ascii="Segoe UI" w:hAnsi="Segoe UI" w:eastAsia="Segoe UI" w:cs="Segoe UI"/>
                <w:i w:val="0"/>
                <w:iCs w:val="0"/>
                <w:caps w:val="0"/>
                <w:color w:val="0F1115"/>
                <w:spacing w:val="0"/>
                <w:sz w:val="22"/>
                <w:szCs w:val="22"/>
                <w:shd w:val="clear" w:fill="FFFFFF"/>
              </w:rPr>
              <w:t>方案设计与技术架构设计</w:t>
            </w:r>
            <w:r>
              <w:rPr>
                <w:rFonts w:hint="eastAsia" w:ascii="Segoe UI" w:hAnsi="Segoe UI" w:eastAsia="宋体" w:cs="Segoe UI"/>
                <w:i w:val="0"/>
                <w:iCs w:val="0"/>
                <w:caps w:val="0"/>
                <w:color w:val="0F1115"/>
                <w:spacing w:val="0"/>
                <w:sz w:val="22"/>
                <w:szCs w:val="22"/>
                <w:shd w:val="clear" w:fill="FFFFFF"/>
                <w:lang w:eastAsia="zh-CN"/>
              </w:rPr>
              <w:t>、</w:t>
            </w:r>
            <w:r>
              <w:rPr>
                <w:rFonts w:ascii="Segoe UI" w:hAnsi="Segoe UI" w:eastAsia="Segoe UI" w:cs="Segoe UI"/>
                <w:i w:val="0"/>
                <w:iCs w:val="0"/>
                <w:caps w:val="0"/>
                <w:color w:val="0F1115"/>
                <w:spacing w:val="0"/>
                <w:sz w:val="22"/>
                <w:szCs w:val="22"/>
                <w:shd w:val="clear" w:fill="FFFFFF"/>
              </w:rPr>
              <w:t>平台部署与开发实施</w:t>
            </w:r>
            <w:r>
              <w:rPr>
                <w:rFonts w:hint="eastAsia" w:ascii="Segoe UI" w:hAnsi="Segoe UI" w:eastAsia="宋体" w:cs="Segoe UI"/>
                <w:i w:val="0"/>
                <w:iCs w:val="0"/>
                <w:caps w:val="0"/>
                <w:color w:val="0F1115"/>
                <w:spacing w:val="0"/>
                <w:sz w:val="22"/>
                <w:szCs w:val="22"/>
                <w:shd w:val="clear" w:fill="FFFFFF"/>
                <w:lang w:eastAsia="zh-CN"/>
              </w:rPr>
              <w:t>、</w:t>
            </w:r>
            <w:r>
              <w:rPr>
                <w:rFonts w:ascii="Segoe UI" w:hAnsi="Segoe UI" w:eastAsia="Segoe UI" w:cs="Segoe UI"/>
                <w:b/>
                <w:bCs w:val="0"/>
                <w:i w:val="0"/>
                <w:iCs w:val="0"/>
                <w:caps w:val="0"/>
                <w:color w:val="0F1115"/>
                <w:spacing w:val="0"/>
                <w:sz w:val="22"/>
                <w:szCs w:val="22"/>
                <w:shd w:val="clear" w:fill="FFFFFF"/>
              </w:rPr>
              <w:t>数据治理</w:t>
            </w:r>
            <w:r>
              <w:rPr>
                <w:rFonts w:hint="eastAsia" w:ascii="Segoe UI" w:hAnsi="Segoe UI" w:eastAsia="宋体" w:cs="Segoe UI"/>
                <w:b/>
                <w:bCs w:val="0"/>
                <w:i w:val="0"/>
                <w:iCs w:val="0"/>
                <w:caps w:val="0"/>
                <w:color w:val="0F1115"/>
                <w:spacing w:val="0"/>
                <w:sz w:val="22"/>
                <w:szCs w:val="22"/>
                <w:shd w:val="clear" w:fill="FFFFFF"/>
                <w:lang w:eastAsia="zh-CN"/>
              </w:rPr>
              <w:t>（</w:t>
            </w:r>
            <w:r>
              <w:rPr>
                <w:rFonts w:hint="eastAsia" w:ascii="Segoe UI" w:hAnsi="Segoe UI" w:eastAsia="宋体" w:cs="Segoe UI"/>
                <w:b/>
                <w:bCs w:val="0"/>
                <w:i w:val="0"/>
                <w:iCs w:val="0"/>
                <w:caps w:val="0"/>
                <w:color w:val="0F1115"/>
                <w:spacing w:val="0"/>
                <w:sz w:val="22"/>
                <w:szCs w:val="22"/>
                <w:shd w:val="clear" w:fill="FFFFFF"/>
                <w:lang w:val="en-US" w:eastAsia="zh-CN"/>
              </w:rPr>
              <w:t>见2.3，单独列出专项治理方案）</w:t>
            </w:r>
            <w:r>
              <w:rPr>
                <w:rFonts w:hint="eastAsia" w:ascii="Segoe UI" w:hAnsi="Segoe UI" w:eastAsia="宋体" w:cs="Segoe UI"/>
                <w:i w:val="0"/>
                <w:iCs w:val="0"/>
                <w:caps w:val="0"/>
                <w:color w:val="0F1115"/>
                <w:spacing w:val="0"/>
                <w:sz w:val="22"/>
                <w:szCs w:val="22"/>
                <w:shd w:val="clear" w:fill="FFFFFF"/>
                <w:lang w:val="en-US" w:eastAsia="zh-CN"/>
              </w:rPr>
              <w:t>、测试与试运行、正式上线与初验、优化完善与终验。</w:t>
            </w:r>
            <w:r>
              <w:rPr>
                <w:rFonts w:ascii="Segoe UI" w:hAnsi="Segoe UI" w:eastAsia="Segoe UI" w:cs="Segoe UI"/>
                <w:i w:val="0"/>
                <w:iCs w:val="0"/>
                <w:caps w:val="0"/>
                <w:color w:val="0F1115"/>
                <w:spacing w:val="0"/>
                <w:sz w:val="24"/>
                <w:szCs w:val="24"/>
                <w:shd w:val="clear" w:fill="FFFFFF"/>
              </w:rPr>
              <w:t>投标人可根据自身经验和本项目实际情况对上述工期安排</w:t>
            </w:r>
            <w:r>
              <w:rPr>
                <w:rFonts w:hint="eastAsia" w:ascii="Segoe UI" w:hAnsi="Segoe UI" w:eastAsia="宋体" w:cs="Segoe UI"/>
                <w:i w:val="0"/>
                <w:iCs w:val="0"/>
                <w:caps w:val="0"/>
                <w:color w:val="0F1115"/>
                <w:spacing w:val="0"/>
                <w:sz w:val="24"/>
                <w:szCs w:val="24"/>
                <w:shd w:val="clear" w:fill="FFFFFF"/>
                <w:lang w:val="en-US" w:eastAsia="zh-CN"/>
              </w:rPr>
              <w:t>和阶段内容</w:t>
            </w:r>
            <w:r>
              <w:rPr>
                <w:rFonts w:ascii="Segoe UI" w:hAnsi="Segoe UI" w:eastAsia="Segoe UI" w:cs="Segoe UI"/>
                <w:i w:val="0"/>
                <w:iCs w:val="0"/>
                <w:caps w:val="0"/>
                <w:color w:val="0F1115"/>
                <w:spacing w:val="0"/>
                <w:sz w:val="24"/>
                <w:szCs w:val="24"/>
                <w:shd w:val="clear" w:fill="FFFFFF"/>
              </w:rPr>
              <w:t>进行优化调整，但须在投标文件中说明调整依据及可行性。</w:t>
            </w:r>
          </w:p>
          <w:p w14:paraId="7260C88D">
            <w:pPr>
              <w:pStyle w:val="142"/>
              <w:keepNext w:val="0"/>
              <w:keepLines w:val="0"/>
              <w:widowControl/>
              <w:suppressLineNumbers w:val="0"/>
              <w:shd w:val="clear" w:fill="FFFFFF"/>
              <w:spacing w:before="480" w:beforeAutospacing="0" w:after="240" w:afterAutospacing="0" w:line="360" w:lineRule="auto"/>
              <w:ind w:left="0" w:right="0"/>
              <w:rPr>
                <w:rFonts w:hint="eastAsia" w:ascii="Segoe UI" w:hAnsi="Segoe UI" w:eastAsia="宋体" w:cs="Segoe UI"/>
                <w:i w:val="0"/>
                <w:iCs w:val="0"/>
                <w:caps w:val="0"/>
                <w:color w:val="0F1115"/>
                <w:spacing w:val="0"/>
                <w:sz w:val="24"/>
                <w:szCs w:val="24"/>
                <w:shd w:val="clear" w:fill="FFFFFF"/>
                <w:lang w:val="en-US" w:eastAsia="zh-CN"/>
              </w:rPr>
            </w:pPr>
            <w:r>
              <w:rPr>
                <w:rFonts w:hint="default" w:ascii="Segoe UI" w:hAnsi="Segoe UI" w:eastAsia="Segoe UI" w:cs="Segoe UI"/>
                <w:b/>
                <w:bCs w:val="0"/>
                <w:i w:val="0"/>
                <w:iCs w:val="0"/>
                <w:caps w:val="0"/>
                <w:color w:val="0F1115"/>
                <w:spacing w:val="0"/>
                <w:sz w:val="22"/>
                <w:szCs w:val="22"/>
                <w:shd w:val="clear" w:fill="FFFFFF"/>
                <w:lang w:val="en-US" w:eastAsia="zh-CN"/>
              </w:rPr>
              <w:t>2.2</w:t>
            </w:r>
            <w:r>
              <w:rPr>
                <w:rFonts w:hint="default" w:ascii="Segoe UI" w:hAnsi="Segoe UI" w:eastAsia="Segoe UI" w:cs="Segoe UI"/>
                <w:b/>
                <w:bCs w:val="0"/>
                <w:caps w:val="0"/>
                <w:color w:val="0F1115"/>
                <w:spacing w:val="0"/>
                <w:sz w:val="22"/>
                <w:szCs w:val="22"/>
                <w:shd w:val="clear" w:fill="FFFFFF"/>
              </w:rPr>
              <w:t>人员分工与职责</w:t>
            </w:r>
            <w:r>
              <w:rPr>
                <w:rFonts w:hint="eastAsia" w:ascii="Segoe UI" w:hAnsi="Segoe UI" w:eastAsia="宋体" w:cs="Segoe UI"/>
                <w:b/>
                <w:bCs w:val="0"/>
                <w:caps w:val="0"/>
                <w:color w:val="0F1115"/>
                <w:spacing w:val="0"/>
                <w:sz w:val="22"/>
                <w:szCs w:val="22"/>
                <w:shd w:val="clear" w:fill="FFFFFF"/>
                <w:lang w:eastAsia="zh-CN"/>
              </w:rPr>
              <w:t>：</w:t>
            </w:r>
            <w:r>
              <w:rPr>
                <w:rFonts w:hint="eastAsia" w:ascii="Segoe UI" w:hAnsi="Segoe UI" w:eastAsia="宋体" w:cs="Segoe UI"/>
                <w:b/>
                <w:bCs w:val="0"/>
                <w:caps w:val="0"/>
                <w:color w:val="0F1115"/>
                <w:spacing w:val="0"/>
                <w:sz w:val="22"/>
                <w:szCs w:val="22"/>
                <w:shd w:val="clear" w:fill="FFFFFF"/>
                <w:lang w:val="en-US" w:eastAsia="zh-CN"/>
              </w:rPr>
              <w:t xml:space="preserve"> </w:t>
            </w:r>
            <w:r>
              <w:rPr>
                <w:rFonts w:ascii="Segoe UI" w:hAnsi="Segoe UI" w:eastAsia="Segoe UI" w:cs="Segoe UI"/>
                <w:i w:val="0"/>
                <w:iCs w:val="0"/>
                <w:caps w:val="0"/>
                <w:color w:val="0F1115"/>
                <w:spacing w:val="0"/>
                <w:sz w:val="24"/>
                <w:szCs w:val="24"/>
                <w:shd w:val="clear" w:fill="FFFFFF"/>
              </w:rPr>
              <w:t>投标人须在投标文件中明确项目实施过程中各角色的职责分工</w:t>
            </w:r>
            <w:r>
              <w:rPr>
                <w:rFonts w:hint="eastAsia" w:ascii="Segoe UI" w:hAnsi="Segoe UI" w:eastAsia="宋体" w:cs="Segoe UI"/>
                <w:i w:val="0"/>
                <w:iCs w:val="0"/>
                <w:caps w:val="0"/>
                <w:color w:val="0F1115"/>
                <w:spacing w:val="0"/>
                <w:sz w:val="24"/>
                <w:szCs w:val="24"/>
                <w:shd w:val="clear" w:fill="FFFFFF"/>
                <w:lang w:eastAsia="zh-CN"/>
              </w:rPr>
              <w:t>。</w:t>
            </w:r>
            <w:r>
              <w:rPr>
                <w:rFonts w:hint="eastAsia" w:ascii="Segoe UI" w:hAnsi="Segoe UI" w:eastAsia="宋体" w:cs="Segoe UI"/>
                <w:i w:val="0"/>
                <w:iCs w:val="0"/>
                <w:caps w:val="0"/>
                <w:color w:val="0F1115"/>
                <w:spacing w:val="0"/>
                <w:sz w:val="24"/>
                <w:szCs w:val="24"/>
                <w:shd w:val="clear" w:fill="FFFFFF"/>
                <w:lang w:val="en-US" w:eastAsia="zh-CN"/>
              </w:rPr>
              <w:t>包括并不限于</w:t>
            </w:r>
            <w:r>
              <w:rPr>
                <w:rFonts w:hint="eastAsia" w:ascii="Segoe UI" w:hAnsi="Segoe UI" w:eastAsia="宋体" w:cs="Segoe UI"/>
                <w:b/>
                <w:bCs w:val="0"/>
                <w:i w:val="0"/>
                <w:iCs w:val="0"/>
                <w:caps w:val="0"/>
                <w:color w:val="0F1115"/>
                <w:spacing w:val="0"/>
                <w:sz w:val="24"/>
                <w:szCs w:val="24"/>
                <w:shd w:val="clear" w:fill="FFFFFF"/>
                <w:lang w:val="en-US" w:eastAsia="zh-CN"/>
              </w:rPr>
              <w:t>项目经理、技术负责人、项目架构师、项目规划师、数据治理专家、项目实施团队、医学专家组</w:t>
            </w:r>
            <w:r>
              <w:rPr>
                <w:rFonts w:hint="eastAsia" w:ascii="Segoe UI" w:hAnsi="Segoe UI" w:eastAsia="宋体" w:cs="Segoe UI"/>
                <w:i w:val="0"/>
                <w:iCs w:val="0"/>
                <w:caps w:val="0"/>
                <w:color w:val="0F1115"/>
                <w:spacing w:val="0"/>
                <w:sz w:val="24"/>
                <w:szCs w:val="24"/>
                <w:shd w:val="clear" w:fill="FFFFFF"/>
                <w:lang w:val="en-US" w:eastAsia="zh-CN"/>
              </w:rPr>
              <w:t>等。</w:t>
            </w:r>
          </w:p>
          <w:p w14:paraId="5E07BC45">
            <w:pPr>
              <w:pStyle w:val="142"/>
              <w:spacing w:line="360" w:lineRule="auto"/>
              <w:rPr>
                <w:rFonts w:hint="default" w:ascii="Segoe UI" w:hAnsi="Segoe UI" w:eastAsia="宋体" w:cs="Segoe UI"/>
                <w:i w:val="0"/>
                <w:iCs w:val="0"/>
                <w:caps w:val="0"/>
                <w:color w:val="0F1115"/>
                <w:spacing w:val="0"/>
                <w:sz w:val="24"/>
                <w:szCs w:val="24"/>
                <w:shd w:val="clear" w:fill="FFFFFF"/>
                <w:lang w:val="en-US" w:eastAsia="zh-CN"/>
              </w:rPr>
            </w:pPr>
            <w:r>
              <w:rPr>
                <w:rFonts w:hint="eastAsia" w:ascii="Segoe UI" w:hAnsi="Segoe UI" w:eastAsia="宋体" w:cs="Segoe UI"/>
                <w:b/>
                <w:bCs w:val="0"/>
                <w:i w:val="0"/>
                <w:iCs w:val="0"/>
                <w:caps w:val="0"/>
                <w:color w:val="0F1115"/>
                <w:spacing w:val="0"/>
                <w:sz w:val="24"/>
                <w:szCs w:val="24"/>
                <w:shd w:val="clear" w:fill="FFFFFF"/>
                <w:lang w:val="en-US" w:eastAsia="zh-CN"/>
              </w:rPr>
              <w:t>2.3 数据治理实施方案（单独列出）：</w:t>
            </w:r>
            <w:r>
              <w:rPr>
                <w:rFonts w:hint="eastAsia" w:ascii="Segoe UI" w:hAnsi="Segoe UI" w:eastAsia="宋体" w:cs="Segoe UI"/>
                <w:i w:val="0"/>
                <w:iCs w:val="0"/>
                <w:caps w:val="0"/>
                <w:color w:val="0F1115"/>
                <w:spacing w:val="0"/>
                <w:sz w:val="24"/>
                <w:szCs w:val="24"/>
                <w:shd w:val="clear" w:fill="FFFFFF"/>
                <w:lang w:val="en-US" w:eastAsia="zh-CN"/>
              </w:rPr>
              <w:t>包括并不限于数据治理工作目标、数据治理工作小组成员和职责、数据治理各阶段工作内容（</w:t>
            </w:r>
            <w:r>
              <w:rPr>
                <w:rFonts w:ascii="Segoe UI" w:hAnsi="Segoe UI" w:eastAsia="Segoe UI" w:cs="Segoe UI"/>
                <w:b/>
                <w:bCs/>
                <w:i w:val="0"/>
                <w:iCs w:val="0"/>
                <w:caps w:val="0"/>
                <w:color w:val="0F1115"/>
                <w:spacing w:val="0"/>
                <w:sz w:val="24"/>
                <w:szCs w:val="24"/>
                <w:shd w:val="clear" w:fill="FFFFFF"/>
              </w:rPr>
              <w:t>现状调研与需求分析</w:t>
            </w:r>
            <w:r>
              <w:rPr>
                <w:rFonts w:hint="eastAsia" w:ascii="Segoe UI" w:hAnsi="Segoe UI" w:eastAsia="宋体" w:cs="Segoe UI"/>
                <w:b/>
                <w:bCs/>
                <w:i w:val="0"/>
                <w:iCs w:val="0"/>
                <w:caps w:val="0"/>
                <w:color w:val="0F1115"/>
                <w:spacing w:val="0"/>
                <w:sz w:val="24"/>
                <w:szCs w:val="24"/>
                <w:shd w:val="clear" w:fill="FFFFFF"/>
                <w:lang w:eastAsia="zh-CN"/>
              </w:rPr>
              <w:t>、</w:t>
            </w:r>
            <w:r>
              <w:rPr>
                <w:rFonts w:hint="eastAsia" w:ascii="Segoe UI" w:hAnsi="Segoe UI" w:eastAsia="宋体" w:cs="Segoe UI"/>
                <w:b/>
                <w:bCs/>
                <w:i w:val="0"/>
                <w:iCs w:val="0"/>
                <w:caps w:val="0"/>
                <w:color w:val="0F1115"/>
                <w:spacing w:val="0"/>
                <w:sz w:val="24"/>
                <w:szCs w:val="24"/>
                <w:shd w:val="clear" w:fill="FFFFFF"/>
                <w:lang w:val="en-US" w:eastAsia="zh-CN"/>
              </w:rPr>
              <w:t>标准体系建立、数据治理实施、培训与能力传递、持续优化与长效机制建立等）</w:t>
            </w:r>
            <w:r>
              <w:rPr>
                <w:rFonts w:hint="eastAsia" w:ascii="Segoe UI" w:hAnsi="Segoe UI" w:eastAsia="宋体" w:cs="Segoe UI"/>
                <w:b w:val="0"/>
                <w:bCs w:val="0"/>
                <w:i w:val="0"/>
                <w:iCs w:val="0"/>
                <w:caps w:val="0"/>
                <w:color w:val="0F1115"/>
                <w:spacing w:val="0"/>
                <w:sz w:val="24"/>
                <w:szCs w:val="24"/>
                <w:shd w:val="clear" w:fill="FFFFFF"/>
                <w:lang w:val="en-US" w:eastAsia="zh-CN"/>
              </w:rPr>
              <w:t>、其他需要医院配合的事项等。</w:t>
            </w:r>
          </w:p>
        </w:tc>
      </w:tr>
      <w:tr w14:paraId="67440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291" w:type="dxa"/>
            <w:vAlign w:val="center"/>
          </w:tcPr>
          <w:p w14:paraId="18057A26">
            <w:pPr>
              <w:widowControl/>
              <w:jc w:val="center"/>
              <w:rPr>
                <w:rFonts w:hint="default"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三、团队要求</w:t>
            </w:r>
          </w:p>
        </w:tc>
        <w:tc>
          <w:tcPr>
            <w:tcW w:w="7557" w:type="dxa"/>
            <w:vAlign w:val="center"/>
          </w:tcPr>
          <w:p w14:paraId="12BD7417">
            <w:pPr>
              <w:pStyle w:val="142"/>
              <w:spacing w:line="360" w:lineRule="auto"/>
              <w:rPr>
                <w:rFonts w:hint="eastAsia" w:ascii="Segoe UI" w:hAnsi="Segoe UI" w:eastAsia="宋体" w:cs="Segoe UI"/>
                <w:color w:val="0F1115"/>
                <w:spacing w:val="0"/>
                <w:sz w:val="24"/>
                <w:shd w:val="clear" w:fill="FFFFFF"/>
              </w:rPr>
            </w:pPr>
            <w:r>
              <w:rPr>
                <w:rFonts w:hint="eastAsia" w:ascii="Segoe UI" w:hAnsi="Segoe UI" w:eastAsia="宋体" w:cs="Segoe UI"/>
                <w:color w:val="0F1115"/>
                <w:spacing w:val="0"/>
                <w:sz w:val="24"/>
                <w:shd w:val="clear" w:fill="FFFFFF"/>
                <w:lang w:val="en-US" w:eastAsia="zh-CN"/>
              </w:rPr>
              <w:t xml:space="preserve">3.1 </w:t>
            </w:r>
            <w:r>
              <w:rPr>
                <w:rFonts w:hint="eastAsia" w:ascii="Segoe UI" w:hAnsi="Segoe UI" w:eastAsia="宋体" w:cs="Segoe UI"/>
                <w:color w:val="0F1115"/>
                <w:spacing w:val="0"/>
                <w:sz w:val="24"/>
                <w:shd w:val="clear" w:fill="FFFFFF"/>
              </w:rPr>
              <w:t>应提供项目服务团队人员不低于14人（其中长期固定驻场7人，驻场人员要求包含以下人员：</w:t>
            </w:r>
            <w:r>
              <w:rPr>
                <w:rFonts w:hint="eastAsia" w:ascii="Segoe UI" w:hAnsi="Segoe UI" w:eastAsia="宋体" w:cs="Segoe UI"/>
                <w:b w:val="0"/>
                <w:bCs/>
                <w:i w:val="0"/>
                <w:iCs w:val="0"/>
                <w:caps w:val="0"/>
                <w:color w:val="0F1115"/>
                <w:spacing w:val="0"/>
                <w:sz w:val="24"/>
                <w:szCs w:val="24"/>
                <w:shd w:val="clear" w:fill="FFFFFF"/>
                <w:lang w:val="en-US" w:eastAsia="zh-CN"/>
              </w:rPr>
              <w:t>项目经理、技术负责人、项目架构师、项目规划师、数据治理专家、项目实施团队、医学专家组</w:t>
            </w:r>
            <w:r>
              <w:rPr>
                <w:rFonts w:hint="eastAsia" w:ascii="Segoe UI" w:hAnsi="Segoe UI" w:eastAsia="宋体" w:cs="Segoe UI"/>
                <w:color w:val="0F1115"/>
                <w:spacing w:val="0"/>
                <w:sz w:val="24"/>
                <w:shd w:val="clear" w:fill="FFFFFF"/>
              </w:rPr>
              <w:t>）。</w:t>
            </w:r>
          </w:p>
          <w:p w14:paraId="323F9362">
            <w:pPr>
              <w:pStyle w:val="142"/>
              <w:spacing w:line="360" w:lineRule="auto"/>
              <w:ind w:firstLineChars="200"/>
              <w:rPr>
                <w:rFonts w:hint="default" w:ascii="Segoe UI" w:hAnsi="Segoe UI" w:eastAsia="宋体" w:cs="Segoe UI"/>
                <w:b/>
                <w:bCs w:val="0"/>
                <w:color w:val="0F1115"/>
                <w:spacing w:val="0"/>
                <w:sz w:val="24"/>
                <w:shd w:val="clear" w:fill="FFFFFF"/>
                <w:lang w:val="en-US" w:eastAsia="zh-CN"/>
              </w:rPr>
            </w:pPr>
            <w:r>
              <w:rPr>
                <w:rFonts w:hint="eastAsia" w:ascii="Segoe UI" w:hAnsi="Segoe UI" w:eastAsia="宋体" w:cs="Segoe UI"/>
                <w:color w:val="0F1115"/>
                <w:spacing w:val="0"/>
                <w:sz w:val="24"/>
                <w:shd w:val="clear" w:fill="FFFFFF"/>
                <w:lang w:val="en-US" w:eastAsia="zh-CN"/>
              </w:rPr>
              <w:t>3.2</w:t>
            </w:r>
            <w:r>
              <w:rPr>
                <w:rFonts w:hint="eastAsia" w:ascii="Segoe UI" w:hAnsi="Segoe UI" w:eastAsia="宋体" w:cs="Segoe UI"/>
                <w:b w:val="0"/>
                <w:bCs/>
                <w:color w:val="0F1115"/>
                <w:spacing w:val="0"/>
                <w:sz w:val="24"/>
                <w:shd w:val="clear" w:fill="FFFFFF"/>
                <w:lang w:val="en-US" w:eastAsia="zh-CN"/>
              </w:rPr>
              <w:t xml:space="preserve"> </w:t>
            </w:r>
            <w:r>
              <w:rPr>
                <w:rFonts w:hint="eastAsia" w:ascii="Segoe UI" w:hAnsi="Segoe UI" w:eastAsia="宋体" w:cs="Segoe UI"/>
                <w:color w:val="0F1115"/>
                <w:spacing w:val="0"/>
                <w:sz w:val="24"/>
                <w:shd w:val="clear" w:fill="FFFFFF"/>
              </w:rPr>
              <w:t>项目经理：具备系统的医学基础理论知识体系，能准确理解医疗行业业务逻辑，可快速对接项目中与医疗场景相关的需求分析、方案设计工作。</w:t>
            </w:r>
            <w:r>
              <w:rPr>
                <w:rFonts w:hint="eastAsia" w:ascii="Segoe UI" w:hAnsi="Segoe UI" w:eastAsia="宋体" w:cs="Segoe UI"/>
                <w:color w:val="0F1115"/>
                <w:spacing w:val="0"/>
                <w:sz w:val="24"/>
                <w:shd w:val="clear" w:fill="FFFFFF"/>
                <w:lang w:val="en-US" w:eastAsia="zh-CN"/>
              </w:rPr>
              <w:t>有同类同规模项目的实施经验（要提供证明材料需盖章）</w:t>
            </w:r>
            <w:r>
              <w:rPr>
                <w:rFonts w:hint="eastAsia" w:ascii="Segoe UI" w:hAnsi="Segoe UI" w:eastAsia="宋体" w:cs="Segoe UI"/>
                <w:b w:val="0"/>
                <w:bCs/>
                <w:color w:val="0F1115"/>
                <w:spacing w:val="0"/>
                <w:sz w:val="24"/>
                <w:shd w:val="clear" w:fill="FFFFFF"/>
                <w:lang w:val="en-US" w:eastAsia="zh-CN"/>
              </w:rPr>
              <w:t>。项目经理的更换需要医院审批，原则上不允许随意更换。</w:t>
            </w:r>
            <w:r>
              <w:rPr>
                <w:rFonts w:hint="eastAsia" w:ascii="Segoe UI" w:hAnsi="Segoe UI" w:eastAsia="宋体" w:cs="Segoe UI"/>
                <w:b/>
                <w:bCs w:val="0"/>
                <w:color w:val="0F1115"/>
                <w:spacing w:val="0"/>
                <w:sz w:val="24"/>
                <w:shd w:val="clear" w:fill="FFFFFF"/>
                <w:lang w:val="en-US" w:eastAsia="zh-CN"/>
              </w:rPr>
              <w:t>（</w:t>
            </w:r>
            <w:r>
              <w:rPr>
                <w:rFonts w:hint="eastAsia" w:ascii="Segoe UI" w:hAnsi="Segoe UI" w:eastAsia="宋体" w:cs="Segoe UI"/>
                <w:b/>
                <w:bCs w:val="0"/>
                <w:color w:val="0F1115"/>
                <w:spacing w:val="0"/>
                <w:sz w:val="24"/>
                <w:szCs w:val="24"/>
                <w:shd w:val="clear" w:fill="FFFFFF"/>
              </w:rPr>
              <w:t>投标人需在评审会提供盖童的项目经理人员名单及履历，并承诺在招标阶段项目经理的人选与评审会的人选保持一致，否则投标视为无效投标</w:t>
            </w:r>
            <w:r>
              <w:rPr>
                <w:rFonts w:hint="eastAsia" w:ascii="Segoe UI" w:hAnsi="Segoe UI" w:eastAsia="宋体" w:cs="Segoe UI"/>
                <w:b/>
                <w:bCs w:val="0"/>
                <w:color w:val="0F1115"/>
                <w:spacing w:val="0"/>
                <w:sz w:val="24"/>
                <w:szCs w:val="24"/>
                <w:shd w:val="clear" w:fill="FFFFFF"/>
                <w:lang w:eastAsia="zh-CN"/>
              </w:rPr>
              <w:t>）</w:t>
            </w:r>
            <w:r>
              <w:rPr>
                <w:rFonts w:hint="eastAsia" w:ascii="Segoe UI" w:hAnsi="Segoe UI" w:eastAsia="宋体" w:cs="Segoe UI"/>
                <w:b/>
                <w:bCs w:val="0"/>
                <w:color w:val="0F1115"/>
                <w:spacing w:val="0"/>
                <w:sz w:val="24"/>
                <w:szCs w:val="24"/>
                <w:shd w:val="clear" w:fill="FFFFFF"/>
                <w:lang w:val="en-US" w:eastAsia="zh-CN"/>
              </w:rPr>
              <w:t>项目经理需要具备如下技能，投标人中标后，医院通过面试确定项目经理的能力能否胜任，有权要求对能力不符合要求的项目经理进行更换。</w:t>
            </w:r>
          </w:p>
          <w:p w14:paraId="4DDD291D">
            <w:pPr>
              <w:pStyle w:val="142"/>
              <w:spacing w:line="360" w:lineRule="auto"/>
              <w:ind w:firstLine="480" w:firstLineChars="200"/>
              <w:rPr>
                <w:rFonts w:hint="eastAsia" w:ascii="Segoe UI" w:hAnsi="Segoe UI" w:eastAsia="宋体" w:cs="Segoe UI"/>
                <w:color w:val="0F1115"/>
                <w:spacing w:val="0"/>
                <w:sz w:val="24"/>
                <w:shd w:val="clear" w:fill="FFFFFF"/>
              </w:rPr>
            </w:pPr>
            <w:r>
              <w:rPr>
                <w:rFonts w:hint="eastAsia" w:ascii="Segoe UI" w:hAnsi="Segoe UI" w:eastAsia="宋体" w:cs="Segoe UI"/>
                <w:color w:val="0F1115"/>
                <w:spacing w:val="0"/>
                <w:sz w:val="24"/>
                <w:shd w:val="clear" w:fill="FFFFFF"/>
              </w:rPr>
              <w:t>熟悉信息系统项目管理核心方法论（如范围管理、进度管控、成本优化、质量管理、风险防控、干系人协调等），能独立牵头完成本项目从启动、规划、执行、监控到收尾的全流程管理。</w:t>
            </w:r>
          </w:p>
          <w:p w14:paraId="12BFDC99">
            <w:pPr>
              <w:pStyle w:val="142"/>
              <w:spacing w:line="360" w:lineRule="auto"/>
              <w:ind w:firstLine="480" w:firstLineChars="200"/>
              <w:rPr>
                <w:rFonts w:hint="eastAsia" w:ascii="Segoe UI" w:hAnsi="Segoe UI" w:eastAsia="宋体" w:cs="Segoe UI"/>
                <w:color w:val="0F1115"/>
                <w:spacing w:val="0"/>
                <w:sz w:val="24"/>
                <w:shd w:val="clear" w:fill="FFFFFF"/>
              </w:rPr>
            </w:pPr>
            <w:r>
              <w:rPr>
                <w:rFonts w:hint="eastAsia" w:ascii="Segoe UI" w:hAnsi="Segoe UI" w:eastAsia="宋体" w:cs="Segoe UI"/>
                <w:color w:val="0F1115"/>
                <w:spacing w:val="0"/>
                <w:sz w:val="24"/>
                <w:shd w:val="clear" w:fill="FFFFFF"/>
              </w:rPr>
              <w:t>熟悉数据库架构设计、SQL优化、数据备份与恢复、性能调优，能根据项目需求设计高可用、高并发的数据库解决方案，同时具备排查数据库故障的技术能力。</w:t>
            </w:r>
          </w:p>
          <w:p w14:paraId="48C8FF0C">
            <w:pPr>
              <w:pStyle w:val="142"/>
              <w:spacing w:line="360" w:lineRule="auto"/>
              <w:ind w:firstLine="480" w:firstLineChars="200"/>
              <w:rPr>
                <w:rFonts w:hint="eastAsia" w:ascii="Segoe UI" w:hAnsi="Segoe UI" w:eastAsia="宋体" w:cs="Segoe UI"/>
                <w:color w:val="0F1115"/>
                <w:spacing w:val="0"/>
                <w:sz w:val="24"/>
                <w:shd w:val="clear" w:fill="FFFFFF"/>
              </w:rPr>
            </w:pPr>
            <w:r>
              <w:rPr>
                <w:rFonts w:hint="eastAsia" w:ascii="Segoe UI" w:hAnsi="Segoe UI" w:eastAsia="宋体" w:cs="Segoe UI"/>
                <w:color w:val="0F1115"/>
                <w:spacing w:val="0"/>
                <w:sz w:val="24"/>
                <w:shd w:val="clear" w:fill="FFFFFF"/>
              </w:rPr>
              <w:t>熟悉大数据分析核心技术，了解如何能运用工具处理多源异构数据，了解从数据中挖掘业务洞察，以支撑项目决策。</w:t>
            </w:r>
          </w:p>
          <w:p w14:paraId="59C18735">
            <w:pPr>
              <w:pStyle w:val="142"/>
              <w:spacing w:line="360" w:lineRule="auto"/>
              <w:ind w:firstLine="480" w:firstLineChars="200"/>
              <w:rPr>
                <w:rFonts w:hint="eastAsia" w:ascii="Segoe UI" w:hAnsi="Segoe UI" w:eastAsia="宋体" w:cs="Segoe UI"/>
                <w:color w:val="0F1115"/>
                <w:spacing w:val="0"/>
                <w:sz w:val="24"/>
                <w:shd w:val="clear" w:fill="FFFFFF"/>
              </w:rPr>
            </w:pPr>
            <w:r>
              <w:rPr>
                <w:rFonts w:hint="eastAsia" w:ascii="Segoe UI" w:hAnsi="Segoe UI" w:eastAsia="宋体" w:cs="Segoe UI"/>
                <w:color w:val="0F1115"/>
                <w:spacing w:val="0"/>
                <w:sz w:val="24"/>
                <w:shd w:val="clear" w:fill="FFFFFF"/>
              </w:rPr>
              <w:t>熟悉大数据安全领域核心技术与合规要求，能设计项目全链路数据安全方案，具备识别并处置数据安全风险的应急能力。</w:t>
            </w:r>
          </w:p>
          <w:p w14:paraId="0915800D">
            <w:pPr>
              <w:pStyle w:val="142"/>
              <w:spacing w:line="360" w:lineRule="auto"/>
              <w:ind w:firstLine="480" w:firstLineChars="200"/>
              <w:rPr>
                <w:rFonts w:hint="eastAsia" w:ascii="Segoe UI" w:hAnsi="Segoe UI" w:eastAsia="宋体" w:cs="Segoe UI"/>
                <w:color w:val="0F1115"/>
                <w:spacing w:val="0"/>
                <w:sz w:val="24"/>
                <w:shd w:val="clear" w:fill="FFFFFF"/>
              </w:rPr>
            </w:pPr>
            <w:r>
              <w:rPr>
                <w:rFonts w:hint="eastAsia" w:ascii="Segoe UI" w:hAnsi="Segoe UI" w:eastAsia="宋体" w:cs="Segoe UI"/>
                <w:color w:val="0F1115"/>
                <w:spacing w:val="0"/>
                <w:sz w:val="24"/>
                <w:shd w:val="clear" w:fill="FFFFFF"/>
              </w:rPr>
              <w:t>熟悉大数据采集核心技术与工具，能根据项目需求设计高效、稳定的采集方案，解决采集过程中的数据质量问题，保障数据采集的时效性与准确性。</w:t>
            </w:r>
          </w:p>
          <w:p w14:paraId="4DC47764">
            <w:pPr>
              <w:pStyle w:val="142"/>
              <w:spacing w:line="360" w:lineRule="auto"/>
              <w:rPr>
                <w:rFonts w:hint="eastAsia" w:ascii="Segoe UI" w:hAnsi="Segoe UI" w:eastAsia="宋体" w:cs="Segoe UI"/>
                <w:color w:val="0F1115"/>
                <w:spacing w:val="0"/>
                <w:sz w:val="24"/>
                <w:shd w:val="clear" w:fill="FFFFFF"/>
              </w:rPr>
            </w:pPr>
            <w:r>
              <w:rPr>
                <w:rFonts w:hint="eastAsia" w:ascii="Segoe UI" w:hAnsi="Segoe UI" w:eastAsia="宋体" w:cs="Segoe UI"/>
                <w:color w:val="0F1115"/>
                <w:spacing w:val="0"/>
                <w:sz w:val="24"/>
                <w:shd w:val="clear" w:fill="FFFFFF"/>
                <w:lang w:val="en-US" w:eastAsia="zh-CN"/>
              </w:rPr>
              <w:t xml:space="preserve">3.3 </w:t>
            </w:r>
            <w:r>
              <w:rPr>
                <w:rFonts w:hint="eastAsia" w:ascii="Segoe UI" w:hAnsi="Segoe UI" w:eastAsia="宋体" w:cs="Segoe UI"/>
                <w:color w:val="0F1115"/>
                <w:spacing w:val="0"/>
                <w:sz w:val="24"/>
                <w:shd w:val="clear" w:fill="FFFFFF"/>
              </w:rPr>
              <w:t>技术负责人：具备信息系统项目管理方法论（如范围管控、进度优化、风险预判、质量保障），且能从“技术视角”落地管理动作，确保项目技术环节与整体进度、成本目标一致。具备通信终端技术原理与通信业务逻辑，能针对项目中涉及的需求）提供技术支撑，确保通信环节稳定、高效。</w:t>
            </w:r>
          </w:p>
          <w:p w14:paraId="0CB163AD">
            <w:pPr>
              <w:pStyle w:val="142"/>
              <w:spacing w:line="360" w:lineRule="auto"/>
              <w:rPr>
                <w:rFonts w:hint="eastAsia" w:ascii="Segoe UI" w:hAnsi="Segoe UI" w:eastAsia="宋体" w:cs="Segoe UI"/>
                <w:color w:val="0F1115"/>
                <w:spacing w:val="0"/>
                <w:sz w:val="24"/>
                <w:shd w:val="clear" w:fill="FFFFFF"/>
              </w:rPr>
            </w:pPr>
            <w:r>
              <w:rPr>
                <w:rFonts w:hint="eastAsia" w:ascii="Segoe UI" w:hAnsi="Segoe UI" w:eastAsia="宋体" w:cs="Segoe UI"/>
                <w:color w:val="0F1115"/>
                <w:spacing w:val="0"/>
                <w:sz w:val="24"/>
                <w:shd w:val="clear" w:fill="FFFFFF"/>
                <w:lang w:val="en-US" w:eastAsia="zh-CN"/>
              </w:rPr>
              <w:t>3.4 项目</w:t>
            </w:r>
            <w:r>
              <w:rPr>
                <w:rFonts w:hint="eastAsia" w:ascii="Segoe UI" w:hAnsi="Segoe UI" w:eastAsia="宋体" w:cs="Segoe UI"/>
                <w:color w:val="0F1115"/>
                <w:spacing w:val="0"/>
                <w:sz w:val="24"/>
                <w:shd w:val="clear" w:fill="FFFFFF"/>
              </w:rPr>
              <w:t>架构师</w:t>
            </w:r>
            <w:r>
              <w:rPr>
                <w:rFonts w:hint="eastAsia" w:ascii="Segoe UI" w:hAnsi="Segoe UI" w:eastAsia="宋体" w:cs="Segoe UI"/>
                <w:color w:val="0F1115"/>
                <w:spacing w:val="0"/>
                <w:sz w:val="24"/>
                <w:shd w:val="clear" w:fill="FFFFFF"/>
                <w:lang w:eastAsia="zh-CN"/>
              </w:rPr>
              <w:t>：</w:t>
            </w:r>
            <w:r>
              <w:rPr>
                <w:rFonts w:hint="eastAsia" w:ascii="Segoe UI" w:hAnsi="Segoe UI" w:eastAsia="宋体" w:cs="Segoe UI"/>
                <w:color w:val="0F1115"/>
                <w:spacing w:val="0"/>
                <w:sz w:val="24"/>
                <w:shd w:val="clear" w:fill="FFFFFF"/>
              </w:rPr>
              <w:t>具备相关的医学专业知识，能准确理解医疗相关需求，并将其转化为可落地的技术架构设计要点。具备系统架构设计核心技术，能结合项目规模与业务需求设计整体架构，包括技术栈选型、模块划分、接口规范、性能优化方案，同时具备架构迭代优化能力。</w:t>
            </w:r>
          </w:p>
          <w:p w14:paraId="6EFE23D5">
            <w:pPr>
              <w:pStyle w:val="142"/>
              <w:spacing w:line="360" w:lineRule="auto"/>
              <w:rPr>
                <w:rFonts w:hint="eastAsia" w:ascii="Segoe UI" w:hAnsi="Segoe UI" w:eastAsia="宋体" w:cs="Segoe UI"/>
                <w:color w:val="0F1115"/>
                <w:spacing w:val="0"/>
                <w:sz w:val="24"/>
                <w:shd w:val="clear" w:fill="FFFFFF"/>
              </w:rPr>
            </w:pPr>
            <w:r>
              <w:rPr>
                <w:rFonts w:hint="eastAsia" w:ascii="Segoe UI" w:hAnsi="Segoe UI" w:eastAsia="宋体" w:cs="Segoe UI"/>
                <w:color w:val="0F1115"/>
                <w:spacing w:val="0"/>
                <w:sz w:val="24"/>
                <w:shd w:val="clear" w:fill="FFFFFF"/>
                <w:lang w:val="en-US" w:eastAsia="zh-CN"/>
              </w:rPr>
              <w:t>3.5</w:t>
            </w:r>
            <w:r>
              <w:rPr>
                <w:rFonts w:hint="eastAsia" w:ascii="Segoe UI" w:hAnsi="Segoe UI" w:eastAsia="宋体" w:cs="Segoe UI"/>
                <w:color w:val="0F1115"/>
                <w:spacing w:val="0"/>
                <w:sz w:val="24"/>
                <w:shd w:val="clear" w:fill="FFFFFF"/>
              </w:rPr>
              <w:t>项目规划师</w:t>
            </w:r>
            <w:r>
              <w:rPr>
                <w:rFonts w:hint="eastAsia" w:ascii="Segoe UI" w:hAnsi="Segoe UI" w:eastAsia="宋体" w:cs="Segoe UI"/>
                <w:color w:val="0F1115"/>
                <w:spacing w:val="0"/>
                <w:sz w:val="24"/>
                <w:shd w:val="clear" w:fill="FFFFFF"/>
                <w:lang w:eastAsia="zh-CN"/>
              </w:rPr>
              <w:t>：</w:t>
            </w:r>
            <w:r>
              <w:rPr>
                <w:rFonts w:hint="eastAsia" w:ascii="Segoe UI" w:hAnsi="Segoe UI" w:eastAsia="宋体" w:cs="Segoe UI"/>
                <w:color w:val="0F1115"/>
                <w:spacing w:val="0"/>
                <w:sz w:val="24"/>
                <w:shd w:val="clear" w:fill="FFFFFF"/>
              </w:rPr>
              <w:t>具备相关的医学专业知识，能精准拆解医疗相关项目的需求，并将需求转化为阶段性的项目规划目标，确保规划贴合医疗相关业务实际。具备系统规划与管理方法论并为本项目制定整体规划，同时具备应对规划偏差的调整能力。</w:t>
            </w:r>
          </w:p>
          <w:p w14:paraId="7D374DF0">
            <w:pPr>
              <w:pStyle w:val="142"/>
              <w:spacing w:line="360" w:lineRule="auto"/>
              <w:rPr>
                <w:rFonts w:hint="eastAsia" w:ascii="Segoe UI" w:hAnsi="Segoe UI" w:eastAsia="宋体" w:cs="Segoe UI"/>
                <w:color w:val="0F1115"/>
                <w:spacing w:val="0"/>
                <w:sz w:val="24"/>
                <w:shd w:val="clear" w:fill="FFFFFF"/>
                <w:lang w:val="en-US" w:eastAsia="zh-CN"/>
              </w:rPr>
            </w:pPr>
            <w:r>
              <w:rPr>
                <w:rFonts w:hint="eastAsia" w:ascii="Segoe UI" w:hAnsi="Segoe UI" w:eastAsia="宋体" w:cs="Segoe UI"/>
                <w:color w:val="0F1115"/>
                <w:spacing w:val="0"/>
                <w:sz w:val="24"/>
                <w:shd w:val="clear" w:fill="FFFFFF"/>
                <w:lang w:val="en-US" w:eastAsia="zh-CN"/>
              </w:rPr>
              <w:t>3.6 数据治理专家：</w:t>
            </w:r>
            <w:r>
              <w:rPr>
                <w:rFonts w:hint="eastAsia" w:ascii="Segoe UI" w:hAnsi="Segoe UI" w:eastAsia="宋体" w:cs="Segoe UI"/>
                <w:i w:val="0"/>
                <w:iCs w:val="0"/>
                <w:caps w:val="0"/>
                <w:color w:val="0F1115"/>
                <w:spacing w:val="0"/>
                <w:sz w:val="24"/>
                <w:szCs w:val="24"/>
                <w:shd w:val="clear" w:fill="FFFFFF"/>
              </w:rPr>
              <w:t>精通医疗数据标准制定、元数据管理、数据质量评估与改进方法；熟悉HL7、FHIR等医疗数据交换标准；掌握ETL工具及SQL优化；能独立完成数据治理全流程实施及问题闭环管理，并具备跨部门协调沟通能力。</w:t>
            </w:r>
          </w:p>
          <w:p w14:paraId="62CF5A72">
            <w:pPr>
              <w:pStyle w:val="142"/>
              <w:spacing w:line="360" w:lineRule="auto"/>
              <w:ind w:firstLineChars="200"/>
              <w:rPr>
                <w:rFonts w:hint="eastAsia" w:ascii="Segoe UI" w:hAnsi="Segoe UI" w:eastAsia="宋体" w:cs="Segoe UI"/>
                <w:color w:val="0F1115"/>
                <w:spacing w:val="0"/>
                <w:sz w:val="24"/>
                <w:shd w:val="clear" w:fill="FFFFFF"/>
                <w:lang w:val="en-US" w:eastAsia="zh-CN"/>
              </w:rPr>
            </w:pPr>
            <w:r>
              <w:rPr>
                <w:rFonts w:hint="eastAsia" w:ascii="Segoe UI" w:hAnsi="Segoe UI" w:eastAsia="宋体" w:cs="Segoe UI"/>
                <w:color w:val="0F1115"/>
                <w:spacing w:val="0"/>
                <w:sz w:val="24"/>
                <w:shd w:val="clear" w:fill="FFFFFF"/>
                <w:lang w:val="en-US" w:eastAsia="zh-CN"/>
              </w:rPr>
              <w:t xml:space="preserve">3.7 </w:t>
            </w:r>
            <w:r>
              <w:rPr>
                <w:rFonts w:hint="eastAsia" w:ascii="Segoe UI" w:hAnsi="Segoe UI" w:eastAsia="宋体" w:cs="Segoe UI"/>
                <w:color w:val="0F1115"/>
                <w:spacing w:val="0"/>
                <w:sz w:val="24"/>
                <w:shd w:val="clear" w:fill="FFFFFF"/>
              </w:rPr>
              <w:t>项目</w:t>
            </w:r>
            <w:r>
              <w:rPr>
                <w:rFonts w:hint="eastAsia" w:ascii="Segoe UI" w:hAnsi="Segoe UI" w:eastAsia="宋体" w:cs="Segoe UI"/>
                <w:color w:val="0F1115"/>
                <w:spacing w:val="0"/>
                <w:sz w:val="24"/>
                <w:shd w:val="clear" w:fill="FFFFFF"/>
                <w:lang w:val="en-US" w:eastAsia="zh-CN"/>
              </w:rPr>
              <w:t>实施</w:t>
            </w:r>
            <w:r>
              <w:rPr>
                <w:rFonts w:hint="eastAsia" w:ascii="Segoe UI" w:hAnsi="Segoe UI" w:eastAsia="宋体" w:cs="Segoe UI"/>
                <w:color w:val="0F1115"/>
                <w:spacing w:val="0"/>
                <w:sz w:val="24"/>
                <w:shd w:val="clear" w:fill="FFFFFF"/>
              </w:rPr>
              <w:t>团队</w:t>
            </w:r>
            <w:r>
              <w:rPr>
                <w:rFonts w:hint="eastAsia" w:ascii="Segoe UI" w:hAnsi="Segoe UI" w:eastAsia="宋体" w:cs="Segoe UI"/>
                <w:color w:val="0F1115"/>
                <w:spacing w:val="0"/>
                <w:sz w:val="24"/>
                <w:shd w:val="clear" w:fill="FFFFFF"/>
                <w:lang w:eastAsia="zh-CN"/>
              </w:rPr>
              <w:t>：</w:t>
            </w:r>
          </w:p>
          <w:p w14:paraId="23D39D68">
            <w:pPr>
              <w:pStyle w:val="142"/>
              <w:spacing w:line="360" w:lineRule="auto"/>
              <w:rPr>
                <w:rFonts w:hint="eastAsia" w:ascii="Segoe UI" w:hAnsi="Segoe UI" w:eastAsia="宋体" w:cs="Segoe UI"/>
                <w:color w:val="0F1115"/>
                <w:spacing w:val="0"/>
                <w:sz w:val="24"/>
                <w:shd w:val="clear" w:fill="FFFFFF"/>
              </w:rPr>
            </w:pPr>
            <w:r>
              <w:rPr>
                <w:rFonts w:hint="eastAsia" w:ascii="Segoe UI" w:hAnsi="Segoe UI" w:eastAsia="宋体" w:cs="Segoe UI"/>
                <w:color w:val="0F1115"/>
                <w:spacing w:val="0"/>
                <w:sz w:val="24"/>
                <w:shd w:val="clear" w:fill="FFFFFF"/>
              </w:rPr>
              <w:t>(1)项目实施人员：</w:t>
            </w:r>
          </w:p>
          <w:p w14:paraId="2783AD7D">
            <w:pPr>
              <w:pStyle w:val="142"/>
              <w:spacing w:line="360" w:lineRule="auto"/>
              <w:rPr>
                <w:rFonts w:hint="eastAsia" w:ascii="Segoe UI" w:hAnsi="Segoe UI" w:eastAsia="宋体" w:cs="Segoe UI"/>
                <w:color w:val="0F1115"/>
                <w:spacing w:val="0"/>
                <w:sz w:val="24"/>
                <w:shd w:val="clear" w:fill="FFFFFF"/>
              </w:rPr>
            </w:pPr>
            <w:r>
              <w:rPr>
                <w:rFonts w:hint="eastAsia" w:ascii="Segoe UI" w:hAnsi="Segoe UI" w:eastAsia="宋体" w:cs="Segoe UI"/>
                <w:color w:val="0F1115"/>
                <w:spacing w:val="0"/>
                <w:sz w:val="24"/>
                <w:shd w:val="clear" w:fill="FFFFFF"/>
              </w:rPr>
              <w:t>具备信息系统实施能力，能解决实施中的常见问题，具备项目进度跟进与实施文档编写能力。</w:t>
            </w:r>
          </w:p>
          <w:p w14:paraId="09F5CC48">
            <w:pPr>
              <w:pStyle w:val="142"/>
              <w:spacing w:line="360" w:lineRule="auto"/>
              <w:rPr>
                <w:rFonts w:hint="eastAsia" w:ascii="Segoe UI" w:hAnsi="Segoe UI" w:eastAsia="宋体" w:cs="Segoe UI"/>
                <w:color w:val="0F1115"/>
                <w:spacing w:val="0"/>
                <w:sz w:val="24"/>
                <w:shd w:val="clear" w:fill="FFFFFF"/>
              </w:rPr>
            </w:pPr>
            <w:r>
              <w:rPr>
                <w:rFonts w:hint="eastAsia" w:ascii="Segoe UI" w:hAnsi="Segoe UI" w:eastAsia="宋体" w:cs="Segoe UI"/>
                <w:color w:val="0F1115"/>
                <w:spacing w:val="0"/>
                <w:sz w:val="24"/>
                <w:shd w:val="clear" w:fill="FFFFFF"/>
              </w:rPr>
              <w:t>(2)项目数据架构设计人员：</w:t>
            </w:r>
          </w:p>
          <w:p w14:paraId="58AA3665">
            <w:pPr>
              <w:pStyle w:val="142"/>
              <w:spacing w:line="360" w:lineRule="auto"/>
              <w:rPr>
                <w:rFonts w:hint="eastAsia" w:ascii="Segoe UI" w:hAnsi="Segoe UI" w:eastAsia="宋体" w:cs="Segoe UI"/>
                <w:color w:val="0F1115"/>
                <w:spacing w:val="0"/>
                <w:sz w:val="24"/>
                <w:shd w:val="clear" w:fill="FFFFFF"/>
              </w:rPr>
            </w:pPr>
            <w:r>
              <w:rPr>
                <w:rFonts w:hint="eastAsia" w:ascii="Segoe UI" w:hAnsi="Segoe UI" w:eastAsia="宋体" w:cs="Segoe UI"/>
                <w:color w:val="0F1115"/>
                <w:spacing w:val="0"/>
                <w:sz w:val="24"/>
                <w:shd w:val="clear" w:fill="FFFFFF"/>
              </w:rPr>
              <w:t>具备数据库设计、运维能力，能解决数据库故障，具备数据库安全管理能力。</w:t>
            </w:r>
          </w:p>
          <w:p w14:paraId="617B8856">
            <w:pPr>
              <w:pStyle w:val="142"/>
              <w:spacing w:line="360" w:lineRule="auto"/>
              <w:rPr>
                <w:rFonts w:hint="eastAsia" w:ascii="Segoe UI" w:hAnsi="Segoe UI" w:eastAsia="宋体" w:cs="Segoe UI"/>
                <w:color w:val="0F1115"/>
                <w:spacing w:val="0"/>
                <w:sz w:val="24"/>
                <w:shd w:val="clear" w:fill="FFFFFF"/>
              </w:rPr>
            </w:pPr>
            <w:r>
              <w:rPr>
                <w:rFonts w:hint="eastAsia" w:ascii="Segoe UI" w:hAnsi="Segoe UI" w:eastAsia="宋体" w:cs="Segoe UI"/>
                <w:color w:val="0F1115"/>
                <w:spacing w:val="0"/>
                <w:sz w:val="24"/>
                <w:shd w:val="clear" w:fill="FFFFFF"/>
              </w:rPr>
              <w:t>(3)项目开发人员：</w:t>
            </w:r>
          </w:p>
          <w:p w14:paraId="0398A73B">
            <w:pPr>
              <w:pStyle w:val="142"/>
              <w:spacing w:line="360" w:lineRule="auto"/>
              <w:rPr>
                <w:rFonts w:hint="eastAsia" w:ascii="Segoe UI" w:hAnsi="Segoe UI" w:eastAsia="宋体" w:cs="Segoe UI"/>
                <w:color w:val="0F1115"/>
                <w:spacing w:val="0"/>
                <w:sz w:val="24"/>
                <w:shd w:val="clear" w:fill="FFFFFF"/>
              </w:rPr>
            </w:pPr>
            <w:r>
              <w:rPr>
                <w:rFonts w:hint="eastAsia" w:ascii="Segoe UI" w:hAnsi="Segoe UI" w:eastAsia="宋体" w:cs="Segoe UI"/>
                <w:color w:val="0F1115"/>
                <w:spacing w:val="0"/>
                <w:sz w:val="24"/>
                <w:shd w:val="clear" w:fill="FFFFFF"/>
              </w:rPr>
              <w:t>熟悉软件开发流程与主流开发技术，能独立完成模块开发，确保代码质量，具备开发文档编写能力。</w:t>
            </w:r>
          </w:p>
          <w:p w14:paraId="1FE0F0A9">
            <w:pPr>
              <w:pStyle w:val="142"/>
              <w:spacing w:line="360" w:lineRule="auto"/>
              <w:rPr>
                <w:rFonts w:hint="eastAsia" w:ascii="Segoe UI" w:hAnsi="Segoe UI" w:eastAsia="宋体" w:cs="Segoe UI"/>
                <w:color w:val="0F1115"/>
                <w:spacing w:val="0"/>
                <w:sz w:val="24"/>
                <w:shd w:val="clear" w:fill="FFFFFF"/>
              </w:rPr>
            </w:pPr>
            <w:r>
              <w:rPr>
                <w:rFonts w:hint="eastAsia" w:ascii="Segoe UI" w:hAnsi="Segoe UI" w:eastAsia="宋体" w:cs="Segoe UI"/>
                <w:color w:val="0F1115"/>
                <w:spacing w:val="0"/>
                <w:sz w:val="24"/>
                <w:shd w:val="clear" w:fill="FFFFFF"/>
              </w:rPr>
              <w:t>(4)项目网络管理人员：</w:t>
            </w:r>
          </w:p>
          <w:p w14:paraId="7700E4FD">
            <w:pPr>
              <w:pStyle w:val="142"/>
              <w:spacing w:line="360" w:lineRule="auto"/>
              <w:rPr>
                <w:rFonts w:hint="eastAsia" w:ascii="Segoe UI" w:hAnsi="Segoe UI" w:eastAsia="宋体" w:cs="Segoe UI"/>
                <w:color w:val="0F1115"/>
                <w:spacing w:val="0"/>
                <w:sz w:val="24"/>
                <w:shd w:val="clear" w:fill="FFFFFF"/>
              </w:rPr>
            </w:pPr>
            <w:r>
              <w:rPr>
                <w:rFonts w:hint="eastAsia" w:ascii="Segoe UI" w:hAnsi="Segoe UI" w:eastAsia="宋体" w:cs="Segoe UI"/>
                <w:color w:val="0F1115"/>
                <w:spacing w:val="0"/>
                <w:sz w:val="24"/>
                <w:shd w:val="clear" w:fill="FFFFFF"/>
              </w:rPr>
              <w:t>熟悉网络架构搭建、网络设备运维，能排查网络故障，具备网络安全防护能力。</w:t>
            </w:r>
          </w:p>
          <w:p w14:paraId="440544F0">
            <w:pPr>
              <w:pStyle w:val="142"/>
              <w:spacing w:line="360" w:lineRule="auto"/>
              <w:rPr>
                <w:rFonts w:hint="eastAsia" w:ascii="Segoe UI" w:hAnsi="Segoe UI" w:eastAsia="宋体" w:cs="Segoe UI"/>
                <w:color w:val="0F1115"/>
                <w:spacing w:val="0"/>
                <w:sz w:val="24"/>
                <w:shd w:val="clear" w:fill="FFFFFF"/>
              </w:rPr>
            </w:pPr>
            <w:r>
              <w:rPr>
                <w:rFonts w:hint="eastAsia" w:ascii="Segoe UI" w:hAnsi="Segoe UI" w:eastAsia="宋体" w:cs="Segoe UI"/>
                <w:color w:val="0F1115"/>
                <w:spacing w:val="0"/>
                <w:sz w:val="24"/>
                <w:shd w:val="clear" w:fill="FFFFFF"/>
              </w:rPr>
              <w:t>(5)项目需求分析人员：</w:t>
            </w:r>
          </w:p>
          <w:p w14:paraId="62F84E76">
            <w:pPr>
              <w:pStyle w:val="142"/>
              <w:spacing w:line="360" w:lineRule="auto"/>
              <w:rPr>
                <w:rFonts w:hint="eastAsia" w:ascii="Segoe UI" w:hAnsi="Segoe UI" w:eastAsia="宋体" w:cs="Segoe UI"/>
                <w:color w:val="0F1115"/>
                <w:spacing w:val="0"/>
                <w:sz w:val="24"/>
                <w:shd w:val="clear" w:fill="FFFFFF"/>
              </w:rPr>
            </w:pPr>
            <w:r>
              <w:rPr>
                <w:rFonts w:hint="eastAsia" w:ascii="Segoe UI" w:hAnsi="Segoe UI" w:eastAsia="宋体" w:cs="Segoe UI"/>
                <w:color w:val="0F1115"/>
                <w:spacing w:val="0"/>
                <w:sz w:val="24"/>
                <w:shd w:val="clear" w:fill="FFFFFF"/>
              </w:rPr>
              <w:t>熟悉需求调研方法，能精准捕捉业务需求，能将需求转化为规范的需求文档，具备需求变更管理与需求验证能力。</w:t>
            </w:r>
          </w:p>
          <w:p w14:paraId="36BBDB63">
            <w:pPr>
              <w:pStyle w:val="142"/>
              <w:spacing w:line="360" w:lineRule="auto"/>
              <w:ind w:firstLineChars="200"/>
              <w:rPr>
                <w:rFonts w:hint="eastAsia" w:ascii="Segoe UI" w:hAnsi="Segoe UI" w:eastAsia="宋体" w:cs="Segoe UI"/>
                <w:color w:val="0F1115"/>
                <w:spacing w:val="0"/>
                <w:sz w:val="24"/>
                <w:shd w:val="clear" w:fill="FFFFFF"/>
              </w:rPr>
            </w:pPr>
            <w:r>
              <w:rPr>
                <w:rFonts w:hint="eastAsia" w:ascii="Segoe UI" w:hAnsi="Segoe UI" w:eastAsia="宋体" w:cs="Segoe UI"/>
                <w:color w:val="0F1115"/>
                <w:spacing w:val="0"/>
                <w:sz w:val="24"/>
                <w:shd w:val="clear" w:fill="FFFFFF"/>
                <w:lang w:val="en-US" w:eastAsia="zh-CN"/>
              </w:rPr>
              <w:t>3.8</w:t>
            </w:r>
            <w:r>
              <w:rPr>
                <w:rFonts w:hint="eastAsia" w:ascii="Segoe UI" w:hAnsi="Segoe UI" w:eastAsia="宋体" w:cs="Segoe UI"/>
                <w:color w:val="0F1115"/>
                <w:spacing w:val="0"/>
                <w:sz w:val="24"/>
                <w:shd w:val="clear" w:fill="FFFFFF"/>
              </w:rPr>
              <w:t>医学专家组</w:t>
            </w:r>
            <w:r>
              <w:rPr>
                <w:rFonts w:hint="eastAsia" w:ascii="Segoe UI" w:hAnsi="Segoe UI" w:eastAsia="宋体" w:cs="Segoe UI"/>
                <w:b w:val="0"/>
                <w:bCs/>
                <w:color w:val="0F1115"/>
                <w:spacing w:val="0"/>
                <w:sz w:val="24"/>
                <w:shd w:val="clear" w:fill="FFFFFF"/>
                <w:lang w:eastAsia="zh-CN"/>
              </w:rPr>
              <w:t>：</w:t>
            </w:r>
          </w:p>
          <w:p w14:paraId="7BDDF555">
            <w:pPr>
              <w:pStyle w:val="142"/>
              <w:spacing w:line="360" w:lineRule="auto"/>
              <w:rPr>
                <w:rFonts w:hint="eastAsia" w:ascii="Segoe UI" w:hAnsi="Segoe UI" w:eastAsia="宋体" w:cs="Segoe UI"/>
                <w:color w:val="0F1115"/>
                <w:spacing w:val="0"/>
                <w:sz w:val="24"/>
                <w:shd w:val="clear" w:fill="FFFFFF"/>
              </w:rPr>
            </w:pPr>
            <w:r>
              <w:rPr>
                <w:rFonts w:hint="eastAsia" w:ascii="Segoe UI" w:hAnsi="Segoe UI" w:eastAsia="宋体" w:cs="Segoe UI"/>
                <w:color w:val="0F1115"/>
                <w:spacing w:val="0"/>
                <w:sz w:val="24"/>
                <w:shd w:val="clear" w:fill="FFFFFF"/>
              </w:rPr>
              <w:t>(1)专家组组长：</w:t>
            </w:r>
          </w:p>
          <w:p w14:paraId="28508721">
            <w:pPr>
              <w:pStyle w:val="142"/>
              <w:spacing w:line="360" w:lineRule="auto"/>
              <w:rPr>
                <w:rFonts w:hint="eastAsia" w:ascii="Segoe UI" w:hAnsi="Segoe UI" w:eastAsia="宋体" w:cs="Segoe UI"/>
                <w:color w:val="0F1115"/>
                <w:spacing w:val="0"/>
                <w:sz w:val="24"/>
                <w:shd w:val="clear" w:fill="FFFFFF"/>
              </w:rPr>
            </w:pPr>
            <w:r>
              <w:rPr>
                <w:rFonts w:hint="eastAsia" w:ascii="Segoe UI" w:hAnsi="Segoe UI" w:eastAsia="宋体" w:cs="Segoe UI"/>
                <w:color w:val="0F1115"/>
                <w:spacing w:val="0"/>
                <w:sz w:val="24"/>
                <w:shd w:val="clear" w:fill="FFFFFF"/>
              </w:rPr>
              <w:t>具备医疗技术权威把控与复杂问题攻坚能力，可基于专业判断，能为项目提供高级别的医学技术指导，为项目提供决策建议。</w:t>
            </w:r>
          </w:p>
          <w:p w14:paraId="07D8A23A">
            <w:pPr>
              <w:pStyle w:val="142"/>
              <w:spacing w:line="360" w:lineRule="auto"/>
              <w:rPr>
                <w:rFonts w:hint="eastAsia" w:ascii="Segoe UI" w:hAnsi="Segoe UI" w:eastAsia="宋体" w:cs="Segoe UI"/>
                <w:color w:val="0F1115"/>
                <w:spacing w:val="0"/>
                <w:sz w:val="24"/>
                <w:shd w:val="clear" w:fill="FFFFFF"/>
                <w:lang w:val="en-US" w:eastAsia="zh-CN"/>
              </w:rPr>
            </w:pPr>
            <w:r>
              <w:rPr>
                <w:rFonts w:hint="eastAsia" w:ascii="Segoe UI" w:hAnsi="Segoe UI" w:eastAsia="宋体" w:cs="Segoe UI"/>
                <w:color w:val="0F1115"/>
                <w:spacing w:val="0"/>
                <w:sz w:val="24"/>
                <w:shd w:val="clear" w:fill="FFFFFF"/>
              </w:rPr>
              <w:t>(2)专家组</w:t>
            </w:r>
            <w:r>
              <w:rPr>
                <w:rFonts w:hint="eastAsia" w:ascii="Segoe UI" w:hAnsi="Segoe UI" w:eastAsia="宋体" w:cs="Segoe UI"/>
                <w:color w:val="0F1115"/>
                <w:spacing w:val="0"/>
                <w:sz w:val="24"/>
                <w:shd w:val="clear" w:fill="FFFFFF"/>
                <w:lang w:val="en-US" w:eastAsia="zh-CN"/>
              </w:rPr>
              <w:t>成员</w:t>
            </w:r>
          </w:p>
          <w:p w14:paraId="09035F67">
            <w:pPr>
              <w:pStyle w:val="142"/>
              <w:spacing w:line="360" w:lineRule="auto"/>
              <w:rPr>
                <w:rFonts w:hint="eastAsia" w:ascii="Segoe UI" w:hAnsi="Segoe UI" w:cs="Segoe UI"/>
                <w:color w:val="0F1115"/>
                <w:spacing w:val="0"/>
                <w:sz w:val="24"/>
                <w:szCs w:val="24"/>
                <w:highlight w:val="none"/>
                <w:shd w:val="clear" w:fill="FFFFFF"/>
                <w:lang w:val="en-US" w:eastAsia="zh-CN"/>
              </w:rPr>
            </w:pPr>
            <w:r>
              <w:rPr>
                <w:rFonts w:hint="eastAsia" w:ascii="Segoe UI" w:hAnsi="Segoe UI" w:cs="Segoe UI"/>
                <w:color w:val="0F1115"/>
                <w:spacing w:val="0"/>
                <w:sz w:val="24"/>
                <w:shd w:val="clear" w:fill="FFFFFF"/>
              </w:rPr>
              <w:t>具备医学知识传递能力，可向项目技术团队（开发、架构师）输出通俗化医学解读（如解释临床术语含义、说明医疗业务流程逻辑），避免因医学认知偏差导致功能设计失误。</w:t>
            </w:r>
          </w:p>
        </w:tc>
      </w:tr>
      <w:tr w14:paraId="7C7DC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291" w:type="dxa"/>
            <w:vAlign w:val="center"/>
          </w:tcPr>
          <w:p w14:paraId="0126D6CD">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四、</w:t>
            </w:r>
            <w:r>
              <w:rPr>
                <w:rFonts w:hint="eastAsia" w:ascii="宋体" w:hAnsi="宋体" w:cs="宋体"/>
                <w:color w:val="auto"/>
                <w:kern w:val="0"/>
                <w:sz w:val="24"/>
                <w:szCs w:val="24"/>
                <w:highlight w:val="none"/>
              </w:rPr>
              <w:t>售后服务</w:t>
            </w:r>
          </w:p>
        </w:tc>
        <w:tc>
          <w:tcPr>
            <w:tcW w:w="7557" w:type="dxa"/>
            <w:vAlign w:val="center"/>
          </w:tcPr>
          <w:p w14:paraId="069881E4">
            <w:pPr>
              <w:pStyle w:val="142"/>
              <w:numPr>
                <w:ilvl w:val="-1"/>
                <w:numId w:val="0"/>
              </w:numPr>
              <w:spacing w:line="360" w:lineRule="auto"/>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 xml:space="preserve">4.1 </w:t>
            </w: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售后</w:t>
            </w:r>
            <w:r>
              <w:rPr>
                <w:rFonts w:hint="eastAsia" w:ascii="宋体" w:hAnsi="宋体"/>
                <w:color w:val="auto"/>
                <w:sz w:val="24"/>
                <w:szCs w:val="24"/>
                <w:highlight w:val="none"/>
              </w:rPr>
              <w:t>维护期：</w:t>
            </w:r>
            <w:r>
              <w:rPr>
                <w:rFonts w:hint="eastAsia" w:ascii="宋体" w:hAnsi="宋体"/>
                <w:b/>
                <w:bCs w:val="0"/>
                <w:color w:val="auto"/>
                <w:sz w:val="24"/>
                <w:szCs w:val="24"/>
                <w:highlight w:val="none"/>
                <w:lang w:val="en-US" w:eastAsia="zh-CN"/>
              </w:rPr>
              <w:t>2年</w:t>
            </w:r>
            <w:r>
              <w:rPr>
                <w:rFonts w:hint="eastAsia" w:ascii="宋体" w:hAnsi="宋体"/>
                <w:color w:val="auto"/>
                <w:sz w:val="24"/>
                <w:szCs w:val="24"/>
                <w:highlight w:val="none"/>
                <w:lang w:val="en-US" w:eastAsia="zh-CN"/>
              </w:rPr>
              <w:t>。</w:t>
            </w:r>
          </w:p>
          <w:p w14:paraId="1E81670C">
            <w:pPr>
              <w:pStyle w:val="142"/>
              <w:spacing w:line="360" w:lineRule="auto"/>
              <w:rPr>
                <w:rFonts w:ascii="宋体" w:hAnsi="宋体"/>
                <w:color w:val="auto"/>
                <w:sz w:val="24"/>
                <w:szCs w:val="24"/>
                <w:highlight w:val="none"/>
              </w:rPr>
            </w:pPr>
            <w:r>
              <w:rPr>
                <w:rFonts w:hint="eastAsia" w:ascii="宋体" w:hAnsi="宋体"/>
                <w:color w:val="auto"/>
                <w:sz w:val="24"/>
                <w:szCs w:val="24"/>
                <w:highlight w:val="none"/>
                <w:lang w:val="en-US" w:eastAsia="zh-CN"/>
              </w:rPr>
              <w:t>售后维护期</w:t>
            </w:r>
            <w:r>
              <w:rPr>
                <w:rFonts w:hint="eastAsia" w:ascii="宋体" w:hAnsi="宋体"/>
                <w:color w:val="auto"/>
                <w:sz w:val="24"/>
                <w:szCs w:val="24"/>
                <w:highlight w:val="none"/>
              </w:rPr>
              <w:t>自系统验收合格之日起</w:t>
            </w:r>
            <w:r>
              <w:rPr>
                <w:rFonts w:hint="eastAsia" w:ascii="宋体" w:hAnsi="宋体"/>
                <w:color w:val="auto"/>
                <w:sz w:val="24"/>
                <w:szCs w:val="24"/>
                <w:highlight w:val="none"/>
                <w:lang w:val="en-US" w:eastAsia="zh-CN"/>
              </w:rPr>
              <w:t>不少于2年，售后服务期内提供7X16小时</w:t>
            </w:r>
            <w:r>
              <w:rPr>
                <w:rFonts w:ascii="Segoe UI" w:hAnsi="Segoe UI" w:eastAsia="Segoe UI" w:cs="Segoe UI"/>
                <w:i w:val="0"/>
                <w:iCs w:val="0"/>
                <w:caps w:val="0"/>
                <w:color w:val="0F1115"/>
                <w:spacing w:val="0"/>
                <w:sz w:val="24"/>
                <w:szCs w:val="24"/>
                <w:shd w:val="clear" w:fill="FFFFFF"/>
              </w:rPr>
              <w:t>（周一至周日8:00—24:00）</w:t>
            </w:r>
            <w:r>
              <w:rPr>
                <w:rFonts w:hint="eastAsia" w:ascii="宋体" w:hAnsi="宋体"/>
                <w:color w:val="auto"/>
                <w:sz w:val="24"/>
                <w:szCs w:val="24"/>
                <w:highlight w:val="none"/>
                <w:lang w:val="en-US" w:eastAsia="zh-CN"/>
              </w:rPr>
              <w:t>技术支持服务（</w:t>
            </w:r>
            <w:r>
              <w:rPr>
                <w:rFonts w:hint="eastAsia" w:ascii="宋体" w:hAnsi="宋体"/>
                <w:color w:val="auto"/>
                <w:sz w:val="24"/>
                <w:szCs w:val="24"/>
                <w:highlight w:val="none"/>
              </w:rPr>
              <w:t>包括但不限于：</w:t>
            </w:r>
          </w:p>
          <w:p w14:paraId="508F7A4A">
            <w:pPr>
              <w:pStyle w:val="142"/>
              <w:spacing w:line="360" w:lineRule="auto"/>
              <w:rPr>
                <w:rFonts w:ascii="宋体" w:hAnsi="宋体"/>
                <w:color w:val="auto"/>
                <w:sz w:val="24"/>
                <w:szCs w:val="24"/>
                <w:highlight w:val="none"/>
              </w:rPr>
            </w:pP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1）</w:t>
            </w:r>
            <w:r>
              <w:rPr>
                <w:rFonts w:hint="eastAsia" w:ascii="宋体" w:hAnsi="宋体"/>
                <w:color w:val="auto"/>
                <w:sz w:val="24"/>
                <w:szCs w:val="24"/>
                <w:highlight w:val="none"/>
              </w:rPr>
              <w:t>系统日常运行维护、故障修复、性能优化；</w:t>
            </w:r>
          </w:p>
          <w:p w14:paraId="1BDD7721">
            <w:pPr>
              <w:pStyle w:val="142"/>
              <w:spacing w:line="360" w:lineRule="auto"/>
              <w:rPr>
                <w:rFonts w:ascii="宋体" w:hAnsi="宋体"/>
                <w:color w:val="auto"/>
                <w:sz w:val="24"/>
                <w:szCs w:val="24"/>
                <w:highlight w:val="none"/>
              </w:rPr>
            </w:pP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2</w:t>
            </w:r>
            <w:r>
              <w:rPr>
                <w:rFonts w:hint="eastAsia" w:ascii="宋体" w:hAnsi="宋体"/>
                <w:color w:val="auto"/>
                <w:sz w:val="24"/>
                <w:szCs w:val="24"/>
                <w:highlight w:val="none"/>
                <w:lang w:eastAsia="zh-CN"/>
              </w:rPr>
              <w:t>）</w:t>
            </w:r>
            <w:r>
              <w:rPr>
                <w:rFonts w:hint="eastAsia" w:ascii="宋体" w:hAnsi="宋体"/>
                <w:color w:val="auto"/>
                <w:sz w:val="24"/>
                <w:szCs w:val="24"/>
                <w:highlight w:val="none"/>
              </w:rPr>
              <w:t>国产化信创环境适配升级；</w:t>
            </w:r>
          </w:p>
          <w:p w14:paraId="1B07D16A">
            <w:pPr>
              <w:pStyle w:val="142"/>
              <w:spacing w:line="360" w:lineRule="auto"/>
              <w:rPr>
                <w:rFonts w:ascii="宋体" w:hAnsi="宋体"/>
                <w:color w:val="auto"/>
                <w:sz w:val="24"/>
                <w:szCs w:val="24"/>
                <w:highlight w:val="none"/>
              </w:rPr>
            </w:pP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lang w:eastAsia="zh-CN"/>
              </w:rPr>
              <w:t>）</w:t>
            </w:r>
            <w:r>
              <w:rPr>
                <w:rFonts w:hint="eastAsia" w:ascii="宋体" w:hAnsi="宋体"/>
                <w:color w:val="auto"/>
                <w:sz w:val="24"/>
                <w:szCs w:val="24"/>
                <w:highlight w:val="none"/>
              </w:rPr>
              <w:t>政策调整或业务变更引发的功能修改需求；</w:t>
            </w:r>
          </w:p>
          <w:p w14:paraId="4304A81E">
            <w:pPr>
              <w:pStyle w:val="142"/>
              <w:spacing w:line="360" w:lineRule="auto"/>
              <w:rPr>
                <w:rFonts w:hint="eastAsia" w:ascii="宋体" w:hAnsi="宋体"/>
                <w:color w:val="auto"/>
                <w:sz w:val="24"/>
                <w:szCs w:val="24"/>
                <w:highlight w:val="none"/>
                <w:lang w:eastAsia="zh-CN"/>
              </w:rPr>
            </w:pP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4</w:t>
            </w:r>
            <w:r>
              <w:rPr>
                <w:rFonts w:hint="eastAsia" w:ascii="宋体" w:hAnsi="宋体"/>
                <w:color w:val="auto"/>
                <w:sz w:val="24"/>
                <w:szCs w:val="24"/>
                <w:highlight w:val="none"/>
                <w:lang w:eastAsia="zh-CN"/>
              </w:rPr>
              <w:t>）</w:t>
            </w:r>
            <w:r>
              <w:rPr>
                <w:rFonts w:hint="eastAsia" w:ascii="宋体" w:hAnsi="宋体"/>
                <w:color w:val="auto"/>
                <w:sz w:val="24"/>
                <w:szCs w:val="24"/>
                <w:highlight w:val="none"/>
              </w:rPr>
              <w:t>数据迁移、备份恢复及安全防护支持</w:t>
            </w:r>
            <w:r>
              <w:rPr>
                <w:rFonts w:hint="eastAsia" w:ascii="宋体" w:hAnsi="宋体"/>
                <w:color w:val="auto"/>
                <w:sz w:val="24"/>
                <w:szCs w:val="24"/>
                <w:highlight w:val="none"/>
                <w:lang w:eastAsia="zh-CN"/>
              </w:rPr>
              <w:t>；</w:t>
            </w:r>
          </w:p>
          <w:p w14:paraId="05A71E8B">
            <w:pPr>
              <w:pStyle w:val="142"/>
              <w:spacing w:line="360" w:lineRule="auto"/>
              <w:rPr>
                <w:rFonts w:hint="eastAsia" w:ascii="宋体" w:hAnsi="宋体"/>
                <w:color w:val="auto"/>
                <w:sz w:val="24"/>
                <w:szCs w:val="24"/>
                <w:highlight w:val="none"/>
                <w:lang w:eastAsia="zh-CN"/>
              </w:rPr>
            </w:pP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5</w:t>
            </w:r>
            <w:r>
              <w:rPr>
                <w:rFonts w:hint="eastAsia" w:ascii="宋体" w:hAnsi="宋体"/>
                <w:color w:val="auto"/>
                <w:sz w:val="24"/>
                <w:szCs w:val="24"/>
                <w:highlight w:val="none"/>
                <w:lang w:eastAsia="zh-CN"/>
              </w:rPr>
              <w:t>）</w:t>
            </w:r>
            <w:r>
              <w:rPr>
                <w:rFonts w:hint="eastAsia" w:ascii="宋体" w:hAnsi="宋体"/>
                <w:color w:val="auto"/>
                <w:sz w:val="24"/>
                <w:szCs w:val="24"/>
                <w:highlight w:val="none"/>
              </w:rPr>
              <w:t>数据核验修正、统计指标增补与算法结果正确输出、报表推送等服务</w:t>
            </w:r>
            <w:r>
              <w:rPr>
                <w:rFonts w:hint="eastAsia" w:ascii="宋体" w:hAnsi="宋体"/>
                <w:color w:val="auto"/>
                <w:sz w:val="24"/>
                <w:szCs w:val="24"/>
                <w:highlight w:val="none"/>
                <w:lang w:eastAsia="zh-CN"/>
              </w:rPr>
              <w:t>；</w:t>
            </w:r>
          </w:p>
          <w:p w14:paraId="607929E1">
            <w:pPr>
              <w:pStyle w:val="142"/>
              <w:spacing w:line="360" w:lineRule="auto"/>
              <w:rPr>
                <w:rFonts w:hint="eastAsia" w:ascii="宋体" w:hAnsi="宋体"/>
                <w:color w:val="auto"/>
                <w:sz w:val="24"/>
                <w:szCs w:val="24"/>
                <w:highlight w:val="none"/>
                <w:lang w:eastAsia="zh-CN"/>
              </w:rPr>
            </w:pP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6</w:t>
            </w:r>
            <w:r>
              <w:rPr>
                <w:rFonts w:hint="eastAsia" w:ascii="宋体" w:hAnsi="宋体"/>
                <w:color w:val="auto"/>
                <w:sz w:val="24"/>
                <w:szCs w:val="24"/>
                <w:highlight w:val="none"/>
                <w:lang w:eastAsia="zh-CN"/>
              </w:rPr>
              <w:t>）系统所在服务器重启后，相应系统服务自动启动；</w:t>
            </w:r>
          </w:p>
          <w:p w14:paraId="5AE2B726">
            <w:pPr>
              <w:pStyle w:val="142"/>
              <w:keepNext w:val="0"/>
              <w:keepLines w:val="0"/>
              <w:widowControl/>
              <w:suppressLineNumbers w:val="0"/>
              <w:shd w:val="clear" w:fill="FFFFFF"/>
              <w:spacing w:before="240" w:beforeAutospacing="0" w:after="240" w:afterAutospacing="0" w:line="360" w:lineRule="auto"/>
              <w:ind w:left="0" w:right="0"/>
              <w:rPr>
                <w:rFonts w:hint="eastAsia" w:ascii="宋体" w:hAnsi="宋体" w:eastAsia="宋体" w:cs="Times New Roman"/>
                <w:i w:val="0"/>
                <w:iCs w:val="0"/>
                <w:caps w:val="0"/>
                <w:color w:val="auto"/>
                <w:spacing w:val="10"/>
                <w:sz w:val="24"/>
                <w:szCs w:val="24"/>
                <w:highlight w:val="none"/>
              </w:rPr>
            </w:pPr>
            <w:r>
              <w:rPr>
                <w:rFonts w:hint="eastAsia" w:ascii="宋体" w:hAnsi="宋体" w:eastAsia="宋体"/>
                <w:color w:val="auto"/>
                <w:sz w:val="24"/>
                <w:szCs w:val="24"/>
                <w:highlight w:val="none"/>
                <w:lang w:val="en-US" w:eastAsia="zh-CN"/>
              </w:rPr>
              <w:t>4.2 售后服务期内，</w:t>
            </w:r>
            <w:r>
              <w:rPr>
                <w:rFonts w:hint="eastAsia" w:ascii="宋体" w:hAnsi="宋体" w:eastAsia="宋体" w:cs="Times New Roman"/>
                <w:i w:val="0"/>
                <w:iCs w:val="0"/>
                <w:caps w:val="0"/>
                <w:color w:val="auto"/>
                <w:spacing w:val="10"/>
                <w:sz w:val="24"/>
                <w:szCs w:val="24"/>
                <w:highlight w:val="none"/>
                <w:shd w:val="clear" w:fill="FFFFFF"/>
              </w:rPr>
              <w:t>投标人须提供定期的系统巡检服务，每季度不少于1次，并出具巡检报告。</w:t>
            </w:r>
          </w:p>
          <w:p w14:paraId="21DF64AA">
            <w:pPr>
              <w:pStyle w:val="142"/>
              <w:keepNext w:val="0"/>
              <w:keepLines w:val="0"/>
              <w:widowControl/>
              <w:suppressLineNumbers w:val="0"/>
              <w:shd w:val="clear" w:fill="FFFFFF"/>
              <w:spacing w:before="240" w:beforeAutospacing="0" w:after="240" w:afterAutospacing="0" w:line="360" w:lineRule="auto"/>
              <w:ind w:left="0" w:right="0"/>
              <w:rPr>
                <w:rFonts w:hint="eastAsia" w:ascii="宋体" w:hAnsi="宋体" w:eastAsia="宋体" w:cs="Times New Roman"/>
                <w:i w:val="0"/>
                <w:iCs w:val="0"/>
                <w:caps w:val="0"/>
                <w:color w:val="auto"/>
                <w:spacing w:val="10"/>
                <w:sz w:val="24"/>
                <w:szCs w:val="24"/>
                <w:highlight w:val="none"/>
              </w:rPr>
            </w:pPr>
            <w:r>
              <w:rPr>
                <w:rFonts w:hint="eastAsia" w:ascii="宋体" w:hAnsi="宋体" w:eastAsia="宋体"/>
                <w:color w:val="auto"/>
                <w:sz w:val="24"/>
                <w:szCs w:val="24"/>
                <w:highlight w:val="none"/>
                <w:lang w:val="en-US" w:eastAsia="zh-CN"/>
              </w:rPr>
              <w:t>4.3 售后服务期内，</w:t>
            </w:r>
            <w:r>
              <w:rPr>
                <w:rFonts w:hint="eastAsia" w:ascii="宋体" w:hAnsi="宋体" w:eastAsia="宋体" w:cs="Times New Roman"/>
                <w:i w:val="0"/>
                <w:iCs w:val="0"/>
                <w:caps w:val="0"/>
                <w:color w:val="auto"/>
                <w:spacing w:val="10"/>
                <w:sz w:val="24"/>
                <w:szCs w:val="24"/>
                <w:highlight w:val="none"/>
                <w:shd w:val="clear" w:fill="FFFFFF"/>
              </w:rPr>
              <w:t>投标人须提供系统版本免费升级服务（重大版本升级须经采购人评估确认）</w:t>
            </w:r>
          </w:p>
          <w:p w14:paraId="02A7402A">
            <w:pPr>
              <w:pStyle w:val="142"/>
              <w:spacing w:line="360" w:lineRule="auto"/>
              <w:rPr>
                <w:rFonts w:hint="eastAsia" w:ascii="宋体" w:hAnsi="宋体"/>
                <w:color w:val="auto"/>
                <w:sz w:val="24"/>
                <w:szCs w:val="24"/>
                <w:highlight w:val="none"/>
                <w:lang w:eastAsia="zh-CN"/>
              </w:rPr>
            </w:pPr>
            <w:r>
              <w:rPr>
                <w:rFonts w:hint="eastAsia" w:ascii="宋体" w:hAnsi="宋体"/>
                <w:color w:val="auto"/>
                <w:sz w:val="24"/>
                <w:szCs w:val="24"/>
                <w:highlight w:val="none"/>
                <w:lang w:val="en-US" w:eastAsia="zh-CN"/>
              </w:rPr>
              <w:t>4.4 售后服务</w:t>
            </w:r>
            <w:r>
              <w:rPr>
                <w:rFonts w:hint="eastAsia" w:ascii="宋体" w:hAnsi="宋体"/>
                <w:color w:val="auto"/>
                <w:sz w:val="24"/>
                <w:szCs w:val="24"/>
                <w:highlight w:val="none"/>
                <w:lang w:eastAsia="zh-CN"/>
              </w:rPr>
              <w:t>期内，如需</w:t>
            </w:r>
            <w:r>
              <w:rPr>
                <w:rFonts w:hint="eastAsia" w:ascii="宋体" w:hAnsi="宋体"/>
                <w:b/>
                <w:bCs w:val="0"/>
                <w:color w:val="auto"/>
                <w:sz w:val="24"/>
                <w:szCs w:val="24"/>
                <w:highlight w:val="none"/>
                <w:lang w:eastAsia="zh-CN"/>
              </w:rPr>
              <w:t>与其他第三方系统及平台进行接口对接，进行免费实施处理</w:t>
            </w:r>
            <w:r>
              <w:rPr>
                <w:rFonts w:hint="eastAsia" w:ascii="宋体" w:hAnsi="宋体"/>
                <w:color w:val="auto"/>
                <w:sz w:val="24"/>
                <w:szCs w:val="24"/>
                <w:highlight w:val="none"/>
                <w:lang w:eastAsia="zh-CN"/>
              </w:rPr>
              <w:t>。</w:t>
            </w:r>
          </w:p>
          <w:p w14:paraId="797E4778">
            <w:pPr>
              <w:pStyle w:val="142"/>
              <w:spacing w:line="360" w:lineRule="auto"/>
              <w:rPr>
                <w:rFonts w:hint="eastAsia" w:ascii="宋体" w:hAnsi="宋体"/>
                <w:color w:val="auto"/>
                <w:sz w:val="24"/>
                <w:szCs w:val="24"/>
                <w:highlight w:val="none"/>
                <w:lang w:val="en-US" w:eastAsia="zh-CN"/>
              </w:rPr>
            </w:pPr>
            <w:r>
              <w:rPr>
                <w:rFonts w:hint="eastAsia" w:ascii="宋体" w:hAnsi="宋体"/>
                <w:b/>
                <w:bCs w:val="0"/>
                <w:color w:val="auto"/>
                <w:sz w:val="24"/>
                <w:szCs w:val="24"/>
                <w:highlight w:val="none"/>
                <w:lang w:val="en-US" w:eastAsia="zh-CN"/>
              </w:rPr>
              <w:t>4.5 驻场服务要求：</w:t>
            </w:r>
            <w:r>
              <w:rPr>
                <w:rFonts w:hint="eastAsia" w:ascii="宋体" w:hAnsi="宋体"/>
                <w:color w:val="auto"/>
                <w:sz w:val="24"/>
                <w:szCs w:val="24"/>
                <w:highlight w:val="none"/>
                <w:lang w:val="en-US" w:eastAsia="zh-CN"/>
              </w:rPr>
              <w:t>售后服务</w:t>
            </w:r>
            <w:r>
              <w:rPr>
                <w:rFonts w:hint="eastAsia" w:ascii="宋体" w:hAnsi="宋体"/>
                <w:color w:val="auto"/>
                <w:sz w:val="24"/>
                <w:szCs w:val="24"/>
                <w:highlight w:val="none"/>
                <w:lang w:eastAsia="zh-CN"/>
              </w:rPr>
              <w:t>期内，</w:t>
            </w:r>
            <w:r>
              <w:rPr>
                <w:rFonts w:hint="eastAsia" w:ascii="宋体" w:hAnsi="宋体"/>
                <w:color w:val="auto"/>
                <w:sz w:val="24"/>
                <w:szCs w:val="24"/>
                <w:highlight w:val="none"/>
                <w:lang w:val="en-US" w:eastAsia="zh-CN"/>
              </w:rPr>
              <w:t>日常工作时间（以医院工作时间为准）维护驻场人员</w:t>
            </w:r>
            <w:r>
              <w:rPr>
                <w:rFonts w:hint="eastAsia" w:ascii="宋体" w:hAnsi="宋体"/>
                <w:b/>
                <w:bCs w:val="0"/>
                <w:color w:val="auto"/>
                <w:sz w:val="24"/>
                <w:szCs w:val="24"/>
                <w:highlight w:val="none"/>
                <w:lang w:val="en-US" w:eastAsia="zh-CN"/>
              </w:rPr>
              <w:t>不少于7人</w:t>
            </w:r>
            <w:r>
              <w:rPr>
                <w:rFonts w:hint="eastAsia" w:ascii="宋体" w:hAnsi="宋体"/>
                <w:color w:val="auto"/>
                <w:sz w:val="24"/>
                <w:szCs w:val="24"/>
                <w:highlight w:val="none"/>
                <w:lang w:val="en-US" w:eastAsia="zh-CN"/>
              </w:rPr>
              <w:t>，提供驻点维护、升级、故障排除、性能调优、技术咨询等服务，需保证</w:t>
            </w:r>
            <w:r>
              <w:rPr>
                <w:rFonts w:hint="eastAsia" w:ascii="宋体" w:hAnsi="宋体"/>
                <w:b/>
                <w:bCs w:val="0"/>
                <w:color w:val="auto"/>
                <w:sz w:val="24"/>
                <w:szCs w:val="24"/>
                <w:highlight w:val="none"/>
                <w:lang w:val="en-US" w:eastAsia="zh-CN"/>
              </w:rPr>
              <w:t>至少1人提供7×24小时</w:t>
            </w:r>
            <w:r>
              <w:rPr>
                <w:rFonts w:hint="eastAsia" w:ascii="宋体" w:hAnsi="宋体"/>
                <w:color w:val="auto"/>
                <w:sz w:val="24"/>
                <w:szCs w:val="24"/>
                <w:highlight w:val="none"/>
                <w:lang w:val="en-US" w:eastAsia="zh-CN"/>
              </w:rPr>
              <w:t>驻场技术服务。</w:t>
            </w:r>
          </w:p>
          <w:p w14:paraId="5D5B746E">
            <w:pPr>
              <w:pStyle w:val="142"/>
              <w:spacing w:line="360" w:lineRule="auto"/>
              <w:rPr>
                <w:rFonts w:hint="default" w:ascii="宋体" w:hAnsi="宋体"/>
                <w:color w:val="auto"/>
                <w:sz w:val="24"/>
                <w:szCs w:val="24"/>
                <w:highlight w:val="none"/>
                <w:lang w:val="en-US" w:eastAsia="zh-CN"/>
              </w:rPr>
            </w:pPr>
            <w:r>
              <w:rPr>
                <w:rFonts w:hint="eastAsia" w:ascii="宋体" w:hAnsi="宋体"/>
                <w:color w:val="auto"/>
                <w:sz w:val="24"/>
                <w:szCs w:val="24"/>
                <w:highlight w:val="none"/>
                <w:lang w:val="en-US" w:eastAsia="zh-CN"/>
              </w:rPr>
              <w:t>4.6 投标人须明确售后服务期满后的售后服务取费比例，原则上不超过采购合同金额的5%。</w:t>
            </w:r>
          </w:p>
        </w:tc>
      </w:tr>
      <w:tr w14:paraId="00F20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291" w:type="dxa"/>
            <w:shd w:val="clear" w:color="auto" w:fill="auto"/>
            <w:vAlign w:val="center"/>
          </w:tcPr>
          <w:p w14:paraId="3BAD4E87">
            <w:pPr>
              <w:widowControl/>
              <w:jc w:val="center"/>
              <w:rPr>
                <w:rFonts w:hint="default"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五、源代码</w:t>
            </w:r>
          </w:p>
        </w:tc>
        <w:tc>
          <w:tcPr>
            <w:tcW w:w="7557" w:type="dxa"/>
            <w:shd w:val="clear" w:color="auto" w:fill="auto"/>
            <w:vAlign w:val="center"/>
          </w:tcPr>
          <w:p w14:paraId="7263739F">
            <w:pPr>
              <w:pStyle w:val="142"/>
              <w:spacing w:line="360" w:lineRule="auto"/>
              <w:ind w:firstLine="0" w:firstLineChars="0"/>
              <w:rPr>
                <w:rFonts w:hint="default" w:ascii="宋体" w:hAnsi="宋体"/>
                <w:color w:val="auto"/>
                <w:sz w:val="24"/>
                <w:szCs w:val="24"/>
                <w:highlight w:val="none"/>
                <w:lang w:val="en-US" w:eastAsia="zh-CN"/>
              </w:rPr>
            </w:pPr>
            <w:r>
              <w:rPr>
                <w:rFonts w:hint="eastAsia" w:ascii="宋体" w:hAnsi="宋体"/>
                <w:color w:val="auto"/>
                <w:sz w:val="24"/>
                <w:szCs w:val="24"/>
                <w:highlight w:val="none"/>
                <w:lang w:val="en-US" w:eastAsia="zh-CN"/>
              </w:rPr>
              <w:t>5.</w:t>
            </w:r>
            <w:r>
              <w:rPr>
                <w:rFonts w:hint="default" w:ascii="宋体" w:hAnsi="宋体"/>
                <w:color w:val="auto"/>
                <w:sz w:val="24"/>
                <w:szCs w:val="24"/>
                <w:highlight w:val="none"/>
                <w:lang w:val="en-US" w:eastAsia="zh-CN"/>
              </w:rPr>
              <w:t>1、系统完成开发部署后，应向中山大学附属第七医院（深圳）</w:t>
            </w:r>
            <w:r>
              <w:rPr>
                <w:rFonts w:hint="default" w:ascii="宋体" w:hAnsi="宋体"/>
                <w:b/>
                <w:bCs w:val="0"/>
                <w:color w:val="auto"/>
                <w:sz w:val="24"/>
                <w:szCs w:val="24"/>
                <w:highlight w:val="none"/>
                <w:lang w:val="en-US" w:eastAsia="zh-CN"/>
              </w:rPr>
              <w:t>提供系统的完整源代码及编译后的可执行代码</w:t>
            </w:r>
            <w:r>
              <w:rPr>
                <w:rFonts w:hint="default" w:ascii="宋体" w:hAnsi="宋体"/>
                <w:color w:val="auto"/>
                <w:sz w:val="24"/>
                <w:szCs w:val="24"/>
                <w:highlight w:val="none"/>
                <w:lang w:val="en-US" w:eastAsia="zh-CN"/>
              </w:rPr>
              <w:t>。所有源代码及相关构建产物应统一托管在中山大学附属第七医院（深圳） GitLab 管理平台，由供应商配合实现系统的自动化部署与持续集成，确保代码版本管理规范、部署流程可控、</w:t>
            </w:r>
            <w:r>
              <w:rPr>
                <w:rFonts w:ascii="宋体" w:hAnsi="宋体" w:eastAsia="宋体" w:cs="宋体"/>
                <w:sz w:val="24"/>
                <w:szCs w:val="24"/>
              </w:rPr>
              <w:t>系统可快速上线及回滚操作</w:t>
            </w:r>
            <w:r>
              <w:rPr>
                <w:rFonts w:hint="default" w:ascii="宋体" w:hAnsi="宋体"/>
                <w:color w:val="auto"/>
                <w:sz w:val="24"/>
                <w:szCs w:val="24"/>
                <w:highlight w:val="none"/>
                <w:lang w:val="en-US" w:eastAsia="zh-CN"/>
              </w:rPr>
              <w:t>。</w:t>
            </w:r>
          </w:p>
          <w:p w14:paraId="27ADFA51">
            <w:pPr>
              <w:pStyle w:val="142"/>
              <w:spacing w:line="360" w:lineRule="auto"/>
              <w:ind w:firstLine="0" w:firstLineChars="0"/>
              <w:rPr>
                <w:rFonts w:hint="default" w:ascii="宋体" w:hAnsi="宋体"/>
                <w:color w:val="auto"/>
                <w:sz w:val="24"/>
                <w:szCs w:val="24"/>
                <w:highlight w:val="none"/>
                <w:lang w:val="en-US" w:eastAsia="zh-CN"/>
              </w:rPr>
            </w:pPr>
            <w:r>
              <w:rPr>
                <w:rFonts w:hint="eastAsia" w:ascii="宋体" w:hAnsi="宋体"/>
                <w:color w:val="auto"/>
                <w:sz w:val="24"/>
                <w:szCs w:val="24"/>
                <w:highlight w:val="none"/>
                <w:lang w:val="en-US" w:eastAsia="zh-CN"/>
              </w:rPr>
              <w:t>5.2、如果投标人无法提供源代码的，</w:t>
            </w:r>
            <w:r>
              <w:rPr>
                <w:rFonts w:hint="default" w:ascii="宋体" w:hAnsi="宋体"/>
                <w:color w:val="auto"/>
                <w:sz w:val="24"/>
                <w:szCs w:val="24"/>
                <w:highlight w:val="none"/>
                <w:lang w:val="en-US" w:eastAsia="zh-CN"/>
              </w:rPr>
              <w:t>需要</w:t>
            </w:r>
            <w:r>
              <w:rPr>
                <w:rFonts w:hint="eastAsia" w:ascii="宋体" w:hAnsi="宋体" w:eastAsia="宋体"/>
                <w:color w:val="auto"/>
                <w:sz w:val="24"/>
                <w:szCs w:val="24"/>
                <w:highlight w:val="none"/>
                <w:lang w:val="en-US" w:eastAsia="zh-CN"/>
              </w:rPr>
              <w:t>承诺“</w:t>
            </w:r>
            <w:r>
              <w:rPr>
                <w:rFonts w:ascii="宋体" w:hAnsi="宋体" w:eastAsia="宋体" w:cs="Times New Roman"/>
                <w:color w:val="auto"/>
                <w:sz w:val="24"/>
                <w:szCs w:val="24"/>
                <w:highlight w:val="none"/>
              </w:rPr>
              <w:t>我公司因经营</w:t>
            </w:r>
            <w:r>
              <w:rPr>
                <w:rFonts w:hint="eastAsia" w:ascii="宋体" w:hAnsi="宋体" w:eastAsia="宋体" w:cs="Times New Roman"/>
                <w:color w:val="auto"/>
                <w:sz w:val="24"/>
                <w:szCs w:val="24"/>
                <w:highlight w:val="none"/>
                <w:lang w:val="en-US" w:eastAsia="zh-CN"/>
              </w:rPr>
              <w:t>不善</w:t>
            </w:r>
            <w:r>
              <w:rPr>
                <w:rFonts w:ascii="宋体" w:hAnsi="宋体" w:eastAsia="宋体" w:cs="Times New Roman"/>
                <w:color w:val="auto"/>
                <w:sz w:val="24"/>
                <w:szCs w:val="24"/>
                <w:highlight w:val="none"/>
              </w:rPr>
              <w:t>、破产、清算、解散等原因，无法继续履行</w:t>
            </w:r>
            <w:r>
              <w:rPr>
                <w:rFonts w:hint="eastAsia" w:ascii="宋体" w:hAnsi="宋体" w:eastAsia="宋体" w:cs="Times New Roman"/>
                <w:color w:val="auto"/>
                <w:sz w:val="24"/>
                <w:szCs w:val="24"/>
                <w:highlight w:val="none"/>
                <w:lang w:val="en-US" w:eastAsia="zh-CN"/>
              </w:rPr>
              <w:t>系</w:t>
            </w:r>
            <w:r>
              <w:rPr>
                <w:rFonts w:ascii="宋体" w:hAnsi="宋体" w:eastAsia="宋体" w:cs="Times New Roman"/>
                <w:color w:val="auto"/>
                <w:sz w:val="24"/>
                <w:szCs w:val="24"/>
                <w:highlight w:val="none"/>
              </w:rPr>
              <w:t>统维护和服务</w:t>
            </w:r>
            <w:r>
              <w:rPr>
                <w:rFonts w:hint="eastAsia" w:ascii="宋体" w:hAnsi="宋体" w:eastAsia="宋体" w:cs="Times New Roman"/>
                <w:color w:val="auto"/>
                <w:sz w:val="24"/>
                <w:szCs w:val="24"/>
                <w:highlight w:val="none"/>
                <w:lang w:val="en-US" w:eastAsia="zh-CN"/>
              </w:rPr>
              <w:t>职责时；</w:t>
            </w:r>
            <w:r>
              <w:rPr>
                <w:rFonts w:ascii="宋体" w:hAnsi="宋体" w:eastAsia="宋体" w:cs="Times New Roman"/>
                <w:color w:val="auto"/>
                <w:sz w:val="24"/>
                <w:szCs w:val="24"/>
                <w:highlight w:val="none"/>
              </w:rPr>
              <w:t>我公司因重大经营风险或法律原因，客观上无法保障系统持续运行</w:t>
            </w:r>
            <w:r>
              <w:rPr>
                <w:rFonts w:hint="eastAsia" w:ascii="宋体" w:hAnsi="宋体" w:eastAsia="宋体" w:cs="Times New Roman"/>
                <w:color w:val="auto"/>
                <w:sz w:val="24"/>
                <w:szCs w:val="24"/>
                <w:highlight w:val="none"/>
                <w:lang w:val="en-US" w:eastAsia="zh-CN"/>
              </w:rPr>
              <w:t>时，</w:t>
            </w:r>
            <w:r>
              <w:rPr>
                <w:rFonts w:hint="eastAsia" w:ascii="宋体" w:hAnsi="宋体"/>
                <w:color w:val="auto"/>
                <w:sz w:val="24"/>
                <w:szCs w:val="24"/>
                <w:highlight w:val="none"/>
                <w:lang w:val="en-US" w:eastAsia="zh-CN"/>
              </w:rPr>
              <w:t>要立即提供</w:t>
            </w:r>
            <w:r>
              <w:rPr>
                <w:rFonts w:hint="default" w:ascii="宋体" w:hAnsi="宋体"/>
                <w:b/>
                <w:bCs w:val="0"/>
                <w:color w:val="auto"/>
                <w:sz w:val="24"/>
                <w:szCs w:val="24"/>
                <w:highlight w:val="none"/>
                <w:lang w:val="en-US" w:eastAsia="zh-CN"/>
              </w:rPr>
              <w:t>系统的完整源代码及编译后的可执行代码</w:t>
            </w:r>
            <w:r>
              <w:rPr>
                <w:rFonts w:hint="eastAsia" w:ascii="宋体" w:hAnsi="宋体"/>
                <w:b/>
                <w:bCs w:val="0"/>
                <w:color w:val="auto"/>
                <w:sz w:val="24"/>
                <w:szCs w:val="24"/>
                <w:highlight w:val="none"/>
                <w:lang w:val="en-US" w:eastAsia="zh-CN"/>
              </w:rPr>
              <w:t>。上述承诺要盖章声明。</w:t>
            </w:r>
          </w:p>
        </w:tc>
      </w:tr>
      <w:tr w14:paraId="12016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291" w:type="dxa"/>
            <w:shd w:val="clear" w:color="auto" w:fill="auto"/>
            <w:vAlign w:val="center"/>
          </w:tcPr>
          <w:p w14:paraId="63CADFF9">
            <w:pPr>
              <w:widowControl/>
              <w:jc w:val="center"/>
              <w:rPr>
                <w:rFonts w:hint="default"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六、评级要求</w:t>
            </w:r>
          </w:p>
        </w:tc>
        <w:tc>
          <w:tcPr>
            <w:tcW w:w="7557" w:type="dxa"/>
            <w:shd w:val="clear" w:color="auto" w:fill="auto"/>
            <w:vAlign w:val="center"/>
          </w:tcPr>
          <w:p w14:paraId="6D5B206F">
            <w:pPr>
              <w:pStyle w:val="142"/>
              <w:numPr>
                <w:ilvl w:val="0"/>
                <w:numId w:val="0"/>
              </w:numPr>
              <w:spacing w:line="360" w:lineRule="auto"/>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本系统建设需符合以下评级标准，并包含项目维护期内因评级标准变化的功能升级改造，投标人和</w:t>
            </w:r>
            <w:r>
              <w:rPr>
                <w:rFonts w:hint="default" w:ascii="宋体" w:hAnsi="宋体"/>
                <w:color w:val="auto"/>
                <w:sz w:val="24"/>
                <w:szCs w:val="24"/>
                <w:highlight w:val="none"/>
                <w:lang w:val="en-US" w:eastAsia="zh-CN"/>
              </w:rPr>
              <w:t>中山大学附属第七医院（深圳）</w:t>
            </w:r>
            <w:r>
              <w:rPr>
                <w:rFonts w:hint="eastAsia" w:ascii="宋体" w:hAnsi="宋体"/>
                <w:color w:val="auto"/>
                <w:sz w:val="24"/>
                <w:szCs w:val="24"/>
                <w:highlight w:val="none"/>
                <w:lang w:val="en-US" w:eastAsia="zh-CN"/>
              </w:rPr>
              <w:t>无需为此再支付其他任何费用：</w:t>
            </w:r>
          </w:p>
          <w:p w14:paraId="76B6BC87">
            <w:pPr>
              <w:pStyle w:val="142"/>
              <w:numPr>
                <w:ilvl w:val="0"/>
                <w:numId w:val="8"/>
              </w:numPr>
              <w:spacing w:line="360" w:lineRule="auto"/>
              <w:ind w:firstLine="0" w:firstLineChars="0"/>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智慧医疗分级评价6级，即电子病历系统应用水平分级评价6级；</w:t>
            </w:r>
          </w:p>
          <w:p w14:paraId="62A7BB97">
            <w:pPr>
              <w:pStyle w:val="142"/>
              <w:numPr>
                <w:ilvl w:val="0"/>
                <w:numId w:val="8"/>
              </w:numPr>
              <w:spacing w:line="360" w:lineRule="auto"/>
              <w:ind w:firstLine="0" w:firstLineChars="0"/>
              <w:rPr>
                <w:rFonts w:hint="default" w:ascii="宋体" w:hAnsi="宋体"/>
                <w:color w:val="auto"/>
                <w:sz w:val="24"/>
                <w:szCs w:val="24"/>
                <w:highlight w:val="none"/>
                <w:lang w:val="en-US" w:eastAsia="zh-CN"/>
              </w:rPr>
            </w:pPr>
            <w:r>
              <w:rPr>
                <w:rFonts w:hint="default" w:ascii="宋体" w:hAnsi="宋体"/>
                <w:color w:val="auto"/>
                <w:sz w:val="24"/>
                <w:szCs w:val="24"/>
                <w:highlight w:val="none"/>
                <w:lang w:val="en-US" w:eastAsia="zh-CN"/>
              </w:rPr>
              <w:t>互联互通标准化成熟度测评</w:t>
            </w:r>
            <w:r>
              <w:rPr>
                <w:rFonts w:hint="eastAsia" w:ascii="宋体" w:hAnsi="宋体"/>
                <w:color w:val="auto"/>
                <w:sz w:val="24"/>
                <w:szCs w:val="24"/>
                <w:highlight w:val="none"/>
                <w:lang w:val="en-US" w:eastAsia="zh-CN"/>
              </w:rPr>
              <w:t>五乙；</w:t>
            </w:r>
          </w:p>
          <w:p w14:paraId="1231F707">
            <w:pPr>
              <w:pStyle w:val="142"/>
              <w:numPr>
                <w:ilvl w:val="0"/>
                <w:numId w:val="8"/>
              </w:numPr>
              <w:spacing w:line="360" w:lineRule="auto"/>
              <w:ind w:firstLine="0" w:firstLineChars="0"/>
              <w:rPr>
                <w:rFonts w:hint="default" w:ascii="宋体" w:hAnsi="宋体"/>
                <w:color w:val="auto"/>
                <w:sz w:val="24"/>
                <w:szCs w:val="24"/>
                <w:highlight w:val="none"/>
                <w:lang w:val="en-US" w:eastAsia="zh-CN"/>
              </w:rPr>
            </w:pPr>
            <w:r>
              <w:rPr>
                <w:rFonts w:hint="eastAsia" w:ascii="宋体" w:hAnsi="宋体"/>
                <w:color w:val="auto"/>
                <w:sz w:val="24"/>
                <w:szCs w:val="24"/>
                <w:highlight w:val="none"/>
                <w:lang w:val="en-US" w:eastAsia="zh-CN"/>
              </w:rPr>
              <w:t>智慧服务分级评价4级；</w:t>
            </w:r>
          </w:p>
          <w:p w14:paraId="4C6B2A05">
            <w:pPr>
              <w:pStyle w:val="142"/>
              <w:numPr>
                <w:ilvl w:val="0"/>
                <w:numId w:val="8"/>
              </w:numPr>
              <w:spacing w:line="360" w:lineRule="auto"/>
              <w:ind w:firstLine="0" w:firstLineChars="0"/>
              <w:rPr>
                <w:rFonts w:hint="default" w:ascii="宋体" w:hAnsi="宋体"/>
                <w:color w:val="auto"/>
                <w:sz w:val="24"/>
                <w:szCs w:val="24"/>
                <w:highlight w:val="none"/>
                <w:lang w:val="en-US" w:eastAsia="zh-CN"/>
              </w:rPr>
            </w:pPr>
            <w:r>
              <w:rPr>
                <w:rFonts w:hint="eastAsia" w:ascii="宋体" w:hAnsi="宋体"/>
                <w:color w:val="auto"/>
                <w:sz w:val="24"/>
                <w:szCs w:val="24"/>
                <w:highlight w:val="none"/>
                <w:lang w:val="en-US" w:eastAsia="zh-CN"/>
              </w:rPr>
              <w:t>智慧管理分级评价4级；</w:t>
            </w:r>
          </w:p>
          <w:p w14:paraId="0A5DCFFD">
            <w:pPr>
              <w:pStyle w:val="142"/>
              <w:numPr>
                <w:ilvl w:val="0"/>
                <w:numId w:val="8"/>
              </w:numPr>
              <w:spacing w:line="360" w:lineRule="auto"/>
              <w:ind w:firstLine="0" w:firstLineChars="0"/>
              <w:rPr>
                <w:rFonts w:hint="default" w:ascii="宋体" w:hAnsi="宋体"/>
                <w:color w:val="auto"/>
                <w:sz w:val="24"/>
                <w:szCs w:val="24"/>
                <w:highlight w:val="none"/>
                <w:lang w:val="en-US" w:eastAsia="zh-CN"/>
              </w:rPr>
            </w:pPr>
            <w:r>
              <w:rPr>
                <w:rFonts w:hint="eastAsia" w:ascii="宋体" w:hAnsi="宋体"/>
                <w:color w:val="auto"/>
                <w:sz w:val="24"/>
                <w:szCs w:val="24"/>
                <w:highlight w:val="none"/>
                <w:lang w:val="en-US" w:eastAsia="zh-CN"/>
              </w:rPr>
              <w:t>信息系统安全等级保护3级。</w:t>
            </w:r>
          </w:p>
        </w:tc>
      </w:tr>
      <w:tr w14:paraId="6C7FA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291" w:type="dxa"/>
            <w:shd w:val="clear" w:color="auto" w:fill="auto"/>
            <w:vAlign w:val="center"/>
          </w:tcPr>
          <w:p w14:paraId="7B41FBAB">
            <w:pPr>
              <w:widowControl/>
              <w:jc w:val="center"/>
              <w:rPr>
                <w:rFonts w:hint="default"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七、付款方式</w:t>
            </w:r>
          </w:p>
        </w:tc>
        <w:tc>
          <w:tcPr>
            <w:tcW w:w="7557" w:type="dxa"/>
            <w:shd w:val="clear" w:color="auto" w:fill="auto"/>
            <w:vAlign w:val="center"/>
          </w:tcPr>
          <w:p w14:paraId="7F8D4F97">
            <w:pPr>
              <w:pStyle w:val="142"/>
              <w:numPr>
                <w:ilvl w:val="-1"/>
                <w:numId w:val="0"/>
              </w:numPr>
              <w:spacing w:line="360" w:lineRule="auto"/>
              <w:ind w:firstLine="0" w:firstLineChars="0"/>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1、首期款：自合同签订，供应商向我行提交等额合法的增值税专用发票，我行核对发票金额无误后，在T+30个工作日内支付合同总金额的30%作为首期款。</w:t>
            </w:r>
          </w:p>
          <w:p w14:paraId="359838E9">
            <w:pPr>
              <w:pStyle w:val="142"/>
              <w:numPr>
                <w:ilvl w:val="-1"/>
                <w:numId w:val="0"/>
              </w:numPr>
              <w:spacing w:line="360" w:lineRule="auto"/>
              <w:ind w:firstLine="0" w:firstLineChars="0"/>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2、进度款：各功能模块系统分别通过验收之后，由医院出具各功能模块对应的终验验收报告。支付各功能模块系统合同对应金额的60%作为中期款。</w:t>
            </w:r>
          </w:p>
          <w:p w14:paraId="2DEE665F">
            <w:pPr>
              <w:pStyle w:val="142"/>
              <w:numPr>
                <w:ilvl w:val="-1"/>
                <w:numId w:val="0"/>
              </w:numPr>
              <w:spacing w:line="360" w:lineRule="auto"/>
              <w:ind w:firstLine="0" w:firstLineChars="0"/>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3、尾款：我行按照各功能模块系统售后维保期结束的的先后顺序付款，在收到供应商提供的等额合法的增值税专用发票后，我行核对发票金额无误后，在T+30个工作日内支付各功能模块系统合同对应金额的10%的尾款。</w:t>
            </w:r>
          </w:p>
        </w:tc>
      </w:tr>
      <w:tr w14:paraId="1D64A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291" w:type="dxa"/>
            <w:shd w:val="clear" w:color="auto" w:fill="auto"/>
            <w:vAlign w:val="center"/>
          </w:tcPr>
          <w:p w14:paraId="4C02ACAC">
            <w:pPr>
              <w:widowControl/>
              <w:jc w:val="center"/>
              <w:rPr>
                <w:rFonts w:hint="default"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八、验收标准</w:t>
            </w:r>
          </w:p>
        </w:tc>
        <w:tc>
          <w:tcPr>
            <w:tcW w:w="7557" w:type="dxa"/>
            <w:shd w:val="clear" w:color="auto" w:fill="auto"/>
            <w:vAlign w:val="center"/>
          </w:tcPr>
          <w:p w14:paraId="16E939D6">
            <w:pPr>
              <w:pStyle w:val="142"/>
              <w:numPr>
                <w:ilvl w:val="-1"/>
                <w:numId w:val="0"/>
              </w:numPr>
              <w:spacing w:line="360" w:lineRule="auto"/>
              <w:ind w:firstLine="0" w:firstLineChars="0"/>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一、验收条件</w:t>
            </w:r>
          </w:p>
          <w:p w14:paraId="565B73E5">
            <w:pPr>
              <w:pStyle w:val="142"/>
              <w:numPr>
                <w:ilvl w:val="-1"/>
                <w:numId w:val="0"/>
              </w:numPr>
              <w:spacing w:line="360" w:lineRule="auto"/>
              <w:ind w:firstLine="0" w:firstLineChars="0"/>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1、各功能模块系统（含配套硬件设施）需满足技术要求，完成软硬件系统的本地化部署、调试、测试和试运行；</w:t>
            </w:r>
          </w:p>
          <w:p w14:paraId="64F97E0B">
            <w:pPr>
              <w:pStyle w:val="142"/>
              <w:numPr>
                <w:ilvl w:val="-1"/>
                <w:numId w:val="0"/>
              </w:numPr>
              <w:spacing w:line="360" w:lineRule="auto"/>
              <w:ind w:firstLine="0" w:firstLineChars="0"/>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2、上线无故障试运行3个月；</w:t>
            </w:r>
          </w:p>
          <w:p w14:paraId="71B584CC">
            <w:pPr>
              <w:pStyle w:val="142"/>
              <w:numPr>
                <w:ilvl w:val="-1"/>
                <w:numId w:val="0"/>
              </w:numPr>
              <w:spacing w:line="360" w:lineRule="auto"/>
              <w:ind w:firstLine="0" w:firstLineChars="0"/>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3、提供完整的技术资料，包括但不限于用户需求说明书、需求规格说明书、概要设计说明书、数据库设计说明书、详细设计说明书、实施文档、部署文档、服务器安装软件清单、服务器配置清单、接口文档、测试计划、测试报告、用户手册、系统管理及维护手册、试运行报告、各系统的源代码和编译后的代码等；</w:t>
            </w:r>
          </w:p>
          <w:p w14:paraId="63216115">
            <w:pPr>
              <w:pStyle w:val="142"/>
              <w:numPr>
                <w:ilvl w:val="-1"/>
                <w:numId w:val="0"/>
              </w:numPr>
              <w:spacing w:line="360" w:lineRule="auto"/>
              <w:ind w:firstLine="0" w:firstLineChars="0"/>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4、经中山大学附属第七医院（深圳）同意，投标单位分别对各功能模块系统提出验收申请。</w:t>
            </w:r>
          </w:p>
          <w:p w14:paraId="0262591B">
            <w:pPr>
              <w:pStyle w:val="142"/>
              <w:numPr>
                <w:ilvl w:val="-1"/>
                <w:numId w:val="0"/>
              </w:numPr>
              <w:spacing w:line="360" w:lineRule="auto"/>
              <w:ind w:firstLine="0" w:firstLineChars="0"/>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二、验收流程</w:t>
            </w:r>
          </w:p>
          <w:p w14:paraId="34426532">
            <w:pPr>
              <w:pStyle w:val="142"/>
              <w:numPr>
                <w:ilvl w:val="-1"/>
                <w:numId w:val="0"/>
              </w:numPr>
              <w:spacing w:line="360" w:lineRule="auto"/>
              <w:ind w:firstLine="0" w:firstLineChars="0"/>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1、满足验收条件后，承建单位通过书面形式向中山大学附属第七医院（深圳）提出验收申请。</w:t>
            </w:r>
          </w:p>
          <w:p w14:paraId="7977DBB0">
            <w:pPr>
              <w:pStyle w:val="142"/>
              <w:numPr>
                <w:ilvl w:val="-1"/>
                <w:numId w:val="0"/>
              </w:numPr>
              <w:spacing w:line="360" w:lineRule="auto"/>
              <w:ind w:firstLine="0" w:firstLineChars="0"/>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2、中山大学附属第七医院（深圳）组织相关人员对项目进行验收，根据不同功能模块系统分别出具验收报告。</w:t>
            </w:r>
          </w:p>
          <w:p w14:paraId="0B4753FE">
            <w:pPr>
              <w:pStyle w:val="142"/>
              <w:numPr>
                <w:ilvl w:val="-1"/>
                <w:numId w:val="0"/>
              </w:numPr>
              <w:spacing w:line="360" w:lineRule="auto"/>
              <w:ind w:firstLine="0" w:firstLineChars="0"/>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3、在验收过程中，如出现严重缺陷等问题时，中山大学附属第七医院（深圳）可暂停验收，直至缺陷和问题得到纠正。</w:t>
            </w:r>
          </w:p>
        </w:tc>
      </w:tr>
    </w:tbl>
    <w:p w14:paraId="249FC707">
      <w:pPr>
        <w:rPr>
          <w:rFonts w:hint="eastAsia" w:ascii="宋体" w:hAnsi="宋体" w:cs="宋体"/>
          <w:b/>
          <w:bCs/>
          <w:kern w:val="0"/>
          <w:sz w:val="28"/>
          <w:szCs w:val="28"/>
        </w:rPr>
      </w:pPr>
    </w:p>
    <w:p w14:paraId="5721ED86">
      <w:pPr>
        <w:rPr>
          <w:rFonts w:hint="eastAsia" w:ascii="宋体" w:hAnsi="宋体" w:cs="宋体"/>
          <w:b/>
          <w:bCs/>
          <w:kern w:val="0"/>
          <w:sz w:val="28"/>
          <w:szCs w:val="28"/>
        </w:rPr>
      </w:pPr>
    </w:p>
    <w:bookmarkEnd w:id="0"/>
    <w:bookmarkEnd w:id="1"/>
    <w:bookmarkEnd w:id="2"/>
    <w:bookmarkEnd w:id="3"/>
    <w:p w14:paraId="6787C857">
      <w:pPr>
        <w:rPr>
          <w:rFonts w:hint="eastAsia" w:ascii="宋体" w:hAnsi="宋体" w:cs="宋体"/>
          <w:b/>
          <w:bCs/>
          <w:kern w:val="0"/>
          <w:sz w:val="28"/>
          <w:szCs w:val="28"/>
        </w:rPr>
      </w:pPr>
      <w:r>
        <w:rPr>
          <w:rFonts w:hint="eastAsia" w:ascii="宋体" w:hAnsi="宋体" w:cs="宋体"/>
          <w:b/>
          <w:bCs/>
          <w:kern w:val="0"/>
          <w:sz w:val="28"/>
          <w:szCs w:val="28"/>
        </w:rPr>
        <w:t>（</w:t>
      </w:r>
      <w:r>
        <w:rPr>
          <w:rFonts w:hint="eastAsia" w:ascii="宋体" w:hAnsi="宋体" w:cs="宋体"/>
          <w:b/>
          <w:bCs/>
          <w:kern w:val="0"/>
          <w:sz w:val="28"/>
          <w:szCs w:val="28"/>
          <w:lang w:val="en-US" w:eastAsia="zh-CN"/>
        </w:rPr>
        <w:t>三</w:t>
      </w:r>
      <w:r>
        <w:rPr>
          <w:rFonts w:hint="eastAsia" w:ascii="宋体" w:hAnsi="宋体" w:cs="宋体"/>
          <w:b/>
          <w:bCs/>
          <w:kern w:val="0"/>
          <w:sz w:val="28"/>
          <w:szCs w:val="28"/>
        </w:rPr>
        <w:t>）具体技术要求</w:t>
      </w:r>
    </w:p>
    <w:tbl>
      <w:tblPr>
        <w:tblStyle w:val="43"/>
        <w:tblW w:w="9102"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876"/>
        <w:gridCol w:w="7170"/>
      </w:tblGrid>
      <w:tr w14:paraId="401EE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41" w:type="dxa"/>
            <w:noWrap w:val="0"/>
            <w:vAlign w:val="center"/>
          </w:tcPr>
          <w:p w14:paraId="71A8F863">
            <w:pPr>
              <w:widowControl/>
              <w:jc w:val="center"/>
              <w:rPr>
                <w:rFonts w:hint="eastAsia" w:ascii="宋体" w:hAnsi="宋体" w:cs="宋体"/>
                <w:b/>
                <w:bCs/>
                <w:kern w:val="0"/>
                <w:szCs w:val="21"/>
              </w:rPr>
            </w:pPr>
            <w:r>
              <w:rPr>
                <w:rFonts w:hint="eastAsia" w:ascii="宋体" w:hAnsi="宋体" w:cs="宋体"/>
                <w:b/>
                <w:bCs/>
                <w:kern w:val="0"/>
                <w:szCs w:val="21"/>
              </w:rPr>
              <w:t>需求名称</w:t>
            </w:r>
          </w:p>
        </w:tc>
        <w:tc>
          <w:tcPr>
            <w:tcW w:w="876" w:type="dxa"/>
            <w:noWrap w:val="0"/>
            <w:vAlign w:val="center"/>
          </w:tcPr>
          <w:p w14:paraId="33685420">
            <w:pPr>
              <w:widowControl/>
              <w:jc w:val="center"/>
              <w:rPr>
                <w:rFonts w:hint="eastAsia" w:ascii="宋体" w:hAnsi="宋体" w:cs="宋体"/>
                <w:b/>
                <w:bCs/>
                <w:kern w:val="0"/>
                <w:szCs w:val="21"/>
              </w:rPr>
            </w:pPr>
            <w:r>
              <w:rPr>
                <w:rFonts w:hint="eastAsia" w:ascii="宋体" w:hAnsi="宋体" w:cs="宋体"/>
                <w:b/>
                <w:bCs/>
                <w:kern w:val="0"/>
                <w:szCs w:val="21"/>
                <w:lang w:val="en-US" w:eastAsia="zh-CN"/>
              </w:rPr>
              <w:t>模块</w:t>
            </w:r>
          </w:p>
        </w:tc>
        <w:tc>
          <w:tcPr>
            <w:tcW w:w="7170" w:type="dxa"/>
            <w:noWrap w:val="0"/>
            <w:vAlign w:val="center"/>
          </w:tcPr>
          <w:p w14:paraId="5CE8063D">
            <w:pPr>
              <w:widowControl/>
              <w:jc w:val="center"/>
              <w:rPr>
                <w:rFonts w:hint="eastAsia" w:ascii="宋体" w:hAnsi="宋体" w:cs="宋体"/>
                <w:b/>
                <w:bCs/>
                <w:kern w:val="0"/>
                <w:szCs w:val="21"/>
              </w:rPr>
            </w:pPr>
            <w:r>
              <w:rPr>
                <w:rFonts w:hint="eastAsia" w:ascii="宋体" w:hAnsi="宋体" w:cs="宋体"/>
                <w:b/>
                <w:bCs/>
                <w:kern w:val="0"/>
                <w:szCs w:val="21"/>
              </w:rPr>
              <w:t>需求描述</w:t>
            </w:r>
          </w:p>
        </w:tc>
      </w:tr>
      <w:tr w14:paraId="05E8A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8787" w:type="dxa"/>
            <w:gridSpan w:val="3"/>
            <w:noWrap w:val="0"/>
            <w:vAlign w:val="center"/>
          </w:tcPr>
          <w:p w14:paraId="73D78E0F">
            <w:pPr>
              <w:widowControl/>
              <w:rPr>
                <w:rFonts w:hint="eastAsia" w:ascii="宋体" w:hAnsi="宋体" w:cs="宋体"/>
                <w:b/>
                <w:bCs/>
                <w:kern w:val="0"/>
                <w:szCs w:val="21"/>
              </w:rPr>
            </w:pPr>
            <w:r>
              <w:rPr>
                <w:rFonts w:hint="eastAsia" w:ascii="宋体" w:hAnsi="宋体" w:cs="宋体"/>
                <w:b/>
                <w:bCs/>
                <w:kern w:val="0"/>
                <w:szCs w:val="21"/>
              </w:rPr>
              <w:t>功能需求：</w:t>
            </w:r>
          </w:p>
        </w:tc>
      </w:tr>
      <w:tr w14:paraId="7DE38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5" w:hRule="atLeast"/>
        </w:trPr>
        <w:tc>
          <w:tcPr>
            <w:tcW w:w="741" w:type="dxa"/>
            <w:vMerge w:val="restart"/>
            <w:noWrap w:val="0"/>
            <w:vAlign w:val="center"/>
          </w:tcPr>
          <w:p w14:paraId="5635D0F9">
            <w:pPr>
              <w:widowControl/>
              <w:jc w:val="center"/>
              <w:rPr>
                <w:rFonts w:hint="eastAsia" w:ascii="宋体" w:hAnsi="宋体" w:cs="宋体"/>
                <w:kern w:val="0"/>
                <w:szCs w:val="21"/>
              </w:rPr>
            </w:pPr>
            <w:r>
              <w:rPr>
                <w:rFonts w:hint="eastAsia" w:ascii="宋体" w:hAnsi="宋体" w:cs="宋体"/>
                <w:kern w:val="0"/>
                <w:szCs w:val="21"/>
              </w:rPr>
              <w:t>1. 数据湖</w:t>
            </w:r>
          </w:p>
          <w:p w14:paraId="367197C0">
            <w:pPr>
              <w:widowControl/>
              <w:jc w:val="center"/>
              <w:rPr>
                <w:rFonts w:hint="eastAsia" w:ascii="宋体" w:hAnsi="宋体" w:cs="宋体"/>
                <w:kern w:val="0"/>
                <w:szCs w:val="21"/>
              </w:rPr>
            </w:pPr>
          </w:p>
        </w:tc>
        <w:tc>
          <w:tcPr>
            <w:tcW w:w="876" w:type="dxa"/>
            <w:vMerge w:val="restart"/>
            <w:noWrap w:val="0"/>
            <w:vAlign w:val="center"/>
          </w:tcPr>
          <w:p w14:paraId="5EDCDEB2">
            <w:pPr>
              <w:widowControl/>
              <w:jc w:val="center"/>
              <w:rPr>
                <w:rFonts w:ascii="宋体" w:hAnsi="宋体" w:cs="宋体"/>
                <w:kern w:val="0"/>
                <w:szCs w:val="21"/>
              </w:rPr>
            </w:pPr>
            <w:r>
              <w:rPr>
                <w:rFonts w:hint="eastAsia" w:ascii="宋体" w:hAnsi="宋体" w:cs="宋体"/>
                <w:kern w:val="0"/>
                <w:szCs w:val="21"/>
              </w:rPr>
              <w:t>技术指标</w:t>
            </w:r>
          </w:p>
        </w:tc>
        <w:tc>
          <w:tcPr>
            <w:tcW w:w="7170" w:type="dxa"/>
            <w:noWrap w:val="0"/>
            <w:vAlign w:val="center"/>
          </w:tcPr>
          <w:p w14:paraId="0813D41F">
            <w:pPr>
              <w:widowControl/>
              <w:rPr>
                <w:rFonts w:hint="eastAsia" w:ascii="宋体" w:hAnsi="宋体" w:cs="宋体"/>
                <w:kern w:val="0"/>
                <w:szCs w:val="21"/>
              </w:rPr>
            </w:pPr>
            <w:r>
              <w:rPr>
                <w:rFonts w:hint="eastAsia" w:ascii="宋体" w:hAnsi="宋体" w:cs="宋体"/>
                <w:kern w:val="0"/>
                <w:szCs w:val="21"/>
              </w:rPr>
              <w:t>本项目应进行全量数据集中整合，涵盖医院现有信息系统的数据，实现数据集中存储。具有良好的兼容性和扩展性，能有效支撑第三方的业务应用，支持医院未来信息化的建设。</w:t>
            </w:r>
          </w:p>
        </w:tc>
      </w:tr>
      <w:tr w14:paraId="49880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741" w:type="dxa"/>
            <w:vMerge w:val="continue"/>
            <w:noWrap w:val="0"/>
            <w:vAlign w:val="center"/>
          </w:tcPr>
          <w:p w14:paraId="331C48C3">
            <w:pPr>
              <w:widowControl/>
              <w:jc w:val="left"/>
              <w:rPr>
                <w:rFonts w:hint="eastAsia" w:ascii="宋体" w:hAnsi="宋体" w:cs="宋体"/>
                <w:kern w:val="0"/>
                <w:szCs w:val="21"/>
              </w:rPr>
            </w:pPr>
          </w:p>
        </w:tc>
        <w:tc>
          <w:tcPr>
            <w:tcW w:w="876" w:type="dxa"/>
            <w:vMerge w:val="continue"/>
            <w:noWrap w:val="0"/>
            <w:vAlign w:val="center"/>
          </w:tcPr>
          <w:p w14:paraId="0AF2DF4D">
            <w:pPr>
              <w:widowControl/>
              <w:jc w:val="center"/>
              <w:rPr>
                <w:rFonts w:hint="eastAsia" w:ascii="宋体" w:hAnsi="宋体" w:cs="宋体"/>
                <w:kern w:val="0"/>
                <w:szCs w:val="21"/>
              </w:rPr>
            </w:pPr>
          </w:p>
        </w:tc>
        <w:tc>
          <w:tcPr>
            <w:tcW w:w="7170" w:type="dxa"/>
            <w:noWrap w:val="0"/>
            <w:vAlign w:val="center"/>
          </w:tcPr>
          <w:p w14:paraId="236A64F1">
            <w:pPr>
              <w:widowControl/>
              <w:rPr>
                <w:rFonts w:hint="eastAsia" w:ascii="宋体" w:hAnsi="宋体" w:cs="宋体"/>
                <w:kern w:val="0"/>
                <w:szCs w:val="21"/>
              </w:rPr>
            </w:pPr>
            <w:r>
              <w:rPr>
                <w:rFonts w:hint="eastAsia" w:ascii="宋体" w:hAnsi="宋体" w:cs="宋体"/>
                <w:kern w:val="0"/>
                <w:szCs w:val="21"/>
              </w:rPr>
              <w:t>数据湖应采用先进的数据平台技术，在有效保证数据冗余备份的同时，提供灵活的存储和计算扩展能力。</w:t>
            </w:r>
          </w:p>
        </w:tc>
      </w:tr>
      <w:tr w14:paraId="01C06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741" w:type="dxa"/>
            <w:vMerge w:val="continue"/>
            <w:noWrap w:val="0"/>
            <w:vAlign w:val="center"/>
          </w:tcPr>
          <w:p w14:paraId="616EA6CF">
            <w:pPr>
              <w:widowControl/>
              <w:jc w:val="left"/>
              <w:rPr>
                <w:rFonts w:hint="eastAsia" w:ascii="宋体" w:hAnsi="宋体" w:cs="宋体"/>
                <w:kern w:val="0"/>
                <w:szCs w:val="21"/>
              </w:rPr>
            </w:pPr>
          </w:p>
        </w:tc>
        <w:tc>
          <w:tcPr>
            <w:tcW w:w="876" w:type="dxa"/>
            <w:vMerge w:val="continue"/>
            <w:noWrap w:val="0"/>
            <w:vAlign w:val="center"/>
          </w:tcPr>
          <w:p w14:paraId="2D1587E4">
            <w:pPr>
              <w:widowControl/>
              <w:jc w:val="center"/>
              <w:rPr>
                <w:rFonts w:hint="eastAsia" w:ascii="宋体" w:hAnsi="宋体" w:cs="宋体"/>
                <w:kern w:val="0"/>
                <w:szCs w:val="21"/>
              </w:rPr>
            </w:pPr>
          </w:p>
        </w:tc>
        <w:tc>
          <w:tcPr>
            <w:tcW w:w="7170" w:type="dxa"/>
            <w:noWrap w:val="0"/>
            <w:vAlign w:val="center"/>
          </w:tcPr>
          <w:p w14:paraId="3085AE32">
            <w:pPr>
              <w:widowControl/>
              <w:rPr>
                <w:rFonts w:hint="eastAsia" w:ascii="宋体" w:hAnsi="宋体" w:cs="宋体"/>
                <w:kern w:val="0"/>
                <w:szCs w:val="21"/>
              </w:rPr>
            </w:pPr>
            <w:r>
              <w:rPr>
                <w:rFonts w:hint="eastAsia" w:ascii="宋体" w:hAnsi="宋体" w:cs="宋体"/>
                <w:kern w:val="0"/>
                <w:szCs w:val="21"/>
              </w:rPr>
              <w:t>数据湖支持大规模海量并行计算处理,具备分布式计算、列式存储、并行计算、实时数据处理数据能力。</w:t>
            </w:r>
          </w:p>
        </w:tc>
      </w:tr>
      <w:tr w14:paraId="185EA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741" w:type="dxa"/>
            <w:vMerge w:val="continue"/>
            <w:noWrap w:val="0"/>
            <w:vAlign w:val="center"/>
          </w:tcPr>
          <w:p w14:paraId="0C836B02">
            <w:pPr>
              <w:widowControl/>
              <w:jc w:val="left"/>
              <w:rPr>
                <w:rFonts w:hint="eastAsia" w:ascii="宋体" w:hAnsi="宋体" w:cs="宋体"/>
                <w:kern w:val="0"/>
                <w:szCs w:val="21"/>
              </w:rPr>
            </w:pPr>
          </w:p>
        </w:tc>
        <w:tc>
          <w:tcPr>
            <w:tcW w:w="876" w:type="dxa"/>
            <w:vMerge w:val="continue"/>
            <w:noWrap w:val="0"/>
            <w:vAlign w:val="center"/>
          </w:tcPr>
          <w:p w14:paraId="514A09FB">
            <w:pPr>
              <w:widowControl/>
              <w:jc w:val="center"/>
              <w:rPr>
                <w:rFonts w:hint="eastAsia" w:ascii="宋体" w:hAnsi="宋体" w:cs="宋体"/>
                <w:kern w:val="0"/>
                <w:szCs w:val="21"/>
              </w:rPr>
            </w:pPr>
          </w:p>
        </w:tc>
        <w:tc>
          <w:tcPr>
            <w:tcW w:w="7170" w:type="dxa"/>
            <w:noWrap w:val="0"/>
            <w:vAlign w:val="center"/>
          </w:tcPr>
          <w:p w14:paraId="00F94779">
            <w:pPr>
              <w:widowControl/>
              <w:rPr>
                <w:rFonts w:hint="eastAsia" w:ascii="宋体" w:hAnsi="宋体" w:cs="宋体"/>
                <w:kern w:val="0"/>
                <w:szCs w:val="21"/>
              </w:rPr>
            </w:pPr>
            <w:r>
              <w:rPr>
                <w:rFonts w:hint="eastAsia" w:ascii="宋体" w:hAnsi="宋体" w:cs="宋体"/>
                <w:kern w:val="0"/>
                <w:szCs w:val="21"/>
              </w:rPr>
              <w:t>数据湖关键数据应具备实时性，在对业务数据库不产生任何影响的情况下，数据实时同步入湖。</w:t>
            </w:r>
          </w:p>
        </w:tc>
      </w:tr>
      <w:tr w14:paraId="25646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741" w:type="dxa"/>
            <w:vMerge w:val="continue"/>
            <w:noWrap w:val="0"/>
            <w:vAlign w:val="center"/>
          </w:tcPr>
          <w:p w14:paraId="7788816C">
            <w:pPr>
              <w:widowControl/>
              <w:jc w:val="left"/>
              <w:rPr>
                <w:rFonts w:hint="eastAsia" w:ascii="宋体" w:hAnsi="宋体" w:cs="宋体"/>
                <w:kern w:val="0"/>
                <w:szCs w:val="21"/>
              </w:rPr>
            </w:pPr>
          </w:p>
        </w:tc>
        <w:tc>
          <w:tcPr>
            <w:tcW w:w="876" w:type="dxa"/>
            <w:vMerge w:val="continue"/>
            <w:noWrap w:val="0"/>
            <w:vAlign w:val="center"/>
          </w:tcPr>
          <w:p w14:paraId="70D80EF1">
            <w:pPr>
              <w:widowControl/>
              <w:jc w:val="center"/>
              <w:rPr>
                <w:rFonts w:hint="eastAsia" w:ascii="宋体" w:hAnsi="宋体" w:cs="宋体"/>
                <w:kern w:val="0"/>
                <w:szCs w:val="21"/>
              </w:rPr>
            </w:pPr>
          </w:p>
        </w:tc>
        <w:tc>
          <w:tcPr>
            <w:tcW w:w="7170" w:type="dxa"/>
            <w:noWrap w:val="0"/>
            <w:vAlign w:val="center"/>
          </w:tcPr>
          <w:p w14:paraId="61BBE8C7">
            <w:pPr>
              <w:widowControl/>
              <w:rPr>
                <w:rFonts w:hint="eastAsia" w:ascii="宋体" w:hAnsi="宋体" w:cs="宋体"/>
                <w:kern w:val="0"/>
                <w:szCs w:val="21"/>
              </w:rPr>
            </w:pPr>
            <w:r>
              <w:rPr>
                <w:rFonts w:hint="eastAsia" w:ascii="宋体" w:hAnsi="宋体" w:cs="宋体"/>
                <w:kern w:val="0"/>
                <w:szCs w:val="21"/>
              </w:rPr>
              <w:t>数据湖支持结构化数据、非结构化数据的混合结构数据存储。</w:t>
            </w:r>
          </w:p>
        </w:tc>
      </w:tr>
      <w:tr w14:paraId="12B35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741" w:type="dxa"/>
            <w:vMerge w:val="continue"/>
            <w:noWrap w:val="0"/>
            <w:vAlign w:val="center"/>
          </w:tcPr>
          <w:p w14:paraId="657A4C41">
            <w:pPr>
              <w:widowControl/>
              <w:jc w:val="left"/>
              <w:rPr>
                <w:rFonts w:hint="eastAsia" w:ascii="宋体" w:hAnsi="宋体" w:cs="宋体"/>
                <w:kern w:val="0"/>
                <w:szCs w:val="21"/>
              </w:rPr>
            </w:pPr>
          </w:p>
        </w:tc>
        <w:tc>
          <w:tcPr>
            <w:tcW w:w="876" w:type="dxa"/>
            <w:vMerge w:val="continue"/>
            <w:noWrap w:val="0"/>
            <w:vAlign w:val="center"/>
          </w:tcPr>
          <w:p w14:paraId="1A622F16">
            <w:pPr>
              <w:widowControl/>
              <w:jc w:val="center"/>
              <w:rPr>
                <w:rFonts w:hint="eastAsia" w:ascii="宋体" w:hAnsi="宋体" w:cs="宋体"/>
                <w:kern w:val="0"/>
                <w:szCs w:val="21"/>
              </w:rPr>
            </w:pPr>
          </w:p>
        </w:tc>
        <w:tc>
          <w:tcPr>
            <w:tcW w:w="7170" w:type="dxa"/>
            <w:noWrap w:val="0"/>
            <w:vAlign w:val="center"/>
          </w:tcPr>
          <w:p w14:paraId="34E8D72E">
            <w:pPr>
              <w:widowControl/>
              <w:rPr>
                <w:rFonts w:hint="eastAsia" w:ascii="宋体" w:hAnsi="宋体" w:cs="宋体"/>
                <w:kern w:val="0"/>
                <w:szCs w:val="21"/>
              </w:rPr>
            </w:pPr>
            <w:r>
              <w:rPr>
                <w:rFonts w:hint="eastAsia" w:ascii="宋体" w:hAnsi="宋体" w:cs="宋体"/>
                <w:kern w:val="0"/>
                <w:szCs w:val="21"/>
              </w:rPr>
              <w:t>数据湖需要保证数据和原始业务系统的一致性和准确性。</w:t>
            </w:r>
          </w:p>
        </w:tc>
      </w:tr>
      <w:tr w14:paraId="01239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741" w:type="dxa"/>
            <w:vMerge w:val="continue"/>
            <w:noWrap w:val="0"/>
            <w:vAlign w:val="center"/>
          </w:tcPr>
          <w:p w14:paraId="28C2CCC3">
            <w:pPr>
              <w:widowControl/>
              <w:jc w:val="left"/>
              <w:rPr>
                <w:rFonts w:hint="eastAsia" w:ascii="宋体" w:hAnsi="宋体" w:cs="宋体"/>
                <w:kern w:val="0"/>
                <w:szCs w:val="21"/>
              </w:rPr>
            </w:pPr>
          </w:p>
        </w:tc>
        <w:tc>
          <w:tcPr>
            <w:tcW w:w="876" w:type="dxa"/>
            <w:vMerge w:val="continue"/>
            <w:noWrap w:val="0"/>
            <w:vAlign w:val="center"/>
          </w:tcPr>
          <w:p w14:paraId="08D1619D">
            <w:pPr>
              <w:widowControl/>
              <w:jc w:val="center"/>
              <w:rPr>
                <w:rFonts w:hint="eastAsia" w:ascii="宋体" w:hAnsi="宋体" w:cs="宋体"/>
                <w:kern w:val="0"/>
                <w:szCs w:val="21"/>
              </w:rPr>
            </w:pPr>
          </w:p>
        </w:tc>
        <w:tc>
          <w:tcPr>
            <w:tcW w:w="7170" w:type="dxa"/>
            <w:noWrap w:val="0"/>
            <w:vAlign w:val="center"/>
          </w:tcPr>
          <w:p w14:paraId="7BABA426">
            <w:pPr>
              <w:widowControl/>
              <w:rPr>
                <w:rFonts w:hint="eastAsia" w:ascii="宋体" w:hAnsi="宋体" w:cs="宋体"/>
                <w:kern w:val="0"/>
                <w:szCs w:val="21"/>
              </w:rPr>
            </w:pPr>
            <w:r>
              <w:rPr>
                <w:rFonts w:hint="eastAsia" w:ascii="宋体" w:hAnsi="宋体" w:cs="宋体"/>
                <w:kern w:val="0"/>
                <w:szCs w:val="21"/>
              </w:rPr>
              <w:t>数据湖应具有容灾备份能力，确保运行的安全性和系统业务连续性。</w:t>
            </w:r>
          </w:p>
        </w:tc>
      </w:tr>
      <w:tr w14:paraId="67B93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741" w:type="dxa"/>
            <w:vMerge w:val="continue"/>
            <w:noWrap w:val="0"/>
            <w:vAlign w:val="center"/>
          </w:tcPr>
          <w:p w14:paraId="5617032E">
            <w:pPr>
              <w:widowControl/>
              <w:jc w:val="center"/>
              <w:rPr>
                <w:rFonts w:hint="eastAsia" w:ascii="宋体" w:hAnsi="宋体" w:cs="宋体"/>
                <w:kern w:val="0"/>
                <w:szCs w:val="21"/>
              </w:rPr>
            </w:pPr>
          </w:p>
        </w:tc>
        <w:tc>
          <w:tcPr>
            <w:tcW w:w="876" w:type="dxa"/>
            <w:vMerge w:val="restart"/>
            <w:noWrap w:val="0"/>
            <w:vAlign w:val="center"/>
          </w:tcPr>
          <w:p w14:paraId="5E465B7F">
            <w:pPr>
              <w:widowControl/>
              <w:jc w:val="center"/>
              <w:rPr>
                <w:rFonts w:ascii="宋体" w:hAnsi="宋体" w:cs="宋体"/>
                <w:kern w:val="0"/>
                <w:szCs w:val="21"/>
              </w:rPr>
            </w:pPr>
            <w:r>
              <w:rPr>
                <w:rFonts w:hint="eastAsia" w:ascii="宋体" w:hAnsi="宋体" w:cs="宋体"/>
                <w:kern w:val="0"/>
                <w:szCs w:val="21"/>
              </w:rPr>
              <w:t>功能指标</w:t>
            </w:r>
          </w:p>
        </w:tc>
        <w:tc>
          <w:tcPr>
            <w:tcW w:w="7170" w:type="dxa"/>
            <w:noWrap w:val="0"/>
            <w:vAlign w:val="center"/>
          </w:tcPr>
          <w:p w14:paraId="4F57B135">
            <w:pPr>
              <w:widowControl/>
              <w:rPr>
                <w:rFonts w:hint="eastAsia" w:ascii="宋体" w:hAnsi="宋体" w:cs="宋体"/>
                <w:kern w:val="0"/>
                <w:szCs w:val="21"/>
              </w:rPr>
            </w:pPr>
            <w:r>
              <w:rPr>
                <w:rFonts w:hint="eastAsia" w:ascii="宋体" w:hAnsi="宋体" w:cs="宋体"/>
                <w:kern w:val="0"/>
                <w:szCs w:val="21"/>
              </w:rPr>
              <w:t>全量数据入湖:</w:t>
            </w:r>
            <w:r>
              <w:rPr>
                <w:rFonts w:ascii="宋体" w:hAnsi="宋体" w:cs="Calibri"/>
                <w:sz w:val="24"/>
              </w:rPr>
              <w:t xml:space="preserve"> </w:t>
            </w:r>
            <w:r>
              <w:rPr>
                <w:rFonts w:ascii="宋体" w:hAnsi="宋体" w:cs="宋体"/>
                <w:kern w:val="0"/>
                <w:szCs w:val="21"/>
              </w:rPr>
              <w:t>医院当前业务系统的原始数据同步入湖进行统一存储，数据存储支持不同时期、不同厂商的信息系统的业务系统数据永久存储到湖里。数据采集汇聚内容覆盖医院当前</w:t>
            </w:r>
            <w:r>
              <w:rPr>
                <w:rFonts w:hint="eastAsia" w:ascii="宋体" w:hAnsi="宋体" w:cs="宋体"/>
                <w:kern w:val="0"/>
                <w:szCs w:val="21"/>
              </w:rPr>
              <w:t>可接入的全量</w:t>
            </w:r>
            <w:r>
              <w:rPr>
                <w:rFonts w:ascii="宋体" w:hAnsi="宋体" w:cs="宋体"/>
                <w:kern w:val="0"/>
                <w:szCs w:val="21"/>
              </w:rPr>
              <w:t>业务系统数据</w:t>
            </w:r>
            <w:r>
              <w:rPr>
                <w:rFonts w:hint="eastAsia" w:ascii="宋体" w:hAnsi="宋体" w:cs="宋体"/>
                <w:kern w:val="0"/>
                <w:szCs w:val="21"/>
              </w:rPr>
              <w:t>，包括:患者基本信息、诊断、用药、检验、放射、超声、内镜、心电、病理、用血、治疗、手术麻醉、ICU监护、体检、护理、教学等信息；入院、出院、转科、医保及其它统计信息；门诊、住院医生电子病历、护理电子病历、护士站系统、麻醉系统、平台知情同意书无纸化系统等文档信息的广义临床信息集合。</w:t>
            </w:r>
          </w:p>
        </w:tc>
      </w:tr>
      <w:tr w14:paraId="5BCD4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741" w:type="dxa"/>
            <w:vMerge w:val="continue"/>
            <w:noWrap w:val="0"/>
            <w:vAlign w:val="center"/>
          </w:tcPr>
          <w:p w14:paraId="67FE196B">
            <w:pPr>
              <w:widowControl/>
              <w:jc w:val="left"/>
              <w:rPr>
                <w:rFonts w:hint="eastAsia" w:ascii="宋体" w:hAnsi="宋体" w:cs="宋体"/>
                <w:kern w:val="0"/>
                <w:szCs w:val="21"/>
              </w:rPr>
            </w:pPr>
          </w:p>
        </w:tc>
        <w:tc>
          <w:tcPr>
            <w:tcW w:w="876" w:type="dxa"/>
            <w:vMerge w:val="continue"/>
            <w:noWrap w:val="0"/>
            <w:vAlign w:val="center"/>
          </w:tcPr>
          <w:p w14:paraId="6DD32807">
            <w:pPr>
              <w:widowControl/>
              <w:jc w:val="center"/>
              <w:rPr>
                <w:rFonts w:hint="eastAsia" w:ascii="宋体" w:hAnsi="宋体" w:cs="宋体"/>
                <w:kern w:val="0"/>
                <w:szCs w:val="21"/>
              </w:rPr>
            </w:pPr>
          </w:p>
        </w:tc>
        <w:tc>
          <w:tcPr>
            <w:tcW w:w="7170" w:type="dxa"/>
            <w:noWrap w:val="0"/>
            <w:vAlign w:val="center"/>
          </w:tcPr>
          <w:p w14:paraId="27664698">
            <w:pPr>
              <w:widowControl/>
              <w:rPr>
                <w:rFonts w:hint="eastAsia" w:ascii="宋体" w:hAnsi="宋体" w:cs="宋体"/>
                <w:kern w:val="0"/>
                <w:szCs w:val="21"/>
              </w:rPr>
            </w:pPr>
            <w:r>
              <w:rPr>
                <w:rFonts w:hint="eastAsia" w:ascii="宋体" w:hAnsi="宋体" w:cs="宋体"/>
                <w:kern w:val="0"/>
                <w:szCs w:val="21"/>
              </w:rPr>
              <w:t>数据湖支持多维索引数据的深度搜索和</w:t>
            </w:r>
            <w:r>
              <w:rPr>
                <w:rFonts w:hint="eastAsia" w:ascii="宋体" w:hAnsi="宋体" w:cs="宋体"/>
                <w:kern w:val="0"/>
                <w:szCs w:val="21"/>
                <w:highlight w:val="yellow"/>
              </w:rPr>
              <w:t>全文检索</w:t>
            </w:r>
            <w:r>
              <w:rPr>
                <w:rFonts w:hint="eastAsia" w:ascii="宋体" w:hAnsi="宋体" w:cs="宋体"/>
                <w:kern w:val="0"/>
                <w:szCs w:val="21"/>
              </w:rPr>
              <w:t>等功能。</w:t>
            </w:r>
          </w:p>
        </w:tc>
      </w:tr>
      <w:tr w14:paraId="57475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741" w:type="dxa"/>
            <w:vMerge w:val="continue"/>
            <w:noWrap w:val="0"/>
            <w:vAlign w:val="center"/>
          </w:tcPr>
          <w:p w14:paraId="317136FE">
            <w:pPr>
              <w:widowControl/>
              <w:jc w:val="left"/>
              <w:rPr>
                <w:rFonts w:hint="eastAsia" w:ascii="宋体" w:hAnsi="宋体" w:cs="宋体"/>
                <w:kern w:val="0"/>
                <w:szCs w:val="21"/>
              </w:rPr>
            </w:pPr>
          </w:p>
        </w:tc>
        <w:tc>
          <w:tcPr>
            <w:tcW w:w="876" w:type="dxa"/>
            <w:vMerge w:val="continue"/>
            <w:noWrap w:val="0"/>
            <w:vAlign w:val="center"/>
          </w:tcPr>
          <w:p w14:paraId="1E7B334D">
            <w:pPr>
              <w:widowControl/>
              <w:jc w:val="center"/>
              <w:rPr>
                <w:rFonts w:hint="eastAsia" w:ascii="宋体" w:hAnsi="宋体" w:cs="宋体"/>
                <w:kern w:val="0"/>
                <w:szCs w:val="21"/>
              </w:rPr>
            </w:pPr>
          </w:p>
        </w:tc>
        <w:tc>
          <w:tcPr>
            <w:tcW w:w="7170" w:type="dxa"/>
            <w:noWrap w:val="0"/>
            <w:vAlign w:val="center"/>
          </w:tcPr>
          <w:p w14:paraId="6C30D57F">
            <w:pPr>
              <w:widowControl/>
              <w:rPr>
                <w:rFonts w:hint="eastAsia" w:ascii="宋体" w:hAnsi="宋体" w:cs="宋体"/>
                <w:kern w:val="0"/>
                <w:szCs w:val="21"/>
              </w:rPr>
            </w:pPr>
            <w:r>
              <w:rPr>
                <w:rFonts w:hint="eastAsia" w:ascii="宋体" w:hAnsi="宋体" w:cs="宋体"/>
                <w:kern w:val="0"/>
                <w:szCs w:val="21"/>
              </w:rPr>
              <w:t>数据湖支持结构化、非结构化、多媒体化的混合结构的临床信息内容管理；同时全面接入各系统的基础数据管理,使全院各系统的数据源唯一。</w:t>
            </w:r>
          </w:p>
        </w:tc>
      </w:tr>
      <w:tr w14:paraId="18DED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741" w:type="dxa"/>
            <w:vMerge w:val="continue"/>
            <w:noWrap w:val="0"/>
            <w:vAlign w:val="center"/>
          </w:tcPr>
          <w:p w14:paraId="181EF4C6">
            <w:pPr>
              <w:widowControl/>
              <w:jc w:val="left"/>
              <w:rPr>
                <w:rFonts w:hint="eastAsia" w:ascii="宋体" w:hAnsi="宋体" w:cs="宋体"/>
                <w:kern w:val="0"/>
                <w:szCs w:val="21"/>
              </w:rPr>
            </w:pPr>
          </w:p>
        </w:tc>
        <w:tc>
          <w:tcPr>
            <w:tcW w:w="876" w:type="dxa"/>
            <w:vMerge w:val="continue"/>
            <w:noWrap w:val="0"/>
            <w:vAlign w:val="center"/>
          </w:tcPr>
          <w:p w14:paraId="6F0B42A7">
            <w:pPr>
              <w:widowControl/>
              <w:jc w:val="center"/>
              <w:rPr>
                <w:rFonts w:hint="eastAsia" w:ascii="宋体" w:hAnsi="宋体" w:cs="宋体"/>
                <w:kern w:val="0"/>
                <w:szCs w:val="21"/>
              </w:rPr>
            </w:pPr>
          </w:p>
        </w:tc>
        <w:tc>
          <w:tcPr>
            <w:tcW w:w="7170" w:type="dxa"/>
            <w:noWrap w:val="0"/>
            <w:vAlign w:val="center"/>
          </w:tcPr>
          <w:p w14:paraId="7AF2AF6F">
            <w:pPr>
              <w:widowControl/>
              <w:rPr>
                <w:rFonts w:hint="eastAsia" w:ascii="宋体" w:hAnsi="宋体" w:cs="宋体"/>
                <w:kern w:val="0"/>
                <w:szCs w:val="21"/>
              </w:rPr>
            </w:pPr>
            <w:r>
              <w:rPr>
                <w:rFonts w:hint="eastAsia" w:ascii="宋体" w:hAnsi="宋体" w:cs="宋体"/>
                <w:kern w:val="0"/>
                <w:szCs w:val="21"/>
              </w:rPr>
              <w:t>数据湖中贴源层作为源库的一个镜像库，为后续进一步进行数据治理和标准化提供查询和抽取的支持。</w:t>
            </w:r>
          </w:p>
        </w:tc>
      </w:tr>
      <w:tr w14:paraId="6D872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741" w:type="dxa"/>
            <w:vMerge w:val="continue"/>
            <w:noWrap w:val="0"/>
            <w:vAlign w:val="center"/>
          </w:tcPr>
          <w:p w14:paraId="69ED685E">
            <w:pPr>
              <w:widowControl/>
              <w:jc w:val="left"/>
              <w:rPr>
                <w:rFonts w:hint="eastAsia" w:ascii="宋体" w:hAnsi="宋体" w:cs="宋体"/>
                <w:kern w:val="0"/>
                <w:szCs w:val="21"/>
              </w:rPr>
            </w:pPr>
          </w:p>
        </w:tc>
        <w:tc>
          <w:tcPr>
            <w:tcW w:w="876" w:type="dxa"/>
            <w:vMerge w:val="continue"/>
            <w:noWrap w:val="0"/>
            <w:vAlign w:val="center"/>
          </w:tcPr>
          <w:p w14:paraId="63D689A8">
            <w:pPr>
              <w:widowControl/>
              <w:jc w:val="center"/>
              <w:rPr>
                <w:rFonts w:hint="eastAsia" w:ascii="宋体" w:hAnsi="宋体" w:cs="宋体"/>
                <w:kern w:val="0"/>
                <w:szCs w:val="21"/>
              </w:rPr>
            </w:pPr>
          </w:p>
        </w:tc>
        <w:tc>
          <w:tcPr>
            <w:tcW w:w="7170" w:type="dxa"/>
            <w:noWrap w:val="0"/>
            <w:vAlign w:val="center"/>
          </w:tcPr>
          <w:p w14:paraId="06437E15">
            <w:pPr>
              <w:widowControl/>
              <w:rPr>
                <w:rFonts w:hint="eastAsia" w:ascii="宋体" w:hAnsi="宋体" w:cs="宋体"/>
                <w:kern w:val="0"/>
                <w:szCs w:val="21"/>
              </w:rPr>
            </w:pPr>
            <w:r>
              <w:rPr>
                <w:rFonts w:hint="eastAsia" w:ascii="宋体" w:hAnsi="宋体" w:cs="宋体"/>
                <w:kern w:val="0"/>
                <w:szCs w:val="21"/>
              </w:rPr>
              <w:t>现有数据:支持对接院内现有信息系统HIS、EMR、LIS、PACS、CCMTV等业务系统有价值的数据,可以提供对外查询的能力,具备分担业务库查询的能力。</w:t>
            </w:r>
          </w:p>
        </w:tc>
      </w:tr>
      <w:tr w14:paraId="2F421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741" w:type="dxa"/>
            <w:vMerge w:val="continue"/>
            <w:noWrap w:val="0"/>
            <w:vAlign w:val="center"/>
          </w:tcPr>
          <w:p w14:paraId="2D6424B3">
            <w:pPr>
              <w:widowControl/>
              <w:jc w:val="left"/>
              <w:rPr>
                <w:rFonts w:hint="eastAsia" w:ascii="宋体" w:hAnsi="宋体" w:cs="宋体"/>
                <w:kern w:val="0"/>
                <w:szCs w:val="21"/>
              </w:rPr>
            </w:pPr>
          </w:p>
        </w:tc>
        <w:tc>
          <w:tcPr>
            <w:tcW w:w="876" w:type="dxa"/>
            <w:vMerge w:val="continue"/>
            <w:noWrap w:val="0"/>
            <w:vAlign w:val="center"/>
          </w:tcPr>
          <w:p w14:paraId="7557C26C">
            <w:pPr>
              <w:widowControl/>
              <w:jc w:val="center"/>
              <w:rPr>
                <w:rFonts w:hint="eastAsia" w:ascii="宋体" w:hAnsi="宋体" w:cs="宋体"/>
                <w:kern w:val="0"/>
                <w:szCs w:val="21"/>
              </w:rPr>
            </w:pPr>
          </w:p>
        </w:tc>
        <w:tc>
          <w:tcPr>
            <w:tcW w:w="7170" w:type="dxa"/>
            <w:noWrap w:val="0"/>
            <w:vAlign w:val="center"/>
          </w:tcPr>
          <w:p w14:paraId="604CA4AA">
            <w:pPr>
              <w:widowControl/>
              <w:rPr>
                <w:rFonts w:hint="eastAsia" w:ascii="宋体" w:hAnsi="宋体" w:cs="宋体"/>
                <w:kern w:val="0"/>
                <w:szCs w:val="21"/>
              </w:rPr>
            </w:pPr>
            <w:r>
              <w:rPr>
                <w:rFonts w:hint="eastAsia" w:ascii="宋体" w:hAnsi="宋体" w:cs="宋体"/>
                <w:kern w:val="0"/>
                <w:szCs w:val="21"/>
              </w:rPr>
              <w:t>增量数据:支持对接院内信息系统HIS、EMR、LIS、PACS、CCMTV等业务系统有价值的增量数据。</w:t>
            </w:r>
          </w:p>
        </w:tc>
      </w:tr>
      <w:tr w14:paraId="138E6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741" w:type="dxa"/>
            <w:vMerge w:val="restart"/>
            <w:noWrap w:val="0"/>
            <w:vAlign w:val="center"/>
          </w:tcPr>
          <w:p w14:paraId="16B809C7">
            <w:pPr>
              <w:widowControl/>
              <w:jc w:val="left"/>
              <w:rPr>
                <w:rFonts w:ascii="宋体" w:hAnsi="宋体" w:cs="宋体"/>
                <w:kern w:val="0"/>
                <w:szCs w:val="21"/>
              </w:rPr>
            </w:pPr>
            <w:r>
              <w:rPr>
                <w:rFonts w:hint="eastAsia" w:ascii="宋体" w:hAnsi="宋体" w:cs="宋体"/>
                <w:kern w:val="0"/>
                <w:szCs w:val="21"/>
              </w:rPr>
              <w:t>2.管理中心</w:t>
            </w:r>
          </w:p>
        </w:tc>
        <w:tc>
          <w:tcPr>
            <w:tcW w:w="876" w:type="dxa"/>
            <w:noWrap w:val="0"/>
            <w:vAlign w:val="center"/>
          </w:tcPr>
          <w:p w14:paraId="1EBAA72D">
            <w:pPr>
              <w:widowControl/>
              <w:jc w:val="center"/>
              <w:rPr>
                <w:rFonts w:hint="eastAsia" w:ascii="宋体" w:hAnsi="宋体" w:cs="宋体"/>
                <w:kern w:val="0"/>
                <w:szCs w:val="21"/>
              </w:rPr>
            </w:pPr>
            <w:r>
              <w:rPr>
                <w:rFonts w:hint="eastAsia" w:ascii="宋体" w:hAnsi="宋体" w:cs="宋体"/>
                <w:kern w:val="0"/>
                <w:szCs w:val="21"/>
              </w:rPr>
              <w:t>统一门户</w:t>
            </w:r>
          </w:p>
        </w:tc>
        <w:tc>
          <w:tcPr>
            <w:tcW w:w="7170" w:type="dxa"/>
            <w:noWrap w:val="0"/>
            <w:vAlign w:val="center"/>
          </w:tcPr>
          <w:p w14:paraId="07AA8BB6">
            <w:pPr>
              <w:widowControl/>
              <w:rPr>
                <w:rFonts w:hint="eastAsia" w:ascii="宋体" w:hAnsi="宋体" w:cs="宋体"/>
                <w:kern w:val="0"/>
                <w:szCs w:val="21"/>
              </w:rPr>
            </w:pPr>
            <w:r>
              <w:rPr>
                <w:rFonts w:ascii="宋体" w:hAnsi="宋体" w:cs="宋体"/>
                <w:kern w:val="0"/>
                <w:szCs w:val="21"/>
              </w:rPr>
              <w:t>提供统一的应用访问入口</w:t>
            </w:r>
            <w:r>
              <w:rPr>
                <w:rFonts w:hint="eastAsia" w:ascii="宋体" w:hAnsi="宋体" w:cs="宋体"/>
                <w:kern w:val="0"/>
                <w:szCs w:val="21"/>
              </w:rPr>
              <w:t>；</w:t>
            </w:r>
            <w:r>
              <w:rPr>
                <w:rFonts w:ascii="宋体" w:hAnsi="宋体" w:cs="宋体"/>
                <w:kern w:val="0"/>
                <w:szCs w:val="21"/>
              </w:rPr>
              <w:t>提供统一的用户管理入口</w:t>
            </w:r>
            <w:r>
              <w:rPr>
                <w:rFonts w:hint="eastAsia" w:ascii="宋体" w:hAnsi="宋体" w:cs="宋体"/>
                <w:kern w:val="0"/>
                <w:szCs w:val="21"/>
              </w:rPr>
              <w:t>，支持医院、科室、用户的角色管理，提供统一身份认证、单点登录、用户资源访问授权等功能，包括用户管理、服务管理、访问控制、单点登录功能。</w:t>
            </w:r>
          </w:p>
        </w:tc>
      </w:tr>
      <w:tr w14:paraId="70CDE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741" w:type="dxa"/>
            <w:vMerge w:val="continue"/>
            <w:noWrap w:val="0"/>
            <w:vAlign w:val="center"/>
          </w:tcPr>
          <w:p w14:paraId="755C2338">
            <w:pPr>
              <w:widowControl/>
              <w:jc w:val="left"/>
              <w:rPr>
                <w:rFonts w:ascii="宋体" w:hAnsi="宋体" w:cs="宋体"/>
                <w:kern w:val="0"/>
                <w:szCs w:val="21"/>
              </w:rPr>
            </w:pPr>
          </w:p>
        </w:tc>
        <w:tc>
          <w:tcPr>
            <w:tcW w:w="876" w:type="dxa"/>
            <w:noWrap w:val="0"/>
            <w:vAlign w:val="center"/>
          </w:tcPr>
          <w:p w14:paraId="5B0197E6">
            <w:pPr>
              <w:widowControl/>
              <w:jc w:val="center"/>
              <w:rPr>
                <w:rFonts w:hint="eastAsia" w:ascii="宋体" w:hAnsi="宋体" w:cs="宋体"/>
                <w:kern w:val="0"/>
                <w:szCs w:val="21"/>
              </w:rPr>
            </w:pPr>
            <w:r>
              <w:rPr>
                <w:rFonts w:hint="eastAsia" w:ascii="宋体" w:hAnsi="宋体" w:cs="宋体"/>
                <w:kern w:val="0"/>
                <w:szCs w:val="21"/>
              </w:rPr>
              <w:t>角色权限控制</w:t>
            </w:r>
          </w:p>
        </w:tc>
        <w:tc>
          <w:tcPr>
            <w:tcW w:w="7170" w:type="dxa"/>
            <w:noWrap w:val="0"/>
            <w:vAlign w:val="center"/>
          </w:tcPr>
          <w:p w14:paraId="00028123">
            <w:pPr>
              <w:widowControl/>
              <w:rPr>
                <w:rFonts w:ascii="宋体" w:hAnsi="宋体" w:cs="宋体"/>
                <w:kern w:val="0"/>
                <w:szCs w:val="21"/>
              </w:rPr>
            </w:pPr>
            <w:r>
              <w:rPr>
                <w:rFonts w:hint="eastAsia" w:ascii="宋体" w:hAnsi="宋体" w:cs="宋体"/>
                <w:kern w:val="0"/>
                <w:szCs w:val="21"/>
              </w:rPr>
              <w:t>具备完善的授权管理机制，能满足复杂的权限控制需求，可以对用户、角色等进行授权，可以通过权限继承与过滤和分级授权等机制方便地实现实际的授权需求。</w:t>
            </w:r>
            <w:r>
              <w:rPr>
                <w:rFonts w:hint="eastAsia" w:ascii="宋体" w:hAnsi="宋体" w:cs="宋体"/>
                <w:kern w:val="0"/>
                <w:szCs w:val="21"/>
              </w:rPr>
              <w:br w:type="textWrapping"/>
            </w:r>
            <w:r>
              <w:rPr>
                <w:rFonts w:hint="eastAsia" w:ascii="宋体" w:hAnsi="宋体" w:cs="宋体"/>
                <w:kern w:val="0"/>
                <w:szCs w:val="21"/>
              </w:rPr>
              <w:t>授权管理能够基于角色、用户的访问控制策略，对用户和角色进行灵活授权，使同角色用户具有相同的权限。同时用户的所属科室也同时跟随角色一同关联起来，实现医院、科室、用户的层级关联管理。</w:t>
            </w:r>
          </w:p>
          <w:p w14:paraId="4EF1C3FF">
            <w:pPr>
              <w:widowControl/>
              <w:rPr>
                <w:rFonts w:hint="eastAsia" w:ascii="宋体" w:hAnsi="宋体" w:cs="宋体"/>
                <w:kern w:val="0"/>
                <w:szCs w:val="21"/>
              </w:rPr>
            </w:pPr>
            <w:r>
              <w:rPr>
                <w:rFonts w:ascii="宋体" w:hAnsi="宋体" w:cs="宋体"/>
                <w:kern w:val="0"/>
                <w:szCs w:val="21"/>
              </w:rPr>
              <w:t>系统常规配置包括：超级管理员、平台管理员、项目管理员、运维人员、产品人员、开发人员、任务运维人员、访客、数据安全员等角色。</w:t>
            </w:r>
          </w:p>
        </w:tc>
      </w:tr>
      <w:tr w14:paraId="0442E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741" w:type="dxa"/>
            <w:vMerge w:val="continue"/>
            <w:noWrap w:val="0"/>
            <w:vAlign w:val="center"/>
          </w:tcPr>
          <w:p w14:paraId="36F04FA1">
            <w:pPr>
              <w:widowControl/>
              <w:jc w:val="left"/>
              <w:rPr>
                <w:rFonts w:hint="eastAsia" w:ascii="宋体" w:hAnsi="宋体" w:cs="宋体"/>
                <w:kern w:val="0"/>
                <w:szCs w:val="21"/>
              </w:rPr>
            </w:pPr>
          </w:p>
        </w:tc>
        <w:tc>
          <w:tcPr>
            <w:tcW w:w="876" w:type="dxa"/>
            <w:noWrap w:val="0"/>
            <w:vAlign w:val="center"/>
          </w:tcPr>
          <w:p w14:paraId="406E3959">
            <w:pPr>
              <w:widowControl/>
              <w:jc w:val="center"/>
              <w:rPr>
                <w:rFonts w:hint="eastAsia" w:ascii="宋体" w:hAnsi="宋体" w:cs="宋体"/>
                <w:kern w:val="0"/>
                <w:szCs w:val="21"/>
              </w:rPr>
            </w:pPr>
            <w:r>
              <w:rPr>
                <w:rFonts w:hint="eastAsia" w:ascii="宋体" w:hAnsi="宋体" w:cs="宋体"/>
                <w:kern w:val="0"/>
                <w:szCs w:val="21"/>
              </w:rPr>
              <w:t>数据隔离</w:t>
            </w:r>
          </w:p>
        </w:tc>
        <w:tc>
          <w:tcPr>
            <w:tcW w:w="7170" w:type="dxa"/>
            <w:noWrap w:val="0"/>
            <w:vAlign w:val="center"/>
          </w:tcPr>
          <w:p w14:paraId="3D1D9269">
            <w:pPr>
              <w:widowControl/>
              <w:rPr>
                <w:rFonts w:ascii="宋体" w:hAnsi="宋体" w:cs="宋体"/>
                <w:kern w:val="0"/>
                <w:szCs w:val="21"/>
              </w:rPr>
            </w:pPr>
            <w:r>
              <w:rPr>
                <w:rFonts w:hint="eastAsia" w:ascii="宋体" w:hAnsi="宋体" w:cs="宋体"/>
                <w:kern w:val="0"/>
                <w:szCs w:val="21"/>
              </w:rPr>
              <w:t>提供自定义数据隔离，即以维度为最小颗粒度控制数据隔离，可根据不同的用户过滤统计的数据。通过不同的权限控制展示给不同科室用户的图表统计数据只包含该用户所在科室的数据。</w:t>
            </w:r>
          </w:p>
          <w:p w14:paraId="7F4474B5">
            <w:pPr>
              <w:widowControl/>
              <w:rPr>
                <w:rFonts w:hint="eastAsia" w:ascii="宋体" w:hAnsi="宋体" w:cs="宋体"/>
                <w:kern w:val="0"/>
                <w:szCs w:val="21"/>
              </w:rPr>
            </w:pPr>
          </w:p>
        </w:tc>
      </w:tr>
      <w:tr w14:paraId="156B7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741" w:type="dxa"/>
            <w:vMerge w:val="continue"/>
            <w:noWrap w:val="0"/>
            <w:vAlign w:val="center"/>
          </w:tcPr>
          <w:p w14:paraId="699A1594">
            <w:pPr>
              <w:widowControl/>
              <w:jc w:val="left"/>
              <w:rPr>
                <w:rFonts w:ascii="宋体" w:hAnsi="宋体" w:cs="宋体"/>
                <w:kern w:val="0"/>
                <w:szCs w:val="21"/>
              </w:rPr>
            </w:pPr>
          </w:p>
        </w:tc>
        <w:tc>
          <w:tcPr>
            <w:tcW w:w="876" w:type="dxa"/>
            <w:noWrap w:val="0"/>
            <w:vAlign w:val="center"/>
          </w:tcPr>
          <w:p w14:paraId="0022E507">
            <w:pPr>
              <w:widowControl/>
              <w:jc w:val="center"/>
              <w:rPr>
                <w:rFonts w:hint="eastAsia" w:ascii="宋体" w:hAnsi="宋体" w:cs="宋体"/>
                <w:kern w:val="0"/>
                <w:szCs w:val="21"/>
              </w:rPr>
            </w:pPr>
            <w:r>
              <w:rPr>
                <w:rFonts w:hint="eastAsia" w:ascii="宋体" w:hAnsi="宋体" w:cs="宋体"/>
                <w:kern w:val="0"/>
                <w:szCs w:val="21"/>
              </w:rPr>
              <w:t>集群管理</w:t>
            </w:r>
          </w:p>
        </w:tc>
        <w:tc>
          <w:tcPr>
            <w:tcW w:w="7170" w:type="dxa"/>
            <w:noWrap w:val="0"/>
            <w:vAlign w:val="center"/>
          </w:tcPr>
          <w:p w14:paraId="00673576">
            <w:pPr>
              <w:widowControl/>
              <w:rPr>
                <w:rFonts w:hint="eastAsia" w:ascii="宋体" w:hAnsi="宋体" w:cs="宋体"/>
                <w:kern w:val="0"/>
                <w:szCs w:val="21"/>
              </w:rPr>
            </w:pPr>
            <w:r>
              <w:rPr>
                <w:rFonts w:ascii="宋体" w:hAnsi="宋体" w:cs="宋体"/>
                <w:kern w:val="0"/>
                <w:szCs w:val="21"/>
              </w:rPr>
              <w:t>提供面向大数据集群安全管理配置信息管理，以实现对集群资源的统一管理和协调，提供高可用性、弹性和可伸缩性的服务。计算引擎管理能对集群中的调度组件、数据仓库和文件系统进行配置和管理。</w:t>
            </w:r>
            <w:r>
              <w:rPr>
                <w:rFonts w:hint="eastAsia" w:ascii="宋体" w:hAnsi="宋体" w:cs="宋体"/>
                <w:kern w:val="0"/>
                <w:szCs w:val="21"/>
              </w:rPr>
              <w:t>支持平台计算引擎配置，包括全局计算引擎名称、调度组件地址、数仓类型、文件系统类型信息配置；支持</w:t>
            </w:r>
            <w:r>
              <w:rPr>
                <w:rFonts w:ascii="宋体" w:hAnsi="宋体" w:cs="宋体"/>
                <w:kern w:val="0"/>
                <w:szCs w:val="21"/>
              </w:rPr>
              <w:t>MYSQL</w:t>
            </w:r>
            <w:r>
              <w:rPr>
                <w:rFonts w:hint="eastAsia" w:ascii="宋体" w:hAnsi="宋体" w:cs="宋体"/>
                <w:kern w:val="0"/>
                <w:szCs w:val="21"/>
              </w:rPr>
              <w:t>、</w:t>
            </w:r>
            <w:r>
              <w:rPr>
                <w:rFonts w:ascii="宋体" w:hAnsi="宋体" w:cs="宋体"/>
                <w:kern w:val="0"/>
                <w:szCs w:val="21"/>
              </w:rPr>
              <w:t>HIVE</w:t>
            </w:r>
            <w:r>
              <w:rPr>
                <w:rFonts w:hint="eastAsia" w:ascii="宋体" w:hAnsi="宋体" w:cs="宋体"/>
                <w:kern w:val="0"/>
                <w:szCs w:val="21"/>
              </w:rPr>
              <w:t>、</w:t>
            </w:r>
            <w:r>
              <w:rPr>
                <w:rFonts w:ascii="宋体" w:hAnsi="宋体" w:cs="宋体"/>
                <w:kern w:val="0"/>
                <w:szCs w:val="21"/>
              </w:rPr>
              <w:t>DORIS</w:t>
            </w:r>
            <w:r>
              <w:rPr>
                <w:rFonts w:hint="eastAsia" w:ascii="宋体" w:hAnsi="宋体" w:cs="宋体"/>
                <w:kern w:val="0"/>
                <w:szCs w:val="21"/>
              </w:rPr>
              <w:t>数仓类型、支持</w:t>
            </w:r>
            <w:r>
              <w:rPr>
                <w:rFonts w:ascii="宋体" w:hAnsi="宋体" w:cs="宋体"/>
                <w:kern w:val="0"/>
                <w:szCs w:val="21"/>
              </w:rPr>
              <w:t>FTP</w:t>
            </w:r>
            <w:r>
              <w:rPr>
                <w:rFonts w:hint="eastAsia" w:ascii="宋体" w:hAnsi="宋体" w:cs="宋体"/>
                <w:kern w:val="0"/>
                <w:szCs w:val="21"/>
              </w:rPr>
              <w:t>文件系统；支持新增、编辑、删除计算引擎。</w:t>
            </w:r>
          </w:p>
        </w:tc>
      </w:tr>
      <w:tr w14:paraId="2692D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741" w:type="dxa"/>
            <w:vMerge w:val="continue"/>
            <w:noWrap w:val="0"/>
            <w:vAlign w:val="center"/>
          </w:tcPr>
          <w:p w14:paraId="43A5586E">
            <w:pPr>
              <w:widowControl/>
              <w:jc w:val="left"/>
              <w:rPr>
                <w:rFonts w:hint="eastAsia" w:ascii="宋体" w:hAnsi="宋体" w:cs="宋体"/>
                <w:kern w:val="0"/>
                <w:szCs w:val="21"/>
              </w:rPr>
            </w:pPr>
          </w:p>
        </w:tc>
        <w:tc>
          <w:tcPr>
            <w:tcW w:w="876" w:type="dxa"/>
            <w:noWrap w:val="0"/>
            <w:vAlign w:val="center"/>
          </w:tcPr>
          <w:p w14:paraId="03B884E3">
            <w:pPr>
              <w:widowControl/>
              <w:jc w:val="center"/>
              <w:rPr>
                <w:rFonts w:hint="eastAsia" w:ascii="宋体" w:hAnsi="宋体" w:cs="宋体"/>
                <w:kern w:val="0"/>
                <w:szCs w:val="21"/>
              </w:rPr>
            </w:pPr>
            <w:r>
              <w:rPr>
                <w:rFonts w:hint="eastAsia" w:ascii="宋体" w:hAnsi="宋体" w:cs="宋体"/>
                <w:kern w:val="0"/>
                <w:szCs w:val="21"/>
              </w:rPr>
              <w:t>数据源管理</w:t>
            </w:r>
          </w:p>
        </w:tc>
        <w:tc>
          <w:tcPr>
            <w:tcW w:w="7170" w:type="dxa"/>
            <w:noWrap w:val="0"/>
            <w:vAlign w:val="center"/>
          </w:tcPr>
          <w:p w14:paraId="751A00C0">
            <w:pPr>
              <w:widowControl/>
              <w:rPr>
                <w:rFonts w:hint="eastAsia" w:ascii="宋体" w:hAnsi="宋体" w:cs="宋体"/>
                <w:kern w:val="0"/>
                <w:szCs w:val="21"/>
              </w:rPr>
            </w:pPr>
            <w:r>
              <w:rPr>
                <w:rFonts w:ascii="宋体" w:hAnsi="宋体" w:cs="宋体"/>
                <w:kern w:val="0"/>
                <w:szCs w:val="21"/>
              </w:rPr>
              <w:t>提供对项目接入数据源的管理，包括数据源的管理和数据源版本信息的管理。支持数据源的新建、编辑、删除、详情查看，数据源类型涉及关系型数据库、大数据存储、半结构化数据库等数据源。</w:t>
            </w:r>
          </w:p>
        </w:tc>
      </w:tr>
      <w:tr w14:paraId="715CE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741" w:type="dxa"/>
            <w:vMerge w:val="restart"/>
            <w:noWrap w:val="0"/>
            <w:vAlign w:val="center"/>
          </w:tcPr>
          <w:p w14:paraId="6A172BAF">
            <w:pPr>
              <w:widowControl/>
              <w:jc w:val="left"/>
              <w:rPr>
                <w:rFonts w:hint="eastAsia" w:ascii="宋体" w:hAnsi="宋体" w:cs="宋体"/>
                <w:kern w:val="0"/>
                <w:szCs w:val="21"/>
              </w:rPr>
            </w:pPr>
          </w:p>
          <w:p w14:paraId="7F6D4DB8">
            <w:pPr>
              <w:widowControl/>
              <w:jc w:val="left"/>
              <w:rPr>
                <w:rFonts w:hint="eastAsia" w:ascii="宋体" w:hAnsi="宋体" w:cs="宋体"/>
                <w:kern w:val="0"/>
                <w:szCs w:val="21"/>
              </w:rPr>
            </w:pPr>
          </w:p>
          <w:p w14:paraId="066129E1">
            <w:pPr>
              <w:widowControl/>
              <w:jc w:val="left"/>
              <w:rPr>
                <w:rFonts w:hint="eastAsia" w:ascii="宋体" w:hAnsi="宋体" w:cs="宋体"/>
                <w:kern w:val="0"/>
                <w:szCs w:val="21"/>
              </w:rPr>
            </w:pPr>
          </w:p>
          <w:p w14:paraId="06B358A5">
            <w:pPr>
              <w:widowControl/>
              <w:jc w:val="left"/>
              <w:rPr>
                <w:rFonts w:hint="eastAsia" w:ascii="宋体" w:hAnsi="宋体" w:cs="宋体"/>
                <w:kern w:val="0"/>
                <w:szCs w:val="21"/>
              </w:rPr>
            </w:pPr>
          </w:p>
          <w:p w14:paraId="571A24A2">
            <w:pPr>
              <w:widowControl/>
              <w:jc w:val="left"/>
              <w:rPr>
                <w:rFonts w:hint="eastAsia" w:ascii="宋体" w:hAnsi="宋体" w:cs="宋体"/>
                <w:kern w:val="0"/>
                <w:szCs w:val="21"/>
              </w:rPr>
            </w:pPr>
          </w:p>
          <w:p w14:paraId="1F867D90">
            <w:pPr>
              <w:widowControl/>
              <w:jc w:val="left"/>
              <w:rPr>
                <w:rFonts w:hint="eastAsia" w:ascii="宋体" w:hAnsi="宋体" w:cs="宋体"/>
                <w:kern w:val="0"/>
                <w:szCs w:val="21"/>
              </w:rPr>
            </w:pPr>
          </w:p>
          <w:p w14:paraId="132B028A">
            <w:pPr>
              <w:widowControl/>
              <w:jc w:val="left"/>
              <w:rPr>
                <w:rFonts w:hint="eastAsia" w:ascii="宋体" w:hAnsi="宋体" w:cs="宋体"/>
                <w:kern w:val="0"/>
                <w:szCs w:val="21"/>
              </w:rPr>
            </w:pPr>
            <w:r>
              <w:rPr>
                <w:rFonts w:hint="eastAsia" w:ascii="宋体" w:hAnsi="宋体" w:cs="宋体"/>
                <w:kern w:val="0"/>
                <w:szCs w:val="21"/>
              </w:rPr>
              <w:t>3.数据集成</w:t>
            </w:r>
          </w:p>
        </w:tc>
        <w:tc>
          <w:tcPr>
            <w:tcW w:w="876" w:type="dxa"/>
            <w:noWrap w:val="0"/>
            <w:vAlign w:val="center"/>
          </w:tcPr>
          <w:p w14:paraId="08961469">
            <w:pPr>
              <w:widowControl/>
              <w:jc w:val="center"/>
              <w:rPr>
                <w:rFonts w:hint="eastAsia" w:ascii="宋体" w:hAnsi="宋体" w:cs="宋体"/>
                <w:kern w:val="0"/>
                <w:szCs w:val="21"/>
              </w:rPr>
            </w:pPr>
            <w:r>
              <w:rPr>
                <w:rFonts w:ascii="宋体" w:hAnsi="宋体" w:cs="宋体"/>
                <w:kern w:val="0"/>
                <w:szCs w:val="21"/>
              </w:rPr>
              <w:t>数据接入类型</w:t>
            </w:r>
          </w:p>
        </w:tc>
        <w:tc>
          <w:tcPr>
            <w:tcW w:w="7170" w:type="dxa"/>
            <w:noWrap w:val="0"/>
            <w:vAlign w:val="center"/>
          </w:tcPr>
          <w:p w14:paraId="3A659AB7">
            <w:pPr>
              <w:widowControl/>
              <w:rPr>
                <w:rFonts w:hint="eastAsia" w:ascii="宋体" w:hAnsi="宋体" w:cs="宋体"/>
                <w:kern w:val="0"/>
                <w:szCs w:val="21"/>
              </w:rPr>
            </w:pPr>
            <w:r>
              <w:rPr>
                <w:rFonts w:ascii="宋体" w:hAnsi="宋体" w:cs="宋体"/>
                <w:kern w:val="0"/>
                <w:szCs w:val="21"/>
              </w:rPr>
              <w:t>支持多种数据格式，包括结构化数据、半结构化数据和非结构化数据。对于结构化数据，可以直接通过API接口或者数据文件的方式接入到数据湖中；对于半结构化数据和非结构化数据，可进行数据清洗和转换，然后再接入到数据湖中，或者直接入湖。</w:t>
            </w:r>
          </w:p>
        </w:tc>
      </w:tr>
      <w:tr w14:paraId="578F6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741" w:type="dxa"/>
            <w:vMerge w:val="continue"/>
            <w:noWrap w:val="0"/>
            <w:vAlign w:val="center"/>
          </w:tcPr>
          <w:p w14:paraId="3E01E62C">
            <w:pPr>
              <w:widowControl/>
              <w:jc w:val="left"/>
              <w:rPr>
                <w:rFonts w:hint="eastAsia" w:ascii="宋体" w:hAnsi="宋体" w:cs="宋体"/>
                <w:kern w:val="0"/>
                <w:szCs w:val="21"/>
              </w:rPr>
            </w:pPr>
          </w:p>
        </w:tc>
        <w:tc>
          <w:tcPr>
            <w:tcW w:w="876" w:type="dxa"/>
            <w:noWrap w:val="0"/>
            <w:vAlign w:val="center"/>
          </w:tcPr>
          <w:p w14:paraId="37BDD8E4">
            <w:pPr>
              <w:widowControl/>
              <w:jc w:val="center"/>
              <w:rPr>
                <w:rFonts w:hint="eastAsia" w:ascii="宋体" w:hAnsi="宋体" w:cs="宋体"/>
                <w:kern w:val="0"/>
                <w:szCs w:val="21"/>
              </w:rPr>
            </w:pPr>
            <w:r>
              <w:rPr>
                <w:rFonts w:ascii="宋体" w:hAnsi="宋体" w:cs="宋体"/>
                <w:kern w:val="0"/>
                <w:szCs w:val="21"/>
              </w:rPr>
              <w:t>数据集成</w:t>
            </w:r>
          </w:p>
        </w:tc>
        <w:tc>
          <w:tcPr>
            <w:tcW w:w="7170" w:type="dxa"/>
            <w:noWrap w:val="0"/>
            <w:vAlign w:val="center"/>
          </w:tcPr>
          <w:p w14:paraId="2D65E1F5">
            <w:pPr>
              <w:widowControl/>
              <w:rPr>
                <w:rFonts w:hint="eastAsia" w:ascii="宋体" w:hAnsi="宋体" w:cs="宋体"/>
                <w:kern w:val="0"/>
                <w:szCs w:val="21"/>
              </w:rPr>
            </w:pPr>
            <w:r>
              <w:rPr>
                <w:rFonts w:ascii="宋体" w:hAnsi="宋体" w:cs="宋体"/>
                <w:kern w:val="0"/>
                <w:szCs w:val="21"/>
              </w:rPr>
              <w:t>数据湖需要考虑数据采集的方式，包括API接口采集、数据文件采集、数据流采集和数据仓库采集等。不同的数据采集方式需要使用不同的数据采集工具和技术。</w:t>
            </w:r>
          </w:p>
        </w:tc>
      </w:tr>
      <w:tr w14:paraId="4D7C7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741" w:type="dxa"/>
            <w:vMerge w:val="continue"/>
            <w:noWrap w:val="0"/>
            <w:vAlign w:val="center"/>
          </w:tcPr>
          <w:p w14:paraId="4D9224B6">
            <w:pPr>
              <w:widowControl/>
              <w:jc w:val="left"/>
              <w:rPr>
                <w:rFonts w:hint="eastAsia" w:ascii="宋体" w:hAnsi="宋体" w:cs="宋体"/>
                <w:kern w:val="0"/>
                <w:szCs w:val="21"/>
              </w:rPr>
            </w:pPr>
          </w:p>
        </w:tc>
        <w:tc>
          <w:tcPr>
            <w:tcW w:w="876" w:type="dxa"/>
            <w:noWrap w:val="0"/>
            <w:vAlign w:val="center"/>
          </w:tcPr>
          <w:p w14:paraId="316D7C2B">
            <w:pPr>
              <w:widowControl/>
              <w:jc w:val="center"/>
              <w:rPr>
                <w:rFonts w:hint="eastAsia" w:ascii="宋体" w:hAnsi="宋体" w:cs="宋体"/>
                <w:kern w:val="0"/>
                <w:szCs w:val="21"/>
              </w:rPr>
            </w:pPr>
            <w:r>
              <w:rPr>
                <w:rFonts w:ascii="宋体" w:hAnsi="宋体" w:cs="宋体"/>
                <w:kern w:val="0"/>
                <w:szCs w:val="21"/>
              </w:rPr>
              <w:t>数据采集频率</w:t>
            </w:r>
          </w:p>
        </w:tc>
        <w:tc>
          <w:tcPr>
            <w:tcW w:w="7170" w:type="dxa"/>
            <w:noWrap w:val="0"/>
            <w:vAlign w:val="center"/>
          </w:tcPr>
          <w:p w14:paraId="43AA8FCF">
            <w:pPr>
              <w:widowControl/>
              <w:rPr>
                <w:rFonts w:hint="eastAsia" w:ascii="宋体" w:hAnsi="宋体" w:cs="宋体"/>
                <w:kern w:val="0"/>
                <w:szCs w:val="21"/>
              </w:rPr>
            </w:pPr>
            <w:r>
              <w:rPr>
                <w:rFonts w:ascii="宋体" w:hAnsi="宋体" w:cs="宋体"/>
                <w:kern w:val="0"/>
                <w:szCs w:val="21"/>
              </w:rPr>
              <w:t>数据湖需要考虑数据采集的频率，包括批量数据采集和离线数据采集等。不同的数据采集频率需要使用不同的数据采集工具和技术。</w:t>
            </w:r>
          </w:p>
        </w:tc>
      </w:tr>
      <w:tr w14:paraId="3DAF8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741" w:type="dxa"/>
            <w:vMerge w:val="continue"/>
            <w:noWrap w:val="0"/>
            <w:vAlign w:val="center"/>
          </w:tcPr>
          <w:p w14:paraId="4C5CE064">
            <w:pPr>
              <w:widowControl/>
              <w:jc w:val="left"/>
              <w:rPr>
                <w:rFonts w:hint="eastAsia" w:ascii="宋体" w:hAnsi="宋体" w:cs="宋体"/>
                <w:kern w:val="0"/>
                <w:szCs w:val="21"/>
              </w:rPr>
            </w:pPr>
          </w:p>
        </w:tc>
        <w:tc>
          <w:tcPr>
            <w:tcW w:w="876" w:type="dxa"/>
            <w:noWrap w:val="0"/>
            <w:vAlign w:val="center"/>
          </w:tcPr>
          <w:p w14:paraId="2846C30F">
            <w:pPr>
              <w:widowControl/>
              <w:jc w:val="center"/>
              <w:rPr>
                <w:rFonts w:hint="eastAsia" w:ascii="宋体" w:hAnsi="宋体" w:cs="宋体"/>
                <w:kern w:val="0"/>
                <w:szCs w:val="21"/>
              </w:rPr>
            </w:pPr>
            <w:r>
              <w:rPr>
                <w:rFonts w:ascii="宋体" w:hAnsi="宋体" w:cs="宋体"/>
                <w:kern w:val="0"/>
                <w:szCs w:val="21"/>
              </w:rPr>
              <w:t>数据采集方式</w:t>
            </w:r>
          </w:p>
        </w:tc>
        <w:tc>
          <w:tcPr>
            <w:tcW w:w="7170" w:type="dxa"/>
            <w:noWrap w:val="0"/>
            <w:vAlign w:val="center"/>
          </w:tcPr>
          <w:p w14:paraId="70499923">
            <w:pPr>
              <w:widowControl/>
              <w:rPr>
                <w:rFonts w:hint="eastAsia" w:ascii="宋体" w:hAnsi="宋体" w:cs="宋体"/>
                <w:kern w:val="0"/>
                <w:szCs w:val="21"/>
              </w:rPr>
            </w:pPr>
            <w:r>
              <w:rPr>
                <w:rFonts w:ascii="宋体" w:hAnsi="宋体" w:cs="宋体"/>
                <w:kern w:val="0"/>
                <w:szCs w:val="21"/>
              </w:rPr>
              <w:t>支持多源数据集成并提供整库迁移方案，支持定期同步、增量、指定数据抽取的能力，支持在线迁移和在线同步能力</w:t>
            </w:r>
          </w:p>
        </w:tc>
      </w:tr>
      <w:tr w14:paraId="5C80F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741" w:type="dxa"/>
            <w:vMerge w:val="continue"/>
            <w:noWrap w:val="0"/>
            <w:vAlign w:val="center"/>
          </w:tcPr>
          <w:p w14:paraId="16E9FD32">
            <w:pPr>
              <w:widowControl/>
              <w:jc w:val="left"/>
              <w:rPr>
                <w:rFonts w:hint="eastAsia" w:ascii="宋体" w:hAnsi="宋体" w:cs="宋体"/>
                <w:kern w:val="0"/>
                <w:szCs w:val="21"/>
              </w:rPr>
            </w:pPr>
          </w:p>
        </w:tc>
        <w:tc>
          <w:tcPr>
            <w:tcW w:w="876" w:type="dxa"/>
            <w:noWrap w:val="0"/>
            <w:vAlign w:val="center"/>
          </w:tcPr>
          <w:p w14:paraId="6823617D">
            <w:pPr>
              <w:widowControl/>
              <w:jc w:val="center"/>
              <w:rPr>
                <w:rFonts w:hint="eastAsia" w:ascii="宋体" w:hAnsi="宋体" w:cs="宋体"/>
                <w:kern w:val="0"/>
                <w:szCs w:val="21"/>
              </w:rPr>
            </w:pPr>
            <w:r>
              <w:rPr>
                <w:rFonts w:hint="eastAsia" w:ascii="宋体" w:hAnsi="宋体" w:cs="宋体"/>
                <w:kern w:val="0"/>
                <w:szCs w:val="21"/>
              </w:rPr>
              <w:t>集成审计</w:t>
            </w:r>
          </w:p>
        </w:tc>
        <w:tc>
          <w:tcPr>
            <w:tcW w:w="7170" w:type="dxa"/>
            <w:noWrap w:val="0"/>
            <w:vAlign w:val="center"/>
          </w:tcPr>
          <w:p w14:paraId="7BD4E957">
            <w:pPr>
              <w:widowControl/>
              <w:rPr>
                <w:rFonts w:hint="eastAsia" w:ascii="宋体" w:hAnsi="宋体" w:cs="宋体"/>
                <w:kern w:val="0"/>
                <w:szCs w:val="21"/>
              </w:rPr>
            </w:pPr>
            <w:r>
              <w:rPr>
                <w:rFonts w:hint="eastAsia" w:ascii="宋体" w:hAnsi="宋体" w:cs="宋体"/>
                <w:kern w:val="0"/>
                <w:szCs w:val="21"/>
              </w:rPr>
              <w:t>支持数据集成审计服务，包括整库迁移任务日志查看、错误提示、数据日志下载等。</w:t>
            </w:r>
          </w:p>
        </w:tc>
      </w:tr>
      <w:tr w14:paraId="3E7E6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741" w:type="dxa"/>
            <w:vMerge w:val="continue"/>
            <w:noWrap w:val="0"/>
            <w:vAlign w:val="center"/>
          </w:tcPr>
          <w:p w14:paraId="08C0AA48">
            <w:pPr>
              <w:widowControl/>
              <w:jc w:val="left"/>
              <w:rPr>
                <w:rFonts w:hint="eastAsia" w:ascii="宋体" w:hAnsi="宋体" w:cs="宋体"/>
                <w:kern w:val="0"/>
                <w:szCs w:val="21"/>
              </w:rPr>
            </w:pPr>
          </w:p>
        </w:tc>
        <w:tc>
          <w:tcPr>
            <w:tcW w:w="876" w:type="dxa"/>
            <w:noWrap w:val="0"/>
            <w:vAlign w:val="center"/>
          </w:tcPr>
          <w:p w14:paraId="0BE280BC">
            <w:pPr>
              <w:widowControl/>
              <w:jc w:val="center"/>
              <w:rPr>
                <w:rFonts w:hint="eastAsia" w:ascii="宋体" w:hAnsi="宋体" w:cs="宋体"/>
                <w:kern w:val="0"/>
                <w:szCs w:val="21"/>
              </w:rPr>
            </w:pPr>
            <w:r>
              <w:rPr>
                <w:rFonts w:ascii="宋体" w:hAnsi="宋体" w:cs="宋体"/>
                <w:kern w:val="0"/>
                <w:szCs w:val="21"/>
              </w:rPr>
              <w:t>离线采集</w:t>
            </w:r>
          </w:p>
        </w:tc>
        <w:tc>
          <w:tcPr>
            <w:tcW w:w="7170" w:type="dxa"/>
            <w:noWrap w:val="0"/>
            <w:vAlign w:val="center"/>
          </w:tcPr>
          <w:p w14:paraId="0B3A53C0">
            <w:pPr>
              <w:widowControl/>
              <w:rPr>
                <w:rFonts w:hint="eastAsia" w:ascii="宋体" w:hAnsi="宋体" w:cs="宋体"/>
                <w:kern w:val="0"/>
                <w:szCs w:val="21"/>
              </w:rPr>
            </w:pPr>
            <w:r>
              <w:rPr>
                <w:rFonts w:ascii="宋体" w:hAnsi="宋体" w:cs="宋体"/>
                <w:kern w:val="0"/>
                <w:szCs w:val="21"/>
              </w:rPr>
              <w:t>支持结构化数据采集、半结构化数据采集、非结构化数据采集；结构化采集支持对mysql、pgsql、kingbase、hive、oracle、sqlserver类型数据库进行离线采集，完成采集信息配置、任务信息配置后生成一条采集任务，支持对生成采集任务的增删改查操作，同时提供这些结构化数据的整库迁移功能；半结构化采集支持对ftp。text、ftp。csv、hdfs。text、hdfs。csv格式数据的离线采集，完成采集信息配置、任务信息配置后生成一条采集任务，支持对生成采集任务的增删改查操作；非结构化采集支持对ftp。纯文件、hdfs。纯文件格式数据的离线采集，完成采集信息配置、任务信息配置后生成一条采集任务，支持对生成采集任务的增删改查操作。</w:t>
            </w:r>
          </w:p>
        </w:tc>
      </w:tr>
      <w:tr w14:paraId="3EEDC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741" w:type="dxa"/>
            <w:vMerge w:val="continue"/>
            <w:noWrap w:val="0"/>
            <w:vAlign w:val="center"/>
          </w:tcPr>
          <w:p w14:paraId="04EFE6FF">
            <w:pPr>
              <w:widowControl/>
              <w:jc w:val="left"/>
              <w:rPr>
                <w:rFonts w:hint="eastAsia" w:ascii="宋体" w:hAnsi="宋体" w:cs="宋体"/>
                <w:kern w:val="0"/>
                <w:szCs w:val="21"/>
              </w:rPr>
            </w:pPr>
          </w:p>
        </w:tc>
        <w:tc>
          <w:tcPr>
            <w:tcW w:w="876" w:type="dxa"/>
            <w:noWrap w:val="0"/>
            <w:vAlign w:val="center"/>
          </w:tcPr>
          <w:p w14:paraId="14EAAA30">
            <w:pPr>
              <w:widowControl/>
              <w:jc w:val="center"/>
              <w:rPr>
                <w:rFonts w:ascii="宋体" w:hAnsi="宋体" w:cs="宋体"/>
                <w:kern w:val="0"/>
                <w:szCs w:val="21"/>
              </w:rPr>
            </w:pPr>
            <w:r>
              <w:rPr>
                <w:rFonts w:ascii="宋体" w:hAnsi="宋体" w:cs="宋体"/>
                <w:kern w:val="0"/>
                <w:szCs w:val="21"/>
              </w:rPr>
              <w:t>手工采集</w:t>
            </w:r>
          </w:p>
        </w:tc>
        <w:tc>
          <w:tcPr>
            <w:tcW w:w="7170" w:type="dxa"/>
            <w:noWrap w:val="0"/>
            <w:vAlign w:val="center"/>
          </w:tcPr>
          <w:p w14:paraId="407F905C">
            <w:pPr>
              <w:widowControl/>
              <w:rPr>
                <w:rFonts w:hint="eastAsia" w:ascii="宋体" w:hAnsi="宋体" w:cs="宋体"/>
                <w:kern w:val="0"/>
                <w:szCs w:val="21"/>
              </w:rPr>
            </w:pPr>
            <w:r>
              <w:rPr>
                <w:rFonts w:ascii="宋体" w:hAnsi="宋体" w:cs="宋体"/>
                <w:kern w:val="0"/>
                <w:szCs w:val="21"/>
              </w:rPr>
              <w:t>支持将CSV格式文件一次性导入到原始库相关的数据表，同时支持对采集任务的增删查改操作。</w:t>
            </w:r>
          </w:p>
        </w:tc>
      </w:tr>
      <w:tr w14:paraId="5B9FE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741" w:type="dxa"/>
            <w:vMerge w:val="restart"/>
            <w:noWrap w:val="0"/>
            <w:vAlign w:val="center"/>
          </w:tcPr>
          <w:p w14:paraId="56D3606E">
            <w:pPr>
              <w:widowControl/>
              <w:jc w:val="left"/>
              <w:rPr>
                <w:rFonts w:hint="eastAsia" w:ascii="宋体" w:hAnsi="宋体" w:cs="宋体"/>
                <w:kern w:val="0"/>
                <w:szCs w:val="21"/>
              </w:rPr>
            </w:pPr>
          </w:p>
          <w:p w14:paraId="06849A8D">
            <w:pPr>
              <w:widowControl/>
              <w:jc w:val="left"/>
              <w:rPr>
                <w:rFonts w:hint="eastAsia" w:ascii="宋体" w:hAnsi="宋体" w:cs="宋体"/>
                <w:kern w:val="0"/>
                <w:szCs w:val="21"/>
              </w:rPr>
            </w:pPr>
          </w:p>
          <w:p w14:paraId="6053094C">
            <w:pPr>
              <w:widowControl/>
              <w:jc w:val="left"/>
              <w:rPr>
                <w:rFonts w:hint="eastAsia" w:ascii="宋体" w:hAnsi="宋体" w:cs="宋体"/>
                <w:kern w:val="0"/>
                <w:szCs w:val="21"/>
              </w:rPr>
            </w:pPr>
          </w:p>
          <w:p w14:paraId="7F9241F7">
            <w:pPr>
              <w:widowControl/>
              <w:jc w:val="left"/>
              <w:rPr>
                <w:rFonts w:hint="eastAsia" w:ascii="宋体" w:hAnsi="宋体" w:cs="宋体"/>
                <w:kern w:val="0"/>
                <w:szCs w:val="21"/>
              </w:rPr>
            </w:pPr>
          </w:p>
          <w:p w14:paraId="6884C963">
            <w:pPr>
              <w:widowControl/>
              <w:jc w:val="left"/>
              <w:rPr>
                <w:rFonts w:hint="eastAsia" w:ascii="宋体" w:hAnsi="宋体" w:cs="宋体"/>
                <w:kern w:val="0"/>
                <w:szCs w:val="21"/>
              </w:rPr>
            </w:pPr>
          </w:p>
          <w:p w14:paraId="69FAEB25">
            <w:pPr>
              <w:widowControl/>
              <w:jc w:val="left"/>
              <w:rPr>
                <w:rFonts w:hint="eastAsia" w:ascii="宋体" w:hAnsi="宋体" w:cs="宋体"/>
                <w:kern w:val="0"/>
                <w:szCs w:val="21"/>
              </w:rPr>
            </w:pPr>
          </w:p>
          <w:p w14:paraId="079B2ACB">
            <w:pPr>
              <w:widowControl/>
              <w:jc w:val="left"/>
              <w:rPr>
                <w:rFonts w:hint="eastAsia" w:ascii="宋体" w:hAnsi="宋体" w:cs="宋体"/>
                <w:kern w:val="0"/>
                <w:szCs w:val="21"/>
              </w:rPr>
            </w:pPr>
          </w:p>
          <w:p w14:paraId="4F322DB9">
            <w:pPr>
              <w:widowControl/>
              <w:jc w:val="left"/>
              <w:rPr>
                <w:rFonts w:ascii="宋体" w:hAnsi="宋体" w:cs="宋体"/>
                <w:kern w:val="0"/>
                <w:szCs w:val="21"/>
              </w:rPr>
            </w:pPr>
            <w:r>
              <w:rPr>
                <w:rFonts w:hint="eastAsia" w:ascii="宋体" w:hAnsi="宋体" w:cs="宋体"/>
                <w:kern w:val="0"/>
                <w:szCs w:val="21"/>
              </w:rPr>
              <w:t>4.</w:t>
            </w:r>
            <w:r>
              <w:rPr>
                <w:rFonts w:hint="eastAsia"/>
              </w:rPr>
              <w:t xml:space="preserve"> </w:t>
            </w:r>
            <w:r>
              <w:rPr>
                <w:rFonts w:hint="eastAsia" w:ascii="宋体" w:hAnsi="宋体" w:cs="宋体"/>
                <w:kern w:val="0"/>
                <w:szCs w:val="21"/>
              </w:rPr>
              <w:t>数据开发可视化系统</w:t>
            </w:r>
          </w:p>
        </w:tc>
        <w:tc>
          <w:tcPr>
            <w:tcW w:w="876" w:type="dxa"/>
            <w:vMerge w:val="restart"/>
            <w:noWrap w:val="0"/>
            <w:vAlign w:val="center"/>
          </w:tcPr>
          <w:p w14:paraId="0684A831">
            <w:pPr>
              <w:widowControl/>
              <w:jc w:val="center"/>
              <w:rPr>
                <w:rFonts w:ascii="宋体" w:hAnsi="宋体" w:cs="宋体"/>
                <w:kern w:val="0"/>
                <w:szCs w:val="21"/>
              </w:rPr>
            </w:pPr>
            <w:r>
              <w:rPr>
                <w:rFonts w:hint="eastAsia" w:ascii="宋体" w:hAnsi="宋体" w:cs="宋体"/>
                <w:kern w:val="0"/>
                <w:szCs w:val="21"/>
              </w:rPr>
              <w:t>模型设计</w:t>
            </w:r>
          </w:p>
        </w:tc>
        <w:tc>
          <w:tcPr>
            <w:tcW w:w="7170" w:type="dxa"/>
            <w:noWrap w:val="0"/>
            <w:vAlign w:val="center"/>
          </w:tcPr>
          <w:p w14:paraId="13CD1A8C">
            <w:pPr>
              <w:widowControl/>
              <w:rPr>
                <w:rFonts w:hint="eastAsia" w:ascii="宋体" w:hAnsi="宋体" w:cs="宋体"/>
                <w:kern w:val="0"/>
                <w:szCs w:val="21"/>
              </w:rPr>
            </w:pPr>
            <w:r>
              <w:rPr>
                <w:rFonts w:hint="eastAsia" w:ascii="宋体" w:hAnsi="宋体" w:cs="宋体"/>
                <w:color w:val="000000"/>
                <w:szCs w:val="21"/>
              </w:rPr>
              <w:t>提供大医疗健康数据湖仓的数据表模型的总览视图，包括对数据湖和数据仓库表模型的模型层结构布局及各模型层的数据表模型数量、主题域分类情况、来源术语字典的情况、数据表模型囊括的数据库类型等情况的统计展示。</w:t>
            </w:r>
          </w:p>
        </w:tc>
      </w:tr>
      <w:tr w14:paraId="2F98D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741" w:type="dxa"/>
            <w:vMerge w:val="continue"/>
            <w:noWrap w:val="0"/>
            <w:vAlign w:val="center"/>
          </w:tcPr>
          <w:p w14:paraId="6CA5002C">
            <w:pPr>
              <w:widowControl/>
              <w:jc w:val="left"/>
              <w:rPr>
                <w:rFonts w:hint="eastAsia" w:ascii="宋体" w:hAnsi="宋体" w:cs="宋体"/>
                <w:kern w:val="0"/>
                <w:szCs w:val="21"/>
              </w:rPr>
            </w:pPr>
          </w:p>
        </w:tc>
        <w:tc>
          <w:tcPr>
            <w:tcW w:w="876" w:type="dxa"/>
            <w:vMerge w:val="continue"/>
            <w:noWrap w:val="0"/>
            <w:vAlign w:val="center"/>
          </w:tcPr>
          <w:p w14:paraId="6B9FF452">
            <w:pPr>
              <w:widowControl/>
              <w:jc w:val="center"/>
              <w:rPr>
                <w:rFonts w:hint="eastAsia" w:ascii="宋体" w:hAnsi="宋体" w:cs="宋体"/>
                <w:kern w:val="0"/>
                <w:szCs w:val="21"/>
              </w:rPr>
            </w:pPr>
          </w:p>
        </w:tc>
        <w:tc>
          <w:tcPr>
            <w:tcW w:w="7170" w:type="dxa"/>
            <w:noWrap w:val="0"/>
            <w:vAlign w:val="center"/>
          </w:tcPr>
          <w:p w14:paraId="67F28E0B">
            <w:pPr>
              <w:widowControl/>
              <w:rPr>
                <w:rFonts w:hint="eastAsia" w:ascii="宋体" w:hAnsi="宋体" w:cs="宋体"/>
                <w:kern w:val="0"/>
                <w:szCs w:val="21"/>
              </w:rPr>
            </w:pPr>
            <w:r>
              <w:rPr>
                <w:rFonts w:hint="eastAsia" w:ascii="宋体" w:hAnsi="宋体" w:cs="宋体"/>
                <w:kern w:val="0"/>
                <w:szCs w:val="21"/>
              </w:rPr>
              <w:t>模型层管理主要为数据表模型的分层管理提供支持。</w:t>
            </w:r>
          </w:p>
        </w:tc>
      </w:tr>
      <w:tr w14:paraId="6D1D8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741" w:type="dxa"/>
            <w:vMerge w:val="continue"/>
            <w:noWrap w:val="0"/>
            <w:vAlign w:val="center"/>
          </w:tcPr>
          <w:p w14:paraId="3F50FAD3">
            <w:pPr>
              <w:widowControl/>
              <w:jc w:val="left"/>
              <w:rPr>
                <w:rFonts w:hint="eastAsia" w:ascii="宋体" w:hAnsi="宋体" w:cs="宋体"/>
                <w:kern w:val="0"/>
                <w:szCs w:val="21"/>
              </w:rPr>
            </w:pPr>
          </w:p>
        </w:tc>
        <w:tc>
          <w:tcPr>
            <w:tcW w:w="876" w:type="dxa"/>
            <w:vMerge w:val="continue"/>
            <w:noWrap w:val="0"/>
            <w:vAlign w:val="center"/>
          </w:tcPr>
          <w:p w14:paraId="0F5B22BE">
            <w:pPr>
              <w:widowControl/>
              <w:jc w:val="center"/>
              <w:rPr>
                <w:rFonts w:hint="eastAsia" w:ascii="宋体" w:hAnsi="宋体" w:cs="宋体"/>
                <w:kern w:val="0"/>
                <w:szCs w:val="21"/>
              </w:rPr>
            </w:pPr>
          </w:p>
        </w:tc>
        <w:tc>
          <w:tcPr>
            <w:tcW w:w="7170" w:type="dxa"/>
            <w:noWrap w:val="0"/>
            <w:vAlign w:val="center"/>
          </w:tcPr>
          <w:p w14:paraId="6F60F639">
            <w:pPr>
              <w:widowControl/>
              <w:rPr>
                <w:rFonts w:hint="eastAsia" w:ascii="宋体" w:hAnsi="宋体" w:cs="宋体"/>
                <w:kern w:val="0"/>
                <w:szCs w:val="21"/>
              </w:rPr>
            </w:pPr>
            <w:r>
              <w:rPr>
                <w:rFonts w:hint="eastAsia" w:ascii="宋体" w:hAnsi="宋体" w:cs="宋体"/>
                <w:color w:val="000000"/>
                <w:szCs w:val="21"/>
              </w:rPr>
              <w:t>模型设计中心提供主题域管理功能，提供对数据表模型的主题域分类功能，实现对数据表模型在业务维度的管理。</w:t>
            </w:r>
          </w:p>
        </w:tc>
      </w:tr>
      <w:tr w14:paraId="6F8E2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741" w:type="dxa"/>
            <w:vMerge w:val="continue"/>
            <w:noWrap w:val="0"/>
            <w:vAlign w:val="center"/>
          </w:tcPr>
          <w:p w14:paraId="4C017738">
            <w:pPr>
              <w:widowControl/>
              <w:jc w:val="left"/>
              <w:rPr>
                <w:rFonts w:hint="eastAsia" w:ascii="宋体" w:hAnsi="宋体" w:cs="宋体"/>
                <w:kern w:val="0"/>
                <w:szCs w:val="21"/>
              </w:rPr>
            </w:pPr>
          </w:p>
        </w:tc>
        <w:tc>
          <w:tcPr>
            <w:tcW w:w="876" w:type="dxa"/>
            <w:vMerge w:val="continue"/>
            <w:noWrap w:val="0"/>
            <w:vAlign w:val="center"/>
          </w:tcPr>
          <w:p w14:paraId="1C195F6E">
            <w:pPr>
              <w:widowControl/>
              <w:jc w:val="center"/>
              <w:rPr>
                <w:rFonts w:hint="eastAsia" w:ascii="宋体" w:hAnsi="宋体" w:cs="宋体"/>
                <w:kern w:val="0"/>
                <w:szCs w:val="21"/>
              </w:rPr>
            </w:pPr>
          </w:p>
        </w:tc>
        <w:tc>
          <w:tcPr>
            <w:tcW w:w="7170" w:type="dxa"/>
            <w:noWrap w:val="0"/>
            <w:vAlign w:val="center"/>
          </w:tcPr>
          <w:p w14:paraId="26EDFB6D">
            <w:pPr>
              <w:widowControl/>
              <w:rPr>
                <w:rFonts w:hint="eastAsia" w:ascii="宋体" w:hAnsi="宋体" w:cs="宋体"/>
                <w:kern w:val="0"/>
                <w:szCs w:val="21"/>
              </w:rPr>
            </w:pPr>
            <w:r>
              <w:rPr>
                <w:rFonts w:hint="eastAsia" w:ascii="宋体" w:hAnsi="宋体" w:cs="宋体"/>
                <w:kern w:val="0"/>
                <w:szCs w:val="21"/>
              </w:rPr>
              <w:t>提供对数据表模型的创建与修改、删除等管理操作。支持通过引用标准管理中的标准数据元及数据集进行数据库建模，在构建数据模型过程中实现数据资源的标准化应用映射。</w:t>
            </w:r>
          </w:p>
        </w:tc>
      </w:tr>
      <w:tr w14:paraId="0811B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741" w:type="dxa"/>
            <w:vMerge w:val="continue"/>
            <w:noWrap w:val="0"/>
            <w:vAlign w:val="center"/>
          </w:tcPr>
          <w:p w14:paraId="15238621">
            <w:pPr>
              <w:widowControl/>
              <w:jc w:val="left"/>
              <w:rPr>
                <w:rFonts w:hint="eastAsia" w:ascii="宋体" w:hAnsi="宋体" w:cs="宋体"/>
                <w:kern w:val="0"/>
                <w:szCs w:val="21"/>
              </w:rPr>
            </w:pPr>
          </w:p>
        </w:tc>
        <w:tc>
          <w:tcPr>
            <w:tcW w:w="876" w:type="dxa"/>
            <w:vMerge w:val="continue"/>
            <w:noWrap w:val="0"/>
            <w:vAlign w:val="center"/>
          </w:tcPr>
          <w:p w14:paraId="33A17618">
            <w:pPr>
              <w:widowControl/>
              <w:jc w:val="center"/>
              <w:rPr>
                <w:rFonts w:hint="eastAsia" w:ascii="宋体" w:hAnsi="宋体" w:cs="宋体"/>
                <w:kern w:val="0"/>
                <w:szCs w:val="21"/>
              </w:rPr>
            </w:pPr>
          </w:p>
        </w:tc>
        <w:tc>
          <w:tcPr>
            <w:tcW w:w="7170" w:type="dxa"/>
            <w:noWrap w:val="0"/>
            <w:vAlign w:val="center"/>
          </w:tcPr>
          <w:p w14:paraId="56857B3D">
            <w:pPr>
              <w:widowControl/>
              <w:rPr>
                <w:rFonts w:hint="eastAsia" w:ascii="宋体" w:hAnsi="宋体" w:cs="宋体"/>
                <w:kern w:val="0"/>
                <w:szCs w:val="21"/>
              </w:rPr>
            </w:pPr>
            <w:r>
              <w:rPr>
                <w:rFonts w:hint="eastAsia" w:ascii="宋体" w:hAnsi="宋体" w:cs="宋体"/>
                <w:kern w:val="0"/>
                <w:szCs w:val="21"/>
              </w:rPr>
              <w:t>对从数据表管理中提交的数据表操作进行审核的功能。</w:t>
            </w:r>
          </w:p>
        </w:tc>
      </w:tr>
      <w:tr w14:paraId="44957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741" w:type="dxa"/>
            <w:vMerge w:val="continue"/>
            <w:noWrap w:val="0"/>
            <w:vAlign w:val="center"/>
          </w:tcPr>
          <w:p w14:paraId="2E83ADF3">
            <w:pPr>
              <w:widowControl/>
              <w:jc w:val="left"/>
              <w:rPr>
                <w:rFonts w:hint="eastAsia" w:ascii="宋体" w:hAnsi="宋体" w:cs="宋体"/>
                <w:kern w:val="0"/>
                <w:szCs w:val="21"/>
              </w:rPr>
            </w:pPr>
          </w:p>
        </w:tc>
        <w:tc>
          <w:tcPr>
            <w:tcW w:w="876" w:type="dxa"/>
            <w:vMerge w:val="restart"/>
            <w:noWrap w:val="0"/>
            <w:vAlign w:val="center"/>
          </w:tcPr>
          <w:p w14:paraId="362FB459">
            <w:pPr>
              <w:widowControl/>
              <w:jc w:val="center"/>
              <w:rPr>
                <w:rFonts w:hint="eastAsia" w:ascii="宋体" w:hAnsi="宋体" w:cs="宋体"/>
                <w:kern w:val="0"/>
                <w:szCs w:val="21"/>
              </w:rPr>
            </w:pPr>
            <w:r>
              <w:rPr>
                <w:rFonts w:hint="eastAsia" w:ascii="宋体" w:hAnsi="宋体" w:cs="宋体"/>
                <w:kern w:val="0"/>
                <w:szCs w:val="21"/>
              </w:rPr>
              <w:t>数据开发</w:t>
            </w:r>
          </w:p>
        </w:tc>
        <w:tc>
          <w:tcPr>
            <w:tcW w:w="7170" w:type="dxa"/>
            <w:noWrap w:val="0"/>
            <w:vAlign w:val="center"/>
          </w:tcPr>
          <w:p w14:paraId="3AA49B4C">
            <w:pPr>
              <w:widowControl/>
              <w:rPr>
                <w:rFonts w:hint="eastAsia" w:ascii="宋体" w:hAnsi="宋体" w:cs="宋体"/>
                <w:kern w:val="0"/>
                <w:szCs w:val="21"/>
              </w:rPr>
            </w:pPr>
            <w:r>
              <w:rPr>
                <w:rFonts w:hint="eastAsia" w:ascii="宋体" w:hAnsi="宋体" w:cs="宋体"/>
                <w:kern w:val="0"/>
                <w:szCs w:val="21"/>
              </w:rPr>
              <w:t>支持对离线开发任务的图形化拖拉拽操作，实现开发过程的去代码化，满足非技术人员的数据开发需求，完成开发任务创建后支持对开发任务的增删改查、上线、下线、复制操作。</w:t>
            </w:r>
          </w:p>
        </w:tc>
      </w:tr>
      <w:tr w14:paraId="02261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741" w:type="dxa"/>
            <w:vMerge w:val="continue"/>
            <w:noWrap w:val="0"/>
            <w:vAlign w:val="center"/>
          </w:tcPr>
          <w:p w14:paraId="3A386684">
            <w:pPr>
              <w:widowControl/>
              <w:jc w:val="left"/>
              <w:rPr>
                <w:rFonts w:hint="eastAsia" w:ascii="宋体" w:hAnsi="宋体" w:cs="宋体"/>
                <w:kern w:val="0"/>
                <w:szCs w:val="21"/>
              </w:rPr>
            </w:pPr>
          </w:p>
        </w:tc>
        <w:tc>
          <w:tcPr>
            <w:tcW w:w="876" w:type="dxa"/>
            <w:vMerge w:val="continue"/>
            <w:noWrap w:val="0"/>
            <w:vAlign w:val="center"/>
          </w:tcPr>
          <w:p w14:paraId="3CB7B476">
            <w:pPr>
              <w:widowControl/>
              <w:jc w:val="center"/>
              <w:rPr>
                <w:rFonts w:hint="eastAsia" w:ascii="宋体" w:hAnsi="宋体" w:cs="宋体"/>
                <w:kern w:val="0"/>
                <w:szCs w:val="21"/>
              </w:rPr>
            </w:pPr>
          </w:p>
        </w:tc>
        <w:tc>
          <w:tcPr>
            <w:tcW w:w="7170" w:type="dxa"/>
            <w:noWrap w:val="0"/>
            <w:vAlign w:val="center"/>
          </w:tcPr>
          <w:p w14:paraId="17A6E836">
            <w:pPr>
              <w:widowControl/>
              <w:rPr>
                <w:rFonts w:hint="eastAsia" w:ascii="宋体" w:hAnsi="宋体" w:cs="宋体"/>
                <w:kern w:val="0"/>
                <w:szCs w:val="21"/>
              </w:rPr>
            </w:pPr>
            <w:r>
              <w:rPr>
                <w:rFonts w:hint="eastAsia" w:ascii="宋体" w:hAnsi="宋体" w:cs="宋体"/>
                <w:kern w:val="0"/>
                <w:szCs w:val="21"/>
              </w:rPr>
              <w:t>支持通过拖、拉、拽等图形化方式将输入、转换算子和输出的数据开发任务进行作业流程的配置。</w:t>
            </w:r>
          </w:p>
        </w:tc>
      </w:tr>
      <w:tr w14:paraId="3E00D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741" w:type="dxa"/>
            <w:vMerge w:val="continue"/>
            <w:noWrap w:val="0"/>
            <w:vAlign w:val="center"/>
          </w:tcPr>
          <w:p w14:paraId="40C721DE">
            <w:pPr>
              <w:widowControl/>
              <w:jc w:val="left"/>
              <w:rPr>
                <w:rFonts w:hint="eastAsia" w:ascii="宋体" w:hAnsi="宋体" w:cs="宋体"/>
                <w:kern w:val="0"/>
                <w:szCs w:val="21"/>
              </w:rPr>
            </w:pPr>
          </w:p>
        </w:tc>
        <w:tc>
          <w:tcPr>
            <w:tcW w:w="876" w:type="dxa"/>
            <w:vMerge w:val="continue"/>
            <w:noWrap w:val="0"/>
            <w:vAlign w:val="center"/>
          </w:tcPr>
          <w:p w14:paraId="334827CD">
            <w:pPr>
              <w:widowControl/>
              <w:jc w:val="center"/>
              <w:rPr>
                <w:rFonts w:hint="eastAsia" w:ascii="宋体" w:hAnsi="宋体" w:cs="宋体"/>
                <w:kern w:val="0"/>
                <w:szCs w:val="21"/>
              </w:rPr>
            </w:pPr>
          </w:p>
        </w:tc>
        <w:tc>
          <w:tcPr>
            <w:tcW w:w="7170" w:type="dxa"/>
            <w:noWrap w:val="0"/>
            <w:vAlign w:val="center"/>
          </w:tcPr>
          <w:p w14:paraId="1BCAA97B">
            <w:pPr>
              <w:widowControl/>
              <w:rPr>
                <w:rFonts w:hint="eastAsia" w:ascii="宋体" w:hAnsi="宋体" w:cs="宋体"/>
                <w:kern w:val="0"/>
                <w:szCs w:val="21"/>
              </w:rPr>
            </w:pPr>
            <w:r>
              <w:rPr>
                <w:rFonts w:ascii="宋体" w:hAnsi="宋体" w:cs="宋体"/>
                <w:kern w:val="0"/>
                <w:szCs w:val="21"/>
              </w:rPr>
              <w:t>提供支持大数据平台的内部数据查询，用户通过编写SQL语句的方式对内部的数据源进行快速的数据查询与分析。支持将执行的SQL语句以文件的形式进行保存，便于下次进行相同或类似操作</w:t>
            </w:r>
            <w:r>
              <w:rPr>
                <w:rFonts w:ascii="宋体" w:hAnsi="宋体" w:cs="宋体"/>
                <w:b/>
                <w:kern w:val="0"/>
                <w:szCs w:val="21"/>
              </w:rPr>
              <w:t>。</w:t>
            </w:r>
          </w:p>
        </w:tc>
      </w:tr>
      <w:tr w14:paraId="4A90B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741" w:type="dxa"/>
            <w:vMerge w:val="continue"/>
            <w:noWrap w:val="0"/>
            <w:vAlign w:val="center"/>
          </w:tcPr>
          <w:p w14:paraId="79AD133D">
            <w:pPr>
              <w:widowControl/>
              <w:jc w:val="left"/>
              <w:rPr>
                <w:rFonts w:hint="eastAsia" w:ascii="宋体" w:hAnsi="宋体" w:cs="宋体"/>
                <w:kern w:val="0"/>
                <w:szCs w:val="21"/>
              </w:rPr>
            </w:pPr>
          </w:p>
        </w:tc>
        <w:tc>
          <w:tcPr>
            <w:tcW w:w="876" w:type="dxa"/>
            <w:vMerge w:val="continue"/>
            <w:noWrap w:val="0"/>
            <w:vAlign w:val="center"/>
          </w:tcPr>
          <w:p w14:paraId="72F724BB">
            <w:pPr>
              <w:widowControl/>
              <w:jc w:val="center"/>
              <w:rPr>
                <w:rFonts w:hint="eastAsia" w:ascii="宋体" w:hAnsi="宋体" w:cs="宋体"/>
                <w:kern w:val="0"/>
                <w:szCs w:val="21"/>
              </w:rPr>
            </w:pPr>
          </w:p>
        </w:tc>
        <w:tc>
          <w:tcPr>
            <w:tcW w:w="7170" w:type="dxa"/>
            <w:noWrap w:val="0"/>
            <w:vAlign w:val="center"/>
          </w:tcPr>
          <w:p w14:paraId="238BB658">
            <w:pPr>
              <w:widowControl/>
              <w:jc w:val="left"/>
              <w:rPr>
                <w:rFonts w:hint="eastAsia" w:ascii="宋体" w:hAnsi="宋体" w:cs="宋体"/>
                <w:kern w:val="0"/>
                <w:szCs w:val="21"/>
              </w:rPr>
            </w:pPr>
            <w:r>
              <w:rPr>
                <w:rFonts w:hint="eastAsia" w:ascii="宋体" w:hAnsi="宋体" w:cs="宋体"/>
                <w:kern w:val="0"/>
                <w:szCs w:val="21"/>
              </w:rPr>
              <w:t>支持资源文件、函数文件、函数的管理。资源文件支持。txt、。sh、。conf、。jar、。cfg、。py、。java、。sql、。xml、。hql、。properties等类型文档的增删查操作，可记录资源文件在离线开发模块的引用情况；函数文件支持对。jar类型函数文件增删查操作，可记录函数文件在离线开发模块的引用情况；函数管理提供离线开发所需的函数，在此页面进行函数的增删查改操作，同时可记录函数在离线开发的引用情况。</w:t>
            </w:r>
          </w:p>
        </w:tc>
      </w:tr>
      <w:tr w14:paraId="4EA1E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741" w:type="dxa"/>
            <w:vMerge w:val="continue"/>
            <w:noWrap w:val="0"/>
            <w:vAlign w:val="center"/>
          </w:tcPr>
          <w:p w14:paraId="4C74FBD6">
            <w:pPr>
              <w:widowControl/>
              <w:jc w:val="left"/>
              <w:rPr>
                <w:rFonts w:hint="eastAsia" w:ascii="宋体" w:hAnsi="宋体" w:cs="宋体"/>
                <w:kern w:val="0"/>
                <w:szCs w:val="21"/>
              </w:rPr>
            </w:pPr>
          </w:p>
        </w:tc>
        <w:tc>
          <w:tcPr>
            <w:tcW w:w="876" w:type="dxa"/>
            <w:vMerge w:val="restart"/>
            <w:noWrap w:val="0"/>
            <w:vAlign w:val="center"/>
          </w:tcPr>
          <w:p w14:paraId="4553F088">
            <w:pPr>
              <w:widowControl/>
              <w:jc w:val="center"/>
              <w:rPr>
                <w:rFonts w:hint="eastAsia" w:ascii="宋体" w:hAnsi="宋体" w:cs="宋体"/>
                <w:kern w:val="0"/>
                <w:szCs w:val="21"/>
              </w:rPr>
            </w:pPr>
            <w:r>
              <w:rPr>
                <w:rFonts w:hint="eastAsia" w:ascii="宋体" w:hAnsi="宋体" w:cs="宋体"/>
                <w:kern w:val="0"/>
                <w:szCs w:val="21"/>
              </w:rPr>
              <w:t>调度中心</w:t>
            </w:r>
          </w:p>
        </w:tc>
        <w:tc>
          <w:tcPr>
            <w:tcW w:w="7170" w:type="dxa"/>
            <w:noWrap w:val="0"/>
            <w:vAlign w:val="center"/>
          </w:tcPr>
          <w:p w14:paraId="6586A0B9">
            <w:pPr>
              <w:widowControl/>
              <w:rPr>
                <w:rFonts w:hint="eastAsia" w:ascii="宋体" w:hAnsi="宋体" w:cs="宋体"/>
                <w:kern w:val="0"/>
                <w:szCs w:val="21"/>
              </w:rPr>
            </w:pPr>
            <w:r>
              <w:rPr>
                <w:rFonts w:hint="eastAsia" w:ascii="宋体" w:hAnsi="宋体" w:cs="宋体"/>
                <w:kern w:val="0"/>
                <w:szCs w:val="21"/>
              </w:rPr>
              <w:t>展示某个时间维度下的工作流实例执行成功和失败的数量，并对该时间维度下工作流实例执行的总共的成功和失败比例进行了汇总统计展示。</w:t>
            </w:r>
          </w:p>
        </w:tc>
      </w:tr>
      <w:tr w14:paraId="43B4E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741" w:type="dxa"/>
            <w:vMerge w:val="continue"/>
            <w:noWrap w:val="0"/>
            <w:vAlign w:val="center"/>
          </w:tcPr>
          <w:p w14:paraId="156943F5">
            <w:pPr>
              <w:widowControl/>
              <w:jc w:val="left"/>
              <w:rPr>
                <w:rFonts w:hint="eastAsia" w:ascii="宋体" w:hAnsi="宋体" w:cs="宋体"/>
                <w:kern w:val="0"/>
                <w:szCs w:val="21"/>
              </w:rPr>
            </w:pPr>
          </w:p>
        </w:tc>
        <w:tc>
          <w:tcPr>
            <w:tcW w:w="876" w:type="dxa"/>
            <w:vMerge w:val="continue"/>
            <w:noWrap w:val="0"/>
            <w:vAlign w:val="center"/>
          </w:tcPr>
          <w:p w14:paraId="1FA73AA3">
            <w:pPr>
              <w:widowControl/>
              <w:jc w:val="center"/>
              <w:rPr>
                <w:rFonts w:hint="eastAsia" w:ascii="宋体" w:hAnsi="宋体" w:cs="宋体"/>
                <w:kern w:val="0"/>
                <w:szCs w:val="21"/>
              </w:rPr>
            </w:pPr>
          </w:p>
        </w:tc>
        <w:tc>
          <w:tcPr>
            <w:tcW w:w="7170" w:type="dxa"/>
            <w:noWrap w:val="0"/>
            <w:vAlign w:val="center"/>
          </w:tcPr>
          <w:p w14:paraId="18E2DCF3">
            <w:pPr>
              <w:widowControl/>
              <w:rPr>
                <w:rFonts w:hint="eastAsia" w:ascii="宋体" w:hAnsi="宋体" w:cs="宋体"/>
                <w:kern w:val="0"/>
                <w:szCs w:val="21"/>
              </w:rPr>
            </w:pPr>
            <w:r>
              <w:rPr>
                <w:rFonts w:hint="eastAsia" w:ascii="宋体" w:hAnsi="宋体" w:cs="宋体"/>
                <w:kern w:val="0"/>
                <w:szCs w:val="21"/>
              </w:rPr>
              <w:t>在所选时间维度下对各类任务实例数进行了量化统计，展示各种类型任务的占比情况；显示当前之间维度下数据采集的总条数以及采集得到数据的总存储量。</w:t>
            </w:r>
          </w:p>
        </w:tc>
      </w:tr>
      <w:tr w14:paraId="1544B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741" w:type="dxa"/>
            <w:vMerge w:val="continue"/>
            <w:noWrap w:val="0"/>
            <w:vAlign w:val="center"/>
          </w:tcPr>
          <w:p w14:paraId="11D0FF01">
            <w:pPr>
              <w:widowControl/>
              <w:jc w:val="left"/>
              <w:rPr>
                <w:rFonts w:hint="eastAsia" w:ascii="宋体" w:hAnsi="宋体" w:cs="宋体"/>
                <w:kern w:val="0"/>
                <w:szCs w:val="21"/>
              </w:rPr>
            </w:pPr>
          </w:p>
        </w:tc>
        <w:tc>
          <w:tcPr>
            <w:tcW w:w="876" w:type="dxa"/>
            <w:vMerge w:val="continue"/>
            <w:noWrap w:val="0"/>
            <w:vAlign w:val="center"/>
          </w:tcPr>
          <w:p w14:paraId="5B7A5C1F">
            <w:pPr>
              <w:widowControl/>
              <w:jc w:val="center"/>
              <w:rPr>
                <w:rFonts w:hint="eastAsia" w:ascii="宋体" w:hAnsi="宋体" w:cs="宋体"/>
                <w:kern w:val="0"/>
                <w:szCs w:val="21"/>
              </w:rPr>
            </w:pPr>
          </w:p>
        </w:tc>
        <w:tc>
          <w:tcPr>
            <w:tcW w:w="7170" w:type="dxa"/>
            <w:noWrap w:val="0"/>
            <w:vAlign w:val="center"/>
          </w:tcPr>
          <w:p w14:paraId="7A223247">
            <w:pPr>
              <w:widowControl/>
              <w:rPr>
                <w:rFonts w:hint="eastAsia" w:ascii="宋体" w:hAnsi="宋体" w:cs="宋体"/>
                <w:kern w:val="0"/>
                <w:szCs w:val="21"/>
              </w:rPr>
            </w:pPr>
            <w:r>
              <w:rPr>
                <w:rFonts w:hint="eastAsia" w:ascii="宋体" w:hAnsi="宋体" w:cs="宋体"/>
                <w:kern w:val="0"/>
                <w:szCs w:val="21"/>
              </w:rPr>
              <w:t>支持以拖拉拽的形式以DAG流式的方式将Task组装起来，可实时监控任务的运行状态，同时支持重试、从指定节点恢复失败、暂停及Kill任务等操作，支持对工作流的增删改查、上下线 、定时、运行等操作，支持对工作流进行批量补数操作。</w:t>
            </w:r>
          </w:p>
        </w:tc>
      </w:tr>
      <w:tr w14:paraId="36FF6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741" w:type="dxa"/>
            <w:vMerge w:val="continue"/>
            <w:noWrap w:val="0"/>
            <w:vAlign w:val="center"/>
          </w:tcPr>
          <w:p w14:paraId="1D02C651">
            <w:pPr>
              <w:widowControl/>
              <w:jc w:val="left"/>
              <w:rPr>
                <w:rFonts w:hint="eastAsia" w:ascii="宋体" w:hAnsi="宋体" w:cs="宋体"/>
                <w:kern w:val="0"/>
                <w:szCs w:val="21"/>
              </w:rPr>
            </w:pPr>
          </w:p>
        </w:tc>
        <w:tc>
          <w:tcPr>
            <w:tcW w:w="876" w:type="dxa"/>
            <w:vMerge w:val="continue"/>
            <w:noWrap w:val="0"/>
            <w:vAlign w:val="center"/>
          </w:tcPr>
          <w:p w14:paraId="0CBDDCFB">
            <w:pPr>
              <w:widowControl/>
              <w:jc w:val="center"/>
              <w:rPr>
                <w:rFonts w:hint="eastAsia" w:ascii="宋体" w:hAnsi="宋体" w:cs="宋体"/>
                <w:kern w:val="0"/>
                <w:szCs w:val="21"/>
              </w:rPr>
            </w:pPr>
          </w:p>
        </w:tc>
        <w:tc>
          <w:tcPr>
            <w:tcW w:w="7170" w:type="dxa"/>
            <w:noWrap w:val="0"/>
            <w:vAlign w:val="center"/>
          </w:tcPr>
          <w:p w14:paraId="1D4E6E27">
            <w:pPr>
              <w:widowControl/>
              <w:rPr>
                <w:rFonts w:hint="eastAsia" w:ascii="宋体" w:hAnsi="宋体" w:cs="宋体"/>
                <w:kern w:val="0"/>
                <w:szCs w:val="21"/>
              </w:rPr>
            </w:pPr>
            <w:r>
              <w:rPr>
                <w:rFonts w:hint="eastAsia" w:ascii="宋体" w:hAnsi="宋体" w:cs="宋体"/>
                <w:kern w:val="0"/>
                <w:szCs w:val="21"/>
              </w:rPr>
              <w:t>具备启停功能，支持数据任务的重跑、暂停、强制停止、恢复运行、恢复失败等操作，解决数据处理异常问题。</w:t>
            </w:r>
          </w:p>
        </w:tc>
      </w:tr>
      <w:tr w14:paraId="14195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741" w:type="dxa"/>
            <w:vMerge w:val="continue"/>
            <w:noWrap w:val="0"/>
            <w:vAlign w:val="center"/>
          </w:tcPr>
          <w:p w14:paraId="27929A70">
            <w:pPr>
              <w:widowControl/>
              <w:jc w:val="left"/>
              <w:rPr>
                <w:rFonts w:hint="eastAsia" w:ascii="宋体" w:hAnsi="宋体" w:cs="宋体"/>
                <w:kern w:val="0"/>
                <w:szCs w:val="21"/>
              </w:rPr>
            </w:pPr>
          </w:p>
        </w:tc>
        <w:tc>
          <w:tcPr>
            <w:tcW w:w="876" w:type="dxa"/>
            <w:vMerge w:val="continue"/>
            <w:noWrap w:val="0"/>
            <w:vAlign w:val="center"/>
          </w:tcPr>
          <w:p w14:paraId="668101AB">
            <w:pPr>
              <w:widowControl/>
              <w:jc w:val="center"/>
              <w:rPr>
                <w:rFonts w:hint="eastAsia" w:ascii="宋体" w:hAnsi="宋体" w:cs="宋体"/>
                <w:kern w:val="0"/>
                <w:szCs w:val="21"/>
              </w:rPr>
            </w:pPr>
          </w:p>
        </w:tc>
        <w:tc>
          <w:tcPr>
            <w:tcW w:w="7170" w:type="dxa"/>
            <w:noWrap w:val="0"/>
            <w:vAlign w:val="center"/>
          </w:tcPr>
          <w:p w14:paraId="2D3F2986">
            <w:pPr>
              <w:widowControl/>
              <w:rPr>
                <w:rFonts w:hint="eastAsia" w:ascii="宋体" w:hAnsi="宋体" w:cs="宋体"/>
                <w:kern w:val="0"/>
                <w:szCs w:val="21"/>
              </w:rPr>
            </w:pPr>
            <w:r>
              <w:rPr>
                <w:rFonts w:hint="eastAsia" w:ascii="宋体" w:hAnsi="宋体" w:cs="宋体"/>
                <w:kern w:val="0"/>
                <w:szCs w:val="21"/>
              </w:rPr>
              <w:t>对运行的工作流实例进行监控，查看工作流实例的运行状态、运行时长、调度时间、开始结束时间、运行主机，支持对工作流实例进行查看、重跑、强制停止、暂停、删除等操作。</w:t>
            </w:r>
          </w:p>
        </w:tc>
      </w:tr>
      <w:tr w14:paraId="1B60D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741" w:type="dxa"/>
            <w:vMerge w:val="continue"/>
            <w:noWrap w:val="0"/>
            <w:vAlign w:val="center"/>
          </w:tcPr>
          <w:p w14:paraId="10B9B985">
            <w:pPr>
              <w:widowControl/>
              <w:jc w:val="left"/>
              <w:rPr>
                <w:rFonts w:hint="eastAsia" w:ascii="宋体" w:hAnsi="宋体" w:cs="宋体"/>
                <w:kern w:val="0"/>
                <w:szCs w:val="21"/>
              </w:rPr>
            </w:pPr>
          </w:p>
        </w:tc>
        <w:tc>
          <w:tcPr>
            <w:tcW w:w="876" w:type="dxa"/>
            <w:vMerge w:val="continue"/>
            <w:noWrap w:val="0"/>
            <w:vAlign w:val="center"/>
          </w:tcPr>
          <w:p w14:paraId="65091416">
            <w:pPr>
              <w:widowControl/>
              <w:jc w:val="center"/>
              <w:rPr>
                <w:rFonts w:hint="eastAsia" w:ascii="宋体" w:hAnsi="宋体" w:cs="宋体"/>
                <w:kern w:val="0"/>
                <w:szCs w:val="21"/>
              </w:rPr>
            </w:pPr>
          </w:p>
        </w:tc>
        <w:tc>
          <w:tcPr>
            <w:tcW w:w="7170" w:type="dxa"/>
            <w:noWrap w:val="0"/>
            <w:vAlign w:val="center"/>
          </w:tcPr>
          <w:p w14:paraId="59DBA15E">
            <w:pPr>
              <w:widowControl/>
              <w:rPr>
                <w:rFonts w:hint="eastAsia" w:ascii="宋体" w:hAnsi="宋体" w:cs="宋体"/>
                <w:kern w:val="0"/>
                <w:szCs w:val="21"/>
              </w:rPr>
            </w:pPr>
            <w:r>
              <w:rPr>
                <w:rFonts w:hint="eastAsia" w:ascii="宋体" w:hAnsi="宋体" w:cs="宋体"/>
                <w:kern w:val="0"/>
                <w:szCs w:val="21"/>
              </w:rPr>
              <w:t>对离线采集—结构化采集中的整库迁移任务进行实时监控，查看任务的运行状态、运行时长、开始结束时间、运行日志等，支持对整库迁移任务进行停止、重试操作，支持查看任务执行结果的分析概况。</w:t>
            </w:r>
          </w:p>
        </w:tc>
      </w:tr>
      <w:tr w14:paraId="5E20A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741" w:type="dxa"/>
            <w:vMerge w:val="restart"/>
            <w:noWrap w:val="0"/>
            <w:vAlign w:val="center"/>
          </w:tcPr>
          <w:p w14:paraId="743D14FC">
            <w:pPr>
              <w:widowControl/>
              <w:jc w:val="left"/>
              <w:rPr>
                <w:rFonts w:hint="eastAsia" w:ascii="宋体" w:hAnsi="宋体" w:cs="宋体"/>
                <w:kern w:val="0"/>
                <w:szCs w:val="21"/>
              </w:rPr>
            </w:pPr>
            <w:r>
              <w:rPr>
                <w:rFonts w:hint="eastAsia" w:ascii="宋体" w:hAnsi="宋体" w:cs="宋体"/>
                <w:kern w:val="0"/>
                <w:szCs w:val="21"/>
              </w:rPr>
              <w:t>5.数据共享</w:t>
            </w:r>
          </w:p>
        </w:tc>
        <w:tc>
          <w:tcPr>
            <w:tcW w:w="876" w:type="dxa"/>
            <w:noWrap w:val="0"/>
            <w:vAlign w:val="center"/>
          </w:tcPr>
          <w:p w14:paraId="14B0D5F4">
            <w:pPr>
              <w:widowControl/>
              <w:jc w:val="center"/>
              <w:rPr>
                <w:rFonts w:hint="eastAsia" w:ascii="宋体" w:hAnsi="宋体" w:cs="宋体"/>
                <w:kern w:val="0"/>
                <w:szCs w:val="21"/>
              </w:rPr>
            </w:pPr>
            <w:r>
              <w:rPr>
                <w:rFonts w:hint="eastAsia" w:ascii="宋体" w:hAnsi="宋体" w:cs="宋体"/>
                <w:kern w:val="0"/>
                <w:szCs w:val="21"/>
              </w:rPr>
              <w:t>统一API</w:t>
            </w:r>
          </w:p>
        </w:tc>
        <w:tc>
          <w:tcPr>
            <w:tcW w:w="7170" w:type="dxa"/>
            <w:noWrap w:val="0"/>
            <w:vAlign w:val="center"/>
          </w:tcPr>
          <w:p w14:paraId="14FF5135">
            <w:pPr>
              <w:widowControl/>
              <w:rPr>
                <w:rFonts w:hint="eastAsia" w:ascii="宋体" w:hAnsi="宋体" w:cs="宋体"/>
                <w:kern w:val="0"/>
                <w:szCs w:val="21"/>
              </w:rPr>
            </w:pPr>
            <w:r>
              <w:rPr>
                <w:rFonts w:hint="eastAsia" w:ascii="宋体" w:hAnsi="宋体" w:cs="宋体"/>
                <w:kern w:val="0"/>
                <w:szCs w:val="21"/>
              </w:rPr>
              <w:t>支持手动添加配置及导入接口两种方式来完成API接口的注册，支持对API接口服务删改查及发布、测试、下架、复制等功能，同时提供对调用接口服务应用的授权管理功能。</w:t>
            </w:r>
          </w:p>
        </w:tc>
      </w:tr>
      <w:tr w14:paraId="45FB3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741" w:type="dxa"/>
            <w:vMerge w:val="continue"/>
            <w:noWrap w:val="0"/>
            <w:vAlign w:val="center"/>
          </w:tcPr>
          <w:p w14:paraId="60D638C3">
            <w:pPr>
              <w:widowControl/>
              <w:jc w:val="left"/>
              <w:rPr>
                <w:rFonts w:hint="eastAsia" w:ascii="宋体" w:hAnsi="宋体" w:cs="宋体"/>
                <w:kern w:val="0"/>
                <w:szCs w:val="21"/>
              </w:rPr>
            </w:pPr>
          </w:p>
        </w:tc>
        <w:tc>
          <w:tcPr>
            <w:tcW w:w="876" w:type="dxa"/>
            <w:noWrap w:val="0"/>
            <w:vAlign w:val="center"/>
          </w:tcPr>
          <w:p w14:paraId="47E0313D">
            <w:pPr>
              <w:widowControl/>
              <w:jc w:val="center"/>
              <w:rPr>
                <w:rFonts w:hint="eastAsia" w:ascii="宋体" w:hAnsi="宋体" w:cs="宋体"/>
                <w:kern w:val="0"/>
                <w:szCs w:val="21"/>
              </w:rPr>
            </w:pPr>
            <w:r>
              <w:rPr>
                <w:rFonts w:hint="eastAsia" w:ascii="宋体" w:hAnsi="宋体" w:cs="宋体"/>
                <w:kern w:val="0"/>
                <w:szCs w:val="21"/>
              </w:rPr>
              <w:t>API脱敏</w:t>
            </w:r>
          </w:p>
        </w:tc>
        <w:tc>
          <w:tcPr>
            <w:tcW w:w="7170" w:type="dxa"/>
            <w:noWrap w:val="0"/>
            <w:vAlign w:val="center"/>
          </w:tcPr>
          <w:p w14:paraId="2AB5BFAD">
            <w:pPr>
              <w:widowControl/>
              <w:rPr>
                <w:rFonts w:hint="eastAsia" w:ascii="宋体" w:hAnsi="宋体" w:cs="宋体"/>
                <w:kern w:val="0"/>
                <w:szCs w:val="21"/>
              </w:rPr>
            </w:pPr>
            <w:r>
              <w:rPr>
                <w:rFonts w:hint="eastAsia" w:ascii="宋体" w:hAnsi="宋体" w:cs="宋体"/>
                <w:kern w:val="0"/>
                <w:szCs w:val="21"/>
              </w:rPr>
              <w:t>在对数据进行API封装发布时,支持数据调用的保护机策略配置，如敏感字段提供加密、高频度数据调用阈值配置。</w:t>
            </w:r>
          </w:p>
        </w:tc>
      </w:tr>
      <w:tr w14:paraId="4D767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741" w:type="dxa"/>
            <w:vMerge w:val="continue"/>
            <w:noWrap w:val="0"/>
            <w:vAlign w:val="center"/>
          </w:tcPr>
          <w:p w14:paraId="4C22FBE8">
            <w:pPr>
              <w:widowControl/>
              <w:jc w:val="left"/>
              <w:rPr>
                <w:rFonts w:hint="eastAsia" w:ascii="宋体" w:hAnsi="宋体" w:cs="宋体"/>
                <w:kern w:val="0"/>
                <w:szCs w:val="21"/>
              </w:rPr>
            </w:pPr>
          </w:p>
        </w:tc>
        <w:tc>
          <w:tcPr>
            <w:tcW w:w="876" w:type="dxa"/>
            <w:noWrap w:val="0"/>
            <w:vAlign w:val="center"/>
          </w:tcPr>
          <w:p w14:paraId="500FF489">
            <w:pPr>
              <w:widowControl/>
              <w:jc w:val="center"/>
              <w:rPr>
                <w:rFonts w:hint="eastAsia" w:ascii="宋体" w:hAnsi="宋体" w:cs="宋体"/>
                <w:kern w:val="0"/>
                <w:szCs w:val="21"/>
              </w:rPr>
            </w:pPr>
            <w:r>
              <w:rPr>
                <w:rFonts w:hint="eastAsia" w:ascii="宋体" w:hAnsi="宋体" w:cs="宋体"/>
                <w:kern w:val="0"/>
                <w:szCs w:val="21"/>
              </w:rPr>
              <w:t>API服务市场</w:t>
            </w:r>
          </w:p>
        </w:tc>
        <w:tc>
          <w:tcPr>
            <w:tcW w:w="7170" w:type="dxa"/>
            <w:noWrap w:val="0"/>
            <w:vAlign w:val="center"/>
          </w:tcPr>
          <w:p w14:paraId="791D24CC">
            <w:pPr>
              <w:widowControl/>
              <w:rPr>
                <w:rFonts w:hint="eastAsia" w:ascii="宋体" w:hAnsi="宋体" w:cs="宋体"/>
                <w:kern w:val="0"/>
                <w:szCs w:val="21"/>
              </w:rPr>
            </w:pPr>
            <w:r>
              <w:rPr>
                <w:rFonts w:ascii="宋体" w:hAnsi="宋体" w:cs="宋体"/>
                <w:kern w:val="0"/>
                <w:szCs w:val="21"/>
              </w:rPr>
              <w:t>API接口服务：数据服务模块完成注册审批并上架的API接口服务会同步在服务市场，以卡片的形式展示，某个应用的成员可以为应用申请该服务，经过服务提供方的审批方可成功调用该接口服务，支持对服务详情的查看、服务的申请、服务的收藏，调用指南的查看，服务的过滤搜索等操作。</w:t>
            </w:r>
          </w:p>
        </w:tc>
      </w:tr>
      <w:tr w14:paraId="28B24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741" w:type="dxa"/>
            <w:vMerge w:val="continue"/>
            <w:noWrap w:val="0"/>
            <w:vAlign w:val="center"/>
          </w:tcPr>
          <w:p w14:paraId="70452FD7">
            <w:pPr>
              <w:widowControl/>
              <w:jc w:val="left"/>
              <w:rPr>
                <w:rFonts w:hint="eastAsia" w:ascii="宋体" w:hAnsi="宋体" w:cs="宋体"/>
                <w:kern w:val="0"/>
                <w:szCs w:val="21"/>
              </w:rPr>
            </w:pPr>
          </w:p>
        </w:tc>
        <w:tc>
          <w:tcPr>
            <w:tcW w:w="876" w:type="dxa"/>
            <w:noWrap w:val="0"/>
            <w:vAlign w:val="center"/>
          </w:tcPr>
          <w:p w14:paraId="3F847557">
            <w:pPr>
              <w:widowControl/>
              <w:jc w:val="center"/>
              <w:rPr>
                <w:rFonts w:hint="eastAsia" w:ascii="宋体" w:hAnsi="宋体" w:cs="宋体"/>
                <w:kern w:val="0"/>
                <w:szCs w:val="21"/>
              </w:rPr>
            </w:pPr>
            <w:r>
              <w:rPr>
                <w:rFonts w:hint="eastAsia" w:ascii="宋体" w:hAnsi="宋体" w:cs="宋体"/>
                <w:kern w:val="0"/>
                <w:szCs w:val="21"/>
              </w:rPr>
              <w:t>API统计总览</w:t>
            </w:r>
          </w:p>
        </w:tc>
        <w:tc>
          <w:tcPr>
            <w:tcW w:w="7170" w:type="dxa"/>
            <w:noWrap w:val="0"/>
            <w:vAlign w:val="center"/>
          </w:tcPr>
          <w:p w14:paraId="62C72D3A">
            <w:pPr>
              <w:widowControl/>
              <w:rPr>
                <w:rFonts w:hint="eastAsia" w:ascii="宋体" w:hAnsi="宋体" w:cs="宋体"/>
                <w:kern w:val="0"/>
                <w:szCs w:val="21"/>
              </w:rPr>
            </w:pPr>
            <w:r>
              <w:rPr>
                <w:rFonts w:ascii="宋体" w:hAnsi="宋体" w:cs="宋体"/>
                <w:kern w:val="0"/>
                <w:szCs w:val="21"/>
              </w:rPr>
              <w:t>支持查看服务总体情况，包括数据服务数量、服务调用/推送趋势、服务质量情况、服务排名情况。</w:t>
            </w:r>
          </w:p>
        </w:tc>
      </w:tr>
      <w:tr w14:paraId="44C61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741" w:type="dxa"/>
            <w:vMerge w:val="continue"/>
            <w:noWrap w:val="0"/>
            <w:vAlign w:val="center"/>
          </w:tcPr>
          <w:p w14:paraId="73CDCDA1">
            <w:pPr>
              <w:widowControl/>
              <w:jc w:val="left"/>
              <w:rPr>
                <w:rFonts w:hint="eastAsia" w:ascii="宋体" w:hAnsi="宋体" w:cs="宋体"/>
                <w:kern w:val="0"/>
                <w:szCs w:val="21"/>
              </w:rPr>
            </w:pPr>
          </w:p>
        </w:tc>
        <w:tc>
          <w:tcPr>
            <w:tcW w:w="876" w:type="dxa"/>
            <w:noWrap w:val="0"/>
            <w:vAlign w:val="center"/>
          </w:tcPr>
          <w:p w14:paraId="26366A2A">
            <w:pPr>
              <w:widowControl/>
              <w:jc w:val="center"/>
              <w:rPr>
                <w:rFonts w:hint="eastAsia" w:ascii="宋体" w:hAnsi="宋体" w:cs="宋体"/>
                <w:kern w:val="0"/>
                <w:szCs w:val="21"/>
              </w:rPr>
            </w:pPr>
            <w:r>
              <w:rPr>
                <w:rFonts w:hint="eastAsia" w:ascii="宋体" w:hAnsi="宋体" w:cs="宋体"/>
                <w:kern w:val="0"/>
                <w:szCs w:val="21"/>
              </w:rPr>
              <w:t>API调用日志</w:t>
            </w:r>
          </w:p>
        </w:tc>
        <w:tc>
          <w:tcPr>
            <w:tcW w:w="7170" w:type="dxa"/>
            <w:noWrap w:val="0"/>
            <w:vAlign w:val="center"/>
          </w:tcPr>
          <w:p w14:paraId="36F0C96C">
            <w:pPr>
              <w:widowControl/>
              <w:rPr>
                <w:rFonts w:hint="eastAsia" w:ascii="宋体" w:hAnsi="宋体" w:cs="宋体"/>
                <w:kern w:val="0"/>
                <w:szCs w:val="21"/>
              </w:rPr>
            </w:pPr>
            <w:r>
              <w:rPr>
                <w:rFonts w:hint="eastAsia" w:ascii="宋体" w:hAnsi="宋体" w:cs="宋体"/>
                <w:kern w:val="0"/>
                <w:szCs w:val="21"/>
              </w:rPr>
              <w:t>支持查询调用方的调用日志，包括服务名称、调用方应用、IP信息、调用时间、异常信息等。</w:t>
            </w:r>
          </w:p>
        </w:tc>
      </w:tr>
      <w:tr w14:paraId="4AEBC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741" w:type="dxa"/>
            <w:vMerge w:val="continue"/>
            <w:noWrap w:val="0"/>
            <w:vAlign w:val="center"/>
          </w:tcPr>
          <w:p w14:paraId="3885C102">
            <w:pPr>
              <w:widowControl/>
              <w:jc w:val="left"/>
              <w:rPr>
                <w:rFonts w:hint="eastAsia" w:ascii="宋体" w:hAnsi="宋体" w:cs="宋体"/>
                <w:kern w:val="0"/>
                <w:szCs w:val="21"/>
              </w:rPr>
            </w:pPr>
          </w:p>
        </w:tc>
        <w:tc>
          <w:tcPr>
            <w:tcW w:w="876" w:type="dxa"/>
            <w:noWrap w:val="0"/>
            <w:vAlign w:val="center"/>
          </w:tcPr>
          <w:p w14:paraId="1B7D1871">
            <w:pPr>
              <w:widowControl/>
              <w:jc w:val="center"/>
              <w:rPr>
                <w:rFonts w:hint="eastAsia" w:ascii="宋体" w:hAnsi="宋体" w:cs="宋体"/>
                <w:kern w:val="0"/>
                <w:szCs w:val="21"/>
              </w:rPr>
            </w:pPr>
            <w:r>
              <w:rPr>
                <w:rFonts w:hint="eastAsia" w:ascii="宋体" w:hAnsi="宋体" w:cs="宋体"/>
                <w:kern w:val="0"/>
                <w:szCs w:val="21"/>
              </w:rPr>
              <w:t>API服务审批</w:t>
            </w:r>
          </w:p>
        </w:tc>
        <w:tc>
          <w:tcPr>
            <w:tcW w:w="7170" w:type="dxa"/>
            <w:noWrap w:val="0"/>
            <w:vAlign w:val="center"/>
          </w:tcPr>
          <w:p w14:paraId="0752B93B">
            <w:pPr>
              <w:widowControl/>
              <w:rPr>
                <w:rFonts w:hint="eastAsia" w:ascii="宋体" w:hAnsi="宋体" w:cs="宋体"/>
                <w:kern w:val="0"/>
                <w:szCs w:val="21"/>
              </w:rPr>
            </w:pPr>
            <w:r>
              <w:rPr>
                <w:rFonts w:ascii="宋体" w:hAnsi="宋体" w:cs="宋体"/>
                <w:kern w:val="0"/>
                <w:szCs w:val="21"/>
              </w:rPr>
              <w:t>API接口服务完成注册并发布服务市场后，在服务市场提交调用申请会同步申请信息到数据服务的审批页面，由服务发布方进行审批，审批通过后方可调用。</w:t>
            </w:r>
          </w:p>
        </w:tc>
      </w:tr>
      <w:tr w14:paraId="52667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741" w:type="dxa"/>
            <w:vMerge w:val="continue"/>
            <w:noWrap w:val="0"/>
            <w:vAlign w:val="center"/>
          </w:tcPr>
          <w:p w14:paraId="03866085">
            <w:pPr>
              <w:widowControl/>
              <w:jc w:val="left"/>
              <w:rPr>
                <w:rFonts w:hint="eastAsia" w:ascii="宋体" w:hAnsi="宋体" w:cs="宋体"/>
                <w:kern w:val="0"/>
                <w:szCs w:val="21"/>
              </w:rPr>
            </w:pPr>
          </w:p>
        </w:tc>
        <w:tc>
          <w:tcPr>
            <w:tcW w:w="876" w:type="dxa"/>
            <w:noWrap w:val="0"/>
            <w:vAlign w:val="center"/>
          </w:tcPr>
          <w:p w14:paraId="0AEBC7BE">
            <w:pPr>
              <w:widowControl/>
              <w:jc w:val="center"/>
              <w:rPr>
                <w:rFonts w:hint="eastAsia" w:ascii="宋体" w:hAnsi="宋体" w:cs="宋体"/>
                <w:kern w:val="0"/>
                <w:szCs w:val="21"/>
              </w:rPr>
            </w:pPr>
            <w:r>
              <w:rPr>
                <w:rFonts w:hint="eastAsia" w:ascii="宋体" w:hAnsi="宋体" w:cs="宋体"/>
                <w:kern w:val="0"/>
                <w:szCs w:val="21"/>
              </w:rPr>
              <w:t>个人中心</w:t>
            </w:r>
          </w:p>
        </w:tc>
        <w:tc>
          <w:tcPr>
            <w:tcW w:w="7170" w:type="dxa"/>
            <w:noWrap w:val="0"/>
            <w:vAlign w:val="center"/>
          </w:tcPr>
          <w:p w14:paraId="1B06017C">
            <w:pPr>
              <w:widowControl/>
              <w:rPr>
                <w:rFonts w:ascii="宋体" w:hAnsi="宋体" w:cs="宋体"/>
                <w:kern w:val="0"/>
                <w:szCs w:val="21"/>
              </w:rPr>
            </w:pPr>
            <w:r>
              <w:rPr>
                <w:rFonts w:hint="eastAsia" w:ascii="宋体" w:hAnsi="宋体" w:cs="宋体"/>
                <w:kern w:val="0"/>
                <w:szCs w:val="21"/>
              </w:rPr>
              <w:t>支持拥有服务市场管理员角色的用户对应用进行注册，注册完应用可以在应用成员管理页面进行应用成员的添加，以及对应用进行数据源配置、已授权服务的查看等操作，同时在该页面支持对应用的增删查改操作。</w:t>
            </w:r>
          </w:p>
          <w:p w14:paraId="65DED016">
            <w:pPr>
              <w:widowControl/>
              <w:rPr>
                <w:rFonts w:hint="eastAsia" w:ascii="宋体" w:hAnsi="宋体" w:cs="宋体"/>
                <w:kern w:val="0"/>
                <w:szCs w:val="21"/>
              </w:rPr>
            </w:pPr>
            <w:r>
              <w:rPr>
                <w:rFonts w:hint="eastAsia" w:ascii="宋体" w:hAnsi="宋体" w:cs="宋体"/>
                <w:kern w:val="0"/>
                <w:szCs w:val="21"/>
              </w:rPr>
              <w:t>支持查看当前应用成员所申请的服务，可根据关键词模糊搜索申请记录，也可根据服务类型、服务提供方以及申请时间过滤申请记录。</w:t>
            </w:r>
          </w:p>
          <w:p w14:paraId="061EE9FB">
            <w:pPr>
              <w:widowControl/>
              <w:rPr>
                <w:rFonts w:hint="eastAsia" w:ascii="宋体" w:hAnsi="宋体" w:cs="宋体"/>
                <w:kern w:val="0"/>
                <w:szCs w:val="21"/>
              </w:rPr>
            </w:pPr>
            <w:r>
              <w:rPr>
                <w:rFonts w:ascii="宋体" w:hAnsi="宋体" w:cs="宋体"/>
                <w:kern w:val="0"/>
                <w:szCs w:val="21"/>
              </w:rPr>
              <w:t>我的收藏：展示当前应用成员收藏的服务，可对收藏服务进行取消收藏操作、可根据关键词、服务类型及搜索时间过滤查询收藏的服务。</w:t>
            </w:r>
          </w:p>
        </w:tc>
      </w:tr>
      <w:tr w14:paraId="4DCC2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741" w:type="dxa"/>
            <w:vMerge w:val="restart"/>
            <w:noWrap w:val="0"/>
            <w:vAlign w:val="center"/>
          </w:tcPr>
          <w:p w14:paraId="46779130">
            <w:pPr>
              <w:widowControl/>
              <w:jc w:val="left"/>
              <w:rPr>
                <w:rFonts w:hint="eastAsia" w:ascii="宋体" w:hAnsi="宋体" w:cs="宋体"/>
                <w:kern w:val="0"/>
                <w:szCs w:val="21"/>
              </w:rPr>
            </w:pPr>
            <w:r>
              <w:rPr>
                <w:rFonts w:hint="eastAsia" w:ascii="宋体" w:hAnsi="宋体" w:cs="宋体"/>
                <w:kern w:val="0"/>
                <w:szCs w:val="21"/>
              </w:rPr>
              <w:t>6.数据治理</w:t>
            </w:r>
          </w:p>
        </w:tc>
        <w:tc>
          <w:tcPr>
            <w:tcW w:w="876" w:type="dxa"/>
            <w:noWrap w:val="0"/>
            <w:vAlign w:val="center"/>
          </w:tcPr>
          <w:p w14:paraId="0A9E262D">
            <w:pPr>
              <w:widowControl/>
              <w:jc w:val="center"/>
              <w:rPr>
                <w:rFonts w:hint="eastAsia" w:ascii="宋体" w:hAnsi="宋体" w:cs="宋体"/>
                <w:kern w:val="0"/>
                <w:szCs w:val="21"/>
              </w:rPr>
            </w:pPr>
            <w:r>
              <w:rPr>
                <w:rFonts w:hint="eastAsia" w:ascii="宋体" w:hAnsi="宋体" w:cs="宋体"/>
                <w:kern w:val="0"/>
                <w:szCs w:val="21"/>
              </w:rPr>
              <w:t>数据资产报告</w:t>
            </w:r>
          </w:p>
        </w:tc>
        <w:tc>
          <w:tcPr>
            <w:tcW w:w="7170" w:type="dxa"/>
            <w:noWrap w:val="0"/>
            <w:vAlign w:val="center"/>
          </w:tcPr>
          <w:p w14:paraId="12646946">
            <w:pPr>
              <w:widowControl/>
              <w:rPr>
                <w:rFonts w:hint="eastAsia" w:ascii="宋体" w:hAnsi="宋体" w:cs="宋体"/>
                <w:kern w:val="0"/>
                <w:szCs w:val="21"/>
              </w:rPr>
            </w:pPr>
            <w:r>
              <w:rPr>
                <w:rFonts w:hint="eastAsia" w:ascii="宋体" w:hAnsi="宋体" w:cs="宋体"/>
                <w:kern w:val="0"/>
                <w:szCs w:val="21"/>
              </w:rPr>
              <w:t>通过对我院各个科室和职能部门的调研,了解各科室的业务内容、信息系统、数据库信息、数据内容和形态、供需关系、交换共享要求、数据质量问题、可引入的标准资源等,对我院数据现状进行全面评估,输出我院数据资产现状报告。</w:t>
            </w:r>
          </w:p>
        </w:tc>
      </w:tr>
      <w:tr w14:paraId="68EC3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741" w:type="dxa"/>
            <w:vMerge w:val="continue"/>
            <w:noWrap w:val="0"/>
            <w:vAlign w:val="center"/>
          </w:tcPr>
          <w:p w14:paraId="35D7C621">
            <w:pPr>
              <w:widowControl/>
              <w:jc w:val="left"/>
              <w:rPr>
                <w:rFonts w:hint="eastAsia" w:ascii="宋体" w:hAnsi="宋体" w:cs="宋体"/>
                <w:kern w:val="0"/>
                <w:szCs w:val="21"/>
              </w:rPr>
            </w:pPr>
          </w:p>
        </w:tc>
        <w:tc>
          <w:tcPr>
            <w:tcW w:w="876" w:type="dxa"/>
            <w:noWrap w:val="0"/>
            <w:vAlign w:val="center"/>
          </w:tcPr>
          <w:p w14:paraId="02B49236">
            <w:pPr>
              <w:widowControl/>
              <w:jc w:val="center"/>
              <w:rPr>
                <w:rFonts w:hint="eastAsia" w:ascii="宋体" w:hAnsi="宋体" w:cs="宋体"/>
                <w:kern w:val="0"/>
                <w:szCs w:val="21"/>
              </w:rPr>
            </w:pPr>
            <w:r>
              <w:rPr>
                <w:rFonts w:hint="eastAsia" w:ascii="宋体" w:hAnsi="宋体" w:cs="宋体"/>
                <w:kern w:val="0"/>
                <w:szCs w:val="21"/>
              </w:rPr>
              <w:t>数据管理规范</w:t>
            </w:r>
          </w:p>
        </w:tc>
        <w:tc>
          <w:tcPr>
            <w:tcW w:w="7170" w:type="dxa"/>
            <w:noWrap w:val="0"/>
            <w:vAlign w:val="center"/>
          </w:tcPr>
          <w:p w14:paraId="462051E8">
            <w:pPr>
              <w:widowControl/>
              <w:rPr>
                <w:rFonts w:hint="eastAsia" w:ascii="宋体" w:hAnsi="宋体" w:cs="宋体"/>
                <w:kern w:val="0"/>
                <w:szCs w:val="21"/>
              </w:rPr>
            </w:pPr>
            <w:r>
              <w:rPr>
                <w:rFonts w:hint="eastAsia" w:ascii="宋体" w:hAnsi="宋体" w:cs="宋体"/>
                <w:kern w:val="0"/>
                <w:szCs w:val="21"/>
              </w:rPr>
              <w:t>协助我院设计和制定一整套数据管理相关的规范和制度，主要包括:数据管理的顶层设计方案、数据标准执行规范、数据访问安全规范、数据集成共享规范、数据质量保障规范、数据接口调用规范、数据开发设计规范、数据安全保障要求、数据供应保障要求等。</w:t>
            </w:r>
          </w:p>
        </w:tc>
      </w:tr>
      <w:tr w14:paraId="3B8FE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741" w:type="dxa"/>
            <w:vMerge w:val="continue"/>
            <w:noWrap w:val="0"/>
            <w:vAlign w:val="center"/>
          </w:tcPr>
          <w:p w14:paraId="1F609121">
            <w:pPr>
              <w:widowControl/>
              <w:jc w:val="left"/>
              <w:rPr>
                <w:rFonts w:hint="eastAsia" w:ascii="宋体" w:hAnsi="宋体" w:cs="宋体"/>
                <w:kern w:val="0"/>
                <w:szCs w:val="21"/>
              </w:rPr>
            </w:pPr>
          </w:p>
        </w:tc>
        <w:tc>
          <w:tcPr>
            <w:tcW w:w="876" w:type="dxa"/>
            <w:noWrap w:val="0"/>
            <w:vAlign w:val="center"/>
          </w:tcPr>
          <w:p w14:paraId="6C09A720">
            <w:pPr>
              <w:widowControl/>
              <w:jc w:val="center"/>
              <w:rPr>
                <w:rFonts w:hint="eastAsia" w:ascii="宋体" w:hAnsi="宋体" w:cs="宋体"/>
                <w:kern w:val="0"/>
                <w:szCs w:val="21"/>
              </w:rPr>
            </w:pPr>
            <w:r>
              <w:rPr>
                <w:rFonts w:hint="eastAsia" w:ascii="宋体" w:hAnsi="宋体" w:cs="宋体"/>
                <w:kern w:val="0"/>
                <w:szCs w:val="21"/>
              </w:rPr>
              <w:t>数据标准库</w:t>
            </w:r>
          </w:p>
        </w:tc>
        <w:tc>
          <w:tcPr>
            <w:tcW w:w="7170" w:type="dxa"/>
            <w:noWrap w:val="0"/>
            <w:vAlign w:val="center"/>
          </w:tcPr>
          <w:p w14:paraId="52667D5E">
            <w:pPr>
              <w:widowControl/>
              <w:rPr>
                <w:rFonts w:ascii="宋体" w:hAnsi="宋体" w:cs="宋体"/>
                <w:kern w:val="0"/>
                <w:szCs w:val="21"/>
              </w:rPr>
            </w:pPr>
            <w:r>
              <w:rPr>
                <w:rFonts w:hint="eastAsia" w:ascii="宋体" w:hAnsi="宋体" w:cs="宋体"/>
                <w:kern w:val="0"/>
                <w:szCs w:val="21"/>
              </w:rPr>
              <w:t>建立医学院统一的行业标准库，涵盖ICD10、LOINC标准、药品ATC标准及各类常规的行业标准字典，为数据归一化建立基础。</w:t>
            </w:r>
          </w:p>
          <w:p w14:paraId="2CB23A33">
            <w:pPr>
              <w:widowControl/>
              <w:rPr>
                <w:rFonts w:hint="eastAsia" w:ascii="宋体" w:hAnsi="宋体" w:cs="宋体"/>
                <w:kern w:val="0"/>
                <w:szCs w:val="21"/>
              </w:rPr>
            </w:pPr>
            <w:r>
              <w:rPr>
                <w:rFonts w:hint="eastAsia" w:ascii="宋体" w:hAnsi="宋体" w:cs="宋体"/>
                <w:kern w:val="0"/>
                <w:szCs w:val="21"/>
              </w:rPr>
              <w:t>术语管理：</w:t>
            </w:r>
          </w:p>
          <w:p w14:paraId="18701D93">
            <w:pPr>
              <w:widowControl/>
              <w:rPr>
                <w:rFonts w:hint="eastAsia" w:ascii="宋体" w:hAnsi="宋体" w:cs="宋体"/>
                <w:kern w:val="0"/>
                <w:szCs w:val="21"/>
              </w:rPr>
            </w:pPr>
            <w:r>
              <w:rPr>
                <w:rFonts w:hint="eastAsia" w:ascii="宋体" w:hAnsi="宋体" w:cs="宋体"/>
                <w:kern w:val="0"/>
                <w:szCs w:val="21"/>
              </w:rPr>
              <w:t>（1）标准术语管理:支持新增、修改、删除标准术语，标准术语包括分类、标准分类、名称、术语标识、值域代码等属性。新增和编辑的标准术语需要提交审批才能生效。</w:t>
            </w:r>
          </w:p>
          <w:p w14:paraId="1E533F8E">
            <w:pPr>
              <w:widowControl/>
              <w:rPr>
                <w:rFonts w:hint="eastAsia" w:ascii="宋体" w:hAnsi="宋体" w:cs="宋体"/>
                <w:kern w:val="0"/>
                <w:szCs w:val="21"/>
              </w:rPr>
            </w:pPr>
            <w:r>
              <w:rPr>
                <w:rFonts w:hint="eastAsia" w:ascii="宋体" w:hAnsi="宋体" w:cs="宋体"/>
                <w:kern w:val="0"/>
                <w:szCs w:val="21"/>
              </w:rPr>
              <w:t>（2）来源数据管理:提供对来源机构的管理维护，可管理来源机构下的来源术语字典，包括增删改查操作；</w:t>
            </w:r>
          </w:p>
          <w:p w14:paraId="570F1AA9">
            <w:pPr>
              <w:widowControl/>
              <w:rPr>
                <w:rFonts w:hint="eastAsia" w:ascii="宋体" w:hAnsi="宋体" w:cs="宋体"/>
                <w:kern w:val="0"/>
                <w:szCs w:val="21"/>
              </w:rPr>
            </w:pPr>
            <w:r>
              <w:rPr>
                <w:rFonts w:hint="eastAsia" w:ascii="宋体" w:hAnsi="宋体" w:cs="宋体"/>
                <w:kern w:val="0"/>
                <w:szCs w:val="21"/>
              </w:rPr>
              <w:t>（3）来源术语映射:对来源术语字典与标准术语字典的值域映射管理，包括构建映射和解除映射。</w:t>
            </w:r>
          </w:p>
          <w:p w14:paraId="77A9845C">
            <w:pPr>
              <w:widowControl/>
              <w:rPr>
                <w:rFonts w:hint="eastAsia" w:ascii="宋体" w:hAnsi="宋体" w:cs="宋体"/>
                <w:kern w:val="0"/>
                <w:szCs w:val="21"/>
              </w:rPr>
            </w:pPr>
          </w:p>
        </w:tc>
      </w:tr>
      <w:tr w14:paraId="53D95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741" w:type="dxa"/>
            <w:vMerge w:val="continue"/>
            <w:noWrap w:val="0"/>
            <w:vAlign w:val="center"/>
          </w:tcPr>
          <w:p w14:paraId="6EDC3921">
            <w:pPr>
              <w:widowControl/>
              <w:jc w:val="left"/>
              <w:rPr>
                <w:rFonts w:hint="eastAsia" w:ascii="宋体" w:hAnsi="宋体" w:cs="宋体"/>
                <w:kern w:val="0"/>
                <w:szCs w:val="21"/>
              </w:rPr>
            </w:pPr>
          </w:p>
        </w:tc>
        <w:tc>
          <w:tcPr>
            <w:tcW w:w="876" w:type="dxa"/>
            <w:noWrap w:val="0"/>
            <w:vAlign w:val="center"/>
          </w:tcPr>
          <w:p w14:paraId="4CD6656B">
            <w:pPr>
              <w:widowControl/>
              <w:jc w:val="center"/>
              <w:rPr>
                <w:rFonts w:hint="eastAsia" w:ascii="宋体" w:hAnsi="宋体" w:cs="宋体"/>
                <w:kern w:val="0"/>
                <w:szCs w:val="21"/>
              </w:rPr>
            </w:pPr>
            <w:r>
              <w:rPr>
                <w:rFonts w:hint="eastAsia" w:ascii="宋体" w:hAnsi="宋体" w:cs="宋体"/>
                <w:kern w:val="0"/>
                <w:szCs w:val="21"/>
              </w:rPr>
              <w:t>数据标准化映射</w:t>
            </w:r>
          </w:p>
        </w:tc>
        <w:tc>
          <w:tcPr>
            <w:tcW w:w="7170" w:type="dxa"/>
            <w:noWrap w:val="0"/>
            <w:vAlign w:val="center"/>
          </w:tcPr>
          <w:p w14:paraId="64FA3C0B">
            <w:pPr>
              <w:widowControl/>
              <w:rPr>
                <w:rFonts w:hint="eastAsia" w:ascii="宋体" w:hAnsi="宋体" w:cs="宋体"/>
                <w:kern w:val="0"/>
                <w:szCs w:val="21"/>
              </w:rPr>
            </w:pPr>
            <w:r>
              <w:rPr>
                <w:rFonts w:ascii="宋体" w:hAnsi="宋体" w:cs="宋体"/>
                <w:kern w:val="0"/>
                <w:szCs w:val="21"/>
              </w:rPr>
              <w:t>支持通过标准数据元及数据集进行数据库建模，在构建数据模型和对数据质量检查过程中实现数据资源的标准化应用映射</w:t>
            </w:r>
            <w:r>
              <w:rPr>
                <w:rFonts w:hint="eastAsia" w:ascii="宋体" w:hAnsi="宋体" w:cs="宋体"/>
                <w:kern w:val="0"/>
                <w:szCs w:val="21"/>
              </w:rPr>
              <w:t>包括诊断库对照（国家临床版和医保版诊断库）、手术库对照（国家临床版和医保版诊断库）、手术库与收费编码对照、不同科室字典对照、门诊出诊专科对照</w:t>
            </w:r>
            <w:r>
              <w:rPr>
                <w:rFonts w:ascii="宋体" w:hAnsi="宋体" w:cs="宋体"/>
                <w:kern w:val="0"/>
                <w:szCs w:val="21"/>
              </w:rPr>
              <w:t>。</w:t>
            </w:r>
          </w:p>
        </w:tc>
      </w:tr>
      <w:tr w14:paraId="26A1E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741" w:type="dxa"/>
            <w:vMerge w:val="continue"/>
            <w:noWrap w:val="0"/>
            <w:vAlign w:val="center"/>
          </w:tcPr>
          <w:p w14:paraId="0328BA1A">
            <w:pPr>
              <w:widowControl/>
              <w:jc w:val="left"/>
              <w:rPr>
                <w:rFonts w:hint="eastAsia" w:ascii="宋体" w:hAnsi="宋体" w:cs="宋体"/>
                <w:kern w:val="0"/>
                <w:szCs w:val="21"/>
              </w:rPr>
            </w:pPr>
          </w:p>
        </w:tc>
        <w:tc>
          <w:tcPr>
            <w:tcW w:w="876" w:type="dxa"/>
            <w:noWrap w:val="0"/>
            <w:vAlign w:val="center"/>
          </w:tcPr>
          <w:p w14:paraId="4F5CF459">
            <w:pPr>
              <w:widowControl/>
              <w:jc w:val="center"/>
              <w:rPr>
                <w:rFonts w:hint="eastAsia" w:ascii="宋体" w:hAnsi="宋体" w:cs="宋体"/>
                <w:kern w:val="0"/>
                <w:szCs w:val="21"/>
              </w:rPr>
            </w:pPr>
            <w:r>
              <w:rPr>
                <w:rFonts w:hint="eastAsia" w:ascii="宋体" w:hAnsi="宋体" w:cs="宋体"/>
                <w:kern w:val="0"/>
                <w:szCs w:val="21"/>
              </w:rPr>
              <w:t>数据目录管理</w:t>
            </w:r>
          </w:p>
        </w:tc>
        <w:tc>
          <w:tcPr>
            <w:tcW w:w="7170" w:type="dxa"/>
            <w:noWrap w:val="0"/>
            <w:vAlign w:val="center"/>
          </w:tcPr>
          <w:p w14:paraId="049A5D1F">
            <w:pPr>
              <w:widowControl/>
              <w:rPr>
                <w:rFonts w:hint="eastAsia" w:ascii="宋体" w:hAnsi="宋体" w:cs="宋体"/>
                <w:kern w:val="0"/>
                <w:szCs w:val="21"/>
              </w:rPr>
            </w:pPr>
            <w:r>
              <w:rPr>
                <w:rFonts w:hint="eastAsia" w:ascii="宋体" w:hAnsi="宋体" w:cs="宋体"/>
                <w:kern w:val="0"/>
                <w:szCs w:val="21"/>
              </w:rPr>
              <w:t>提供对发布的标准文档及目录标准的审核功能,支持包含标准数据元、标准术语和标准文档的发布审核流程。</w:t>
            </w:r>
          </w:p>
        </w:tc>
      </w:tr>
      <w:tr w14:paraId="265C3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741" w:type="dxa"/>
            <w:vMerge w:val="continue"/>
            <w:noWrap w:val="0"/>
            <w:vAlign w:val="center"/>
          </w:tcPr>
          <w:p w14:paraId="256CDA52">
            <w:pPr>
              <w:widowControl/>
              <w:jc w:val="left"/>
              <w:rPr>
                <w:rFonts w:hint="eastAsia" w:ascii="宋体" w:hAnsi="宋体" w:cs="宋体"/>
                <w:kern w:val="0"/>
                <w:szCs w:val="21"/>
              </w:rPr>
            </w:pPr>
          </w:p>
        </w:tc>
        <w:tc>
          <w:tcPr>
            <w:tcW w:w="876" w:type="dxa"/>
            <w:noWrap w:val="0"/>
            <w:vAlign w:val="center"/>
          </w:tcPr>
          <w:p w14:paraId="299C0903">
            <w:pPr>
              <w:widowControl/>
              <w:jc w:val="center"/>
              <w:rPr>
                <w:rFonts w:hint="eastAsia" w:ascii="宋体" w:hAnsi="宋体" w:cs="宋体"/>
                <w:kern w:val="0"/>
                <w:szCs w:val="21"/>
              </w:rPr>
            </w:pPr>
            <w:r>
              <w:rPr>
                <w:rFonts w:ascii="宋体" w:hAnsi="宋体" w:cs="宋体"/>
                <w:kern w:val="0"/>
                <w:szCs w:val="21"/>
              </w:rPr>
              <w:t>数据地图</w:t>
            </w:r>
          </w:p>
        </w:tc>
        <w:tc>
          <w:tcPr>
            <w:tcW w:w="7170" w:type="dxa"/>
            <w:noWrap w:val="0"/>
            <w:vAlign w:val="center"/>
          </w:tcPr>
          <w:p w14:paraId="5766E139">
            <w:pPr>
              <w:widowControl/>
              <w:rPr>
                <w:rFonts w:hint="eastAsia" w:ascii="宋体" w:hAnsi="宋体" w:cs="宋体"/>
                <w:kern w:val="0"/>
                <w:szCs w:val="21"/>
              </w:rPr>
            </w:pPr>
            <w:r>
              <w:rPr>
                <w:rFonts w:hint="eastAsia" w:ascii="宋体" w:hAnsi="宋体" w:cs="宋体"/>
                <w:kern w:val="0"/>
                <w:szCs w:val="21"/>
              </w:rPr>
              <w:t>提供元数据检索功能，支持对表和字段进行检索。支持查看数据表的基本信息、存储信息、字段列表、分区信息、血缘关系等。</w:t>
            </w:r>
          </w:p>
        </w:tc>
      </w:tr>
      <w:tr w14:paraId="2083F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741" w:type="dxa"/>
            <w:vMerge w:val="continue"/>
            <w:noWrap w:val="0"/>
            <w:vAlign w:val="center"/>
          </w:tcPr>
          <w:p w14:paraId="49E25B39">
            <w:pPr>
              <w:widowControl/>
              <w:jc w:val="left"/>
              <w:rPr>
                <w:rFonts w:hint="eastAsia" w:ascii="宋体" w:hAnsi="宋体" w:cs="宋体"/>
                <w:kern w:val="0"/>
                <w:szCs w:val="21"/>
              </w:rPr>
            </w:pPr>
          </w:p>
        </w:tc>
        <w:tc>
          <w:tcPr>
            <w:tcW w:w="876" w:type="dxa"/>
            <w:noWrap w:val="0"/>
            <w:vAlign w:val="center"/>
          </w:tcPr>
          <w:p w14:paraId="6CA66377">
            <w:pPr>
              <w:widowControl/>
              <w:jc w:val="center"/>
              <w:rPr>
                <w:rFonts w:hint="eastAsia" w:ascii="宋体" w:hAnsi="宋体" w:cs="宋体"/>
                <w:kern w:val="0"/>
                <w:szCs w:val="21"/>
              </w:rPr>
            </w:pPr>
            <w:r>
              <w:rPr>
                <w:rFonts w:hint="eastAsia" w:ascii="宋体" w:hAnsi="宋体" w:cs="宋体"/>
                <w:kern w:val="0"/>
                <w:szCs w:val="21"/>
              </w:rPr>
              <w:t>质量校验</w:t>
            </w:r>
          </w:p>
        </w:tc>
        <w:tc>
          <w:tcPr>
            <w:tcW w:w="7170" w:type="dxa"/>
            <w:noWrap w:val="0"/>
            <w:vAlign w:val="center"/>
          </w:tcPr>
          <w:p w14:paraId="0AAA0721">
            <w:pPr>
              <w:widowControl/>
              <w:rPr>
                <w:rFonts w:hint="eastAsia" w:ascii="宋体" w:hAnsi="宋体" w:cs="宋体"/>
                <w:kern w:val="0"/>
                <w:szCs w:val="21"/>
              </w:rPr>
            </w:pPr>
            <w:r>
              <w:rPr>
                <w:rFonts w:ascii="宋体" w:hAnsi="宋体" w:cs="宋体"/>
                <w:kern w:val="0"/>
                <w:szCs w:val="21"/>
              </w:rPr>
              <w:t>支持多种异构数据源的质量校验（包括但不限于MYSQL、HIVE、DORIS），对数据表进行表级和字段级的质量检查，预警判断。</w:t>
            </w:r>
          </w:p>
        </w:tc>
      </w:tr>
      <w:tr w14:paraId="6B399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741" w:type="dxa"/>
            <w:vMerge w:val="continue"/>
            <w:noWrap w:val="0"/>
            <w:vAlign w:val="center"/>
          </w:tcPr>
          <w:p w14:paraId="64184336">
            <w:pPr>
              <w:widowControl/>
              <w:jc w:val="left"/>
              <w:rPr>
                <w:rFonts w:hint="eastAsia" w:ascii="宋体" w:hAnsi="宋体" w:cs="宋体"/>
                <w:kern w:val="0"/>
                <w:szCs w:val="21"/>
              </w:rPr>
            </w:pPr>
          </w:p>
        </w:tc>
        <w:tc>
          <w:tcPr>
            <w:tcW w:w="876" w:type="dxa"/>
            <w:noWrap w:val="0"/>
            <w:vAlign w:val="center"/>
          </w:tcPr>
          <w:p w14:paraId="4FE57491">
            <w:pPr>
              <w:widowControl/>
              <w:jc w:val="center"/>
              <w:rPr>
                <w:rFonts w:hint="eastAsia" w:ascii="宋体" w:hAnsi="宋体" w:cs="宋体"/>
                <w:kern w:val="0"/>
                <w:szCs w:val="21"/>
              </w:rPr>
            </w:pPr>
            <w:r>
              <w:rPr>
                <w:rFonts w:hint="eastAsia" w:ascii="宋体" w:hAnsi="宋体" w:cs="宋体"/>
                <w:kern w:val="0"/>
                <w:szCs w:val="21"/>
              </w:rPr>
              <w:t>数据校验模型</w:t>
            </w:r>
          </w:p>
        </w:tc>
        <w:tc>
          <w:tcPr>
            <w:tcW w:w="7170" w:type="dxa"/>
            <w:noWrap w:val="0"/>
            <w:vAlign w:val="center"/>
          </w:tcPr>
          <w:p w14:paraId="45F03377">
            <w:pPr>
              <w:widowControl/>
              <w:rPr>
                <w:rFonts w:hint="eastAsia" w:ascii="宋体" w:hAnsi="宋体" w:cs="宋体"/>
                <w:kern w:val="0"/>
                <w:szCs w:val="21"/>
              </w:rPr>
            </w:pPr>
            <w:r>
              <w:rPr>
                <w:rFonts w:hint="eastAsia" w:ascii="宋体" w:hAnsi="宋体" w:cs="宋体"/>
                <w:kern w:val="0"/>
                <w:szCs w:val="21"/>
              </w:rPr>
              <w:t>支持单表、跨表、跨源表的校验数据模型。</w:t>
            </w:r>
          </w:p>
        </w:tc>
      </w:tr>
      <w:tr w14:paraId="39FF5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741" w:type="dxa"/>
            <w:vMerge w:val="continue"/>
            <w:noWrap w:val="0"/>
            <w:vAlign w:val="center"/>
          </w:tcPr>
          <w:p w14:paraId="30D7B35B">
            <w:pPr>
              <w:widowControl/>
              <w:jc w:val="left"/>
              <w:rPr>
                <w:rFonts w:hint="eastAsia" w:ascii="宋体" w:hAnsi="宋体" w:cs="宋体"/>
                <w:kern w:val="0"/>
                <w:szCs w:val="21"/>
              </w:rPr>
            </w:pPr>
          </w:p>
        </w:tc>
        <w:tc>
          <w:tcPr>
            <w:tcW w:w="876" w:type="dxa"/>
            <w:noWrap w:val="0"/>
            <w:vAlign w:val="center"/>
          </w:tcPr>
          <w:p w14:paraId="1B35F36A">
            <w:pPr>
              <w:widowControl/>
              <w:jc w:val="center"/>
              <w:rPr>
                <w:rFonts w:hint="eastAsia" w:ascii="宋体" w:hAnsi="宋体" w:cs="宋体"/>
                <w:kern w:val="0"/>
                <w:szCs w:val="21"/>
              </w:rPr>
            </w:pPr>
            <w:r>
              <w:rPr>
                <w:rFonts w:hint="eastAsia" w:ascii="宋体" w:hAnsi="宋体" w:cs="宋体"/>
                <w:color w:val="000000"/>
                <w:szCs w:val="21"/>
              </w:rPr>
              <w:t>质量规则模板</w:t>
            </w:r>
          </w:p>
        </w:tc>
        <w:tc>
          <w:tcPr>
            <w:tcW w:w="7170" w:type="dxa"/>
            <w:noWrap w:val="0"/>
            <w:vAlign w:val="center"/>
          </w:tcPr>
          <w:p w14:paraId="6396EB02">
            <w:pPr>
              <w:widowControl/>
              <w:rPr>
                <w:rFonts w:hint="eastAsia" w:ascii="宋体" w:hAnsi="宋体" w:cs="宋体"/>
                <w:kern w:val="0"/>
                <w:szCs w:val="21"/>
              </w:rPr>
            </w:pPr>
            <w:r>
              <w:rPr>
                <w:rFonts w:hint="eastAsia" w:ascii="宋体" w:hAnsi="宋体" w:cs="宋体"/>
                <w:kern w:val="0"/>
                <w:szCs w:val="21"/>
              </w:rPr>
              <w:t>1.支持对能够模板化的表级和字段级质控规则的增删改查操作，生成的规则模版可以在新建质控任务时被直接引用。</w:t>
            </w:r>
          </w:p>
          <w:p w14:paraId="491CE2C0">
            <w:pPr>
              <w:widowControl/>
              <w:rPr>
                <w:rFonts w:hint="eastAsia" w:ascii="宋体" w:hAnsi="宋体" w:cs="宋体"/>
                <w:kern w:val="0"/>
                <w:szCs w:val="21"/>
              </w:rPr>
            </w:pPr>
            <w:r>
              <w:rPr>
                <w:rFonts w:hint="eastAsia" w:ascii="宋体" w:hAnsi="宋体" w:cs="宋体"/>
                <w:kern w:val="0"/>
                <w:szCs w:val="21"/>
              </w:rPr>
              <w:t>2.支持从规则库中选择规则模板，根据字段格式类型，支持空值校验、重复校验、格式校验、值域校验、最值校验、范围校验、固定值校验和自定义校验勾选，支持拖拉配置校验的告警阈值和合格阈值范围。</w:t>
            </w:r>
          </w:p>
        </w:tc>
      </w:tr>
      <w:tr w14:paraId="285CD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741" w:type="dxa"/>
            <w:vMerge w:val="continue"/>
            <w:noWrap w:val="0"/>
            <w:vAlign w:val="center"/>
          </w:tcPr>
          <w:p w14:paraId="3D9B9422">
            <w:pPr>
              <w:widowControl/>
              <w:jc w:val="left"/>
              <w:rPr>
                <w:rFonts w:hint="eastAsia" w:ascii="宋体" w:hAnsi="宋体" w:cs="宋体"/>
                <w:kern w:val="0"/>
                <w:szCs w:val="21"/>
              </w:rPr>
            </w:pPr>
          </w:p>
        </w:tc>
        <w:tc>
          <w:tcPr>
            <w:tcW w:w="876" w:type="dxa"/>
            <w:noWrap w:val="0"/>
            <w:vAlign w:val="center"/>
          </w:tcPr>
          <w:p w14:paraId="481097AE">
            <w:pPr>
              <w:widowControl/>
              <w:jc w:val="center"/>
              <w:rPr>
                <w:rFonts w:hint="eastAsia" w:ascii="宋体" w:hAnsi="宋体" w:cs="宋体"/>
                <w:kern w:val="0"/>
                <w:szCs w:val="21"/>
              </w:rPr>
            </w:pPr>
            <w:r>
              <w:rPr>
                <w:rFonts w:hint="eastAsia" w:ascii="宋体" w:hAnsi="宋体" w:cs="宋体"/>
                <w:kern w:val="0"/>
                <w:szCs w:val="21"/>
              </w:rPr>
              <w:t>质控任务配置</w:t>
            </w:r>
          </w:p>
        </w:tc>
        <w:tc>
          <w:tcPr>
            <w:tcW w:w="7170" w:type="dxa"/>
            <w:noWrap w:val="0"/>
            <w:vAlign w:val="center"/>
          </w:tcPr>
          <w:p w14:paraId="6BE49885">
            <w:pPr>
              <w:widowControl/>
              <w:rPr>
                <w:rFonts w:hint="eastAsia" w:ascii="宋体" w:hAnsi="宋体" w:cs="宋体"/>
                <w:kern w:val="0"/>
                <w:szCs w:val="21"/>
              </w:rPr>
            </w:pPr>
            <w:r>
              <w:rPr>
                <w:rFonts w:hint="eastAsia" w:ascii="宋体" w:hAnsi="宋体" w:cs="宋体"/>
                <w:kern w:val="0"/>
                <w:szCs w:val="21"/>
              </w:rPr>
              <w:t>支持新建质控任务，新建完成后对任务进行相关信息及规则的配置，配置完成点击上线任务，上线后可执行该任务生成质控任务实例，支持对质控任务的删查改等操作。</w:t>
            </w:r>
          </w:p>
        </w:tc>
      </w:tr>
      <w:tr w14:paraId="59D16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741" w:type="dxa"/>
            <w:vMerge w:val="continue"/>
            <w:noWrap w:val="0"/>
            <w:vAlign w:val="center"/>
          </w:tcPr>
          <w:p w14:paraId="1752A9A7">
            <w:pPr>
              <w:widowControl/>
              <w:jc w:val="left"/>
              <w:rPr>
                <w:rFonts w:hint="eastAsia" w:ascii="宋体" w:hAnsi="宋体" w:cs="宋体"/>
                <w:kern w:val="0"/>
                <w:szCs w:val="21"/>
              </w:rPr>
            </w:pPr>
          </w:p>
        </w:tc>
        <w:tc>
          <w:tcPr>
            <w:tcW w:w="876" w:type="dxa"/>
            <w:noWrap w:val="0"/>
            <w:vAlign w:val="center"/>
          </w:tcPr>
          <w:p w14:paraId="23A9EA8D">
            <w:pPr>
              <w:widowControl/>
              <w:jc w:val="center"/>
              <w:rPr>
                <w:rFonts w:hint="eastAsia" w:ascii="宋体" w:hAnsi="宋体" w:cs="宋体"/>
                <w:kern w:val="0"/>
                <w:szCs w:val="21"/>
              </w:rPr>
            </w:pPr>
            <w:r>
              <w:rPr>
                <w:rFonts w:hint="eastAsia" w:ascii="宋体" w:hAnsi="宋体" w:cs="宋体"/>
                <w:kern w:val="0"/>
                <w:szCs w:val="21"/>
              </w:rPr>
              <w:t>数据质量改进</w:t>
            </w:r>
          </w:p>
        </w:tc>
        <w:tc>
          <w:tcPr>
            <w:tcW w:w="7170" w:type="dxa"/>
            <w:noWrap w:val="0"/>
            <w:vAlign w:val="center"/>
          </w:tcPr>
          <w:p w14:paraId="7F829DF1">
            <w:pPr>
              <w:widowControl/>
              <w:rPr>
                <w:rFonts w:hint="eastAsia" w:ascii="宋体" w:hAnsi="宋体" w:cs="宋体"/>
                <w:kern w:val="0"/>
                <w:szCs w:val="21"/>
              </w:rPr>
            </w:pPr>
            <w:r>
              <w:rPr>
                <w:rFonts w:hint="eastAsia" w:ascii="宋体" w:hAnsi="宋体" w:cs="宋体"/>
                <w:kern w:val="0"/>
                <w:szCs w:val="21"/>
              </w:rPr>
              <w:t>建立数据质量改进的流程和方法，包括数据质量的问题识别、问题分析、问题解决和问题预防等。</w:t>
            </w:r>
          </w:p>
        </w:tc>
      </w:tr>
      <w:tr w14:paraId="1C488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741" w:type="dxa"/>
            <w:vMerge w:val="continue"/>
            <w:noWrap w:val="0"/>
            <w:vAlign w:val="center"/>
          </w:tcPr>
          <w:p w14:paraId="0270D0C9">
            <w:pPr>
              <w:widowControl/>
              <w:jc w:val="left"/>
              <w:rPr>
                <w:rFonts w:hint="eastAsia" w:ascii="宋体" w:hAnsi="宋体" w:cs="宋体"/>
                <w:kern w:val="0"/>
                <w:szCs w:val="21"/>
              </w:rPr>
            </w:pPr>
          </w:p>
        </w:tc>
        <w:tc>
          <w:tcPr>
            <w:tcW w:w="876" w:type="dxa"/>
            <w:noWrap w:val="0"/>
            <w:vAlign w:val="center"/>
          </w:tcPr>
          <w:p w14:paraId="4072A2DB">
            <w:pPr>
              <w:widowControl/>
              <w:jc w:val="center"/>
              <w:rPr>
                <w:rFonts w:hint="eastAsia" w:ascii="宋体" w:hAnsi="宋体" w:cs="宋体"/>
                <w:kern w:val="0"/>
                <w:szCs w:val="21"/>
              </w:rPr>
            </w:pPr>
            <w:r>
              <w:rPr>
                <w:rFonts w:hint="eastAsia" w:ascii="宋体" w:hAnsi="宋体" w:cs="宋体"/>
                <w:kern w:val="0"/>
                <w:szCs w:val="21"/>
              </w:rPr>
              <w:t>库级质控报告</w:t>
            </w:r>
          </w:p>
        </w:tc>
        <w:tc>
          <w:tcPr>
            <w:tcW w:w="7170" w:type="dxa"/>
            <w:noWrap w:val="0"/>
            <w:vAlign w:val="center"/>
          </w:tcPr>
          <w:p w14:paraId="6416F3E5">
            <w:pPr>
              <w:widowControl/>
              <w:rPr>
                <w:rFonts w:hint="eastAsia" w:ascii="宋体" w:hAnsi="宋体" w:cs="宋体"/>
                <w:kern w:val="0"/>
                <w:szCs w:val="21"/>
              </w:rPr>
            </w:pPr>
            <w:r>
              <w:rPr>
                <w:rFonts w:hint="eastAsia" w:ascii="宋体" w:hAnsi="宋体" w:cs="宋体"/>
                <w:kern w:val="0"/>
                <w:szCs w:val="21"/>
              </w:rPr>
              <w:t>提供明细质控报告、异常质控报告、对比质控报告三种类型质控报告，支持在明细质控报告中提供质控总体结果查看、展示各项表和字段的合格率、质控结果，支持下载质控报告，同时支持查看对比质控报告，包括完整性、一致性、整合性、合规性、及时性、唯一性质控规则情况展示，提供上次与本次的质控结果对比情况、数据表通过情况、字段通过情况、质控规则通过情况的展示，提供上次和本次的健康质量对比包括得分比对图表，规则大类通过情况对比表格，规则大类通过情况对比表格提供通过率提升结果展示，并支持展示质控明细对比情况等。</w:t>
            </w:r>
          </w:p>
        </w:tc>
      </w:tr>
      <w:tr w14:paraId="645B2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1" w:type="dxa"/>
            <w:vMerge w:val="restart"/>
            <w:noWrap w:val="0"/>
            <w:vAlign w:val="center"/>
          </w:tcPr>
          <w:p w14:paraId="703A12BB">
            <w:pPr>
              <w:widowControl/>
              <w:jc w:val="left"/>
              <w:rPr>
                <w:rFonts w:hint="eastAsia" w:ascii="宋体" w:hAnsi="宋体" w:cs="宋体"/>
                <w:kern w:val="0"/>
                <w:szCs w:val="21"/>
              </w:rPr>
            </w:pPr>
          </w:p>
          <w:p w14:paraId="74A83636">
            <w:pPr>
              <w:widowControl/>
              <w:jc w:val="left"/>
              <w:rPr>
                <w:rFonts w:hint="eastAsia" w:ascii="宋体" w:hAnsi="宋体" w:cs="宋体"/>
                <w:kern w:val="0"/>
                <w:szCs w:val="21"/>
              </w:rPr>
            </w:pPr>
          </w:p>
          <w:p w14:paraId="66D52E4F">
            <w:pPr>
              <w:widowControl/>
              <w:jc w:val="left"/>
              <w:rPr>
                <w:rFonts w:hint="eastAsia" w:ascii="宋体" w:hAnsi="宋体" w:cs="宋体"/>
                <w:kern w:val="0"/>
                <w:szCs w:val="21"/>
              </w:rPr>
            </w:pPr>
          </w:p>
          <w:p w14:paraId="121DF559">
            <w:pPr>
              <w:widowControl/>
              <w:jc w:val="left"/>
              <w:rPr>
                <w:rFonts w:hint="eastAsia" w:ascii="宋体" w:hAnsi="宋体" w:cs="宋体"/>
                <w:kern w:val="0"/>
                <w:szCs w:val="21"/>
              </w:rPr>
            </w:pPr>
          </w:p>
          <w:p w14:paraId="63810093">
            <w:pPr>
              <w:widowControl/>
              <w:jc w:val="left"/>
              <w:rPr>
                <w:rFonts w:hint="eastAsia" w:ascii="宋体" w:hAnsi="宋体" w:cs="宋体"/>
                <w:kern w:val="0"/>
                <w:szCs w:val="21"/>
              </w:rPr>
            </w:pPr>
          </w:p>
          <w:p w14:paraId="2DC94D39">
            <w:pPr>
              <w:widowControl/>
              <w:jc w:val="left"/>
              <w:rPr>
                <w:rFonts w:hint="eastAsia" w:ascii="宋体" w:hAnsi="宋体" w:cs="宋体"/>
                <w:kern w:val="0"/>
                <w:szCs w:val="21"/>
              </w:rPr>
            </w:pPr>
          </w:p>
          <w:p w14:paraId="23904E95">
            <w:pPr>
              <w:widowControl/>
              <w:jc w:val="left"/>
              <w:rPr>
                <w:rFonts w:hint="eastAsia" w:ascii="宋体" w:hAnsi="宋体" w:cs="宋体"/>
                <w:kern w:val="0"/>
                <w:szCs w:val="21"/>
              </w:rPr>
            </w:pPr>
          </w:p>
          <w:p w14:paraId="3FC7B902">
            <w:pPr>
              <w:widowControl/>
              <w:jc w:val="left"/>
              <w:rPr>
                <w:rFonts w:hint="eastAsia" w:ascii="宋体" w:hAnsi="宋体" w:cs="宋体"/>
                <w:kern w:val="0"/>
                <w:szCs w:val="21"/>
              </w:rPr>
            </w:pPr>
          </w:p>
          <w:p w14:paraId="3CDFA515">
            <w:pPr>
              <w:widowControl/>
              <w:jc w:val="left"/>
              <w:rPr>
                <w:rFonts w:hint="eastAsia" w:ascii="宋体" w:hAnsi="宋体" w:cs="宋体"/>
                <w:kern w:val="0"/>
                <w:szCs w:val="21"/>
              </w:rPr>
            </w:pPr>
          </w:p>
          <w:p w14:paraId="3C918FD3">
            <w:pPr>
              <w:widowControl/>
              <w:jc w:val="left"/>
              <w:rPr>
                <w:rFonts w:hint="eastAsia" w:ascii="宋体" w:hAnsi="宋体" w:cs="宋体"/>
                <w:kern w:val="0"/>
                <w:szCs w:val="21"/>
              </w:rPr>
            </w:pPr>
          </w:p>
          <w:p w14:paraId="240F3AD0">
            <w:pPr>
              <w:widowControl/>
              <w:jc w:val="left"/>
              <w:rPr>
                <w:rFonts w:hint="eastAsia" w:ascii="宋体" w:hAnsi="宋体" w:cs="宋体"/>
                <w:kern w:val="0"/>
                <w:szCs w:val="21"/>
              </w:rPr>
            </w:pPr>
            <w:r>
              <w:rPr>
                <w:rFonts w:hint="eastAsia" w:ascii="宋体" w:hAnsi="宋体" w:cs="宋体"/>
                <w:kern w:val="0"/>
                <w:szCs w:val="21"/>
              </w:rPr>
              <w:t>7.数据目录</w:t>
            </w:r>
          </w:p>
        </w:tc>
        <w:tc>
          <w:tcPr>
            <w:tcW w:w="876" w:type="dxa"/>
            <w:noWrap w:val="0"/>
            <w:vAlign w:val="center"/>
          </w:tcPr>
          <w:p w14:paraId="29A69D53">
            <w:pPr>
              <w:widowControl/>
              <w:jc w:val="center"/>
              <w:rPr>
                <w:rFonts w:hint="eastAsia" w:ascii="宋体" w:hAnsi="宋体" w:cs="宋体"/>
                <w:kern w:val="0"/>
                <w:szCs w:val="21"/>
              </w:rPr>
            </w:pPr>
            <w:r>
              <w:rPr>
                <w:rFonts w:hint="eastAsia" w:ascii="宋体" w:hAnsi="宋体" w:cs="宋体"/>
                <w:kern w:val="0"/>
                <w:szCs w:val="21"/>
              </w:rPr>
              <w:t>诊断</w:t>
            </w:r>
          </w:p>
        </w:tc>
        <w:tc>
          <w:tcPr>
            <w:tcW w:w="7170" w:type="dxa"/>
            <w:noWrap w:val="0"/>
            <w:vAlign w:val="center"/>
          </w:tcPr>
          <w:p w14:paraId="2089C911">
            <w:pPr>
              <w:widowControl/>
              <w:rPr>
                <w:rFonts w:hint="eastAsia" w:ascii="宋体" w:hAnsi="宋体" w:cs="宋体"/>
                <w:kern w:val="0"/>
                <w:szCs w:val="21"/>
              </w:rPr>
            </w:pPr>
            <w:r>
              <w:rPr>
                <w:rFonts w:hint="eastAsia" w:ascii="宋体" w:hAnsi="宋体" w:cs="宋体"/>
                <w:kern w:val="0"/>
                <w:szCs w:val="21"/>
              </w:rPr>
              <w:t>从诊断维度对存储数据进行统计（含按国考口径和非国考口径）。</w:t>
            </w:r>
          </w:p>
        </w:tc>
      </w:tr>
      <w:tr w14:paraId="5F8D6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741" w:type="dxa"/>
            <w:vMerge w:val="continue"/>
            <w:noWrap w:val="0"/>
            <w:vAlign w:val="center"/>
          </w:tcPr>
          <w:p w14:paraId="37A5EC98">
            <w:pPr>
              <w:widowControl/>
              <w:jc w:val="left"/>
              <w:rPr>
                <w:rFonts w:hint="eastAsia" w:ascii="宋体" w:hAnsi="宋体" w:cs="宋体"/>
                <w:kern w:val="0"/>
                <w:szCs w:val="21"/>
              </w:rPr>
            </w:pPr>
          </w:p>
        </w:tc>
        <w:tc>
          <w:tcPr>
            <w:tcW w:w="876" w:type="dxa"/>
            <w:noWrap w:val="0"/>
            <w:vAlign w:val="center"/>
          </w:tcPr>
          <w:p w14:paraId="5BC43F25">
            <w:pPr>
              <w:widowControl/>
              <w:jc w:val="center"/>
              <w:rPr>
                <w:rFonts w:hint="eastAsia" w:ascii="宋体" w:hAnsi="宋体" w:cs="宋体"/>
                <w:kern w:val="0"/>
                <w:szCs w:val="21"/>
              </w:rPr>
            </w:pPr>
            <w:r>
              <w:rPr>
                <w:rFonts w:hint="eastAsia" w:ascii="宋体" w:hAnsi="宋体" w:cs="宋体"/>
                <w:kern w:val="0"/>
                <w:szCs w:val="21"/>
              </w:rPr>
              <w:t>手术</w:t>
            </w:r>
          </w:p>
        </w:tc>
        <w:tc>
          <w:tcPr>
            <w:tcW w:w="7170" w:type="dxa"/>
            <w:noWrap w:val="0"/>
            <w:vAlign w:val="center"/>
          </w:tcPr>
          <w:p w14:paraId="7FF6E3A7">
            <w:pPr>
              <w:widowControl/>
              <w:rPr>
                <w:rFonts w:hint="eastAsia" w:ascii="宋体" w:hAnsi="宋体" w:cs="宋体"/>
                <w:kern w:val="0"/>
                <w:szCs w:val="21"/>
              </w:rPr>
            </w:pPr>
            <w:bookmarkStart w:id="4" w:name="OLE_LINK1"/>
            <w:r>
              <w:rPr>
                <w:rFonts w:hint="eastAsia" w:ascii="宋体" w:hAnsi="宋体" w:cs="宋体"/>
                <w:kern w:val="0"/>
                <w:szCs w:val="21"/>
              </w:rPr>
              <w:t>从手术维度对存储数据进行统计</w:t>
            </w:r>
            <w:bookmarkEnd w:id="4"/>
            <w:r>
              <w:rPr>
                <w:rFonts w:hint="eastAsia" w:ascii="宋体" w:hAnsi="宋体" w:cs="宋体"/>
                <w:kern w:val="0"/>
                <w:szCs w:val="21"/>
              </w:rPr>
              <w:t>，</w:t>
            </w:r>
            <w:r>
              <w:rPr>
                <w:rFonts w:ascii="宋体" w:hAnsi="宋体" w:cs="宋体"/>
                <w:kern w:val="0"/>
                <w:szCs w:val="21"/>
              </w:rPr>
              <w:t>支持按手术台次、人次多口径分析，兼容手术分级、微创属性、手术收支、手术人员、主次手术标识等业务</w:t>
            </w:r>
            <w:r>
              <w:rPr>
                <w:rFonts w:hint="eastAsia" w:ascii="宋体" w:hAnsi="宋体" w:cs="宋体"/>
                <w:kern w:val="0"/>
                <w:szCs w:val="21"/>
              </w:rPr>
              <w:t>字段属性。</w:t>
            </w:r>
          </w:p>
        </w:tc>
      </w:tr>
      <w:tr w14:paraId="63BCA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741" w:type="dxa"/>
            <w:vMerge w:val="continue"/>
            <w:noWrap w:val="0"/>
            <w:vAlign w:val="center"/>
          </w:tcPr>
          <w:p w14:paraId="454009AC">
            <w:pPr>
              <w:widowControl/>
              <w:jc w:val="left"/>
              <w:rPr>
                <w:rFonts w:hint="eastAsia" w:ascii="宋体" w:hAnsi="宋体" w:cs="宋体"/>
                <w:kern w:val="0"/>
                <w:szCs w:val="21"/>
              </w:rPr>
            </w:pPr>
          </w:p>
        </w:tc>
        <w:tc>
          <w:tcPr>
            <w:tcW w:w="876" w:type="dxa"/>
            <w:noWrap w:val="0"/>
            <w:vAlign w:val="center"/>
          </w:tcPr>
          <w:p w14:paraId="7765E8E3">
            <w:pPr>
              <w:widowControl/>
              <w:jc w:val="center"/>
              <w:rPr>
                <w:rFonts w:hint="eastAsia" w:ascii="宋体" w:hAnsi="宋体" w:cs="宋体"/>
                <w:kern w:val="0"/>
                <w:szCs w:val="21"/>
              </w:rPr>
            </w:pPr>
            <w:r>
              <w:rPr>
                <w:rFonts w:hint="eastAsia" w:ascii="宋体" w:hAnsi="宋体" w:cs="宋体"/>
                <w:kern w:val="0"/>
                <w:szCs w:val="21"/>
              </w:rPr>
              <w:t>科室</w:t>
            </w:r>
          </w:p>
        </w:tc>
        <w:tc>
          <w:tcPr>
            <w:tcW w:w="7170" w:type="dxa"/>
            <w:noWrap w:val="0"/>
            <w:vAlign w:val="center"/>
          </w:tcPr>
          <w:p w14:paraId="7178F508">
            <w:pPr>
              <w:widowControl/>
              <w:rPr>
                <w:rFonts w:hint="eastAsia" w:ascii="宋体" w:hAnsi="宋体" w:cs="宋体"/>
                <w:kern w:val="0"/>
                <w:szCs w:val="21"/>
              </w:rPr>
            </w:pPr>
            <w:r>
              <w:rPr>
                <w:rFonts w:hint="eastAsia" w:ascii="宋体" w:hAnsi="宋体" w:cs="宋体"/>
                <w:kern w:val="0"/>
                <w:szCs w:val="21"/>
              </w:rPr>
              <w:t>从科室信息维度统计患者、病历、及就诊时间数据。</w:t>
            </w:r>
          </w:p>
        </w:tc>
      </w:tr>
      <w:tr w14:paraId="70E85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741" w:type="dxa"/>
            <w:vMerge w:val="continue"/>
            <w:noWrap w:val="0"/>
            <w:vAlign w:val="center"/>
          </w:tcPr>
          <w:p w14:paraId="289CA514">
            <w:pPr>
              <w:widowControl/>
              <w:jc w:val="left"/>
              <w:rPr>
                <w:rFonts w:hint="eastAsia" w:ascii="宋体" w:hAnsi="宋体" w:cs="宋体"/>
                <w:kern w:val="0"/>
                <w:szCs w:val="21"/>
              </w:rPr>
            </w:pPr>
          </w:p>
        </w:tc>
        <w:tc>
          <w:tcPr>
            <w:tcW w:w="876" w:type="dxa"/>
            <w:noWrap w:val="0"/>
            <w:vAlign w:val="center"/>
          </w:tcPr>
          <w:p w14:paraId="136DB2CE">
            <w:pPr>
              <w:widowControl/>
              <w:jc w:val="center"/>
              <w:rPr>
                <w:rFonts w:hint="eastAsia" w:ascii="宋体" w:hAnsi="宋体" w:cs="宋体"/>
                <w:kern w:val="0"/>
                <w:szCs w:val="21"/>
              </w:rPr>
            </w:pPr>
            <w:r>
              <w:rPr>
                <w:rFonts w:hint="eastAsia" w:ascii="宋体" w:hAnsi="宋体" w:cs="宋体"/>
                <w:kern w:val="0"/>
                <w:szCs w:val="21"/>
              </w:rPr>
              <w:t>治疗组</w:t>
            </w:r>
          </w:p>
        </w:tc>
        <w:tc>
          <w:tcPr>
            <w:tcW w:w="7170" w:type="dxa"/>
            <w:noWrap w:val="0"/>
            <w:vAlign w:val="center"/>
          </w:tcPr>
          <w:p w14:paraId="306DDC7C">
            <w:pPr>
              <w:widowControl/>
              <w:rPr>
                <w:rFonts w:hint="eastAsia" w:ascii="宋体" w:hAnsi="宋体" w:cs="宋体"/>
                <w:kern w:val="0"/>
                <w:szCs w:val="21"/>
              </w:rPr>
            </w:pPr>
            <w:r>
              <w:rPr>
                <w:rFonts w:hint="eastAsia" w:ascii="宋体" w:hAnsi="宋体" w:cs="宋体"/>
                <w:kern w:val="0"/>
                <w:szCs w:val="21"/>
              </w:rPr>
              <w:t>各科室治疗组目录维护。</w:t>
            </w:r>
          </w:p>
        </w:tc>
      </w:tr>
      <w:tr w14:paraId="598D7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741" w:type="dxa"/>
            <w:vMerge w:val="continue"/>
            <w:noWrap w:val="0"/>
            <w:vAlign w:val="center"/>
          </w:tcPr>
          <w:p w14:paraId="24BAADFE">
            <w:pPr>
              <w:widowControl/>
              <w:jc w:val="left"/>
              <w:rPr>
                <w:rFonts w:hint="eastAsia" w:ascii="宋体" w:hAnsi="宋体" w:cs="宋体"/>
                <w:kern w:val="0"/>
                <w:szCs w:val="21"/>
              </w:rPr>
            </w:pPr>
          </w:p>
        </w:tc>
        <w:tc>
          <w:tcPr>
            <w:tcW w:w="876" w:type="dxa"/>
            <w:noWrap w:val="0"/>
            <w:vAlign w:val="center"/>
          </w:tcPr>
          <w:p w14:paraId="5AA70625">
            <w:pPr>
              <w:widowControl/>
              <w:jc w:val="center"/>
              <w:rPr>
                <w:rFonts w:hint="eastAsia" w:ascii="宋体" w:hAnsi="宋体" w:cs="宋体"/>
                <w:kern w:val="0"/>
                <w:szCs w:val="21"/>
              </w:rPr>
            </w:pPr>
            <w:r>
              <w:rPr>
                <w:rFonts w:hint="eastAsia" w:ascii="宋体" w:hAnsi="宋体" w:cs="宋体"/>
                <w:kern w:val="0"/>
                <w:szCs w:val="21"/>
              </w:rPr>
              <w:t>门急诊诊疗量</w:t>
            </w:r>
          </w:p>
        </w:tc>
        <w:tc>
          <w:tcPr>
            <w:tcW w:w="7170" w:type="dxa"/>
            <w:noWrap w:val="0"/>
            <w:vAlign w:val="center"/>
          </w:tcPr>
          <w:p w14:paraId="69813CEF">
            <w:pPr>
              <w:widowControl/>
              <w:rPr>
                <w:rFonts w:hint="eastAsia" w:ascii="宋体" w:hAnsi="宋体" w:cs="宋体"/>
                <w:kern w:val="0"/>
                <w:szCs w:val="21"/>
              </w:rPr>
            </w:pPr>
            <w:r>
              <w:rPr>
                <w:rFonts w:hint="eastAsia" w:ascii="宋体" w:hAnsi="宋体" w:cs="宋体"/>
                <w:kern w:val="0"/>
                <w:szCs w:val="21"/>
              </w:rPr>
              <w:t>从门急诊诊疗量维度对存储数据进行统计。</w:t>
            </w:r>
          </w:p>
        </w:tc>
      </w:tr>
      <w:tr w14:paraId="70F3E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741" w:type="dxa"/>
            <w:vMerge w:val="continue"/>
            <w:noWrap w:val="0"/>
            <w:vAlign w:val="center"/>
          </w:tcPr>
          <w:p w14:paraId="2864A2F2">
            <w:pPr>
              <w:widowControl/>
              <w:jc w:val="left"/>
              <w:rPr>
                <w:rFonts w:hint="eastAsia" w:ascii="宋体" w:hAnsi="宋体" w:cs="宋体"/>
                <w:kern w:val="0"/>
                <w:szCs w:val="21"/>
              </w:rPr>
            </w:pPr>
          </w:p>
        </w:tc>
        <w:tc>
          <w:tcPr>
            <w:tcW w:w="876" w:type="dxa"/>
            <w:noWrap w:val="0"/>
            <w:vAlign w:val="center"/>
          </w:tcPr>
          <w:p w14:paraId="1C51D5C5">
            <w:pPr>
              <w:widowControl/>
              <w:jc w:val="center"/>
              <w:rPr>
                <w:rFonts w:hint="eastAsia" w:ascii="宋体" w:hAnsi="宋体" w:cs="宋体"/>
                <w:kern w:val="0"/>
                <w:szCs w:val="21"/>
              </w:rPr>
            </w:pPr>
            <w:r>
              <w:rPr>
                <w:rFonts w:hint="eastAsia" w:ascii="宋体" w:hAnsi="宋体" w:cs="宋体"/>
                <w:kern w:val="0"/>
                <w:szCs w:val="21"/>
              </w:rPr>
              <w:t>会诊量</w:t>
            </w:r>
          </w:p>
        </w:tc>
        <w:tc>
          <w:tcPr>
            <w:tcW w:w="7170" w:type="dxa"/>
            <w:noWrap w:val="0"/>
            <w:vAlign w:val="center"/>
          </w:tcPr>
          <w:p w14:paraId="3D275C50">
            <w:pPr>
              <w:widowControl/>
              <w:rPr>
                <w:rFonts w:hint="eastAsia" w:ascii="宋体" w:hAnsi="宋体" w:cs="宋体"/>
                <w:kern w:val="0"/>
                <w:szCs w:val="21"/>
              </w:rPr>
            </w:pPr>
            <w:r>
              <w:rPr>
                <w:rFonts w:hint="eastAsia" w:ascii="宋体" w:hAnsi="宋体" w:cs="宋体"/>
                <w:kern w:val="0"/>
                <w:szCs w:val="21"/>
              </w:rPr>
              <w:t>从会诊维度对存储数据进行统计。</w:t>
            </w:r>
          </w:p>
        </w:tc>
      </w:tr>
      <w:tr w14:paraId="66B8F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741" w:type="dxa"/>
            <w:vMerge w:val="continue"/>
            <w:noWrap w:val="0"/>
            <w:vAlign w:val="center"/>
          </w:tcPr>
          <w:p w14:paraId="546E91ED">
            <w:pPr>
              <w:widowControl/>
              <w:jc w:val="left"/>
              <w:rPr>
                <w:rFonts w:hint="eastAsia" w:ascii="宋体" w:hAnsi="宋体" w:cs="宋体"/>
                <w:kern w:val="0"/>
                <w:szCs w:val="21"/>
              </w:rPr>
            </w:pPr>
          </w:p>
        </w:tc>
        <w:tc>
          <w:tcPr>
            <w:tcW w:w="876" w:type="dxa"/>
            <w:noWrap w:val="0"/>
            <w:vAlign w:val="center"/>
          </w:tcPr>
          <w:p w14:paraId="7F6C2D68">
            <w:pPr>
              <w:widowControl/>
              <w:jc w:val="center"/>
              <w:rPr>
                <w:rFonts w:hint="eastAsia" w:ascii="宋体" w:hAnsi="宋体" w:cs="宋体"/>
                <w:kern w:val="0"/>
                <w:szCs w:val="21"/>
              </w:rPr>
            </w:pPr>
            <w:r>
              <w:rPr>
                <w:rFonts w:hint="eastAsia" w:ascii="宋体" w:hAnsi="宋体" w:cs="宋体"/>
                <w:kern w:val="0"/>
                <w:szCs w:val="21"/>
              </w:rPr>
              <w:t>就诊类型</w:t>
            </w:r>
          </w:p>
        </w:tc>
        <w:tc>
          <w:tcPr>
            <w:tcW w:w="7170" w:type="dxa"/>
            <w:noWrap w:val="0"/>
            <w:vAlign w:val="center"/>
          </w:tcPr>
          <w:p w14:paraId="7C1F63C4">
            <w:pPr>
              <w:widowControl/>
              <w:rPr>
                <w:rFonts w:hint="eastAsia" w:ascii="宋体" w:hAnsi="宋体" w:cs="宋体"/>
                <w:kern w:val="0"/>
                <w:szCs w:val="21"/>
              </w:rPr>
            </w:pPr>
            <w:r>
              <w:rPr>
                <w:rFonts w:hint="eastAsia" w:ascii="宋体" w:hAnsi="宋体" w:cs="宋体"/>
                <w:kern w:val="0"/>
                <w:szCs w:val="21"/>
              </w:rPr>
              <w:t>根据不同就诊类型以百分比的方式统计数据。</w:t>
            </w:r>
          </w:p>
        </w:tc>
      </w:tr>
      <w:tr w14:paraId="6AA87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741" w:type="dxa"/>
            <w:vMerge w:val="continue"/>
            <w:noWrap w:val="0"/>
            <w:vAlign w:val="center"/>
          </w:tcPr>
          <w:p w14:paraId="18DE52EE">
            <w:pPr>
              <w:widowControl/>
              <w:jc w:val="left"/>
              <w:rPr>
                <w:rFonts w:hint="eastAsia" w:ascii="宋体" w:hAnsi="宋体" w:cs="宋体"/>
                <w:kern w:val="0"/>
                <w:szCs w:val="21"/>
              </w:rPr>
            </w:pPr>
          </w:p>
        </w:tc>
        <w:tc>
          <w:tcPr>
            <w:tcW w:w="876" w:type="dxa"/>
            <w:noWrap w:val="0"/>
            <w:vAlign w:val="center"/>
          </w:tcPr>
          <w:p w14:paraId="6EF3AA0D">
            <w:pPr>
              <w:widowControl/>
              <w:jc w:val="center"/>
              <w:rPr>
                <w:rFonts w:hint="eastAsia" w:ascii="宋体" w:hAnsi="宋体" w:cs="宋体"/>
                <w:kern w:val="0"/>
                <w:szCs w:val="21"/>
              </w:rPr>
            </w:pPr>
            <w:r>
              <w:rPr>
                <w:rFonts w:hint="eastAsia" w:ascii="宋体" w:hAnsi="宋体" w:cs="宋体"/>
                <w:kern w:val="0"/>
                <w:szCs w:val="21"/>
              </w:rPr>
              <w:t>检验</w:t>
            </w:r>
          </w:p>
        </w:tc>
        <w:tc>
          <w:tcPr>
            <w:tcW w:w="7170" w:type="dxa"/>
            <w:noWrap w:val="0"/>
            <w:vAlign w:val="center"/>
          </w:tcPr>
          <w:p w14:paraId="09070EAB">
            <w:pPr>
              <w:widowControl/>
              <w:rPr>
                <w:rFonts w:hint="eastAsia" w:ascii="宋体" w:hAnsi="宋体" w:cs="宋体"/>
                <w:kern w:val="0"/>
                <w:szCs w:val="21"/>
              </w:rPr>
            </w:pPr>
            <w:r>
              <w:rPr>
                <w:rFonts w:hint="eastAsia" w:ascii="宋体" w:hAnsi="宋体" w:cs="宋体"/>
                <w:kern w:val="0"/>
                <w:szCs w:val="21"/>
              </w:rPr>
              <w:t>从检验项维度对存储数据进行统计。</w:t>
            </w:r>
          </w:p>
        </w:tc>
      </w:tr>
      <w:tr w14:paraId="79C48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741" w:type="dxa"/>
            <w:vMerge w:val="continue"/>
            <w:noWrap w:val="0"/>
            <w:vAlign w:val="center"/>
          </w:tcPr>
          <w:p w14:paraId="2FB93CD5">
            <w:pPr>
              <w:widowControl/>
              <w:jc w:val="left"/>
              <w:rPr>
                <w:rFonts w:hint="eastAsia" w:ascii="宋体" w:hAnsi="宋体" w:cs="宋体"/>
                <w:kern w:val="0"/>
                <w:szCs w:val="21"/>
              </w:rPr>
            </w:pPr>
          </w:p>
        </w:tc>
        <w:tc>
          <w:tcPr>
            <w:tcW w:w="876" w:type="dxa"/>
            <w:noWrap w:val="0"/>
            <w:vAlign w:val="center"/>
          </w:tcPr>
          <w:p w14:paraId="16BECE63">
            <w:pPr>
              <w:widowControl/>
              <w:jc w:val="center"/>
              <w:rPr>
                <w:rFonts w:hint="eastAsia" w:ascii="宋体" w:hAnsi="宋体" w:cs="宋体"/>
                <w:kern w:val="0"/>
                <w:szCs w:val="21"/>
              </w:rPr>
            </w:pPr>
            <w:r>
              <w:rPr>
                <w:rFonts w:hint="eastAsia" w:ascii="宋体" w:hAnsi="宋体" w:cs="宋体"/>
                <w:kern w:val="0"/>
                <w:szCs w:val="21"/>
              </w:rPr>
              <w:t>检查</w:t>
            </w:r>
          </w:p>
        </w:tc>
        <w:tc>
          <w:tcPr>
            <w:tcW w:w="7170" w:type="dxa"/>
            <w:noWrap w:val="0"/>
            <w:vAlign w:val="center"/>
          </w:tcPr>
          <w:p w14:paraId="012F1165">
            <w:pPr>
              <w:widowControl/>
              <w:rPr>
                <w:rFonts w:hint="eastAsia" w:ascii="宋体" w:hAnsi="宋体" w:cs="宋体"/>
                <w:kern w:val="0"/>
                <w:szCs w:val="21"/>
              </w:rPr>
            </w:pPr>
            <w:r>
              <w:rPr>
                <w:rFonts w:hint="eastAsia" w:ascii="宋体" w:hAnsi="宋体" w:cs="宋体"/>
                <w:kern w:val="0"/>
                <w:szCs w:val="21"/>
              </w:rPr>
              <w:t>从检查项维度对存储数据进行统计。</w:t>
            </w:r>
          </w:p>
        </w:tc>
      </w:tr>
      <w:tr w14:paraId="1A3C9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741" w:type="dxa"/>
            <w:vMerge w:val="continue"/>
            <w:noWrap w:val="0"/>
            <w:vAlign w:val="center"/>
          </w:tcPr>
          <w:p w14:paraId="47331744">
            <w:pPr>
              <w:widowControl/>
              <w:jc w:val="left"/>
              <w:rPr>
                <w:rFonts w:hint="eastAsia" w:ascii="宋体" w:hAnsi="宋体" w:cs="宋体"/>
                <w:kern w:val="0"/>
                <w:szCs w:val="21"/>
              </w:rPr>
            </w:pPr>
          </w:p>
        </w:tc>
        <w:tc>
          <w:tcPr>
            <w:tcW w:w="876" w:type="dxa"/>
            <w:noWrap w:val="0"/>
            <w:vAlign w:val="center"/>
          </w:tcPr>
          <w:p w14:paraId="1B7F1BF9">
            <w:pPr>
              <w:widowControl/>
              <w:jc w:val="center"/>
              <w:rPr>
                <w:rFonts w:hint="eastAsia" w:ascii="宋体" w:hAnsi="宋体" w:cs="宋体"/>
                <w:kern w:val="0"/>
                <w:szCs w:val="21"/>
              </w:rPr>
            </w:pPr>
            <w:r>
              <w:rPr>
                <w:rFonts w:hint="eastAsia" w:ascii="宋体" w:hAnsi="宋体" w:cs="宋体"/>
                <w:kern w:val="0"/>
                <w:szCs w:val="21"/>
              </w:rPr>
              <w:t>地区</w:t>
            </w:r>
          </w:p>
        </w:tc>
        <w:tc>
          <w:tcPr>
            <w:tcW w:w="7170" w:type="dxa"/>
            <w:noWrap w:val="0"/>
            <w:vAlign w:val="center"/>
          </w:tcPr>
          <w:p w14:paraId="35BDCB49">
            <w:pPr>
              <w:widowControl/>
              <w:rPr>
                <w:rFonts w:hint="eastAsia" w:ascii="宋体" w:hAnsi="宋体" w:cs="宋体"/>
                <w:kern w:val="0"/>
                <w:szCs w:val="21"/>
              </w:rPr>
            </w:pPr>
            <w:r>
              <w:rPr>
                <w:rFonts w:hint="eastAsia" w:ascii="宋体" w:hAnsi="宋体" w:cs="宋体"/>
                <w:kern w:val="0"/>
                <w:szCs w:val="21"/>
              </w:rPr>
              <w:t>以地图的形式统计各个地区的患者、病历数据。</w:t>
            </w:r>
          </w:p>
        </w:tc>
      </w:tr>
      <w:tr w14:paraId="18EA5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741" w:type="dxa"/>
            <w:vMerge w:val="continue"/>
            <w:noWrap w:val="0"/>
            <w:vAlign w:val="center"/>
          </w:tcPr>
          <w:p w14:paraId="6264FB54">
            <w:pPr>
              <w:widowControl/>
              <w:jc w:val="left"/>
              <w:rPr>
                <w:rFonts w:hint="eastAsia" w:ascii="宋体" w:hAnsi="宋体" w:cs="宋体"/>
                <w:kern w:val="0"/>
                <w:szCs w:val="21"/>
              </w:rPr>
            </w:pPr>
          </w:p>
        </w:tc>
        <w:tc>
          <w:tcPr>
            <w:tcW w:w="876" w:type="dxa"/>
            <w:noWrap w:val="0"/>
            <w:vAlign w:val="center"/>
          </w:tcPr>
          <w:p w14:paraId="307E9517">
            <w:pPr>
              <w:widowControl/>
              <w:jc w:val="center"/>
              <w:rPr>
                <w:rFonts w:hint="eastAsia" w:ascii="宋体" w:hAnsi="宋体" w:cs="宋体"/>
                <w:kern w:val="0"/>
                <w:szCs w:val="21"/>
              </w:rPr>
            </w:pPr>
            <w:r>
              <w:rPr>
                <w:rFonts w:hint="eastAsia" w:ascii="宋体" w:hAnsi="宋体" w:cs="宋体"/>
                <w:kern w:val="0"/>
                <w:szCs w:val="21"/>
              </w:rPr>
              <w:t>性别</w:t>
            </w:r>
          </w:p>
        </w:tc>
        <w:tc>
          <w:tcPr>
            <w:tcW w:w="7170" w:type="dxa"/>
            <w:noWrap w:val="0"/>
            <w:vAlign w:val="center"/>
          </w:tcPr>
          <w:p w14:paraId="475F17FD">
            <w:pPr>
              <w:widowControl/>
              <w:rPr>
                <w:rFonts w:hint="eastAsia" w:ascii="宋体" w:hAnsi="宋体" w:cs="宋体"/>
                <w:kern w:val="0"/>
                <w:szCs w:val="21"/>
              </w:rPr>
            </w:pPr>
            <w:r>
              <w:rPr>
                <w:rFonts w:hint="eastAsia" w:ascii="宋体" w:hAnsi="宋体" w:cs="宋体"/>
                <w:kern w:val="0"/>
                <w:szCs w:val="21"/>
              </w:rPr>
              <w:t>从性别维度统计患者、病历数据。</w:t>
            </w:r>
          </w:p>
        </w:tc>
      </w:tr>
      <w:tr w14:paraId="73A43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741" w:type="dxa"/>
            <w:vMerge w:val="continue"/>
            <w:noWrap w:val="0"/>
            <w:vAlign w:val="center"/>
          </w:tcPr>
          <w:p w14:paraId="3124CED5">
            <w:pPr>
              <w:widowControl/>
              <w:jc w:val="left"/>
              <w:rPr>
                <w:rFonts w:hint="eastAsia" w:ascii="宋体" w:hAnsi="宋体" w:cs="宋体"/>
                <w:kern w:val="0"/>
                <w:szCs w:val="21"/>
              </w:rPr>
            </w:pPr>
          </w:p>
        </w:tc>
        <w:tc>
          <w:tcPr>
            <w:tcW w:w="876" w:type="dxa"/>
            <w:noWrap w:val="0"/>
            <w:vAlign w:val="center"/>
          </w:tcPr>
          <w:p w14:paraId="6D1B93C9">
            <w:pPr>
              <w:widowControl/>
              <w:jc w:val="center"/>
              <w:rPr>
                <w:rFonts w:hint="eastAsia" w:ascii="宋体" w:hAnsi="宋体" w:cs="宋体"/>
                <w:kern w:val="0"/>
                <w:szCs w:val="21"/>
              </w:rPr>
            </w:pPr>
            <w:r>
              <w:rPr>
                <w:rFonts w:hint="eastAsia" w:ascii="宋体" w:hAnsi="宋体" w:cs="宋体"/>
                <w:kern w:val="0"/>
                <w:szCs w:val="21"/>
              </w:rPr>
              <w:t>年龄</w:t>
            </w:r>
          </w:p>
        </w:tc>
        <w:tc>
          <w:tcPr>
            <w:tcW w:w="7170" w:type="dxa"/>
            <w:noWrap w:val="0"/>
            <w:vAlign w:val="center"/>
          </w:tcPr>
          <w:p w14:paraId="050E85B8">
            <w:pPr>
              <w:widowControl/>
              <w:rPr>
                <w:rFonts w:hint="eastAsia" w:ascii="宋体" w:hAnsi="宋体" w:cs="宋体"/>
                <w:kern w:val="0"/>
                <w:szCs w:val="21"/>
              </w:rPr>
            </w:pPr>
            <w:r>
              <w:rPr>
                <w:rFonts w:hint="eastAsia" w:ascii="宋体" w:hAnsi="宋体" w:cs="宋体"/>
                <w:kern w:val="0"/>
                <w:szCs w:val="21"/>
              </w:rPr>
              <w:t>从年龄维度统计患者、病历数据。</w:t>
            </w:r>
          </w:p>
        </w:tc>
      </w:tr>
      <w:tr w14:paraId="77A3A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741" w:type="dxa"/>
            <w:vMerge w:val="continue"/>
            <w:noWrap w:val="0"/>
            <w:vAlign w:val="center"/>
          </w:tcPr>
          <w:p w14:paraId="3B8A82B2">
            <w:pPr>
              <w:widowControl/>
              <w:jc w:val="left"/>
              <w:rPr>
                <w:rFonts w:hint="eastAsia" w:ascii="宋体" w:hAnsi="宋体" w:cs="宋体"/>
                <w:kern w:val="0"/>
                <w:szCs w:val="21"/>
              </w:rPr>
            </w:pPr>
          </w:p>
        </w:tc>
        <w:tc>
          <w:tcPr>
            <w:tcW w:w="876" w:type="dxa"/>
            <w:noWrap w:val="0"/>
            <w:vAlign w:val="center"/>
          </w:tcPr>
          <w:p w14:paraId="7C2E70A5">
            <w:pPr>
              <w:widowControl/>
              <w:jc w:val="center"/>
              <w:rPr>
                <w:rFonts w:hint="eastAsia" w:ascii="宋体" w:hAnsi="宋体" w:cs="宋体"/>
                <w:kern w:val="0"/>
                <w:szCs w:val="21"/>
              </w:rPr>
            </w:pPr>
            <w:r>
              <w:rPr>
                <w:rFonts w:hint="eastAsia" w:ascii="宋体" w:hAnsi="宋体" w:cs="宋体"/>
                <w:kern w:val="0"/>
                <w:szCs w:val="21"/>
              </w:rPr>
              <w:t>总费用</w:t>
            </w:r>
          </w:p>
        </w:tc>
        <w:tc>
          <w:tcPr>
            <w:tcW w:w="7170" w:type="dxa"/>
            <w:noWrap w:val="0"/>
            <w:vAlign w:val="center"/>
          </w:tcPr>
          <w:p w14:paraId="2B9EDFA0">
            <w:pPr>
              <w:widowControl/>
              <w:rPr>
                <w:rFonts w:hint="eastAsia" w:ascii="宋体" w:hAnsi="宋体" w:cs="宋体"/>
                <w:kern w:val="0"/>
                <w:szCs w:val="21"/>
              </w:rPr>
            </w:pPr>
            <w:r>
              <w:rPr>
                <w:rFonts w:hint="eastAsia" w:ascii="宋体" w:hAnsi="宋体" w:cs="宋体"/>
                <w:kern w:val="0"/>
                <w:szCs w:val="21"/>
              </w:rPr>
              <w:t>从总费和各费用分项用方面统计患者、病历数据。</w:t>
            </w:r>
          </w:p>
        </w:tc>
      </w:tr>
      <w:tr w14:paraId="594C7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741" w:type="dxa"/>
            <w:vMerge w:val="continue"/>
            <w:noWrap w:val="0"/>
            <w:vAlign w:val="center"/>
          </w:tcPr>
          <w:p w14:paraId="709C0E1C">
            <w:pPr>
              <w:widowControl/>
              <w:jc w:val="left"/>
              <w:rPr>
                <w:rFonts w:hint="eastAsia" w:ascii="宋体" w:hAnsi="宋体" w:cs="宋体"/>
                <w:kern w:val="0"/>
                <w:szCs w:val="21"/>
              </w:rPr>
            </w:pPr>
          </w:p>
        </w:tc>
        <w:tc>
          <w:tcPr>
            <w:tcW w:w="876" w:type="dxa"/>
            <w:noWrap w:val="0"/>
            <w:vAlign w:val="center"/>
          </w:tcPr>
          <w:p w14:paraId="472FFE58">
            <w:pPr>
              <w:widowControl/>
              <w:jc w:val="center"/>
              <w:rPr>
                <w:rFonts w:hint="eastAsia" w:ascii="宋体" w:hAnsi="宋体" w:cs="宋体"/>
                <w:kern w:val="0"/>
                <w:szCs w:val="21"/>
              </w:rPr>
            </w:pPr>
            <w:r>
              <w:rPr>
                <w:rFonts w:hint="eastAsia" w:ascii="宋体" w:hAnsi="宋体" w:cs="宋体"/>
                <w:kern w:val="0"/>
                <w:szCs w:val="21"/>
              </w:rPr>
              <w:t>住院时间</w:t>
            </w:r>
          </w:p>
        </w:tc>
        <w:tc>
          <w:tcPr>
            <w:tcW w:w="7170" w:type="dxa"/>
            <w:noWrap w:val="0"/>
            <w:vAlign w:val="center"/>
          </w:tcPr>
          <w:p w14:paraId="61D641CF">
            <w:pPr>
              <w:widowControl/>
              <w:rPr>
                <w:rFonts w:hint="eastAsia" w:ascii="宋体" w:hAnsi="宋体" w:cs="宋体"/>
                <w:kern w:val="0"/>
                <w:szCs w:val="21"/>
              </w:rPr>
            </w:pPr>
            <w:r>
              <w:rPr>
                <w:rFonts w:hint="eastAsia" w:ascii="宋体" w:hAnsi="宋体" w:cs="宋体"/>
                <w:kern w:val="0"/>
                <w:szCs w:val="21"/>
              </w:rPr>
              <w:t>从住院时间方面统计患者、病历数据。</w:t>
            </w:r>
          </w:p>
        </w:tc>
      </w:tr>
      <w:tr w14:paraId="64075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741" w:type="dxa"/>
            <w:vMerge w:val="continue"/>
            <w:noWrap w:val="0"/>
            <w:vAlign w:val="center"/>
          </w:tcPr>
          <w:p w14:paraId="0EC9E4E0">
            <w:pPr>
              <w:widowControl/>
              <w:jc w:val="left"/>
              <w:rPr>
                <w:rFonts w:hint="eastAsia" w:ascii="宋体" w:hAnsi="宋体" w:cs="宋体"/>
                <w:kern w:val="0"/>
                <w:szCs w:val="21"/>
              </w:rPr>
            </w:pPr>
          </w:p>
        </w:tc>
        <w:tc>
          <w:tcPr>
            <w:tcW w:w="876" w:type="dxa"/>
            <w:noWrap w:val="0"/>
            <w:vAlign w:val="center"/>
          </w:tcPr>
          <w:p w14:paraId="789F1566">
            <w:pPr>
              <w:widowControl/>
              <w:jc w:val="center"/>
              <w:rPr>
                <w:rFonts w:hint="eastAsia" w:ascii="宋体" w:hAnsi="宋体" w:cs="宋体"/>
                <w:kern w:val="0"/>
                <w:szCs w:val="21"/>
              </w:rPr>
            </w:pPr>
            <w:r>
              <w:rPr>
                <w:rFonts w:hint="eastAsia" w:ascii="宋体" w:hAnsi="宋体" w:cs="宋体"/>
                <w:kern w:val="0"/>
                <w:szCs w:val="21"/>
              </w:rPr>
              <w:t>教学工作量</w:t>
            </w:r>
          </w:p>
        </w:tc>
        <w:tc>
          <w:tcPr>
            <w:tcW w:w="7170" w:type="dxa"/>
            <w:noWrap w:val="0"/>
            <w:vAlign w:val="center"/>
          </w:tcPr>
          <w:p w14:paraId="32D7B589">
            <w:pPr>
              <w:widowControl/>
              <w:rPr>
                <w:rFonts w:hint="eastAsia" w:ascii="宋体" w:hAnsi="宋体" w:cs="宋体"/>
                <w:kern w:val="0"/>
                <w:szCs w:val="21"/>
              </w:rPr>
            </w:pPr>
            <w:r>
              <w:rPr>
                <w:rFonts w:hint="eastAsia" w:ascii="宋体" w:hAnsi="宋体" w:cs="宋体"/>
                <w:kern w:val="0"/>
                <w:szCs w:val="21"/>
              </w:rPr>
              <w:t>从各类教学维度统计教学工作量数据，支持分类别分时段查询及统计。</w:t>
            </w:r>
          </w:p>
        </w:tc>
      </w:tr>
      <w:tr w14:paraId="172C1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741" w:type="dxa"/>
            <w:vMerge w:val="continue"/>
            <w:noWrap w:val="0"/>
            <w:vAlign w:val="center"/>
          </w:tcPr>
          <w:p w14:paraId="5EF80396">
            <w:pPr>
              <w:widowControl/>
              <w:jc w:val="left"/>
              <w:rPr>
                <w:rFonts w:hint="eastAsia" w:ascii="宋体" w:hAnsi="宋体" w:cs="宋体"/>
                <w:kern w:val="0"/>
                <w:szCs w:val="21"/>
              </w:rPr>
            </w:pPr>
          </w:p>
        </w:tc>
        <w:tc>
          <w:tcPr>
            <w:tcW w:w="876" w:type="dxa"/>
            <w:noWrap w:val="0"/>
            <w:vAlign w:val="center"/>
          </w:tcPr>
          <w:p w14:paraId="2A382072">
            <w:pPr>
              <w:widowControl/>
              <w:jc w:val="center"/>
              <w:rPr>
                <w:rFonts w:hint="eastAsia" w:ascii="宋体" w:hAnsi="宋体" w:cs="宋体"/>
                <w:kern w:val="0"/>
                <w:szCs w:val="21"/>
              </w:rPr>
            </w:pPr>
            <w:r>
              <w:rPr>
                <w:rFonts w:hint="eastAsia" w:ascii="宋体" w:hAnsi="宋体" w:cs="宋体"/>
                <w:kern w:val="0"/>
                <w:szCs w:val="21"/>
              </w:rPr>
              <w:t>教学质量</w:t>
            </w:r>
          </w:p>
        </w:tc>
        <w:tc>
          <w:tcPr>
            <w:tcW w:w="7170" w:type="dxa"/>
            <w:noWrap w:val="0"/>
            <w:vAlign w:val="center"/>
          </w:tcPr>
          <w:p w14:paraId="515C4A4A">
            <w:pPr>
              <w:widowControl/>
              <w:rPr>
                <w:rFonts w:hint="eastAsia" w:ascii="宋体" w:hAnsi="宋体" w:cs="宋体"/>
                <w:kern w:val="0"/>
                <w:szCs w:val="21"/>
              </w:rPr>
            </w:pPr>
            <w:r>
              <w:rPr>
                <w:rFonts w:hint="eastAsia" w:ascii="宋体" w:hAnsi="宋体" w:cs="宋体"/>
                <w:kern w:val="0"/>
                <w:szCs w:val="21"/>
              </w:rPr>
              <w:t>从各类教学维度统计教学质量数据，支持分类别分时段查询及统计。</w:t>
            </w:r>
          </w:p>
        </w:tc>
      </w:tr>
      <w:tr w14:paraId="5157E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trPr>
        <w:tc>
          <w:tcPr>
            <w:tcW w:w="741" w:type="dxa"/>
            <w:vMerge w:val="continue"/>
            <w:noWrap w:val="0"/>
            <w:vAlign w:val="center"/>
          </w:tcPr>
          <w:p w14:paraId="7F89C03E">
            <w:pPr>
              <w:widowControl/>
              <w:jc w:val="left"/>
              <w:rPr>
                <w:rFonts w:hint="eastAsia" w:ascii="宋体" w:hAnsi="宋体" w:cs="宋体"/>
                <w:kern w:val="0"/>
                <w:szCs w:val="21"/>
              </w:rPr>
            </w:pPr>
          </w:p>
        </w:tc>
        <w:tc>
          <w:tcPr>
            <w:tcW w:w="876" w:type="dxa"/>
            <w:noWrap w:val="0"/>
            <w:vAlign w:val="center"/>
          </w:tcPr>
          <w:p w14:paraId="370378CE">
            <w:pPr>
              <w:widowControl/>
              <w:jc w:val="center"/>
              <w:rPr>
                <w:rFonts w:hint="eastAsia" w:ascii="宋体" w:hAnsi="宋体" w:cs="宋体"/>
                <w:kern w:val="0"/>
                <w:szCs w:val="21"/>
              </w:rPr>
            </w:pPr>
            <w:r>
              <w:rPr>
                <w:rFonts w:hint="eastAsia" w:ascii="宋体" w:hAnsi="宋体" w:cs="宋体"/>
                <w:kern w:val="0"/>
                <w:szCs w:val="21"/>
              </w:rPr>
              <w:t>教学考核成绩</w:t>
            </w:r>
          </w:p>
        </w:tc>
        <w:tc>
          <w:tcPr>
            <w:tcW w:w="7170" w:type="dxa"/>
            <w:noWrap w:val="0"/>
            <w:vAlign w:val="center"/>
          </w:tcPr>
          <w:p w14:paraId="133A51C4">
            <w:pPr>
              <w:widowControl/>
              <w:rPr>
                <w:rFonts w:hint="eastAsia" w:ascii="宋体" w:hAnsi="宋体" w:cs="宋体"/>
                <w:kern w:val="0"/>
                <w:szCs w:val="21"/>
              </w:rPr>
            </w:pPr>
            <w:r>
              <w:rPr>
                <w:rFonts w:hint="eastAsia" w:ascii="宋体" w:hAnsi="宋体" w:cs="宋体"/>
                <w:kern w:val="0"/>
                <w:szCs w:val="21"/>
              </w:rPr>
              <w:t>从各类教学被考核对象维度统计考核成绩数据，各类操作、手术及病例病种完成情况数据，支持分类别分时段查询及统计。</w:t>
            </w:r>
          </w:p>
        </w:tc>
      </w:tr>
      <w:tr w14:paraId="2B9B0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trPr>
        <w:tc>
          <w:tcPr>
            <w:tcW w:w="741" w:type="dxa"/>
            <w:vMerge w:val="continue"/>
            <w:noWrap w:val="0"/>
            <w:vAlign w:val="center"/>
          </w:tcPr>
          <w:p w14:paraId="361A08E7">
            <w:pPr>
              <w:widowControl/>
              <w:jc w:val="left"/>
              <w:rPr>
                <w:rFonts w:hint="eastAsia" w:ascii="宋体" w:hAnsi="宋体" w:cs="宋体"/>
                <w:kern w:val="0"/>
                <w:szCs w:val="21"/>
              </w:rPr>
            </w:pPr>
          </w:p>
        </w:tc>
        <w:tc>
          <w:tcPr>
            <w:tcW w:w="876" w:type="dxa"/>
            <w:noWrap w:val="0"/>
            <w:vAlign w:val="center"/>
          </w:tcPr>
          <w:p w14:paraId="61002B03">
            <w:pPr>
              <w:widowControl/>
              <w:jc w:val="center"/>
              <w:rPr>
                <w:rFonts w:hint="eastAsia" w:ascii="宋体" w:hAnsi="宋体" w:cs="宋体"/>
                <w:kern w:val="0"/>
                <w:szCs w:val="21"/>
              </w:rPr>
            </w:pPr>
            <w:r>
              <w:rPr>
                <w:rFonts w:hint="eastAsia" w:ascii="宋体" w:hAnsi="宋体" w:cs="宋体"/>
                <w:kern w:val="0"/>
                <w:szCs w:val="21"/>
              </w:rPr>
              <w:t>教学培训</w:t>
            </w:r>
          </w:p>
        </w:tc>
        <w:tc>
          <w:tcPr>
            <w:tcW w:w="7170" w:type="dxa"/>
            <w:noWrap w:val="0"/>
            <w:vAlign w:val="center"/>
          </w:tcPr>
          <w:p w14:paraId="474C4C26">
            <w:pPr>
              <w:widowControl/>
              <w:rPr>
                <w:rFonts w:hint="eastAsia" w:ascii="宋体" w:hAnsi="宋体" w:cs="宋体"/>
                <w:kern w:val="0"/>
                <w:szCs w:val="21"/>
              </w:rPr>
            </w:pPr>
            <w:r>
              <w:rPr>
                <w:rFonts w:hint="eastAsia" w:ascii="宋体" w:hAnsi="宋体" w:cs="宋体"/>
                <w:kern w:val="0"/>
                <w:szCs w:val="21"/>
              </w:rPr>
              <w:t>从师资、学员维度统计教学培训数量、教学场地使用等数据，支持分类别分时段查询及统计。</w:t>
            </w:r>
          </w:p>
        </w:tc>
      </w:tr>
      <w:tr w14:paraId="2F6AC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741" w:type="dxa"/>
            <w:vMerge w:val="continue"/>
            <w:noWrap w:val="0"/>
            <w:vAlign w:val="center"/>
          </w:tcPr>
          <w:p w14:paraId="6F97B251">
            <w:pPr>
              <w:widowControl/>
              <w:jc w:val="left"/>
              <w:rPr>
                <w:rFonts w:hint="eastAsia" w:ascii="宋体" w:hAnsi="宋体" w:cs="宋体"/>
                <w:kern w:val="0"/>
                <w:szCs w:val="21"/>
              </w:rPr>
            </w:pPr>
          </w:p>
        </w:tc>
        <w:tc>
          <w:tcPr>
            <w:tcW w:w="876" w:type="dxa"/>
            <w:noWrap w:val="0"/>
            <w:vAlign w:val="center"/>
          </w:tcPr>
          <w:p w14:paraId="36887E2F">
            <w:pPr>
              <w:widowControl/>
              <w:jc w:val="center"/>
              <w:rPr>
                <w:rFonts w:hint="eastAsia" w:ascii="宋体" w:hAnsi="宋体" w:cs="宋体"/>
                <w:kern w:val="0"/>
                <w:szCs w:val="21"/>
              </w:rPr>
            </w:pPr>
            <w:r>
              <w:rPr>
                <w:rFonts w:hint="eastAsia" w:ascii="宋体" w:hAnsi="宋体" w:cs="宋体"/>
                <w:kern w:val="0"/>
                <w:szCs w:val="21"/>
              </w:rPr>
              <w:t>教学业绩</w:t>
            </w:r>
          </w:p>
        </w:tc>
        <w:tc>
          <w:tcPr>
            <w:tcW w:w="7170" w:type="dxa"/>
            <w:noWrap w:val="0"/>
            <w:vAlign w:val="center"/>
          </w:tcPr>
          <w:p w14:paraId="2C230283">
            <w:pPr>
              <w:widowControl/>
              <w:rPr>
                <w:rFonts w:hint="eastAsia" w:ascii="宋体" w:hAnsi="宋体" w:cs="宋体"/>
                <w:kern w:val="0"/>
                <w:szCs w:val="21"/>
              </w:rPr>
            </w:pPr>
            <w:r>
              <w:rPr>
                <w:rFonts w:hint="eastAsia" w:ascii="宋体" w:hAnsi="宋体" w:cs="宋体"/>
                <w:kern w:val="0"/>
                <w:szCs w:val="21"/>
              </w:rPr>
              <w:t>从教学业绩涵盖内容维度统计数据，支持分类别分时段查询及统计。</w:t>
            </w:r>
          </w:p>
        </w:tc>
      </w:tr>
      <w:tr w14:paraId="69EA3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trPr>
        <w:tc>
          <w:tcPr>
            <w:tcW w:w="741" w:type="dxa"/>
            <w:vMerge w:val="continue"/>
            <w:noWrap w:val="0"/>
            <w:vAlign w:val="center"/>
          </w:tcPr>
          <w:p w14:paraId="6F1F79B6">
            <w:pPr>
              <w:widowControl/>
              <w:jc w:val="left"/>
              <w:rPr>
                <w:rFonts w:hint="eastAsia" w:ascii="宋体" w:hAnsi="宋体" w:cs="宋体"/>
                <w:kern w:val="0"/>
                <w:szCs w:val="21"/>
              </w:rPr>
            </w:pPr>
          </w:p>
        </w:tc>
        <w:tc>
          <w:tcPr>
            <w:tcW w:w="876" w:type="dxa"/>
            <w:noWrap w:val="0"/>
            <w:vAlign w:val="center"/>
          </w:tcPr>
          <w:p w14:paraId="16ADDC84">
            <w:pPr>
              <w:widowControl/>
              <w:jc w:val="center"/>
              <w:rPr>
                <w:rFonts w:hint="eastAsia" w:ascii="宋体" w:hAnsi="宋体" w:cs="宋体"/>
                <w:kern w:val="0"/>
                <w:szCs w:val="21"/>
              </w:rPr>
            </w:pPr>
            <w:r>
              <w:rPr>
                <w:rFonts w:hint="eastAsia" w:ascii="宋体" w:hAnsi="宋体" w:cs="宋体"/>
                <w:kern w:val="0"/>
                <w:szCs w:val="21"/>
              </w:rPr>
              <w:t>学员人数</w:t>
            </w:r>
          </w:p>
        </w:tc>
        <w:tc>
          <w:tcPr>
            <w:tcW w:w="7170" w:type="dxa"/>
            <w:noWrap w:val="0"/>
            <w:vAlign w:val="center"/>
          </w:tcPr>
          <w:p w14:paraId="21A638EA">
            <w:pPr>
              <w:widowControl/>
              <w:rPr>
                <w:rFonts w:hint="eastAsia" w:ascii="宋体" w:hAnsi="宋体" w:cs="宋体"/>
                <w:kern w:val="0"/>
                <w:szCs w:val="21"/>
              </w:rPr>
            </w:pPr>
            <w:r>
              <w:rPr>
                <w:rFonts w:hint="eastAsia" w:ascii="宋体" w:hAnsi="宋体" w:cs="宋体"/>
                <w:kern w:val="0"/>
                <w:szCs w:val="21"/>
              </w:rPr>
              <w:t>支持各类别学员人数分时段查询及统计。</w:t>
            </w:r>
          </w:p>
        </w:tc>
      </w:tr>
      <w:tr w14:paraId="628B8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741" w:type="dxa"/>
            <w:vMerge w:val="continue"/>
            <w:noWrap w:val="0"/>
            <w:vAlign w:val="center"/>
          </w:tcPr>
          <w:p w14:paraId="5F5CAA01">
            <w:pPr>
              <w:widowControl/>
              <w:jc w:val="left"/>
              <w:rPr>
                <w:rFonts w:hint="eastAsia" w:ascii="宋体" w:hAnsi="宋体" w:cs="宋体"/>
                <w:kern w:val="0"/>
                <w:szCs w:val="21"/>
              </w:rPr>
            </w:pPr>
          </w:p>
        </w:tc>
        <w:tc>
          <w:tcPr>
            <w:tcW w:w="876" w:type="dxa"/>
            <w:noWrap w:val="0"/>
            <w:vAlign w:val="center"/>
          </w:tcPr>
          <w:p w14:paraId="21E44708">
            <w:pPr>
              <w:widowControl/>
              <w:jc w:val="center"/>
              <w:rPr>
                <w:rFonts w:hint="eastAsia" w:ascii="宋体" w:hAnsi="宋体" w:cs="宋体"/>
                <w:kern w:val="0"/>
                <w:szCs w:val="21"/>
              </w:rPr>
            </w:pPr>
            <w:r>
              <w:rPr>
                <w:rFonts w:hint="eastAsia" w:ascii="宋体" w:hAnsi="宋体" w:cs="宋体"/>
                <w:kern w:val="0"/>
                <w:szCs w:val="21"/>
              </w:rPr>
              <w:t>员工人数</w:t>
            </w:r>
          </w:p>
        </w:tc>
        <w:tc>
          <w:tcPr>
            <w:tcW w:w="7170" w:type="dxa"/>
            <w:noWrap w:val="0"/>
            <w:vAlign w:val="center"/>
          </w:tcPr>
          <w:p w14:paraId="35688B2D">
            <w:pPr>
              <w:widowControl/>
              <w:rPr>
                <w:rFonts w:hint="eastAsia" w:ascii="宋体" w:hAnsi="宋体" w:cs="宋体"/>
                <w:kern w:val="0"/>
                <w:szCs w:val="21"/>
              </w:rPr>
            </w:pPr>
            <w:r>
              <w:rPr>
                <w:rFonts w:hint="eastAsia" w:ascii="宋体" w:hAnsi="宋体" w:cs="宋体"/>
                <w:kern w:val="0"/>
                <w:szCs w:val="21"/>
              </w:rPr>
              <w:t>支持各岗位类别员工人数分时段查询及统计。</w:t>
            </w:r>
          </w:p>
        </w:tc>
      </w:tr>
      <w:tr w14:paraId="77961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741" w:type="dxa"/>
            <w:vMerge w:val="continue"/>
            <w:noWrap w:val="0"/>
            <w:vAlign w:val="center"/>
          </w:tcPr>
          <w:p w14:paraId="51B5F5CF">
            <w:pPr>
              <w:widowControl/>
              <w:jc w:val="left"/>
              <w:rPr>
                <w:rFonts w:hint="eastAsia" w:ascii="宋体" w:hAnsi="宋体" w:cs="宋体"/>
                <w:kern w:val="0"/>
                <w:szCs w:val="21"/>
              </w:rPr>
            </w:pPr>
          </w:p>
        </w:tc>
        <w:tc>
          <w:tcPr>
            <w:tcW w:w="876" w:type="dxa"/>
            <w:noWrap w:val="0"/>
            <w:vAlign w:val="center"/>
          </w:tcPr>
          <w:p w14:paraId="7E29BB45">
            <w:pPr>
              <w:widowControl/>
              <w:jc w:val="center"/>
              <w:rPr>
                <w:rFonts w:hint="eastAsia" w:ascii="宋体" w:hAnsi="宋体" w:cs="宋体"/>
                <w:kern w:val="0"/>
                <w:szCs w:val="21"/>
              </w:rPr>
            </w:pPr>
            <w:r>
              <w:rPr>
                <w:rFonts w:hint="eastAsia" w:ascii="宋体" w:hAnsi="宋体" w:cs="宋体"/>
                <w:kern w:val="0"/>
                <w:szCs w:val="21"/>
              </w:rPr>
              <w:t>考勤</w:t>
            </w:r>
          </w:p>
        </w:tc>
        <w:tc>
          <w:tcPr>
            <w:tcW w:w="7170" w:type="dxa"/>
            <w:noWrap w:val="0"/>
            <w:vAlign w:val="center"/>
          </w:tcPr>
          <w:p w14:paraId="655332B5">
            <w:pPr>
              <w:widowControl/>
              <w:rPr>
                <w:rFonts w:hint="eastAsia" w:ascii="宋体" w:hAnsi="宋体" w:cs="宋体"/>
                <w:kern w:val="0"/>
                <w:szCs w:val="21"/>
              </w:rPr>
            </w:pPr>
            <w:r>
              <w:rPr>
                <w:rFonts w:hint="eastAsia" w:ascii="宋体" w:hAnsi="宋体" w:cs="宋体"/>
                <w:kern w:val="0"/>
                <w:szCs w:val="21"/>
              </w:rPr>
              <w:t>支持各岗位出勤情况分时段查询。</w:t>
            </w:r>
          </w:p>
        </w:tc>
      </w:tr>
      <w:tr w14:paraId="729F7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741" w:type="dxa"/>
            <w:vMerge w:val="continue"/>
            <w:noWrap w:val="0"/>
            <w:vAlign w:val="center"/>
          </w:tcPr>
          <w:p w14:paraId="5589DB1C">
            <w:pPr>
              <w:widowControl/>
              <w:jc w:val="left"/>
              <w:rPr>
                <w:rFonts w:hint="eastAsia" w:ascii="宋体" w:hAnsi="宋体" w:cs="宋体"/>
                <w:kern w:val="0"/>
                <w:szCs w:val="21"/>
              </w:rPr>
            </w:pPr>
          </w:p>
        </w:tc>
        <w:tc>
          <w:tcPr>
            <w:tcW w:w="876" w:type="dxa"/>
            <w:noWrap w:val="0"/>
            <w:vAlign w:val="center"/>
          </w:tcPr>
          <w:p w14:paraId="26A97F3E">
            <w:pPr>
              <w:widowControl/>
              <w:jc w:val="center"/>
              <w:rPr>
                <w:rFonts w:hint="eastAsia" w:ascii="宋体" w:hAnsi="宋体" w:cs="宋体"/>
                <w:kern w:val="0"/>
                <w:szCs w:val="21"/>
              </w:rPr>
            </w:pPr>
            <w:r>
              <w:rPr>
                <w:rFonts w:hint="eastAsia" w:ascii="宋体" w:hAnsi="宋体" w:cs="宋体"/>
                <w:kern w:val="0"/>
                <w:szCs w:val="21"/>
              </w:rPr>
              <w:t>手术室排程数据</w:t>
            </w:r>
          </w:p>
        </w:tc>
        <w:tc>
          <w:tcPr>
            <w:tcW w:w="7170" w:type="dxa"/>
            <w:noWrap w:val="0"/>
            <w:vAlign w:val="center"/>
          </w:tcPr>
          <w:p w14:paraId="42A94760">
            <w:pPr>
              <w:widowControl/>
              <w:rPr>
                <w:rFonts w:hint="eastAsia" w:ascii="宋体" w:hAnsi="宋体" w:cs="宋体"/>
                <w:kern w:val="0"/>
                <w:szCs w:val="21"/>
              </w:rPr>
            </w:pPr>
            <w:r>
              <w:rPr>
                <w:rFonts w:hint="eastAsia" w:ascii="宋体" w:hAnsi="宋体" w:cs="宋体"/>
                <w:kern w:val="0"/>
                <w:szCs w:val="21"/>
              </w:rPr>
              <w:t>支持手术开始和结束时间等查询及统计。</w:t>
            </w:r>
          </w:p>
        </w:tc>
      </w:tr>
      <w:tr w14:paraId="17AF9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741" w:type="dxa"/>
            <w:vMerge w:val="restart"/>
            <w:noWrap w:val="0"/>
            <w:vAlign w:val="center"/>
          </w:tcPr>
          <w:p w14:paraId="23CD80F8">
            <w:pPr>
              <w:widowControl/>
              <w:jc w:val="left"/>
              <w:rPr>
                <w:rFonts w:hint="eastAsia" w:ascii="宋体" w:hAnsi="宋体" w:cs="宋体"/>
                <w:kern w:val="0"/>
                <w:szCs w:val="21"/>
              </w:rPr>
            </w:pPr>
            <w:r>
              <w:rPr>
                <w:rFonts w:hint="eastAsia" w:ascii="宋体" w:hAnsi="宋体" w:cs="宋体"/>
                <w:kern w:val="0"/>
                <w:szCs w:val="21"/>
              </w:rPr>
              <w:t>8.数据安全</w:t>
            </w:r>
          </w:p>
        </w:tc>
        <w:tc>
          <w:tcPr>
            <w:tcW w:w="876" w:type="dxa"/>
            <w:noWrap w:val="0"/>
            <w:vAlign w:val="center"/>
          </w:tcPr>
          <w:p w14:paraId="1BF479A3">
            <w:pPr>
              <w:widowControl/>
              <w:jc w:val="center"/>
              <w:rPr>
                <w:rFonts w:hint="eastAsia" w:ascii="宋体" w:hAnsi="宋体" w:cs="宋体"/>
                <w:kern w:val="0"/>
                <w:szCs w:val="21"/>
              </w:rPr>
            </w:pPr>
            <w:r>
              <w:rPr>
                <w:rFonts w:hint="eastAsia" w:ascii="宋体" w:hAnsi="宋体" w:cs="宋体"/>
                <w:kern w:val="0"/>
                <w:szCs w:val="21"/>
              </w:rPr>
              <w:t>规则管理</w:t>
            </w:r>
          </w:p>
        </w:tc>
        <w:tc>
          <w:tcPr>
            <w:tcW w:w="7170" w:type="dxa"/>
            <w:noWrap w:val="0"/>
            <w:vAlign w:val="center"/>
          </w:tcPr>
          <w:p w14:paraId="5AA87FA0">
            <w:pPr>
              <w:widowControl/>
              <w:rPr>
                <w:rFonts w:hint="eastAsia" w:ascii="宋体" w:hAnsi="宋体" w:cs="宋体"/>
                <w:kern w:val="0"/>
                <w:szCs w:val="21"/>
              </w:rPr>
            </w:pPr>
            <w:r>
              <w:rPr>
                <w:rFonts w:hint="eastAsia" w:ascii="宋体" w:hAnsi="宋体" w:cs="宋体"/>
                <w:kern w:val="0"/>
                <w:szCs w:val="21"/>
              </w:rPr>
              <w:t>提供5个安全级别设置，系统内置不低于20种脱敏算法，允许用户进行参数配置和测试，以使其满足各种脱敏场景的需求。</w:t>
            </w:r>
          </w:p>
        </w:tc>
      </w:tr>
      <w:tr w14:paraId="3555A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741" w:type="dxa"/>
            <w:vMerge w:val="continue"/>
            <w:noWrap w:val="0"/>
            <w:vAlign w:val="center"/>
          </w:tcPr>
          <w:p w14:paraId="6BA2ACDA">
            <w:pPr>
              <w:widowControl/>
              <w:jc w:val="left"/>
              <w:rPr>
                <w:rFonts w:hint="eastAsia" w:ascii="宋体" w:hAnsi="宋体" w:cs="宋体"/>
                <w:kern w:val="0"/>
                <w:szCs w:val="21"/>
              </w:rPr>
            </w:pPr>
          </w:p>
        </w:tc>
        <w:tc>
          <w:tcPr>
            <w:tcW w:w="876" w:type="dxa"/>
            <w:noWrap w:val="0"/>
            <w:vAlign w:val="center"/>
          </w:tcPr>
          <w:p w14:paraId="444AF24A">
            <w:pPr>
              <w:widowControl/>
              <w:jc w:val="center"/>
              <w:rPr>
                <w:rFonts w:hint="eastAsia" w:ascii="宋体" w:hAnsi="宋体" w:cs="宋体"/>
                <w:kern w:val="0"/>
                <w:szCs w:val="21"/>
              </w:rPr>
            </w:pPr>
            <w:r>
              <w:rPr>
                <w:rFonts w:hint="eastAsia" w:ascii="宋体" w:hAnsi="宋体" w:cs="宋体"/>
                <w:color w:val="000000"/>
                <w:szCs w:val="21"/>
              </w:rPr>
              <w:t>访问权限控制</w:t>
            </w:r>
          </w:p>
        </w:tc>
        <w:tc>
          <w:tcPr>
            <w:tcW w:w="7170" w:type="dxa"/>
            <w:noWrap w:val="0"/>
            <w:vAlign w:val="center"/>
          </w:tcPr>
          <w:p w14:paraId="539A5BB7">
            <w:pPr>
              <w:widowControl/>
              <w:rPr>
                <w:rFonts w:hint="eastAsia" w:ascii="宋体" w:hAnsi="宋体" w:cs="宋体"/>
                <w:kern w:val="0"/>
                <w:szCs w:val="21"/>
              </w:rPr>
            </w:pPr>
            <w:r>
              <w:rPr>
                <w:rFonts w:hint="eastAsia" w:ascii="宋体" w:hAnsi="宋体" w:cs="宋体"/>
                <w:kern w:val="0"/>
                <w:szCs w:val="21"/>
              </w:rPr>
              <w:t>实现空间之间表的授权（可读），支持在数据开发的脚本开发、智能ETL中，数据服务的API服务、数据表服务、传输服务中进行使用。</w:t>
            </w:r>
          </w:p>
        </w:tc>
      </w:tr>
      <w:tr w14:paraId="5A9BB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741" w:type="dxa"/>
            <w:vMerge w:val="restart"/>
            <w:noWrap w:val="0"/>
            <w:vAlign w:val="center"/>
          </w:tcPr>
          <w:p w14:paraId="3E1DB15C">
            <w:pPr>
              <w:widowControl/>
              <w:jc w:val="left"/>
              <w:rPr>
                <w:rFonts w:hint="eastAsia" w:ascii="宋体" w:hAnsi="宋体" w:cs="宋体"/>
                <w:kern w:val="0"/>
                <w:szCs w:val="21"/>
              </w:rPr>
            </w:pPr>
            <w:r>
              <w:rPr>
                <w:rFonts w:hint="eastAsia" w:ascii="宋体" w:hAnsi="宋体" w:cs="宋体"/>
                <w:kern w:val="0"/>
                <w:szCs w:val="21"/>
              </w:rPr>
              <w:t>9.运营管理决策分析</w:t>
            </w:r>
          </w:p>
        </w:tc>
        <w:tc>
          <w:tcPr>
            <w:tcW w:w="876" w:type="dxa"/>
            <w:vMerge w:val="restart"/>
            <w:noWrap w:val="0"/>
            <w:vAlign w:val="center"/>
          </w:tcPr>
          <w:p w14:paraId="625F855D">
            <w:pPr>
              <w:widowControl/>
              <w:jc w:val="center"/>
              <w:rPr>
                <w:rFonts w:hint="eastAsia" w:ascii="宋体" w:hAnsi="宋体" w:cs="宋体"/>
                <w:kern w:val="0"/>
                <w:szCs w:val="21"/>
              </w:rPr>
            </w:pPr>
            <w:r>
              <w:rPr>
                <w:rFonts w:hint="eastAsia" w:ascii="宋体" w:hAnsi="宋体" w:cs="宋体"/>
                <w:kern w:val="0"/>
                <w:szCs w:val="21"/>
              </w:rPr>
              <w:t>整体要求</w:t>
            </w:r>
          </w:p>
        </w:tc>
        <w:tc>
          <w:tcPr>
            <w:tcW w:w="7170" w:type="dxa"/>
            <w:noWrap w:val="0"/>
            <w:vAlign w:val="center"/>
          </w:tcPr>
          <w:p w14:paraId="1AE9947D">
            <w:pPr>
              <w:widowControl/>
              <w:rPr>
                <w:rFonts w:hint="eastAsia" w:ascii="宋体" w:hAnsi="宋体" w:cs="宋体"/>
                <w:kern w:val="0"/>
                <w:szCs w:val="21"/>
              </w:rPr>
            </w:pPr>
            <w:r>
              <w:rPr>
                <w:rFonts w:hint="eastAsia" w:ascii="宋体" w:hAnsi="宋体" w:cs="宋体"/>
                <w:kern w:val="0"/>
                <w:szCs w:val="21"/>
              </w:rPr>
              <w:t>提供不少于3种视图数据展现方式(如条形图、环形图、折线图)。</w:t>
            </w:r>
          </w:p>
        </w:tc>
      </w:tr>
      <w:tr w14:paraId="42F10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741" w:type="dxa"/>
            <w:vMerge w:val="continue"/>
            <w:noWrap w:val="0"/>
            <w:vAlign w:val="center"/>
          </w:tcPr>
          <w:p w14:paraId="5B9EB35D">
            <w:pPr>
              <w:widowControl/>
              <w:jc w:val="left"/>
              <w:rPr>
                <w:rFonts w:hint="eastAsia" w:ascii="宋体" w:hAnsi="宋体" w:cs="宋体"/>
                <w:kern w:val="0"/>
                <w:szCs w:val="21"/>
              </w:rPr>
            </w:pPr>
          </w:p>
        </w:tc>
        <w:tc>
          <w:tcPr>
            <w:tcW w:w="876" w:type="dxa"/>
            <w:vMerge w:val="continue"/>
            <w:noWrap w:val="0"/>
            <w:vAlign w:val="center"/>
          </w:tcPr>
          <w:p w14:paraId="4D58ED5C">
            <w:pPr>
              <w:widowControl/>
              <w:jc w:val="center"/>
              <w:rPr>
                <w:rFonts w:hint="eastAsia" w:ascii="宋体" w:hAnsi="宋体" w:cs="宋体"/>
                <w:kern w:val="0"/>
                <w:szCs w:val="21"/>
              </w:rPr>
            </w:pPr>
          </w:p>
        </w:tc>
        <w:tc>
          <w:tcPr>
            <w:tcW w:w="7170" w:type="dxa"/>
            <w:noWrap w:val="0"/>
            <w:vAlign w:val="center"/>
          </w:tcPr>
          <w:p w14:paraId="4B0281E0">
            <w:pPr>
              <w:widowControl/>
              <w:rPr>
                <w:rFonts w:hint="eastAsia" w:ascii="宋体" w:hAnsi="宋体" w:cs="宋体"/>
                <w:kern w:val="0"/>
                <w:szCs w:val="21"/>
              </w:rPr>
            </w:pPr>
            <w:r>
              <w:rPr>
                <w:rFonts w:hint="eastAsia" w:ascii="宋体" w:hAnsi="宋体" w:cs="宋体"/>
                <w:kern w:val="0"/>
                <w:szCs w:val="21"/>
              </w:rPr>
              <w:t>系统基于B/S架构可方便集成于第三方应用系统界面，支持配置页面水印，水印内容可以自定义，可进行页面水印的字体大小、角度、透明度等操作。</w:t>
            </w:r>
          </w:p>
        </w:tc>
      </w:tr>
      <w:tr w14:paraId="1E52E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741" w:type="dxa"/>
            <w:vMerge w:val="continue"/>
            <w:noWrap w:val="0"/>
            <w:vAlign w:val="center"/>
          </w:tcPr>
          <w:p w14:paraId="66618B40">
            <w:pPr>
              <w:widowControl/>
              <w:jc w:val="left"/>
              <w:rPr>
                <w:rFonts w:hint="eastAsia" w:ascii="宋体" w:hAnsi="宋体" w:cs="宋体"/>
                <w:kern w:val="0"/>
                <w:szCs w:val="21"/>
              </w:rPr>
            </w:pPr>
          </w:p>
        </w:tc>
        <w:tc>
          <w:tcPr>
            <w:tcW w:w="876" w:type="dxa"/>
            <w:vMerge w:val="continue"/>
            <w:noWrap w:val="0"/>
            <w:vAlign w:val="center"/>
          </w:tcPr>
          <w:p w14:paraId="1A3ACF46">
            <w:pPr>
              <w:widowControl/>
              <w:jc w:val="center"/>
              <w:rPr>
                <w:rFonts w:hint="eastAsia" w:ascii="宋体" w:hAnsi="宋体" w:cs="宋体"/>
                <w:kern w:val="0"/>
                <w:szCs w:val="21"/>
              </w:rPr>
            </w:pPr>
          </w:p>
        </w:tc>
        <w:tc>
          <w:tcPr>
            <w:tcW w:w="7170" w:type="dxa"/>
            <w:noWrap w:val="0"/>
            <w:vAlign w:val="center"/>
          </w:tcPr>
          <w:p w14:paraId="7AECAFBA">
            <w:pPr>
              <w:widowControl/>
              <w:rPr>
                <w:rFonts w:hint="eastAsia" w:ascii="宋体" w:hAnsi="宋体" w:cs="宋体"/>
                <w:kern w:val="0"/>
                <w:szCs w:val="21"/>
              </w:rPr>
            </w:pPr>
            <w:r>
              <w:rPr>
                <w:rFonts w:hint="eastAsia" w:ascii="宋体" w:hAnsi="宋体" w:cs="宋体"/>
                <w:kern w:val="0"/>
                <w:szCs w:val="21"/>
                <w:highlight w:val="yellow"/>
              </w:rPr>
              <w:t>系统应具备良好的可扩展性和适应性，当国家、省、市相关法律、法规、政策或行业标准发生变更时，在项目服务周期内能够支持对系统对相关的指标进行及时、必要的适应性修改。</w:t>
            </w:r>
          </w:p>
        </w:tc>
      </w:tr>
      <w:tr w14:paraId="213AA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741" w:type="dxa"/>
            <w:vMerge w:val="continue"/>
            <w:noWrap w:val="0"/>
            <w:vAlign w:val="center"/>
          </w:tcPr>
          <w:p w14:paraId="76C3781A">
            <w:pPr>
              <w:widowControl/>
              <w:jc w:val="left"/>
              <w:rPr>
                <w:rFonts w:hint="eastAsia" w:ascii="宋体" w:hAnsi="宋体" w:cs="宋体"/>
                <w:kern w:val="0"/>
                <w:szCs w:val="21"/>
              </w:rPr>
            </w:pPr>
          </w:p>
        </w:tc>
        <w:tc>
          <w:tcPr>
            <w:tcW w:w="876" w:type="dxa"/>
            <w:vMerge w:val="continue"/>
            <w:noWrap w:val="0"/>
            <w:vAlign w:val="center"/>
          </w:tcPr>
          <w:p w14:paraId="4B969DFF">
            <w:pPr>
              <w:widowControl/>
              <w:jc w:val="center"/>
              <w:rPr>
                <w:rFonts w:hint="eastAsia" w:ascii="宋体" w:hAnsi="宋体" w:cs="宋体"/>
                <w:kern w:val="0"/>
                <w:szCs w:val="21"/>
              </w:rPr>
            </w:pPr>
          </w:p>
        </w:tc>
        <w:tc>
          <w:tcPr>
            <w:tcW w:w="7170" w:type="dxa"/>
            <w:noWrap w:val="0"/>
            <w:vAlign w:val="center"/>
          </w:tcPr>
          <w:p w14:paraId="7B4659F1">
            <w:pPr>
              <w:widowControl/>
              <w:rPr>
                <w:rFonts w:hint="eastAsia" w:ascii="宋体" w:hAnsi="宋体" w:cs="宋体"/>
                <w:kern w:val="0"/>
                <w:szCs w:val="21"/>
              </w:rPr>
            </w:pPr>
            <w:r>
              <w:rPr>
                <w:rFonts w:hint="eastAsia" w:ascii="宋体" w:hAnsi="宋体" w:cs="宋体"/>
                <w:kern w:val="0"/>
                <w:szCs w:val="21"/>
              </w:rPr>
              <w:t>具备PC端和移动端的客户端应用。</w:t>
            </w:r>
          </w:p>
        </w:tc>
      </w:tr>
      <w:tr w14:paraId="3B07A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741" w:type="dxa"/>
            <w:vMerge w:val="continue"/>
            <w:noWrap w:val="0"/>
            <w:vAlign w:val="center"/>
          </w:tcPr>
          <w:p w14:paraId="4D9A501E">
            <w:pPr>
              <w:widowControl/>
              <w:jc w:val="left"/>
              <w:rPr>
                <w:rFonts w:hint="eastAsia" w:ascii="宋体" w:hAnsi="宋体" w:cs="宋体"/>
                <w:kern w:val="0"/>
                <w:szCs w:val="21"/>
              </w:rPr>
            </w:pPr>
          </w:p>
        </w:tc>
        <w:tc>
          <w:tcPr>
            <w:tcW w:w="876" w:type="dxa"/>
            <w:noWrap w:val="0"/>
            <w:vAlign w:val="center"/>
          </w:tcPr>
          <w:p w14:paraId="5779A11F">
            <w:pPr>
              <w:widowControl/>
              <w:jc w:val="center"/>
              <w:rPr>
                <w:rFonts w:hint="eastAsia" w:ascii="宋体" w:hAnsi="宋体" w:cs="宋体"/>
                <w:kern w:val="0"/>
                <w:szCs w:val="21"/>
              </w:rPr>
            </w:pPr>
            <w:r>
              <w:rPr>
                <w:rFonts w:hint="eastAsia" w:ascii="宋体" w:hAnsi="宋体" w:cs="宋体"/>
                <w:kern w:val="0"/>
                <w:szCs w:val="21"/>
              </w:rPr>
              <w:t>全院指标监控</w:t>
            </w:r>
          </w:p>
        </w:tc>
        <w:tc>
          <w:tcPr>
            <w:tcW w:w="7170" w:type="dxa"/>
            <w:noWrap w:val="0"/>
            <w:vAlign w:val="center"/>
          </w:tcPr>
          <w:p w14:paraId="04265D56">
            <w:pPr>
              <w:widowControl/>
              <w:numPr>
                <w:ilvl w:val="0"/>
                <w:numId w:val="9"/>
              </w:numPr>
              <w:rPr>
                <w:rFonts w:hint="eastAsia" w:ascii="宋体" w:hAnsi="宋体" w:cs="宋体"/>
                <w:kern w:val="0"/>
                <w:szCs w:val="21"/>
                <w:highlight w:val="none"/>
              </w:rPr>
            </w:pPr>
            <w:r>
              <w:rPr>
                <w:rFonts w:hint="eastAsia" w:ascii="宋体" w:hAnsi="宋体" w:cs="宋体"/>
                <w:kern w:val="0"/>
                <w:szCs w:val="21"/>
              </w:rPr>
              <w:t>指标主题导航：对各类管理指标、考核指标按数据分析主题快速导航，选择主题展示全量指标汇总信息；</w:t>
            </w:r>
          </w:p>
          <w:p w14:paraId="4AAA55DF">
            <w:pPr>
              <w:widowControl/>
              <w:numPr>
                <w:ilvl w:val="0"/>
                <w:numId w:val="9"/>
              </w:numPr>
              <w:rPr>
                <w:rFonts w:hint="eastAsia" w:ascii="宋体" w:hAnsi="宋体" w:cs="宋体"/>
                <w:kern w:val="0"/>
                <w:szCs w:val="21"/>
                <w:highlight w:val="none"/>
              </w:rPr>
            </w:pPr>
            <w:r>
              <w:rPr>
                <w:rFonts w:hint="eastAsia" w:ascii="宋体" w:hAnsi="宋体" w:cs="宋体"/>
                <w:kern w:val="0"/>
                <w:szCs w:val="21"/>
              </w:rPr>
              <w:t>指标搜索：支持根据指标名、关键词快速搜索该主题下的指标；</w:t>
            </w:r>
          </w:p>
          <w:p w14:paraId="1AE5C72B">
            <w:pPr>
              <w:widowControl/>
              <w:numPr>
                <w:ilvl w:val="0"/>
                <w:numId w:val="9"/>
              </w:numPr>
              <w:rPr>
                <w:rFonts w:hint="eastAsia" w:ascii="宋体" w:hAnsi="宋体" w:cs="宋体"/>
                <w:kern w:val="0"/>
                <w:szCs w:val="21"/>
                <w:highlight w:val="none"/>
              </w:rPr>
            </w:pPr>
            <w:r>
              <w:rPr>
                <w:rFonts w:hint="eastAsia" w:ascii="宋体" w:hAnsi="宋体" w:cs="宋体"/>
                <w:kern w:val="0"/>
                <w:szCs w:val="21"/>
              </w:rPr>
              <w:t>指标查询：支持根据医院组织架构，按全院、科室维度逐级查询该主题下全部一级指标、二级指标结果值；支持根据统计周期和时间范围，按年 - 月 - 日维度查询该主题下某时段的全部一级指标、二级指标结果值；</w:t>
            </w:r>
          </w:p>
          <w:p w14:paraId="41D8368A">
            <w:pPr>
              <w:widowControl/>
              <w:numPr>
                <w:ilvl w:val="0"/>
                <w:numId w:val="9"/>
              </w:numPr>
              <w:rPr>
                <w:rFonts w:hint="eastAsia" w:ascii="宋体" w:hAnsi="宋体" w:cs="宋体"/>
                <w:kern w:val="0"/>
                <w:szCs w:val="21"/>
                <w:highlight w:val="none"/>
              </w:rPr>
            </w:pPr>
            <w:r>
              <w:rPr>
                <w:rFonts w:hint="eastAsia" w:ascii="宋体" w:hAnsi="宋体" w:cs="宋体"/>
                <w:kern w:val="0"/>
                <w:szCs w:val="21"/>
              </w:rPr>
              <w:t>指标定义查看：支持查看指标定义，包括基本信息、业务信息、技术信息等；支持指标定义历史版本信息查看，浏览全部修订版本记录、修订项、变更时间和变更操作用户；支持查看指标关联关系，以图形展示复合指标关联指标情况；</w:t>
            </w:r>
          </w:p>
          <w:p w14:paraId="158C19EB">
            <w:pPr>
              <w:widowControl/>
              <w:numPr>
                <w:ilvl w:val="0"/>
                <w:numId w:val="9"/>
              </w:numPr>
              <w:rPr>
                <w:rFonts w:hint="eastAsia" w:ascii="宋体" w:hAnsi="宋体" w:cs="宋体"/>
                <w:kern w:val="0"/>
                <w:szCs w:val="21"/>
                <w:highlight w:val="none"/>
              </w:rPr>
            </w:pPr>
            <w:r>
              <w:rPr>
                <w:rFonts w:hint="eastAsia" w:ascii="宋体" w:hAnsi="宋体" w:cs="宋体"/>
                <w:kern w:val="0"/>
                <w:szCs w:val="21"/>
              </w:rPr>
              <w:t>监测指标一览：支持以指标卡展示该主题下所有指标结果值，根据指标值类型，在指标卡中以柱状图</w:t>
            </w:r>
            <w:r>
              <w:rPr>
                <w:rFonts w:hint="eastAsia" w:ascii="宋体" w:hAnsi="宋体" w:cs="宋体"/>
                <w:kern w:val="0"/>
                <w:szCs w:val="21"/>
                <w:highlight w:val="none"/>
              </w:rPr>
              <w:t>或</w:t>
            </w:r>
            <w:r>
              <w:rPr>
                <w:rFonts w:hint="eastAsia" w:ascii="宋体" w:hAnsi="宋体" w:cs="宋体"/>
                <w:kern w:val="0"/>
                <w:szCs w:val="21"/>
              </w:rPr>
              <w:t>百分比图</w:t>
            </w:r>
            <w:r>
              <w:rPr>
                <w:rFonts w:hint="eastAsia" w:ascii="宋体" w:hAnsi="宋体" w:cs="宋体"/>
                <w:kern w:val="0"/>
                <w:szCs w:val="21"/>
                <w:highlight w:val="none"/>
              </w:rPr>
              <w:t>或</w:t>
            </w:r>
            <w:r>
              <w:rPr>
                <w:rFonts w:hint="eastAsia" w:ascii="宋体" w:hAnsi="宋体" w:cs="宋体"/>
                <w:kern w:val="0"/>
                <w:szCs w:val="21"/>
              </w:rPr>
              <w:t>折线图等可视化图形展示指标值变化趋势，支持同比、环比分析；支持以数据表展示该主题下所有指标结果值，支持一键展开查看二级指标明细值，支持同比、环比分析；</w:t>
            </w:r>
          </w:p>
          <w:p w14:paraId="35AD4E14">
            <w:pPr>
              <w:widowControl/>
              <w:numPr>
                <w:ilvl w:val="0"/>
                <w:numId w:val="9"/>
              </w:numPr>
              <w:rPr>
                <w:rFonts w:hint="eastAsia" w:ascii="宋体" w:hAnsi="宋体" w:cs="宋体"/>
                <w:kern w:val="0"/>
                <w:szCs w:val="21"/>
                <w:highlight w:val="none"/>
              </w:rPr>
            </w:pPr>
            <w:r>
              <w:rPr>
                <w:rFonts w:hint="eastAsia" w:ascii="宋体" w:hAnsi="宋体" w:cs="宋体"/>
                <w:kern w:val="0"/>
                <w:szCs w:val="21"/>
              </w:rPr>
              <w:t>指标视图切换：支持一键切换指标卡和数据表两种指标值展示样式；</w:t>
            </w:r>
          </w:p>
          <w:p w14:paraId="35676E41">
            <w:pPr>
              <w:widowControl/>
              <w:numPr>
                <w:ilvl w:val="0"/>
                <w:numId w:val="9"/>
              </w:numPr>
              <w:rPr>
                <w:rFonts w:hint="eastAsia" w:ascii="宋体" w:hAnsi="宋体" w:cs="宋体"/>
                <w:kern w:val="0"/>
                <w:szCs w:val="21"/>
                <w:highlight w:val="none"/>
              </w:rPr>
            </w:pPr>
            <w:r>
              <w:rPr>
                <w:rFonts w:hint="eastAsia" w:ascii="宋体" w:hAnsi="宋体" w:cs="宋体"/>
                <w:kern w:val="0"/>
                <w:szCs w:val="21"/>
              </w:rPr>
              <w:t>指标钻取：支持按维度、趋势、指标构成进行明细钻取；支持维度分析：按院、科室</w:t>
            </w:r>
            <w:r>
              <w:rPr>
                <w:rFonts w:hint="eastAsia" w:ascii="宋体" w:hAnsi="宋体" w:cs="宋体"/>
                <w:kern w:val="0"/>
                <w:szCs w:val="21"/>
                <w:highlight w:val="none"/>
              </w:rPr>
              <w:t>、</w:t>
            </w:r>
            <w:r>
              <w:rPr>
                <w:rFonts w:hint="eastAsia" w:ascii="宋体" w:hAnsi="宋体" w:cs="宋体"/>
                <w:kern w:val="0"/>
                <w:szCs w:val="21"/>
                <w:highlight w:val="yellow"/>
              </w:rPr>
              <w:t>治疗组、个人</w:t>
            </w:r>
            <w:r>
              <w:rPr>
                <w:rFonts w:hint="eastAsia" w:ascii="宋体" w:hAnsi="宋体" w:cs="宋体"/>
                <w:kern w:val="0"/>
                <w:szCs w:val="21"/>
              </w:rPr>
              <w:t>等维度，以数据表逐级钻取指标明细值，支持同比、环比、排名、均值对比，支持指标历史值查询；支持趋势分析：按统计周期维度，以折线图、数据表分析指标历史值趋势，支持选择</w:t>
            </w:r>
            <w:r>
              <w:rPr>
                <w:rFonts w:hint="eastAsia" w:ascii="宋体" w:hAnsi="宋体" w:cs="宋体"/>
                <w:kern w:val="0"/>
                <w:szCs w:val="21"/>
                <w:highlight w:val="none"/>
              </w:rPr>
              <w:t>不少于8个</w:t>
            </w:r>
            <w:r>
              <w:rPr>
                <w:rFonts w:hint="eastAsia" w:ascii="宋体" w:hAnsi="宋体" w:cs="宋体"/>
                <w:kern w:val="0"/>
                <w:szCs w:val="21"/>
              </w:rPr>
              <w:t>科室进行指标值对比；支持构成分析：按统计周期维度，以柱状图、数据表分析复合指标构成分析，比对分子分母变化趋势，支持</w:t>
            </w:r>
            <w:r>
              <w:rPr>
                <w:rFonts w:hint="eastAsia" w:ascii="宋体" w:hAnsi="宋体" w:cs="宋体"/>
                <w:kern w:val="0"/>
                <w:szCs w:val="21"/>
                <w:highlight w:val="none"/>
              </w:rPr>
              <w:t>不少于8个</w:t>
            </w:r>
            <w:r>
              <w:rPr>
                <w:rFonts w:hint="eastAsia" w:ascii="宋体" w:hAnsi="宋体" w:cs="宋体"/>
                <w:kern w:val="0"/>
                <w:szCs w:val="21"/>
              </w:rPr>
              <w:t>选择科室进行指标值对比；</w:t>
            </w:r>
          </w:p>
          <w:p w14:paraId="753D486C">
            <w:pPr>
              <w:widowControl/>
              <w:numPr>
                <w:ilvl w:val="0"/>
                <w:numId w:val="9"/>
              </w:numPr>
              <w:rPr>
                <w:rFonts w:hint="eastAsia" w:ascii="宋体" w:hAnsi="宋体" w:cs="宋体"/>
                <w:kern w:val="0"/>
                <w:szCs w:val="21"/>
              </w:rPr>
            </w:pPr>
            <w:r>
              <w:rPr>
                <w:rFonts w:hint="eastAsia" w:ascii="宋体" w:hAnsi="宋体" w:cs="宋体"/>
                <w:kern w:val="0"/>
                <w:szCs w:val="21"/>
              </w:rPr>
              <w:t>数据导出：指标数据表支持一键导出附带查询条件的 excel 文件，数据看板支持一键导出附带查询条件的 png 图片</w:t>
            </w:r>
            <w:r>
              <w:rPr>
                <w:rFonts w:hint="eastAsia" w:ascii="宋体" w:hAnsi="宋体" w:cs="宋体"/>
                <w:kern w:val="0"/>
                <w:szCs w:val="21"/>
                <w:highlight w:val="none"/>
              </w:rPr>
              <w:t>。</w:t>
            </w:r>
          </w:p>
        </w:tc>
      </w:tr>
      <w:tr w14:paraId="37EEE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741" w:type="dxa"/>
            <w:vMerge w:val="continue"/>
            <w:noWrap w:val="0"/>
            <w:vAlign w:val="center"/>
          </w:tcPr>
          <w:p w14:paraId="72D48152">
            <w:pPr>
              <w:widowControl/>
              <w:jc w:val="left"/>
              <w:rPr>
                <w:rFonts w:hint="eastAsia" w:ascii="宋体" w:hAnsi="宋体" w:cs="宋体"/>
                <w:kern w:val="0"/>
                <w:szCs w:val="21"/>
              </w:rPr>
            </w:pPr>
          </w:p>
        </w:tc>
        <w:tc>
          <w:tcPr>
            <w:tcW w:w="876" w:type="dxa"/>
            <w:noWrap w:val="0"/>
            <w:vAlign w:val="center"/>
          </w:tcPr>
          <w:p w14:paraId="01891158">
            <w:pPr>
              <w:widowControl/>
              <w:jc w:val="center"/>
              <w:rPr>
                <w:rFonts w:hint="eastAsia" w:ascii="宋体" w:hAnsi="宋体" w:cs="宋体"/>
                <w:kern w:val="0"/>
                <w:szCs w:val="21"/>
              </w:rPr>
            </w:pPr>
            <w:r>
              <w:rPr>
                <w:rFonts w:hint="eastAsia" w:ascii="宋体" w:hAnsi="宋体" w:cs="宋体"/>
                <w:kern w:val="0"/>
                <w:szCs w:val="21"/>
              </w:rPr>
              <w:t>运营决策门户</w:t>
            </w:r>
          </w:p>
        </w:tc>
        <w:tc>
          <w:tcPr>
            <w:tcW w:w="7170" w:type="dxa"/>
            <w:noWrap w:val="0"/>
            <w:vAlign w:val="center"/>
          </w:tcPr>
          <w:p w14:paraId="08A8752B">
            <w:pPr>
              <w:widowControl/>
              <w:rPr>
                <w:rFonts w:hint="eastAsia" w:ascii="宋体" w:hAnsi="宋体" w:cs="宋体"/>
                <w:kern w:val="0"/>
                <w:szCs w:val="21"/>
              </w:rPr>
            </w:pPr>
            <w:r>
              <w:rPr>
                <w:rFonts w:hint="eastAsia" w:ascii="宋体" w:hAnsi="宋体" w:cs="宋体"/>
                <w:kern w:val="0"/>
                <w:szCs w:val="21"/>
              </w:rPr>
              <w:t>支持通过看板类型、看板名称查询决策中心看板；支持用户查看授权的看板一览列表，以标签卡或目录树分类展示驾驶舱、主题分析、报表等可视化看板。</w:t>
            </w:r>
          </w:p>
        </w:tc>
      </w:tr>
      <w:tr w14:paraId="740FB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741" w:type="dxa"/>
            <w:vMerge w:val="continue"/>
            <w:noWrap w:val="0"/>
            <w:vAlign w:val="center"/>
          </w:tcPr>
          <w:p w14:paraId="75DE6E76">
            <w:pPr>
              <w:widowControl/>
              <w:jc w:val="left"/>
              <w:rPr>
                <w:rFonts w:hint="eastAsia" w:ascii="宋体" w:hAnsi="宋体" w:cs="宋体"/>
                <w:kern w:val="0"/>
                <w:szCs w:val="21"/>
              </w:rPr>
            </w:pPr>
          </w:p>
        </w:tc>
        <w:tc>
          <w:tcPr>
            <w:tcW w:w="876" w:type="dxa"/>
            <w:noWrap w:val="0"/>
            <w:vAlign w:val="center"/>
          </w:tcPr>
          <w:p w14:paraId="3DDCDC01">
            <w:pPr>
              <w:widowControl/>
              <w:jc w:val="center"/>
              <w:rPr>
                <w:rFonts w:hint="eastAsia" w:ascii="宋体" w:hAnsi="宋体" w:cs="宋体"/>
                <w:kern w:val="0"/>
                <w:szCs w:val="21"/>
              </w:rPr>
            </w:pPr>
            <w:r>
              <w:rPr>
                <w:rFonts w:hint="eastAsia" w:ascii="宋体" w:hAnsi="宋体" w:cs="宋体"/>
                <w:kern w:val="0"/>
                <w:szCs w:val="21"/>
              </w:rPr>
              <w:t>院领导驾驶舱</w:t>
            </w:r>
          </w:p>
        </w:tc>
        <w:tc>
          <w:tcPr>
            <w:tcW w:w="7170" w:type="dxa"/>
            <w:noWrap w:val="0"/>
            <w:vAlign w:val="center"/>
          </w:tcPr>
          <w:p w14:paraId="35D275CD">
            <w:pPr>
              <w:widowControl/>
              <w:rPr>
                <w:rFonts w:hint="eastAsia" w:ascii="宋体" w:hAnsi="宋体" w:cs="宋体"/>
                <w:kern w:val="0"/>
                <w:szCs w:val="21"/>
              </w:rPr>
            </w:pPr>
            <w:r>
              <w:rPr>
                <w:rFonts w:hint="eastAsia" w:ascii="宋体" w:hAnsi="宋体" w:cs="宋体"/>
                <w:kern w:val="0"/>
                <w:szCs w:val="21"/>
              </w:rPr>
              <w:t>支持对标《公立医院运营管理信息化功能指引》运营管理决策域内的综合运营决策分析部分内容；在院领导视角对全院经营过程中的医疗业务、运行效率、医疗质量安全、经济运行等领域核心指标进行分析</w:t>
            </w:r>
          </w:p>
          <w:p w14:paraId="24D37573">
            <w:pPr>
              <w:widowControl/>
              <w:rPr>
                <w:rFonts w:hint="eastAsia" w:ascii="宋体" w:hAnsi="宋体" w:cs="宋体"/>
                <w:kern w:val="0"/>
                <w:szCs w:val="21"/>
              </w:rPr>
            </w:pPr>
            <w:r>
              <w:rPr>
                <w:rFonts w:hint="eastAsia" w:ascii="宋体" w:hAnsi="宋体" w:cs="宋体"/>
                <w:kern w:val="0"/>
                <w:szCs w:val="21"/>
              </w:rPr>
              <w:t>院长驾驶舱中包含运营管理重点监测指标：</w:t>
            </w:r>
          </w:p>
          <w:p w14:paraId="131C4F52">
            <w:pPr>
              <w:widowControl/>
              <w:rPr>
                <w:rFonts w:hint="eastAsia" w:ascii="宋体" w:hAnsi="宋体" w:cs="宋体"/>
                <w:kern w:val="0"/>
                <w:szCs w:val="21"/>
              </w:rPr>
            </w:pPr>
            <w:r>
              <w:rPr>
                <w:rFonts w:hint="eastAsia" w:ascii="宋体" w:hAnsi="宋体" w:cs="宋体"/>
                <w:kern w:val="0"/>
                <w:szCs w:val="21"/>
              </w:rPr>
              <w:t>一、</w:t>
            </w:r>
            <w:r>
              <w:rPr>
                <w:rFonts w:hint="eastAsia" w:ascii="宋体" w:hAnsi="宋体" w:cs="宋体"/>
                <w:b/>
                <w:bCs/>
                <w:kern w:val="0"/>
                <w:szCs w:val="21"/>
              </w:rPr>
              <w:t>核心经济运行指标</w:t>
            </w:r>
            <w:r>
              <w:rPr>
                <w:rFonts w:hint="eastAsia" w:ascii="宋体" w:hAnsi="宋体" w:cs="宋体"/>
                <w:kern w:val="0"/>
                <w:szCs w:val="21"/>
              </w:rPr>
              <w:t>：医院总收入、门诊收入、住院收入、收入构成等；二、</w:t>
            </w:r>
            <w:r>
              <w:rPr>
                <w:rFonts w:hint="eastAsia" w:ascii="宋体" w:hAnsi="宋体" w:cs="宋体"/>
                <w:b/>
                <w:bCs/>
                <w:kern w:val="0"/>
                <w:szCs w:val="21"/>
              </w:rPr>
              <w:t>预算执行情况指标：</w:t>
            </w:r>
            <w:r>
              <w:rPr>
                <w:rFonts w:hint="eastAsia" w:ascii="宋体" w:hAnsi="宋体" w:cs="宋体"/>
                <w:kern w:val="0"/>
                <w:szCs w:val="21"/>
              </w:rPr>
              <w:t>医疗收入执行率、门诊收入执行率、住院收入执行率、医务性收入执行率等；三、</w:t>
            </w:r>
            <w:r>
              <w:rPr>
                <w:rFonts w:hint="eastAsia" w:ascii="宋体" w:hAnsi="宋体" w:cs="宋体"/>
                <w:b/>
                <w:bCs/>
                <w:kern w:val="0"/>
                <w:szCs w:val="21"/>
              </w:rPr>
              <w:t>医疗服务产出指标</w:t>
            </w:r>
            <w:r>
              <w:rPr>
                <w:rFonts w:hint="eastAsia" w:ascii="宋体" w:hAnsi="宋体" w:cs="宋体"/>
                <w:kern w:val="0"/>
                <w:szCs w:val="21"/>
              </w:rPr>
              <w:t>：门急诊人次、出院人次、手术人次等；四、</w:t>
            </w:r>
            <w:r>
              <w:rPr>
                <w:rFonts w:hint="eastAsia" w:ascii="宋体" w:hAnsi="宋体" w:cs="宋体"/>
                <w:b/>
                <w:bCs/>
                <w:kern w:val="0"/>
                <w:szCs w:val="21"/>
              </w:rPr>
              <w:t>医疗服务效率指标</w:t>
            </w:r>
            <w:r>
              <w:rPr>
                <w:rFonts w:hint="eastAsia" w:ascii="宋体" w:hAnsi="宋体" w:cs="宋体"/>
                <w:kern w:val="0"/>
                <w:szCs w:val="21"/>
              </w:rPr>
              <w:t>：平均住院日、病床周转次数、病床使用率、住院次均费用、门诊次均费用等；五、</w:t>
            </w:r>
            <w:r>
              <w:rPr>
                <w:rFonts w:hint="eastAsia" w:ascii="宋体" w:hAnsi="宋体" w:cs="宋体"/>
                <w:b/>
                <w:bCs/>
                <w:kern w:val="0"/>
                <w:szCs w:val="21"/>
              </w:rPr>
              <w:t>服务效率、服务质量及合规性指标</w:t>
            </w:r>
            <w:r>
              <w:rPr>
                <w:rFonts w:hint="eastAsia" w:ascii="宋体" w:hAnsi="宋体" w:cs="宋体"/>
                <w:kern w:val="0"/>
                <w:szCs w:val="21"/>
              </w:rPr>
              <w:t>：药占比、耗占比、三级、四级手术率等；六、基于日常管理，反应医院患者来源分布，反应医院实时运营状态的当日医疗收入、候诊患者人次、在院病人等指标；上述指标按院级、科室等组织维度，通过同比增长率、同比值 、趋势及年平均、院/科平均等对比方式，直观立体的反应医院运营现状，并支持对异常关键指标进行警示及挖掘分析。</w:t>
            </w:r>
          </w:p>
        </w:tc>
      </w:tr>
      <w:tr w14:paraId="1739C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741" w:type="dxa"/>
            <w:vMerge w:val="continue"/>
            <w:noWrap w:val="0"/>
            <w:vAlign w:val="center"/>
          </w:tcPr>
          <w:p w14:paraId="23B04904">
            <w:pPr>
              <w:widowControl/>
              <w:jc w:val="left"/>
              <w:rPr>
                <w:rFonts w:hint="eastAsia" w:ascii="宋体" w:hAnsi="宋体" w:cs="宋体"/>
                <w:kern w:val="0"/>
                <w:szCs w:val="21"/>
              </w:rPr>
            </w:pPr>
          </w:p>
        </w:tc>
        <w:tc>
          <w:tcPr>
            <w:tcW w:w="876" w:type="dxa"/>
            <w:noWrap w:val="0"/>
            <w:vAlign w:val="center"/>
          </w:tcPr>
          <w:p w14:paraId="33DCF990">
            <w:pPr>
              <w:widowControl/>
              <w:jc w:val="center"/>
              <w:rPr>
                <w:rFonts w:hint="eastAsia" w:ascii="宋体" w:hAnsi="宋体" w:cs="宋体"/>
                <w:kern w:val="0"/>
                <w:szCs w:val="21"/>
              </w:rPr>
            </w:pPr>
            <w:r>
              <w:rPr>
                <w:rFonts w:hint="eastAsia" w:ascii="宋体" w:hAnsi="宋体" w:cs="宋体"/>
                <w:kern w:val="0"/>
                <w:szCs w:val="21"/>
              </w:rPr>
              <w:t>运营管理主题驾驶舱</w:t>
            </w:r>
          </w:p>
        </w:tc>
        <w:tc>
          <w:tcPr>
            <w:tcW w:w="7170" w:type="dxa"/>
            <w:noWrap w:val="0"/>
            <w:vAlign w:val="center"/>
          </w:tcPr>
          <w:p w14:paraId="04CDF696">
            <w:pPr>
              <w:widowControl/>
              <w:numPr>
                <w:ilvl w:val="0"/>
                <w:numId w:val="0"/>
              </w:numPr>
              <w:rPr>
                <w:rFonts w:hint="eastAsia" w:ascii="宋体" w:hAnsi="宋体" w:cs="宋体"/>
                <w:kern w:val="0"/>
                <w:szCs w:val="21"/>
              </w:rPr>
            </w:pPr>
            <w:r>
              <w:rPr>
                <w:rFonts w:hint="eastAsia" w:ascii="宋体" w:hAnsi="宋体" w:cs="宋体"/>
                <w:kern w:val="0"/>
                <w:szCs w:val="21"/>
              </w:rPr>
              <w:t>支持针对特定业务场景提供主题驾驶舱，针对门急诊、住院、手术、医技、会诊五个场景的关键业务开展情况，提供以下维度的数据分析：</w:t>
            </w:r>
          </w:p>
          <w:p w14:paraId="00F4F2F0">
            <w:pPr>
              <w:widowControl/>
              <w:numPr>
                <w:ilvl w:val="0"/>
                <w:numId w:val="10"/>
              </w:numPr>
              <w:rPr>
                <w:rFonts w:hint="eastAsia" w:ascii="宋体" w:hAnsi="宋体" w:cs="宋体"/>
                <w:kern w:val="0"/>
                <w:szCs w:val="21"/>
              </w:rPr>
            </w:pPr>
            <w:r>
              <w:rPr>
                <w:rFonts w:hint="eastAsia" w:ascii="宋体" w:hAnsi="宋体" w:cs="宋体"/>
                <w:kern w:val="0"/>
                <w:szCs w:val="21"/>
              </w:rPr>
              <w:t>门急诊业务运营分析：1、门急诊业务概况分析（包括门急诊收入结构、门诊次均费用、门诊次均药费、门急诊量（含特需、周末门诊量）、诊室利用率、门诊等待时间、收入院量、诊间预约人次、出诊单元数、每单元门诊量、门诊检查治疗和手术量及点值（含开单科室和执行科室、项目收费金额、数量、开单和执行时间，是否按特需收费）； 2、门诊预约分析 3、患者就诊情况 4、门诊患者病种分析 5、医生考勤分析 6、门诊患者就诊流程分析 7、门诊实时状况；</w:t>
            </w:r>
          </w:p>
          <w:p w14:paraId="0CF80A17">
            <w:pPr>
              <w:widowControl/>
              <w:numPr>
                <w:ilvl w:val="0"/>
                <w:numId w:val="10"/>
              </w:numPr>
              <w:rPr>
                <w:rFonts w:hint="eastAsia" w:ascii="宋体" w:hAnsi="宋体" w:cs="宋体"/>
                <w:kern w:val="0"/>
                <w:szCs w:val="21"/>
              </w:rPr>
            </w:pPr>
            <w:r>
              <w:rPr>
                <w:rFonts w:hint="eastAsia" w:ascii="宋体" w:hAnsi="宋体" w:cs="宋体"/>
                <w:kern w:val="0"/>
                <w:szCs w:val="21"/>
              </w:rPr>
              <w:t>住院业务运营分析：1、住院业务概况分析（出院人次、DRG总权重、CMI、时间和费用消耗指数、平均住院日、药占比、耗占比、门诊次均费用、住院次均费用、门诊次均药费、住院次均药费、每医师床日负荷、目标完成情况） 2、床位资源分析 3、病种分析 4、住院医疗质量监控分析 5、患者转归分析 6、诊疗效率分析 7、超长住院患者分析；</w:t>
            </w:r>
          </w:p>
          <w:p w14:paraId="4E81794E">
            <w:pPr>
              <w:widowControl/>
              <w:numPr>
                <w:ilvl w:val="0"/>
                <w:numId w:val="10"/>
              </w:numPr>
              <w:rPr>
                <w:rFonts w:hint="eastAsia" w:ascii="宋体" w:hAnsi="宋体" w:cs="宋体"/>
                <w:kern w:val="0"/>
                <w:szCs w:val="21"/>
              </w:rPr>
            </w:pPr>
            <w:r>
              <w:rPr>
                <w:rFonts w:hint="eastAsia" w:ascii="宋体" w:hAnsi="宋体" w:cs="宋体"/>
                <w:kern w:val="0"/>
                <w:szCs w:val="21"/>
              </w:rPr>
              <w:t>手术室运营分析：1、手术室业务概况分析 2、手术室排班/实时开台分析 3、手术麻醉安全监控分析 4、手术麻醉医疗质量分析；5、住院手术概况分析（按台次和按人次统计的手术量）</w:t>
            </w:r>
          </w:p>
          <w:p w14:paraId="645143E7">
            <w:pPr>
              <w:widowControl/>
              <w:numPr>
                <w:ilvl w:val="0"/>
                <w:numId w:val="10"/>
              </w:numPr>
              <w:rPr>
                <w:rFonts w:hint="eastAsia" w:ascii="宋体" w:hAnsi="宋体" w:cs="宋体"/>
                <w:kern w:val="0"/>
                <w:szCs w:val="21"/>
              </w:rPr>
            </w:pPr>
            <w:r>
              <w:rPr>
                <w:rFonts w:hint="eastAsia" w:ascii="宋体" w:hAnsi="宋体" w:cs="宋体"/>
                <w:kern w:val="0"/>
                <w:szCs w:val="21"/>
              </w:rPr>
              <w:t>医技科室业务运营分析：放射超声内镜的预约等待时间（含平均值和90%分位数）</w:t>
            </w:r>
          </w:p>
          <w:p w14:paraId="157AA359">
            <w:pPr>
              <w:widowControl/>
              <w:numPr>
                <w:ilvl w:val="0"/>
                <w:numId w:val="10"/>
              </w:numPr>
              <w:rPr>
                <w:rFonts w:hint="eastAsia" w:ascii="宋体" w:hAnsi="宋体" w:cs="宋体"/>
                <w:kern w:val="0"/>
                <w:szCs w:val="21"/>
              </w:rPr>
            </w:pPr>
            <w:r>
              <w:rPr>
                <w:rFonts w:hint="eastAsia" w:ascii="宋体" w:hAnsi="宋体" w:cs="宋体"/>
                <w:kern w:val="0"/>
                <w:szCs w:val="21"/>
              </w:rPr>
              <w:t>会诊运营分析：会诊量（含普通会诊、门诊和住院MDT）、新生儿爱婴区查房；</w:t>
            </w:r>
          </w:p>
        </w:tc>
      </w:tr>
      <w:tr w14:paraId="793BF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741" w:type="dxa"/>
            <w:vMerge w:val="continue"/>
            <w:noWrap w:val="0"/>
            <w:vAlign w:val="center"/>
          </w:tcPr>
          <w:p w14:paraId="6B49C314">
            <w:pPr>
              <w:widowControl/>
              <w:jc w:val="left"/>
              <w:rPr>
                <w:rFonts w:hint="eastAsia" w:ascii="宋体" w:hAnsi="宋体" w:cs="宋体"/>
                <w:kern w:val="0"/>
                <w:szCs w:val="21"/>
              </w:rPr>
            </w:pPr>
          </w:p>
        </w:tc>
        <w:tc>
          <w:tcPr>
            <w:tcW w:w="876" w:type="dxa"/>
            <w:noWrap w:val="0"/>
            <w:vAlign w:val="center"/>
          </w:tcPr>
          <w:p w14:paraId="721BADD0">
            <w:pPr>
              <w:widowControl/>
              <w:jc w:val="center"/>
              <w:rPr>
                <w:rFonts w:hint="eastAsia" w:ascii="宋体" w:hAnsi="宋体" w:cs="宋体"/>
                <w:kern w:val="0"/>
                <w:szCs w:val="21"/>
              </w:rPr>
            </w:pPr>
            <w:r>
              <w:rPr>
                <w:rFonts w:hint="eastAsia" w:ascii="宋体" w:hAnsi="宋体" w:cs="宋体"/>
                <w:kern w:val="0"/>
                <w:szCs w:val="21"/>
              </w:rPr>
              <w:t>科主任驾驶舱</w:t>
            </w:r>
          </w:p>
        </w:tc>
        <w:tc>
          <w:tcPr>
            <w:tcW w:w="7170" w:type="dxa"/>
            <w:noWrap w:val="0"/>
            <w:vAlign w:val="center"/>
          </w:tcPr>
          <w:p w14:paraId="3F6D0416">
            <w:pPr>
              <w:widowControl/>
              <w:rPr>
                <w:rFonts w:hint="eastAsia" w:ascii="宋体" w:hAnsi="宋体" w:cs="宋体"/>
                <w:kern w:val="0"/>
                <w:szCs w:val="21"/>
              </w:rPr>
            </w:pPr>
            <w:r>
              <w:rPr>
                <w:rFonts w:hint="eastAsia" w:ascii="宋体" w:hAnsi="宋体" w:cs="宋体"/>
                <w:kern w:val="0"/>
                <w:szCs w:val="21"/>
                <w:highlight w:val="yellow"/>
              </w:rPr>
              <w:t>对标《公立医院运营管理信息化功能指引》运营管理决策域内的综合运营决策分析部分内容；在临床科主任视角对科室经营过程中的收入、服务量、服务效率、病种结构、服务质量等领域核心指标进行分析，通过分析提前发现并定位各临床科室运营管理过程中的问题；科主任驾驶舱中包含运营管理重点监测指标：</w:t>
            </w:r>
            <w:r>
              <w:rPr>
                <w:rFonts w:hint="eastAsia" w:ascii="宋体" w:hAnsi="宋体" w:cs="宋体"/>
                <w:kern w:val="0"/>
                <w:szCs w:val="21"/>
              </w:rPr>
              <w:t>一、核心经济运行指标：科室总收入、门诊收入、住院收入、收入构成等；二、医疗服务指标：门急诊人次、出院人次、手术人次、门诊出诊单元数等；三、医疗服务效率指标：平均住院日、住院次均费用、门诊次均费用等；四、涉及服务效率、服务质量及合规性等方面，具体指标如：药占比、耗占比、三级、四级手术率等；五、基于学科发展，提供专科核心监测指标：重点病种收治病例数、重点病种平均住院日、死亡率、术后感染率 (手术科室)、CMI 等。</w:t>
            </w:r>
          </w:p>
        </w:tc>
      </w:tr>
      <w:tr w14:paraId="3BC3A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741" w:type="dxa"/>
            <w:vMerge w:val="continue"/>
            <w:noWrap w:val="0"/>
            <w:vAlign w:val="center"/>
          </w:tcPr>
          <w:p w14:paraId="3D52852F">
            <w:pPr>
              <w:widowControl/>
              <w:jc w:val="left"/>
              <w:rPr>
                <w:rFonts w:hint="eastAsia" w:ascii="宋体" w:hAnsi="宋体" w:cs="宋体"/>
                <w:kern w:val="0"/>
                <w:szCs w:val="21"/>
              </w:rPr>
            </w:pPr>
          </w:p>
        </w:tc>
        <w:tc>
          <w:tcPr>
            <w:tcW w:w="876" w:type="dxa"/>
            <w:noWrap w:val="0"/>
            <w:vAlign w:val="center"/>
          </w:tcPr>
          <w:p w14:paraId="149293E9">
            <w:pPr>
              <w:widowControl/>
              <w:jc w:val="center"/>
              <w:rPr>
                <w:rFonts w:hint="eastAsia" w:ascii="宋体" w:hAnsi="宋体" w:cs="宋体"/>
                <w:kern w:val="0"/>
                <w:szCs w:val="21"/>
              </w:rPr>
            </w:pPr>
            <w:r>
              <w:rPr>
                <w:rFonts w:ascii="宋体" w:hAnsi="宋体" w:cs="宋体"/>
                <w:sz w:val="21"/>
                <w:szCs w:val="21"/>
              </w:rPr>
              <w:t>护理驾驶舱</w:t>
            </w:r>
          </w:p>
        </w:tc>
        <w:tc>
          <w:tcPr>
            <w:tcW w:w="7170" w:type="dxa"/>
            <w:noWrap w:val="0"/>
            <w:vAlign w:val="center"/>
          </w:tcPr>
          <w:p w14:paraId="77B7CDC9">
            <w:pPr>
              <w:widowControl/>
              <w:ind w:firstLineChars="0"/>
              <w:rPr>
                <w:rFonts w:hint="eastAsia" w:ascii="宋体" w:hAnsi="宋体" w:cs="宋体"/>
                <w:kern w:val="0"/>
                <w:szCs w:val="21"/>
              </w:rPr>
            </w:pPr>
            <w:r>
              <w:rPr>
                <w:rFonts w:hint="eastAsia" w:ascii="宋体" w:hAnsi="宋体" w:cs="宋体"/>
                <w:kern w:val="0"/>
                <w:sz w:val="21"/>
                <w:szCs w:val="21"/>
              </w:rPr>
              <w:t>一、人力运营维度：1、提供全院的人力资源配置情况，可以展示岗位职称分布、工龄-年龄、各科室人员分布情况信息；实际护患比：监测人员休假、抽调情况，机动库护士调配人次等</w:t>
            </w:r>
          </w:p>
          <w:p w14:paraId="4D4E9CF4">
            <w:pPr>
              <w:widowControl/>
              <w:ind w:firstLineChars="0"/>
              <w:rPr>
                <w:rFonts w:hint="eastAsia" w:ascii="宋体" w:hAnsi="宋体" w:cs="宋体"/>
                <w:kern w:val="0"/>
                <w:sz w:val="21"/>
                <w:szCs w:val="21"/>
              </w:rPr>
            </w:pPr>
            <w:r>
              <w:rPr>
                <w:rFonts w:hint="eastAsia" w:ascii="宋体" w:hAnsi="宋体" w:cs="宋体"/>
                <w:kern w:val="0"/>
                <w:sz w:val="21"/>
                <w:szCs w:val="21"/>
              </w:rPr>
              <w:t>二、护理质量安全维度：等级医院评审的指标，国考指标，护理敏感指标，支持报表导出</w:t>
            </w:r>
          </w:p>
          <w:p w14:paraId="00459C79">
            <w:pPr>
              <w:widowControl/>
              <w:ind w:firstLineChars="0"/>
              <w:rPr>
                <w:rFonts w:hint="eastAsia" w:ascii="宋体" w:hAnsi="宋体" w:cs="宋体"/>
                <w:kern w:val="0"/>
                <w:sz w:val="21"/>
                <w:szCs w:val="21"/>
              </w:rPr>
            </w:pPr>
            <w:r>
              <w:rPr>
                <w:rFonts w:hint="eastAsia" w:ascii="宋体" w:hAnsi="宋体" w:cs="宋体"/>
                <w:kern w:val="0"/>
                <w:sz w:val="21"/>
                <w:szCs w:val="21"/>
              </w:rPr>
              <w:t>三、护理专科发展维度：护理会诊例数、专科护理门诊工作量，核心护理技术开展例数</w:t>
            </w:r>
          </w:p>
          <w:p w14:paraId="21D5C441">
            <w:pPr>
              <w:widowControl/>
              <w:rPr>
                <w:rFonts w:hint="eastAsia" w:ascii="宋体" w:hAnsi="宋体" w:cs="宋体"/>
                <w:kern w:val="0"/>
                <w:szCs w:val="21"/>
                <w:highlight w:val="yellow"/>
              </w:rPr>
            </w:pPr>
            <w:r>
              <w:rPr>
                <w:rFonts w:hint="eastAsia" w:ascii="宋体" w:hAnsi="宋体" w:cs="宋体"/>
                <w:kern w:val="0"/>
                <w:sz w:val="21"/>
                <w:szCs w:val="21"/>
              </w:rPr>
              <w:t>四、风险预警：核对事件，跌倒等</w:t>
            </w:r>
          </w:p>
        </w:tc>
      </w:tr>
      <w:tr w14:paraId="470AB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741" w:type="dxa"/>
            <w:vMerge w:val="continue"/>
            <w:noWrap w:val="0"/>
            <w:vAlign w:val="center"/>
          </w:tcPr>
          <w:p w14:paraId="2C746E72">
            <w:pPr>
              <w:widowControl/>
              <w:jc w:val="left"/>
              <w:rPr>
                <w:rFonts w:hint="eastAsia" w:ascii="宋体" w:hAnsi="宋体" w:cs="宋体"/>
                <w:kern w:val="0"/>
                <w:szCs w:val="21"/>
              </w:rPr>
            </w:pPr>
          </w:p>
        </w:tc>
        <w:tc>
          <w:tcPr>
            <w:tcW w:w="876" w:type="dxa"/>
            <w:noWrap w:val="0"/>
            <w:vAlign w:val="center"/>
          </w:tcPr>
          <w:p w14:paraId="3C636D26">
            <w:pPr>
              <w:widowControl/>
              <w:jc w:val="center"/>
              <w:rPr>
                <w:rFonts w:hint="eastAsia" w:ascii="宋体" w:hAnsi="宋体" w:cs="宋体"/>
                <w:kern w:val="0"/>
                <w:szCs w:val="21"/>
              </w:rPr>
            </w:pPr>
            <w:r>
              <w:rPr>
                <w:rFonts w:hint="eastAsia" w:ascii="宋体" w:hAnsi="宋体" w:cs="宋体"/>
                <w:kern w:val="0"/>
                <w:szCs w:val="21"/>
              </w:rPr>
              <w:t>人力资源主题分析</w:t>
            </w:r>
          </w:p>
        </w:tc>
        <w:tc>
          <w:tcPr>
            <w:tcW w:w="7170" w:type="dxa"/>
            <w:noWrap w:val="0"/>
            <w:vAlign w:val="center"/>
          </w:tcPr>
          <w:p w14:paraId="54E2687E">
            <w:pPr>
              <w:widowControl/>
              <w:numPr>
                <w:ilvl w:val="0"/>
                <w:numId w:val="11"/>
              </w:numPr>
              <w:rPr>
                <w:rFonts w:hint="eastAsia" w:ascii="宋体" w:hAnsi="宋体" w:cs="宋体"/>
                <w:kern w:val="0"/>
                <w:szCs w:val="21"/>
              </w:rPr>
            </w:pPr>
            <w:r>
              <w:rPr>
                <w:rFonts w:hint="eastAsia" w:ascii="宋体" w:hAnsi="宋体" w:cs="宋体"/>
                <w:kern w:val="0"/>
                <w:szCs w:val="21"/>
              </w:rPr>
              <w:t>提供全院的人力资源配置情况，包括全院员工总数、卫生技术人员数（医生、护理、医技人员）、麻醉人员、药学技术人员等，可以展示岗位职称分布、</w:t>
            </w:r>
            <w:r>
              <w:rPr>
                <w:rFonts w:hint="eastAsia" w:ascii="宋体" w:hAnsi="宋体" w:cs="宋体"/>
                <w:kern w:val="0"/>
                <w:szCs w:val="21"/>
                <w:highlight w:val="yellow"/>
              </w:rPr>
              <w:t>护士层级、</w:t>
            </w:r>
            <w:r>
              <w:rPr>
                <w:rFonts w:hint="eastAsia" w:ascii="宋体" w:hAnsi="宋体" w:cs="宋体"/>
                <w:kern w:val="0"/>
                <w:szCs w:val="21"/>
              </w:rPr>
              <w:t>工龄-年龄、各科室人员分布情况信息；</w:t>
            </w:r>
          </w:p>
          <w:p w14:paraId="5B1BB6FF">
            <w:pPr>
              <w:widowControl/>
              <w:numPr>
                <w:ilvl w:val="0"/>
                <w:numId w:val="11"/>
              </w:numPr>
              <w:rPr>
                <w:rFonts w:hint="eastAsia" w:ascii="宋体" w:hAnsi="宋体" w:cs="宋体"/>
                <w:kern w:val="0"/>
                <w:szCs w:val="21"/>
              </w:rPr>
            </w:pPr>
            <w:r>
              <w:rPr>
                <w:rFonts w:hint="eastAsia" w:ascii="宋体" w:hAnsi="宋体" w:cs="宋体"/>
                <w:kern w:val="0"/>
                <w:szCs w:val="21"/>
              </w:rPr>
              <w:t>提供全院人力资源流动分析</w:t>
            </w:r>
            <w:r>
              <w:rPr>
                <w:rFonts w:hint="eastAsia" w:ascii="宋体" w:hAnsi="宋体" w:cs="宋体"/>
                <w:kern w:val="0"/>
                <w:szCs w:val="21"/>
                <w:highlight w:val="yellow"/>
              </w:rPr>
              <w:t>（含人员休假、外出进修、帮扶等考勤数据）</w:t>
            </w:r>
            <w:r>
              <w:rPr>
                <w:rFonts w:hint="eastAsia" w:ascii="宋体" w:hAnsi="宋体" w:cs="宋体"/>
                <w:kern w:val="0"/>
                <w:szCs w:val="21"/>
              </w:rPr>
              <w:t>，，通过医护比、副高及以上医生数量占比等指标，反映医护配比合理程度以及医院医生资源实力情况。具体内容包括：以直观图像化方式，展现当前人员数量，并按人员类别、年龄结构、工龄结构、学历层次分布、人员异动等基本情况，利用占比、趋势等方法对整体人数等指标进行分析，在组织维度上实现从全院、科室两个层面进行分析，通过科室间横向对比、历史变化趋势分析等方法，协助相关领导及管理人员识别人员配比优化的空间和方法。</w:t>
            </w:r>
          </w:p>
        </w:tc>
      </w:tr>
      <w:tr w14:paraId="40E26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741" w:type="dxa"/>
            <w:vMerge w:val="continue"/>
            <w:noWrap w:val="0"/>
            <w:vAlign w:val="center"/>
          </w:tcPr>
          <w:p w14:paraId="7E6D6B3E">
            <w:pPr>
              <w:widowControl/>
              <w:jc w:val="left"/>
              <w:rPr>
                <w:rFonts w:hint="eastAsia" w:ascii="宋体" w:hAnsi="宋体" w:cs="宋体"/>
                <w:kern w:val="0"/>
                <w:szCs w:val="21"/>
              </w:rPr>
            </w:pPr>
          </w:p>
        </w:tc>
        <w:tc>
          <w:tcPr>
            <w:tcW w:w="876" w:type="dxa"/>
            <w:noWrap w:val="0"/>
            <w:vAlign w:val="center"/>
          </w:tcPr>
          <w:p w14:paraId="7FD93555">
            <w:pPr>
              <w:widowControl/>
              <w:jc w:val="center"/>
              <w:rPr>
                <w:rFonts w:hint="eastAsia" w:ascii="宋体" w:hAnsi="宋体" w:cs="宋体"/>
                <w:kern w:val="0"/>
                <w:szCs w:val="21"/>
              </w:rPr>
            </w:pPr>
            <w:r>
              <w:rPr>
                <w:rFonts w:hint="eastAsia" w:ascii="宋体" w:hAnsi="宋体" w:cs="宋体"/>
                <w:kern w:val="0"/>
                <w:szCs w:val="21"/>
              </w:rPr>
              <w:t>医疗收入主题分析</w:t>
            </w:r>
          </w:p>
        </w:tc>
        <w:tc>
          <w:tcPr>
            <w:tcW w:w="7170" w:type="dxa"/>
            <w:noWrap w:val="0"/>
            <w:vAlign w:val="center"/>
          </w:tcPr>
          <w:p w14:paraId="647C81F5">
            <w:pPr>
              <w:widowControl/>
              <w:rPr>
                <w:rFonts w:hint="eastAsia" w:ascii="宋体" w:hAnsi="宋体" w:cs="宋体"/>
                <w:kern w:val="0"/>
                <w:szCs w:val="21"/>
              </w:rPr>
            </w:pPr>
            <w:r>
              <w:rPr>
                <w:rFonts w:hint="eastAsia" w:ascii="宋体" w:hAnsi="宋体" w:cs="宋体"/>
                <w:kern w:val="0"/>
                <w:szCs w:val="21"/>
              </w:rPr>
              <w:t>支持对全院的医疗收入情况做统计分析，包括不限于医疗总收入、门急诊收入、住院收入、手术费用、药品费用、耗材费用、药占比、耗占比等收入相关指标；支持指标科室、医生、时间维度查询；支持趋势图分析；支持同比增长辅助分析；支持目标值管理；支持科室排名；支持指标逐层下钻到患者层。</w:t>
            </w:r>
          </w:p>
        </w:tc>
      </w:tr>
      <w:tr w14:paraId="563BE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741" w:type="dxa"/>
            <w:vMerge w:val="continue"/>
            <w:noWrap w:val="0"/>
            <w:vAlign w:val="center"/>
          </w:tcPr>
          <w:p w14:paraId="1490B458">
            <w:pPr>
              <w:widowControl/>
              <w:jc w:val="left"/>
              <w:rPr>
                <w:rFonts w:hint="eastAsia" w:ascii="宋体" w:hAnsi="宋体" w:cs="宋体"/>
                <w:kern w:val="0"/>
                <w:szCs w:val="21"/>
              </w:rPr>
            </w:pPr>
          </w:p>
        </w:tc>
        <w:tc>
          <w:tcPr>
            <w:tcW w:w="876" w:type="dxa"/>
            <w:noWrap w:val="0"/>
            <w:vAlign w:val="top"/>
          </w:tcPr>
          <w:p w14:paraId="700DA924">
            <w:pPr>
              <w:widowControl/>
              <w:jc w:val="center"/>
              <w:rPr>
                <w:rFonts w:hint="eastAsia"/>
              </w:rPr>
            </w:pPr>
          </w:p>
          <w:p w14:paraId="74A38A03">
            <w:pPr>
              <w:widowControl/>
              <w:jc w:val="center"/>
              <w:rPr>
                <w:rFonts w:hint="eastAsia"/>
              </w:rPr>
            </w:pPr>
          </w:p>
          <w:p w14:paraId="3CF3B24E">
            <w:pPr>
              <w:widowControl/>
              <w:jc w:val="center"/>
              <w:rPr>
                <w:rFonts w:hint="eastAsia"/>
              </w:rPr>
            </w:pPr>
          </w:p>
          <w:p w14:paraId="6AEC1B4D">
            <w:pPr>
              <w:widowControl/>
              <w:jc w:val="center"/>
              <w:rPr>
                <w:rFonts w:hint="eastAsia" w:ascii="宋体" w:hAnsi="宋体" w:cs="宋体"/>
                <w:kern w:val="0"/>
                <w:szCs w:val="21"/>
              </w:rPr>
            </w:pPr>
            <w:r>
              <w:rPr>
                <w:rFonts w:hint="eastAsia"/>
              </w:rPr>
              <w:t>门诊运营主题分析</w:t>
            </w:r>
          </w:p>
        </w:tc>
        <w:tc>
          <w:tcPr>
            <w:tcW w:w="7170" w:type="dxa"/>
            <w:noWrap w:val="0"/>
            <w:vAlign w:val="top"/>
          </w:tcPr>
          <w:p w14:paraId="78073157">
            <w:pPr>
              <w:widowControl/>
              <w:numPr>
                <w:ilvl w:val="0"/>
                <w:numId w:val="12"/>
              </w:numPr>
              <w:rPr>
                <w:rFonts w:hint="eastAsia" w:ascii="宋体" w:hAnsi="宋体" w:cs="宋体"/>
                <w:kern w:val="0"/>
                <w:szCs w:val="21"/>
              </w:rPr>
            </w:pPr>
            <w:r>
              <w:rPr>
                <w:rFonts w:hint="eastAsia" w:ascii="宋体" w:hAnsi="宋体" w:cs="宋体"/>
                <w:kern w:val="0"/>
                <w:szCs w:val="21"/>
              </w:rPr>
              <w:t>门急诊概览：围绕门诊运营分析需求，提供包括不限于门急诊总人次、门急诊总收入、门急诊次均费用、门急诊次均药费、门急药占比、门诊耗材占比等主题指标分析。其中工作量和收入指标支持趋势分析，收入相关指标结构分析。支持指标科室、医生、时间维度查询；支持时间趋势分析；支持同比增长辅助分析；支持目标值管理；支持科室排名；支持指标逐层下钻到患者层；</w:t>
            </w:r>
          </w:p>
          <w:p w14:paraId="584C3220">
            <w:pPr>
              <w:widowControl/>
              <w:numPr>
                <w:ilvl w:val="0"/>
                <w:numId w:val="12"/>
              </w:numPr>
              <w:rPr>
                <w:rFonts w:hint="eastAsia" w:ascii="宋体" w:hAnsi="宋体" w:cs="宋体"/>
                <w:kern w:val="0"/>
                <w:szCs w:val="21"/>
              </w:rPr>
            </w:pPr>
            <w:r>
              <w:rPr>
                <w:rFonts w:hint="eastAsia" w:ascii="宋体" w:hAnsi="宋体" w:cs="宋体"/>
                <w:kern w:val="0"/>
                <w:szCs w:val="21"/>
              </w:rPr>
              <w:t>门急诊科室分析：支持用户选择门急诊相关指标，以柱状图的形式展示科室排名；支持以表格形式全面展示科室各运营指标，包括该指标的本期值、同期值、同比，并提供导出功能；</w:t>
            </w:r>
          </w:p>
          <w:p w14:paraId="57692191">
            <w:pPr>
              <w:widowControl/>
              <w:numPr>
                <w:ilvl w:val="0"/>
                <w:numId w:val="12"/>
              </w:numPr>
              <w:rPr>
                <w:rFonts w:hint="eastAsia" w:ascii="宋体" w:hAnsi="宋体" w:cs="宋体"/>
                <w:kern w:val="0"/>
                <w:szCs w:val="21"/>
              </w:rPr>
            </w:pPr>
            <w:r>
              <w:rPr>
                <w:rFonts w:hint="eastAsia" w:ascii="宋体" w:hAnsi="宋体" w:cs="宋体"/>
                <w:kern w:val="0"/>
                <w:szCs w:val="21"/>
              </w:rPr>
              <w:t>门急诊病种分析：支持通过气泡图展示门急诊患者各诊断的数量、总费用、例均费用分布；支持通过筛选科室或病种，影响气泡图内病种数据高亮状态，快速定位具体病种；支持通过例数、总金额、次均费用等条件的输入，影响气泡图内展示诊断气泡数量，快速定位具体病种；支持以表格或者图片形式导出门急诊诊断相关数据，包括科室、主诊断、数量、例数、费用、例均费用</w:t>
            </w:r>
            <w:r>
              <w:rPr>
                <w:rFonts w:hint="eastAsia" w:ascii="宋体" w:hAnsi="宋体" w:cs="宋体"/>
                <w:kern w:val="0"/>
                <w:szCs w:val="21"/>
                <w:lang w:eastAsia="zh-CN"/>
              </w:rPr>
              <w:t>；</w:t>
            </w:r>
          </w:p>
          <w:p w14:paraId="6EF52E6F">
            <w:pPr>
              <w:widowControl/>
              <w:numPr>
                <w:ilvl w:val="0"/>
                <w:numId w:val="0"/>
              </w:numPr>
              <w:rPr>
                <w:rFonts w:hint="eastAsia" w:ascii="宋体" w:hAnsi="宋体" w:cs="宋体"/>
                <w:kern w:val="0"/>
                <w:szCs w:val="21"/>
              </w:rPr>
            </w:pPr>
            <w:r>
              <w:rPr>
                <w:rFonts w:hint="eastAsia" w:ascii="宋体" w:hAnsi="宋体" w:eastAsia="宋体" w:cs="宋体"/>
                <w:kern w:val="0"/>
                <w:szCs w:val="21"/>
                <w:lang w:val="en-US" w:eastAsia="zh-CN"/>
              </w:rPr>
              <w:t>四、支持不同口径的指标系统建设，包括但不限于三甲相关门诊指标、门诊质控指标、日间诊疗相关考核质控指标、年度门诊专业医疗质量管理控制情况调查指标、公立医院绩效考核门诊相关指标及门诊运行相关管理指标（详见附件）</w:t>
            </w:r>
          </w:p>
        </w:tc>
      </w:tr>
      <w:tr w14:paraId="5AD06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741" w:type="dxa"/>
            <w:vMerge w:val="continue"/>
            <w:noWrap w:val="0"/>
            <w:vAlign w:val="center"/>
          </w:tcPr>
          <w:p w14:paraId="3CF9C00E">
            <w:pPr>
              <w:widowControl/>
              <w:jc w:val="left"/>
              <w:rPr>
                <w:rFonts w:hint="eastAsia" w:ascii="宋体" w:hAnsi="宋体" w:cs="宋体"/>
                <w:kern w:val="0"/>
                <w:szCs w:val="21"/>
              </w:rPr>
            </w:pPr>
          </w:p>
        </w:tc>
        <w:tc>
          <w:tcPr>
            <w:tcW w:w="876" w:type="dxa"/>
            <w:noWrap w:val="0"/>
            <w:vAlign w:val="center"/>
          </w:tcPr>
          <w:p w14:paraId="38D7DAF9">
            <w:pPr>
              <w:widowControl/>
              <w:jc w:val="center"/>
              <w:rPr>
                <w:rFonts w:hint="eastAsia" w:ascii="宋体" w:hAnsi="宋体" w:cs="宋体"/>
                <w:kern w:val="0"/>
                <w:szCs w:val="21"/>
              </w:rPr>
            </w:pPr>
            <w:r>
              <w:rPr>
                <w:rFonts w:hint="eastAsia" w:ascii="宋体" w:hAnsi="宋体" w:cs="宋体"/>
                <w:kern w:val="0"/>
                <w:szCs w:val="21"/>
              </w:rPr>
              <w:t>住院运营主题分析</w:t>
            </w:r>
          </w:p>
        </w:tc>
        <w:tc>
          <w:tcPr>
            <w:tcW w:w="7170" w:type="dxa"/>
            <w:noWrap w:val="0"/>
            <w:vAlign w:val="center"/>
          </w:tcPr>
          <w:p w14:paraId="0D5A5305">
            <w:pPr>
              <w:widowControl/>
              <w:numPr>
                <w:ilvl w:val="0"/>
                <w:numId w:val="13"/>
              </w:numPr>
              <w:rPr>
                <w:rFonts w:hint="eastAsia" w:ascii="宋体" w:hAnsi="宋体" w:cs="宋体"/>
                <w:kern w:val="0"/>
                <w:szCs w:val="21"/>
              </w:rPr>
            </w:pPr>
            <w:r>
              <w:rPr>
                <w:rFonts w:hint="eastAsia" w:ascii="宋体" w:hAnsi="宋体" w:cs="宋体"/>
                <w:kern w:val="0"/>
                <w:szCs w:val="21"/>
              </w:rPr>
              <w:t>住院概览：包括不限于住院总人次、住院总收入、出院患者平均住院日、出院患者手术占比、住院次均费用、住院次均药费、住院药占比、住院耗材占比等指标的当期值、同期值、同比、环比；工作量和收入指标支持趋势分析，收入相关指标结构分析；各住院运营指标支持按科室--医生--患者逐层下钻；支持科室以柱状图形式自定义展示排名；支持以科室和医生为分析维度，展示该指标的当期值、全院占比、同期值、同比增长、同比增长率，并可自由排序；支持查看患者维度明细，包含住院号、患者姓名、就诊类型、主要诊断、医生、科室、出院时间、住院天数、住院总费用等；</w:t>
            </w:r>
          </w:p>
          <w:p w14:paraId="1D6CD8B5">
            <w:pPr>
              <w:widowControl/>
              <w:numPr>
                <w:ilvl w:val="0"/>
                <w:numId w:val="13"/>
              </w:numPr>
              <w:rPr>
                <w:rFonts w:hint="eastAsia" w:ascii="宋体" w:hAnsi="宋体" w:cs="宋体"/>
                <w:kern w:val="0"/>
                <w:szCs w:val="21"/>
              </w:rPr>
            </w:pPr>
            <w:r>
              <w:rPr>
                <w:rFonts w:hint="eastAsia" w:ascii="宋体" w:hAnsi="宋体" w:cs="宋体"/>
                <w:kern w:val="0"/>
                <w:szCs w:val="21"/>
              </w:rPr>
              <w:t xml:space="preserve">住院科室分析：支持用户自由选择住院相关指标，以柱状图的形式展示科室排名；支持以表格形式全面展示科室各运营指标，包括该指标的本期值、同期值、同比，并提供导出功能用以分析； </w:t>
            </w:r>
          </w:p>
          <w:p w14:paraId="2E1C29C5">
            <w:pPr>
              <w:widowControl/>
              <w:numPr>
                <w:ilvl w:val="0"/>
                <w:numId w:val="13"/>
              </w:numPr>
              <w:rPr>
                <w:rFonts w:hint="eastAsia" w:ascii="宋体" w:hAnsi="宋体" w:cs="宋体"/>
                <w:kern w:val="0"/>
                <w:szCs w:val="21"/>
              </w:rPr>
            </w:pPr>
            <w:r>
              <w:rPr>
                <w:rFonts w:hint="eastAsia" w:ascii="宋体" w:hAnsi="宋体" w:cs="宋体"/>
                <w:kern w:val="0"/>
                <w:szCs w:val="21"/>
              </w:rPr>
              <w:t>出院病种分析：支持通过气泡图展示出院患者各诊断的数量、总费用、例均费用、平均住院日分布；支持通过筛选科室或病种，影响气泡图内病种数据高亮状态，快速定位具体病种；支持通过例数、总金额、次均费用、平均住院日等条件的输入，影响气泡图内展示诊断气泡数量，快速定位具体病种；支持以表格或者图片形式导出出院诊断相关数据，包括科室、主诊断、数量、例数、费用、例均费用。</w:t>
            </w:r>
          </w:p>
        </w:tc>
      </w:tr>
      <w:tr w14:paraId="2ACFC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741" w:type="dxa"/>
            <w:vMerge w:val="continue"/>
            <w:noWrap w:val="0"/>
            <w:vAlign w:val="center"/>
          </w:tcPr>
          <w:p w14:paraId="399F2581">
            <w:pPr>
              <w:widowControl/>
              <w:jc w:val="left"/>
              <w:rPr>
                <w:rFonts w:hint="eastAsia" w:ascii="宋体" w:hAnsi="宋体" w:cs="宋体"/>
                <w:kern w:val="0"/>
                <w:szCs w:val="21"/>
              </w:rPr>
            </w:pPr>
          </w:p>
        </w:tc>
        <w:tc>
          <w:tcPr>
            <w:tcW w:w="876" w:type="dxa"/>
            <w:noWrap w:val="0"/>
            <w:vAlign w:val="center"/>
          </w:tcPr>
          <w:p w14:paraId="033113AD">
            <w:pPr>
              <w:widowControl/>
              <w:jc w:val="center"/>
              <w:rPr>
                <w:rFonts w:hint="eastAsia" w:ascii="宋体" w:hAnsi="宋体" w:cs="宋体"/>
                <w:kern w:val="0"/>
                <w:szCs w:val="21"/>
              </w:rPr>
            </w:pPr>
            <w:r>
              <w:rPr>
                <w:rFonts w:hint="eastAsia" w:ascii="宋体" w:hAnsi="宋体" w:cs="宋体"/>
                <w:kern w:val="0"/>
                <w:szCs w:val="21"/>
              </w:rPr>
              <w:t>手术运营主题分析</w:t>
            </w:r>
          </w:p>
        </w:tc>
        <w:tc>
          <w:tcPr>
            <w:tcW w:w="7170" w:type="dxa"/>
            <w:noWrap w:val="0"/>
            <w:vAlign w:val="center"/>
          </w:tcPr>
          <w:p w14:paraId="1599B218">
            <w:pPr>
              <w:widowControl/>
              <w:numPr>
                <w:ilvl w:val="0"/>
                <w:numId w:val="14"/>
              </w:numPr>
              <w:rPr>
                <w:rFonts w:hint="eastAsia" w:ascii="宋体" w:hAnsi="宋体" w:cs="宋体"/>
                <w:kern w:val="0"/>
                <w:szCs w:val="21"/>
              </w:rPr>
            </w:pPr>
            <w:r>
              <w:rPr>
                <w:rFonts w:hint="eastAsia" w:ascii="宋体" w:hAnsi="宋体" w:cs="宋体"/>
                <w:kern w:val="0"/>
                <w:szCs w:val="21"/>
              </w:rPr>
              <w:t>手术概览：包括门诊手术例数、出院患者手术例数、出院患者手术占比、住院三四级手术率、出院患者微创手术占比、手术患者并发症发生率、手术患者死亡率、门诊手术收入、住院手术收入等指标的当期值、同期值、同比、环比；各手术指标支持按科室--医生--患者逐层下钻；各住院手术指标支持</w:t>
            </w:r>
            <w:r>
              <w:rPr>
                <w:rFonts w:hint="eastAsia" w:ascii="宋体" w:hAnsi="宋体" w:cs="宋体"/>
                <w:kern w:val="0"/>
                <w:sz w:val="21"/>
                <w:szCs w:val="21"/>
              </w:rPr>
              <w:t>诊疗组维度，科室诊疗组医生</w:t>
            </w:r>
            <w:r>
              <w:rPr>
                <w:rFonts w:hint="eastAsia" w:ascii="宋体" w:hAnsi="宋体" w:cs="宋体"/>
                <w:kern w:val="0"/>
                <w:szCs w:val="21"/>
              </w:rPr>
              <w:t>下钻；支持科室以柱状图形式自定义展示排名；支持以科室和医生为分析维度，展示该指标的当期值、全院占比、同期值、同比增长、同比增长率，并可自由排序；支持查看患者维度明细，包含住院号、患者姓名、就诊类型、出院科室、出院医生、主要诊断名称、主要手术名称、出院时间、总费用、住院天数等；</w:t>
            </w:r>
          </w:p>
          <w:p w14:paraId="77ADD3A5">
            <w:pPr>
              <w:widowControl/>
              <w:numPr>
                <w:ilvl w:val="0"/>
                <w:numId w:val="14"/>
              </w:numPr>
              <w:rPr>
                <w:rFonts w:ascii="宋体" w:hAnsi="宋体" w:cs="宋体"/>
                <w:kern w:val="0"/>
                <w:szCs w:val="21"/>
              </w:rPr>
            </w:pPr>
            <w:r>
              <w:rPr>
                <w:rFonts w:hint="eastAsia" w:ascii="宋体" w:hAnsi="宋体" w:cs="宋体"/>
                <w:kern w:val="0"/>
                <w:szCs w:val="21"/>
              </w:rPr>
              <w:t>手术分析：支持通过气泡图展示出院患者手术的数量、总费用、例均费用分布；支持通过筛选科室或手术名称，影响气泡图内病种数据高亮状态，快速定位具体病种；支持通过例数、总金额、例均费用等条件的输入，影响气泡图内展示诊断气泡数量，快速定位具体病种；支持以表格或者图片形式导出出院诊断相关数据，包括科室、手术名称、数量、例数、费用、例均费用。支持统计当日门诊手术收入、住院手术收入，支持按月份、年份统计重点手术例数、重点术种手术占比、手术死亡例数、手术死亡发生率、手术重返例数、手术重返发生率；支持统计各个科室的手术例数排名、手术收入排名、手术并发症例数、手术并发症发生率、术前等待时间、手术时长、手术用血量，支持按手术级别统计各个级别的手术例数、手术死亡、手术重返、并发症例数分布。</w:t>
            </w:r>
          </w:p>
        </w:tc>
      </w:tr>
      <w:tr w14:paraId="3C8B3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741" w:type="dxa"/>
            <w:vMerge w:val="continue"/>
            <w:noWrap w:val="0"/>
            <w:vAlign w:val="center"/>
          </w:tcPr>
          <w:p w14:paraId="5C9E8ADE">
            <w:pPr>
              <w:widowControl/>
              <w:jc w:val="left"/>
              <w:rPr>
                <w:rFonts w:hint="eastAsia" w:ascii="宋体" w:hAnsi="宋体" w:cs="宋体"/>
                <w:kern w:val="0"/>
                <w:szCs w:val="21"/>
              </w:rPr>
            </w:pPr>
          </w:p>
        </w:tc>
        <w:tc>
          <w:tcPr>
            <w:tcW w:w="876" w:type="dxa"/>
            <w:noWrap w:val="0"/>
            <w:vAlign w:val="center"/>
          </w:tcPr>
          <w:p w14:paraId="44BE7D53">
            <w:pPr>
              <w:widowControl/>
              <w:jc w:val="center"/>
              <w:rPr>
                <w:rFonts w:hint="eastAsia" w:ascii="宋体" w:hAnsi="宋体" w:cs="宋体"/>
                <w:kern w:val="0"/>
                <w:szCs w:val="21"/>
              </w:rPr>
            </w:pPr>
            <w:r>
              <w:rPr>
                <w:rFonts w:hint="eastAsia" w:ascii="宋体" w:hAnsi="宋体" w:cs="宋体"/>
                <w:kern w:val="0"/>
                <w:szCs w:val="21"/>
              </w:rPr>
              <w:t>检查运营主题分析</w:t>
            </w:r>
          </w:p>
        </w:tc>
        <w:tc>
          <w:tcPr>
            <w:tcW w:w="7170" w:type="dxa"/>
            <w:noWrap w:val="0"/>
            <w:vAlign w:val="center"/>
          </w:tcPr>
          <w:p w14:paraId="352A5487">
            <w:pPr>
              <w:widowControl/>
              <w:rPr>
                <w:rFonts w:ascii="宋体" w:hAnsi="宋体" w:cs="宋体"/>
                <w:kern w:val="0"/>
                <w:szCs w:val="21"/>
              </w:rPr>
            </w:pPr>
            <w:r>
              <w:rPr>
                <w:rFonts w:ascii="宋体" w:hAnsi="宋体" w:cs="宋体"/>
                <w:kern w:val="0"/>
                <w:szCs w:val="21"/>
              </w:rPr>
              <w:br w:type="textWrapping"/>
            </w:r>
            <w:r>
              <w:rPr>
                <w:rFonts w:ascii="宋体" w:hAnsi="宋体" w:cs="宋体"/>
                <w:kern w:val="0"/>
                <w:szCs w:val="21"/>
              </w:rPr>
              <w:t>一、医技检查人次及同比环比统计</w:t>
            </w:r>
            <w:r>
              <w:rPr>
                <w:rFonts w:hint="eastAsia" w:ascii="宋体" w:hAnsi="宋体" w:cs="宋体"/>
                <w:kern w:val="0"/>
                <w:szCs w:val="21"/>
              </w:rPr>
              <w:t>：</w:t>
            </w:r>
            <w:r>
              <w:rPr>
                <w:rFonts w:ascii="宋体" w:hAnsi="宋体" w:cs="宋体"/>
                <w:kern w:val="0"/>
                <w:szCs w:val="21"/>
              </w:rPr>
              <w:t>支持统计以下固定指标：门诊检查人次、住院检查人次、急诊检查人次、体检检查人次、检查总人次数。对上述每项指标，系统自动计算：当期值、同期值、同比增幅、环比增幅，口径</w:t>
            </w:r>
            <w:r>
              <w:rPr>
                <w:rFonts w:hint="eastAsia" w:ascii="宋体" w:hAnsi="宋体" w:cs="宋体"/>
                <w:kern w:val="0"/>
                <w:szCs w:val="21"/>
              </w:rPr>
              <w:t>支持</w:t>
            </w:r>
            <w:r>
              <w:rPr>
                <w:rFonts w:ascii="宋体" w:hAnsi="宋体" w:cs="宋体"/>
                <w:kern w:val="0"/>
                <w:szCs w:val="21"/>
              </w:rPr>
              <w:t>按自然日、周、月、季度、年度配置。支持时间维度下钻、同比环比对比查看。二、检查业务 TOP 排名及导出能力</w:t>
            </w:r>
            <w:r>
              <w:rPr>
                <w:rFonts w:hint="eastAsia" w:ascii="宋体" w:hAnsi="宋体" w:cs="宋体"/>
                <w:kern w:val="0"/>
                <w:szCs w:val="21"/>
              </w:rPr>
              <w:t>：</w:t>
            </w:r>
            <w:r>
              <w:rPr>
                <w:rFonts w:ascii="宋体" w:hAnsi="宋体" w:cs="宋体"/>
                <w:kern w:val="0"/>
                <w:szCs w:val="21"/>
              </w:rPr>
              <w:t>支持按</w:t>
            </w:r>
            <w:r>
              <w:rPr>
                <w:rFonts w:ascii="宋体" w:hAnsi="宋体" w:cs="宋体"/>
                <w:b w:val="0"/>
                <w:bCs w:val="0"/>
                <w:kern w:val="0"/>
                <w:szCs w:val="21"/>
              </w:rPr>
              <w:t>检查项目维度</w:t>
            </w:r>
            <w:r>
              <w:rPr>
                <w:rFonts w:ascii="宋体" w:hAnsi="宋体" w:cs="宋体"/>
                <w:kern w:val="0"/>
                <w:szCs w:val="21"/>
              </w:rPr>
              <w:t>进行业务量 TOP 排名；支持按</w:t>
            </w:r>
            <w:r>
              <w:rPr>
                <w:rFonts w:ascii="宋体" w:hAnsi="宋体" w:cs="宋体"/>
                <w:b w:val="0"/>
                <w:bCs w:val="0"/>
                <w:kern w:val="0"/>
                <w:szCs w:val="21"/>
              </w:rPr>
              <w:t>开单医生维度</w:t>
            </w:r>
            <w:r>
              <w:rPr>
                <w:rFonts w:ascii="宋体" w:hAnsi="宋体" w:cs="宋体"/>
                <w:kern w:val="0"/>
                <w:szCs w:val="21"/>
              </w:rPr>
              <w:t>进行业务量 TOP 排名；支持按</w:t>
            </w:r>
            <w:r>
              <w:rPr>
                <w:rFonts w:ascii="宋体" w:hAnsi="宋体" w:cs="宋体"/>
                <w:b w:val="0"/>
                <w:bCs w:val="0"/>
                <w:kern w:val="0"/>
                <w:szCs w:val="21"/>
              </w:rPr>
              <w:t>医疗设备维度</w:t>
            </w:r>
            <w:r>
              <w:rPr>
                <w:rFonts w:ascii="宋体" w:hAnsi="宋体" w:cs="宋体"/>
                <w:kern w:val="0"/>
                <w:szCs w:val="21"/>
              </w:rPr>
              <w:t>进行检查业务量 TOP 排名；所有排名、统计报表均支持</w:t>
            </w:r>
            <w:r>
              <w:rPr>
                <w:rFonts w:ascii="宋体" w:hAnsi="宋体" w:cs="宋体"/>
                <w:b w:val="0"/>
                <w:bCs w:val="0"/>
                <w:kern w:val="0"/>
                <w:szCs w:val="21"/>
              </w:rPr>
              <w:t>表格、图片图表两种格式</w:t>
            </w:r>
            <w:r>
              <w:rPr>
                <w:rFonts w:ascii="宋体" w:hAnsi="宋体" w:cs="宋体"/>
                <w:kern w:val="0"/>
                <w:szCs w:val="21"/>
              </w:rPr>
              <w:t>离线导出。</w:t>
            </w:r>
          </w:p>
          <w:p w14:paraId="3BF58D72">
            <w:pPr>
              <w:widowControl/>
              <w:ind w:left="-21" w:leftChars="-10"/>
              <w:rPr>
                <w:rFonts w:hint="eastAsia" w:ascii="宋体" w:hAnsi="宋体" w:cs="宋体"/>
                <w:kern w:val="0"/>
                <w:szCs w:val="21"/>
              </w:rPr>
            </w:pPr>
            <w:r>
              <w:rPr>
                <w:rFonts w:hint="eastAsia" w:ascii="宋体" w:hAnsi="宋体" w:cs="宋体"/>
                <w:kern w:val="0"/>
                <w:szCs w:val="21"/>
              </w:rPr>
              <w:t>三、</w:t>
            </w:r>
            <w:r>
              <w:rPr>
                <w:rFonts w:ascii="宋体" w:hAnsi="宋体" w:cs="宋体"/>
                <w:b w:val="0"/>
                <w:bCs w:val="0"/>
                <w:kern w:val="0"/>
                <w:sz w:val="21"/>
                <w:szCs w:val="21"/>
              </w:rPr>
              <w:t>门诊</w:t>
            </w:r>
            <w:r>
              <w:rPr>
                <w:rFonts w:hint="eastAsia" w:ascii="宋体" w:hAnsi="宋体" w:cs="宋体"/>
                <w:kern w:val="0"/>
                <w:szCs w:val="21"/>
              </w:rPr>
              <w:t>检查</w:t>
            </w:r>
            <w:r>
              <w:rPr>
                <w:rFonts w:ascii="宋体" w:hAnsi="宋体" w:cs="宋体"/>
                <w:b w:val="0"/>
                <w:bCs w:val="0"/>
                <w:kern w:val="0"/>
                <w:sz w:val="21"/>
                <w:szCs w:val="21"/>
              </w:rPr>
              <w:t>明细统计</w:t>
            </w:r>
            <w:r>
              <w:rPr>
                <w:rFonts w:hint="eastAsia" w:ascii="宋体" w:hAnsi="宋体" w:cs="宋体"/>
                <w:kern w:val="0"/>
                <w:szCs w:val="21"/>
              </w:rPr>
              <w:t>：</w:t>
            </w:r>
            <w:r>
              <w:rPr>
                <w:rFonts w:ascii="宋体" w:hAnsi="宋体" w:cs="宋体"/>
                <w:b w:val="0"/>
                <w:bCs w:val="0"/>
                <w:kern w:val="0"/>
                <w:sz w:val="21"/>
                <w:szCs w:val="21"/>
              </w:rPr>
              <w:t>支持门诊</w:t>
            </w:r>
            <w:r>
              <w:rPr>
                <w:rFonts w:hint="eastAsia" w:ascii="宋体" w:hAnsi="宋体" w:cs="宋体"/>
                <w:kern w:val="0"/>
                <w:szCs w:val="21"/>
              </w:rPr>
              <w:t>检查</w:t>
            </w:r>
            <w:r>
              <w:rPr>
                <w:rFonts w:ascii="宋体" w:hAnsi="宋体" w:cs="宋体"/>
                <w:b w:val="0"/>
                <w:bCs w:val="0"/>
                <w:kern w:val="0"/>
                <w:sz w:val="21"/>
                <w:szCs w:val="21"/>
              </w:rPr>
              <w:t>统计，统计维度必须包含：开单科室、执行科室、项目收费金额、业务数量、开单时间、执行时间。支持按特需收费/非特需收费口径做分类统计归集</w:t>
            </w:r>
            <w:r>
              <w:rPr>
                <w:rFonts w:hint="eastAsia" w:ascii="宋体" w:hAnsi="宋体" w:cs="宋体"/>
                <w:kern w:val="0"/>
                <w:szCs w:val="21"/>
              </w:rPr>
              <w:t>。</w:t>
            </w:r>
          </w:p>
        </w:tc>
      </w:tr>
      <w:tr w14:paraId="1BC5E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741" w:type="dxa"/>
            <w:vMerge w:val="continue"/>
            <w:noWrap w:val="0"/>
            <w:vAlign w:val="center"/>
          </w:tcPr>
          <w:p w14:paraId="2C08253E">
            <w:pPr>
              <w:widowControl/>
              <w:jc w:val="left"/>
              <w:rPr>
                <w:rFonts w:hint="eastAsia" w:ascii="宋体" w:hAnsi="宋体" w:cs="宋体"/>
                <w:kern w:val="0"/>
                <w:szCs w:val="21"/>
              </w:rPr>
            </w:pPr>
          </w:p>
        </w:tc>
        <w:tc>
          <w:tcPr>
            <w:tcW w:w="876" w:type="dxa"/>
            <w:noWrap w:val="0"/>
            <w:vAlign w:val="center"/>
          </w:tcPr>
          <w:p w14:paraId="2EA37B1F">
            <w:pPr>
              <w:widowControl/>
              <w:jc w:val="center"/>
              <w:rPr>
                <w:rFonts w:hint="eastAsia" w:ascii="宋体" w:hAnsi="宋体" w:cs="宋体"/>
                <w:kern w:val="0"/>
                <w:szCs w:val="21"/>
              </w:rPr>
            </w:pPr>
            <w:r>
              <w:rPr>
                <w:rFonts w:hint="eastAsia" w:ascii="宋体" w:hAnsi="宋体" w:cs="宋体"/>
                <w:kern w:val="0"/>
                <w:szCs w:val="21"/>
              </w:rPr>
              <w:t>检验运营主题分析</w:t>
            </w:r>
          </w:p>
        </w:tc>
        <w:tc>
          <w:tcPr>
            <w:tcW w:w="7170" w:type="dxa"/>
            <w:noWrap w:val="0"/>
            <w:vAlign w:val="center"/>
          </w:tcPr>
          <w:p w14:paraId="5E563F3E">
            <w:pPr>
              <w:widowControl/>
              <w:rPr>
                <w:rFonts w:hint="eastAsia" w:ascii="宋体" w:hAnsi="宋体" w:cs="宋体"/>
                <w:kern w:val="0"/>
                <w:szCs w:val="21"/>
              </w:rPr>
            </w:pPr>
            <w:r>
              <w:rPr>
                <w:rFonts w:hint="eastAsia" w:ascii="宋体" w:hAnsi="宋体" w:cs="宋体"/>
                <w:kern w:val="0"/>
                <w:szCs w:val="21"/>
              </w:rPr>
              <w:t>包括检验人次、门诊检验人次、住院检验人次、急诊检验人次、体检检验人次、检验项次、门诊检验项次、住院检验项次、急诊检验项次、体检检验项次等指标的当期值、同期值、同比、环比；支持检验人次-报告项目top排名，提供以表格或者图片方式导出；支持检验人次-报告医生top排名，提供以表格或者图片方式导出；支持检验指标的可视化趋势分析</w:t>
            </w:r>
          </w:p>
        </w:tc>
      </w:tr>
      <w:tr w14:paraId="0EEF5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741" w:type="dxa"/>
            <w:vMerge w:val="continue"/>
            <w:noWrap w:val="0"/>
            <w:vAlign w:val="center"/>
          </w:tcPr>
          <w:p w14:paraId="3C202A8F">
            <w:pPr>
              <w:widowControl/>
              <w:jc w:val="left"/>
              <w:rPr>
                <w:rFonts w:hint="eastAsia" w:ascii="宋体" w:hAnsi="宋体" w:cs="宋体"/>
                <w:kern w:val="0"/>
                <w:szCs w:val="21"/>
              </w:rPr>
            </w:pPr>
          </w:p>
        </w:tc>
        <w:tc>
          <w:tcPr>
            <w:tcW w:w="876" w:type="dxa"/>
            <w:noWrap w:val="0"/>
            <w:vAlign w:val="center"/>
          </w:tcPr>
          <w:p w14:paraId="798C5D19">
            <w:pPr>
              <w:widowControl/>
              <w:jc w:val="center"/>
              <w:rPr>
                <w:rFonts w:hint="eastAsia" w:ascii="宋体" w:hAnsi="宋体" w:cs="宋体"/>
                <w:kern w:val="0"/>
                <w:szCs w:val="21"/>
              </w:rPr>
            </w:pPr>
            <w:r>
              <w:rPr>
                <w:rFonts w:hint="eastAsia" w:ascii="宋体" w:hAnsi="宋体" w:cs="宋体"/>
                <w:kern w:val="0"/>
                <w:szCs w:val="21"/>
              </w:rPr>
              <w:t>医疗质量主题分析</w:t>
            </w:r>
          </w:p>
        </w:tc>
        <w:tc>
          <w:tcPr>
            <w:tcW w:w="7170" w:type="dxa"/>
            <w:noWrap w:val="0"/>
            <w:vAlign w:val="center"/>
          </w:tcPr>
          <w:p w14:paraId="094D975D">
            <w:pPr>
              <w:widowControl/>
              <w:numPr>
                <w:ilvl w:val="0"/>
                <w:numId w:val="15"/>
              </w:numPr>
              <w:rPr>
                <w:rFonts w:hint="eastAsia" w:ascii="宋体" w:hAnsi="宋体" w:cs="宋体"/>
                <w:kern w:val="0"/>
                <w:szCs w:val="21"/>
              </w:rPr>
            </w:pPr>
            <w:r>
              <w:rPr>
                <w:rFonts w:hint="eastAsia" w:ascii="宋体" w:hAnsi="宋体" w:cs="宋体"/>
                <w:kern w:val="0"/>
                <w:szCs w:val="21"/>
              </w:rPr>
              <w:t>住院患者分析：包括出院人数、死亡人数、出院患者占用总床日数、出院患者平均住院日、病床使用率、病床周转次数、住院患者出院0-31天非预期再入院、手术类别、离院方式；支持指标的可视化趋势分析</w:t>
            </w:r>
          </w:p>
          <w:p w14:paraId="0C68325D">
            <w:pPr>
              <w:widowControl/>
              <w:numPr>
                <w:ilvl w:val="0"/>
                <w:numId w:val="15"/>
              </w:numPr>
              <w:rPr>
                <w:rFonts w:hint="eastAsia" w:ascii="宋体" w:hAnsi="宋体" w:cs="宋体"/>
                <w:kern w:val="0"/>
                <w:szCs w:val="21"/>
              </w:rPr>
            </w:pPr>
            <w:r>
              <w:rPr>
                <w:rFonts w:hint="eastAsia" w:ascii="宋体" w:hAnsi="宋体" w:cs="宋体"/>
                <w:kern w:val="0"/>
                <w:szCs w:val="21"/>
              </w:rPr>
              <w:t>手术（或操作）患者分析：包括术前住院日、出院患者手术占比、出院患者四级手术占比、住院患者死亡率、出院总费用、出院患者手术例数、非计划再次手术例数；支持指标的可视化趋势分析</w:t>
            </w:r>
          </w:p>
          <w:p w14:paraId="24C95977">
            <w:pPr>
              <w:widowControl/>
              <w:numPr>
                <w:ilvl w:val="0"/>
                <w:numId w:val="15"/>
              </w:numPr>
              <w:rPr>
                <w:rFonts w:hint="eastAsia" w:ascii="宋体" w:hAnsi="宋体" w:cs="宋体"/>
                <w:kern w:val="0"/>
                <w:szCs w:val="21"/>
              </w:rPr>
            </w:pPr>
            <w:r>
              <w:rPr>
                <w:rFonts w:hint="eastAsia" w:ascii="宋体" w:hAnsi="宋体" w:cs="宋体"/>
                <w:kern w:val="0"/>
                <w:szCs w:val="21"/>
              </w:rPr>
              <w:t>支持查询指定时间段内全院（科室）总死亡率、新生儿死亡率和不良事件发生率以及患者安全与质量专题相关指标的本期值、同期值、目标值、增长率等情况。</w:t>
            </w:r>
          </w:p>
        </w:tc>
      </w:tr>
      <w:tr w14:paraId="0FB2C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741" w:type="dxa"/>
            <w:vMerge w:val="continue"/>
            <w:noWrap w:val="0"/>
            <w:vAlign w:val="center"/>
          </w:tcPr>
          <w:p w14:paraId="645C0B6C">
            <w:pPr>
              <w:widowControl/>
              <w:jc w:val="left"/>
              <w:rPr>
                <w:rFonts w:hint="eastAsia" w:ascii="宋体" w:hAnsi="宋体" w:cs="宋体"/>
                <w:kern w:val="0"/>
                <w:szCs w:val="21"/>
              </w:rPr>
            </w:pPr>
          </w:p>
        </w:tc>
        <w:tc>
          <w:tcPr>
            <w:tcW w:w="876" w:type="dxa"/>
            <w:noWrap w:val="0"/>
            <w:vAlign w:val="center"/>
          </w:tcPr>
          <w:p w14:paraId="289F2E18">
            <w:pPr>
              <w:pStyle w:val="37"/>
              <w:widowControl/>
              <w:spacing w:beforeAutospacing="0" w:afterAutospacing="0"/>
              <w:jc w:val="center"/>
              <w:rPr>
                <w:rFonts w:hint="eastAsia" w:ascii="Times New Roman" w:hAnsi="Times New Roman" w:cs="Times New Roman"/>
                <w:kern w:val="0"/>
                <w:szCs w:val="24"/>
              </w:rPr>
            </w:pPr>
            <w:r>
              <w:rPr>
                <w:color w:val="000000"/>
                <w:sz w:val="22"/>
                <w:szCs w:val="22"/>
              </w:rPr>
              <w:t>护理主题分析</w:t>
            </w:r>
          </w:p>
        </w:tc>
        <w:tc>
          <w:tcPr>
            <w:tcW w:w="7170" w:type="dxa"/>
            <w:noWrap w:val="0"/>
            <w:vAlign w:val="center"/>
          </w:tcPr>
          <w:p w14:paraId="47984261">
            <w:pPr>
              <w:widowControl/>
              <w:numPr>
                <w:ilvl w:val="0"/>
                <w:numId w:val="16"/>
              </w:numPr>
              <w:jc w:val="left"/>
              <w:rPr>
                <w:rFonts w:hint="eastAsia" w:ascii="宋体" w:hAnsi="宋体" w:cs="宋体"/>
                <w:kern w:val="0"/>
                <w:szCs w:val="21"/>
              </w:rPr>
            </w:pPr>
            <w:r>
              <w:rPr>
                <w:rFonts w:hint="eastAsia" w:ascii="宋体" w:hAnsi="宋体" w:cs="宋体"/>
                <w:kern w:val="0"/>
                <w:szCs w:val="21"/>
              </w:rPr>
              <w:t>支持护理人力运营维度分析：1、提供全院的护理人力资源配置情况，可以展示岗位职称分布、工龄-年龄、各科室人员分布情况信息； 实际护患比：监测人员休假、抽调情况，机动库护士调配人次等。</w:t>
            </w:r>
          </w:p>
          <w:p w14:paraId="7DEC417D">
            <w:pPr>
              <w:widowControl/>
              <w:numPr>
                <w:ilvl w:val="0"/>
                <w:numId w:val="16"/>
              </w:numPr>
              <w:jc w:val="left"/>
              <w:rPr>
                <w:rFonts w:hint="eastAsia" w:ascii="宋体" w:hAnsi="宋体" w:cs="宋体"/>
                <w:kern w:val="0"/>
                <w:szCs w:val="21"/>
              </w:rPr>
            </w:pPr>
            <w:r>
              <w:rPr>
                <w:rFonts w:hint="eastAsia" w:ascii="宋体" w:hAnsi="宋体" w:cs="宋体"/>
                <w:kern w:val="0"/>
                <w:szCs w:val="21"/>
              </w:rPr>
              <w:t>支持护理质量安全维度分析：支持按等级医院评审，国考等要求配置护理敏感指标进行报表展示，支持报表导出。</w:t>
            </w:r>
          </w:p>
          <w:p w14:paraId="5BCA425B">
            <w:pPr>
              <w:widowControl/>
              <w:numPr>
                <w:ilvl w:val="0"/>
                <w:numId w:val="16"/>
              </w:numPr>
              <w:jc w:val="left"/>
              <w:rPr>
                <w:rFonts w:hint="eastAsia" w:ascii="宋体" w:hAnsi="宋体" w:cs="宋体"/>
                <w:kern w:val="0"/>
                <w:szCs w:val="21"/>
              </w:rPr>
            </w:pPr>
            <w:r>
              <w:rPr>
                <w:rFonts w:hint="eastAsia" w:ascii="宋体" w:hAnsi="宋体" w:cs="宋体"/>
                <w:kern w:val="0"/>
                <w:szCs w:val="21"/>
              </w:rPr>
              <w:t>支持护理专科发展维度分析：含护理会诊例数、专科护理门诊工作量、核心护理技术开展例数。支持统计风险预警信息：包含事件，跌倒等信息。</w:t>
            </w:r>
          </w:p>
        </w:tc>
      </w:tr>
      <w:tr w14:paraId="08396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741" w:type="dxa"/>
            <w:vMerge w:val="continue"/>
            <w:noWrap w:val="0"/>
            <w:vAlign w:val="center"/>
          </w:tcPr>
          <w:p w14:paraId="162760D0">
            <w:pPr>
              <w:widowControl/>
              <w:jc w:val="left"/>
              <w:rPr>
                <w:rFonts w:hint="eastAsia" w:ascii="宋体" w:hAnsi="宋体" w:cs="宋体"/>
                <w:kern w:val="0"/>
                <w:szCs w:val="21"/>
              </w:rPr>
            </w:pPr>
          </w:p>
        </w:tc>
        <w:tc>
          <w:tcPr>
            <w:tcW w:w="876" w:type="dxa"/>
            <w:noWrap w:val="0"/>
            <w:vAlign w:val="center"/>
          </w:tcPr>
          <w:p w14:paraId="1542D9DC">
            <w:pPr>
              <w:pStyle w:val="37"/>
              <w:widowControl/>
              <w:spacing w:beforeAutospacing="0" w:afterAutospacing="0"/>
              <w:jc w:val="center"/>
              <w:rPr>
                <w:color w:val="000000"/>
                <w:sz w:val="22"/>
                <w:szCs w:val="22"/>
              </w:rPr>
            </w:pPr>
            <w:r>
              <w:rPr>
                <w:rFonts w:hint="eastAsia"/>
                <w:color w:val="000000"/>
                <w:sz w:val="22"/>
                <w:szCs w:val="22"/>
              </w:rPr>
              <w:t>医务部管理专题分析</w:t>
            </w:r>
          </w:p>
        </w:tc>
        <w:tc>
          <w:tcPr>
            <w:tcW w:w="7170" w:type="dxa"/>
            <w:noWrap w:val="0"/>
            <w:vAlign w:val="center"/>
          </w:tcPr>
          <w:p w14:paraId="0B703CF3">
            <w:pPr>
              <w:widowControl/>
              <w:numPr>
                <w:ilvl w:val="0"/>
                <w:numId w:val="17"/>
              </w:numPr>
              <w:jc w:val="left"/>
              <w:rPr>
                <w:rFonts w:ascii="宋体" w:hAnsi="宋体" w:cs="宋体"/>
                <w:kern w:val="0"/>
                <w:szCs w:val="21"/>
              </w:rPr>
            </w:pPr>
            <w:r>
              <w:rPr>
                <w:rFonts w:hint="eastAsia" w:ascii="宋体" w:hAnsi="宋体" w:cs="宋体"/>
                <w:kern w:val="0"/>
                <w:szCs w:val="21"/>
              </w:rPr>
              <w:t>医患指标分析看板：</w:t>
            </w:r>
            <w:r>
              <w:rPr>
                <w:rFonts w:ascii="宋体" w:hAnsi="宋体" w:cs="宋体"/>
                <w:kern w:val="0"/>
                <w:szCs w:val="21"/>
              </w:rPr>
              <w:t>支持以</w:t>
            </w:r>
            <w:r>
              <w:rPr>
                <w:rFonts w:hint="eastAsia" w:ascii="宋体" w:hAnsi="宋体" w:cs="宋体"/>
                <w:kern w:val="0"/>
                <w:szCs w:val="21"/>
              </w:rPr>
              <w:t>折</w:t>
            </w:r>
            <w:r>
              <w:rPr>
                <w:rFonts w:ascii="宋体" w:hAnsi="宋体" w:cs="宋体"/>
                <w:kern w:val="0"/>
                <w:szCs w:val="21"/>
              </w:rPr>
              <w:t>线图、柱状图、饼状图等可视化形式，展示医患比、全院医师数、全院床位使用率、全院患者数据信息等核心运营指标；支持按时间周期查看趋势变化。</w:t>
            </w:r>
          </w:p>
          <w:p w14:paraId="79119E83">
            <w:pPr>
              <w:widowControl/>
              <w:numPr>
                <w:ilvl w:val="0"/>
                <w:numId w:val="17"/>
              </w:numPr>
              <w:jc w:val="left"/>
              <w:rPr>
                <w:rFonts w:ascii="宋体" w:hAnsi="宋体" w:cs="宋体"/>
                <w:kern w:val="0"/>
                <w:szCs w:val="21"/>
              </w:rPr>
            </w:pPr>
            <w:r>
              <w:rPr>
                <w:rFonts w:ascii="宋体" w:hAnsi="宋体" w:cs="宋体"/>
                <w:kern w:val="0"/>
                <w:szCs w:val="21"/>
              </w:rPr>
              <w:t>全院患者动态</w:t>
            </w:r>
            <w:r>
              <w:rPr>
                <w:rFonts w:hint="eastAsia" w:ascii="宋体" w:hAnsi="宋体" w:cs="宋体"/>
                <w:kern w:val="0"/>
                <w:szCs w:val="21"/>
              </w:rPr>
              <w:t>看板：</w:t>
            </w:r>
            <w:r>
              <w:rPr>
                <w:rFonts w:ascii="宋体" w:hAnsi="宋体" w:cs="宋体"/>
                <w:kern w:val="0"/>
                <w:szCs w:val="21"/>
              </w:rPr>
              <w:t>支持以病区/科室模块化的方式展示全院病区患者数据动态</w:t>
            </w:r>
            <w:r>
              <w:rPr>
                <w:rFonts w:hint="eastAsia" w:ascii="宋体" w:hAnsi="宋体" w:cs="宋体"/>
                <w:kern w:val="0"/>
                <w:szCs w:val="21"/>
              </w:rPr>
              <w:t>。</w:t>
            </w:r>
          </w:p>
          <w:p w14:paraId="63A3E58A">
            <w:pPr>
              <w:widowControl/>
              <w:numPr>
                <w:ilvl w:val="0"/>
                <w:numId w:val="17"/>
              </w:numPr>
              <w:jc w:val="left"/>
              <w:rPr>
                <w:rFonts w:ascii="宋体" w:hAnsi="宋体" w:cs="宋体"/>
                <w:kern w:val="0"/>
                <w:szCs w:val="21"/>
              </w:rPr>
            </w:pPr>
            <w:r>
              <w:rPr>
                <w:rFonts w:ascii="宋体" w:hAnsi="宋体" w:cs="宋体"/>
                <w:kern w:val="0"/>
                <w:szCs w:val="21"/>
              </w:rPr>
              <w:t>病区</w:t>
            </w:r>
            <w:r>
              <w:rPr>
                <w:rFonts w:hint="eastAsia" w:ascii="宋体" w:hAnsi="宋体" w:cs="宋体"/>
                <w:kern w:val="0"/>
                <w:szCs w:val="21"/>
              </w:rPr>
              <w:t>患者明细看板：</w:t>
            </w:r>
            <w:r>
              <w:rPr>
                <w:rFonts w:ascii="宋体" w:hAnsi="宋体" w:cs="宋体"/>
                <w:kern w:val="0"/>
                <w:szCs w:val="21"/>
              </w:rPr>
              <w:t>支持以病区/科室列表的格式展示科室患者数据动态。</w:t>
            </w:r>
          </w:p>
          <w:p w14:paraId="1CB45514">
            <w:pPr>
              <w:widowControl/>
              <w:numPr>
                <w:ilvl w:val="0"/>
                <w:numId w:val="17"/>
              </w:numPr>
              <w:jc w:val="left"/>
              <w:rPr>
                <w:rFonts w:ascii="宋体" w:hAnsi="宋体" w:cs="宋体"/>
                <w:kern w:val="0"/>
                <w:szCs w:val="21"/>
              </w:rPr>
            </w:pPr>
            <w:r>
              <w:rPr>
                <w:rFonts w:hint="eastAsia" w:ascii="宋体" w:hAnsi="宋体" w:cs="宋体"/>
                <w:kern w:val="0"/>
                <w:szCs w:val="21"/>
              </w:rPr>
              <w:t>手术安排动态看板：</w:t>
            </w:r>
            <w:r>
              <w:rPr>
                <w:rFonts w:ascii="宋体" w:hAnsi="宋体" w:cs="宋体"/>
                <w:kern w:val="0"/>
                <w:szCs w:val="21"/>
              </w:rPr>
              <w:t>支持以列表滚动形式显示每天开展手术情况。</w:t>
            </w:r>
          </w:p>
          <w:p w14:paraId="01EFA9FC">
            <w:pPr>
              <w:widowControl/>
              <w:numPr>
                <w:ilvl w:val="0"/>
                <w:numId w:val="17"/>
              </w:numPr>
              <w:jc w:val="left"/>
              <w:rPr>
                <w:rFonts w:ascii="宋体" w:hAnsi="宋体" w:cs="宋体"/>
                <w:kern w:val="0"/>
                <w:szCs w:val="21"/>
              </w:rPr>
            </w:pPr>
            <w:r>
              <w:rPr>
                <w:rFonts w:hint="eastAsia" w:ascii="宋体" w:hAnsi="宋体" w:cs="宋体"/>
                <w:kern w:val="0"/>
                <w:szCs w:val="21"/>
              </w:rPr>
              <w:t>医师结构分析看板：</w:t>
            </w:r>
            <w:r>
              <w:rPr>
                <w:rFonts w:ascii="宋体" w:hAnsi="宋体" w:cs="宋体"/>
                <w:kern w:val="0"/>
                <w:szCs w:val="21"/>
              </w:rPr>
              <w:t>支持以动态饼状图展示各类医师的占比及数里，含各职称，年龄，工龄，用工形式、年龄学历情况、新入职医师等;</w:t>
            </w:r>
          </w:p>
          <w:p w14:paraId="2396EE1F">
            <w:pPr>
              <w:widowControl/>
              <w:numPr>
                <w:ilvl w:val="0"/>
                <w:numId w:val="17"/>
              </w:numPr>
              <w:jc w:val="left"/>
              <w:rPr>
                <w:rFonts w:hint="eastAsia" w:ascii="宋体" w:hAnsi="宋体" w:cs="宋体"/>
                <w:kern w:val="0"/>
                <w:szCs w:val="21"/>
              </w:rPr>
            </w:pPr>
            <w:r>
              <w:rPr>
                <w:rFonts w:hint="eastAsia" w:ascii="宋体" w:hAnsi="宋体" w:cs="宋体"/>
                <w:kern w:val="0"/>
                <w:szCs w:val="21"/>
              </w:rPr>
              <w:t>医师动态看板：支持以表格形式展示全院医师动态，含请休假、离转退等人员动态数据</w:t>
            </w:r>
          </w:p>
        </w:tc>
      </w:tr>
      <w:tr w14:paraId="57977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741" w:type="dxa"/>
            <w:vMerge w:val="continue"/>
            <w:noWrap w:val="0"/>
            <w:vAlign w:val="center"/>
          </w:tcPr>
          <w:p w14:paraId="1AF14212">
            <w:pPr>
              <w:widowControl/>
              <w:jc w:val="left"/>
              <w:rPr>
                <w:rFonts w:hint="eastAsia" w:ascii="宋体" w:hAnsi="宋体" w:cs="宋体"/>
                <w:kern w:val="0"/>
                <w:szCs w:val="21"/>
              </w:rPr>
            </w:pPr>
          </w:p>
        </w:tc>
        <w:tc>
          <w:tcPr>
            <w:tcW w:w="876" w:type="dxa"/>
            <w:noWrap w:val="0"/>
            <w:vAlign w:val="center"/>
          </w:tcPr>
          <w:p w14:paraId="5A8A128D">
            <w:pPr>
              <w:pStyle w:val="37"/>
              <w:widowControl/>
              <w:spacing w:beforeAutospacing="0" w:afterAutospacing="0"/>
              <w:jc w:val="center"/>
              <w:rPr>
                <w:rFonts w:hint="eastAsia"/>
                <w:color w:val="000000"/>
                <w:sz w:val="22"/>
                <w:szCs w:val="22"/>
              </w:rPr>
            </w:pPr>
            <w:r>
              <w:rPr>
                <w:rFonts w:hint="eastAsia"/>
                <w:color w:val="000000"/>
                <w:sz w:val="22"/>
                <w:szCs w:val="22"/>
              </w:rPr>
              <w:t>门办运营主题分析</w:t>
            </w:r>
          </w:p>
        </w:tc>
        <w:tc>
          <w:tcPr>
            <w:tcW w:w="7170" w:type="dxa"/>
            <w:noWrap w:val="0"/>
            <w:vAlign w:val="center"/>
          </w:tcPr>
          <w:p w14:paraId="1B009A64">
            <w:pPr>
              <w:widowControl/>
              <w:numPr>
                <w:ilvl w:val="0"/>
                <w:numId w:val="18"/>
              </w:numPr>
              <w:jc w:val="left"/>
              <w:rPr>
                <w:rFonts w:ascii="宋体" w:hAnsi="宋体" w:cs="宋体"/>
                <w:kern w:val="0"/>
                <w:szCs w:val="21"/>
              </w:rPr>
            </w:pPr>
            <w:r>
              <w:rPr>
                <w:rFonts w:hint="eastAsia" w:ascii="宋体" w:hAnsi="宋体" w:cs="宋体"/>
                <w:kern w:val="0"/>
                <w:szCs w:val="21"/>
              </w:rPr>
              <w:t>建设门诊办公室运营分析主题，聚焦门诊业务、质量、效率、服务、费用、出诊、预约等场景数据提供按科室、医师、时间周期（日/周/月/年）多维度分析图表展示。</w:t>
            </w:r>
          </w:p>
          <w:p w14:paraId="6BE4C290">
            <w:pPr>
              <w:widowControl/>
              <w:numPr>
                <w:ilvl w:val="0"/>
                <w:numId w:val="18"/>
              </w:numPr>
              <w:jc w:val="left"/>
              <w:rPr>
                <w:rFonts w:ascii="宋体" w:hAnsi="宋体" w:cs="宋体"/>
                <w:kern w:val="0"/>
                <w:szCs w:val="21"/>
              </w:rPr>
            </w:pPr>
            <w:r>
              <w:rPr>
                <w:rFonts w:ascii="宋体" w:hAnsi="宋体" w:cs="宋体"/>
                <w:kern w:val="0"/>
                <w:szCs w:val="21"/>
              </w:rPr>
              <w:t>门诊医疗质量控制指标展示与分析</w:t>
            </w:r>
            <w:r>
              <w:rPr>
                <w:rFonts w:hint="eastAsia" w:ascii="宋体" w:hAnsi="宋体" w:cs="宋体"/>
                <w:kern w:val="0"/>
                <w:szCs w:val="21"/>
              </w:rPr>
              <w:t>，包括展示门诊电子病历使用率、门诊标准诊断使用率、门诊准时出诊率、门诊停诊率、门诊化疗病历记录完整率、门诊化疗严重不良反应发生率、门诊危急值 30 分钟内通报完成率、门诊静脉采血相关差错发生率、门诊手术并发症发生率、每千门诊诊疗人次不良事件发生率等，支持明细溯源、科室对比。</w:t>
            </w:r>
          </w:p>
          <w:p w14:paraId="447CEA57">
            <w:pPr>
              <w:widowControl/>
              <w:numPr>
                <w:ilvl w:val="0"/>
                <w:numId w:val="18"/>
              </w:numPr>
              <w:jc w:val="left"/>
              <w:rPr>
                <w:rFonts w:ascii="宋体" w:hAnsi="宋体" w:cs="宋体"/>
                <w:kern w:val="0"/>
                <w:szCs w:val="21"/>
              </w:rPr>
            </w:pPr>
            <w:r>
              <w:rPr>
                <w:rFonts w:ascii="宋体" w:hAnsi="宋体" w:cs="宋体"/>
                <w:kern w:val="0"/>
                <w:szCs w:val="21"/>
              </w:rPr>
              <w:t>出诊管理与专家门诊分析</w:t>
            </w:r>
            <w:r>
              <w:rPr>
                <w:rFonts w:hint="eastAsia" w:ascii="宋体" w:hAnsi="宋体" w:cs="宋体"/>
                <w:kern w:val="0"/>
                <w:szCs w:val="21"/>
              </w:rPr>
              <w:t>：展示副高以上专家出诊单元数、专家出诊达标率、诊室使用率、专家每月出诊单元数、平均每单元看诊量、医师停诊/改诊明细、按时出诊率、迟到次数。支持特需/国际医疗部出诊与普通门诊出诊单元对比统计。支持周末出诊与加班补助统计展示。</w:t>
            </w:r>
          </w:p>
          <w:p w14:paraId="6DC7FD4C">
            <w:pPr>
              <w:widowControl/>
              <w:numPr>
                <w:ilvl w:val="0"/>
                <w:numId w:val="18"/>
              </w:numPr>
              <w:jc w:val="left"/>
              <w:rPr>
                <w:rFonts w:ascii="宋体" w:hAnsi="宋体" w:cs="宋体"/>
                <w:kern w:val="0"/>
                <w:szCs w:val="21"/>
              </w:rPr>
            </w:pPr>
            <w:r>
              <w:rPr>
                <w:rFonts w:ascii="宋体" w:hAnsi="宋体" w:cs="宋体"/>
                <w:kern w:val="0"/>
                <w:szCs w:val="21"/>
              </w:rPr>
              <w:t>预约与等候时间分析</w:t>
            </w:r>
            <w:r>
              <w:rPr>
                <w:rFonts w:hint="eastAsia" w:ascii="宋体" w:hAnsi="宋体" w:cs="宋体"/>
                <w:kern w:val="0"/>
                <w:szCs w:val="21"/>
              </w:rPr>
              <w:t>：包含展示诊疗预约率、剔除现场预约预约率、门诊预约患者平均候诊时间、检查预约等待时间、候诊时长高峰分析、抽血室各节点等待时间等指标。</w:t>
            </w:r>
          </w:p>
          <w:p w14:paraId="66469B8C">
            <w:pPr>
              <w:widowControl/>
              <w:numPr>
                <w:ilvl w:val="0"/>
                <w:numId w:val="18"/>
              </w:numPr>
              <w:jc w:val="left"/>
              <w:rPr>
                <w:rFonts w:hint="eastAsia" w:ascii="宋体" w:hAnsi="宋体" w:cs="宋体"/>
                <w:kern w:val="0"/>
                <w:szCs w:val="21"/>
              </w:rPr>
            </w:pPr>
            <w:r>
              <w:rPr>
                <w:rFonts w:ascii="宋体" w:hAnsi="宋体" w:cs="宋体"/>
                <w:kern w:val="0"/>
                <w:szCs w:val="21"/>
              </w:rPr>
              <w:t>日间医疗管理质量控制中心</w:t>
            </w:r>
            <w:r>
              <w:rPr>
                <w:rFonts w:hint="eastAsia" w:ascii="宋体" w:hAnsi="宋体" w:cs="宋体"/>
                <w:kern w:val="0"/>
                <w:szCs w:val="21"/>
              </w:rPr>
              <w:t>监测指标展示</w:t>
            </w:r>
          </w:p>
        </w:tc>
      </w:tr>
      <w:tr w14:paraId="2514C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741" w:type="dxa"/>
            <w:vMerge w:val="continue"/>
            <w:noWrap w:val="0"/>
            <w:vAlign w:val="center"/>
          </w:tcPr>
          <w:p w14:paraId="230E4C57">
            <w:pPr>
              <w:widowControl/>
              <w:jc w:val="left"/>
              <w:rPr>
                <w:rFonts w:hint="eastAsia" w:ascii="宋体" w:hAnsi="宋体" w:cs="宋体"/>
                <w:kern w:val="0"/>
                <w:szCs w:val="21"/>
              </w:rPr>
            </w:pPr>
          </w:p>
        </w:tc>
        <w:tc>
          <w:tcPr>
            <w:tcW w:w="876" w:type="dxa"/>
            <w:noWrap w:val="0"/>
            <w:vAlign w:val="center"/>
          </w:tcPr>
          <w:p w14:paraId="132BDF05">
            <w:pPr>
              <w:widowControl/>
              <w:jc w:val="center"/>
              <w:rPr>
                <w:rFonts w:hint="eastAsia" w:ascii="宋体" w:hAnsi="宋体" w:cs="宋体"/>
                <w:kern w:val="0"/>
                <w:szCs w:val="21"/>
              </w:rPr>
            </w:pPr>
            <w:r>
              <w:rPr>
                <w:rFonts w:hint="eastAsia" w:ascii="宋体" w:hAnsi="宋体" w:cs="宋体"/>
                <w:kern w:val="0"/>
                <w:szCs w:val="21"/>
              </w:rPr>
              <w:t>药事管理主题分析</w:t>
            </w:r>
          </w:p>
        </w:tc>
        <w:tc>
          <w:tcPr>
            <w:tcW w:w="7170" w:type="dxa"/>
            <w:noWrap w:val="0"/>
            <w:vAlign w:val="center"/>
          </w:tcPr>
          <w:p w14:paraId="1A5CA1F2">
            <w:pPr>
              <w:numPr>
                <w:ilvl w:val="0"/>
                <w:numId w:val="0"/>
              </w:numPr>
              <w:rPr>
                <w:rFonts w:ascii="宋体" w:hAnsi="宋体" w:cs="宋体"/>
                <w:sz w:val="21"/>
                <w:szCs w:val="21"/>
              </w:rPr>
            </w:pPr>
            <w:r>
              <w:rPr>
                <w:rFonts w:hint="eastAsia" w:ascii="宋体" w:hAnsi="宋体" w:cs="宋体"/>
                <w:sz w:val="21"/>
                <w:szCs w:val="21"/>
              </w:rPr>
              <w:t>一、</w:t>
            </w:r>
            <w:r>
              <w:rPr>
                <w:rFonts w:ascii="宋体" w:hAnsi="宋体" w:cs="宋体"/>
                <w:sz w:val="21"/>
                <w:szCs w:val="21"/>
              </w:rPr>
              <w:t>药品概况：包括药品总费用、西药总费用、中成药总费用、草药总费用、药占比、西药占比、中成药占比、草药占比等指标的当期值、同期值、同比、环比；支持配置相关指标趋势分析；支持配置相关指标的科室</w:t>
            </w:r>
            <w:r>
              <w:rPr>
                <w:rFonts w:hint="eastAsia" w:ascii="宋体" w:hAnsi="宋体" w:cs="宋体"/>
                <w:sz w:val="21"/>
                <w:szCs w:val="21"/>
              </w:rPr>
              <w:t>、医师</w:t>
            </w:r>
            <w:r>
              <w:rPr>
                <w:rFonts w:ascii="宋体" w:hAnsi="宋体" w:cs="宋体"/>
                <w:sz w:val="21"/>
                <w:szCs w:val="21"/>
              </w:rPr>
              <w:t>排名；支持以患者类型、就诊类型</w:t>
            </w:r>
            <w:r>
              <w:rPr>
                <w:rFonts w:hint="eastAsia" w:ascii="宋体" w:hAnsi="宋体" w:cs="宋体"/>
                <w:sz w:val="21"/>
                <w:szCs w:val="21"/>
              </w:rPr>
              <w:t>、药品类型（包括管理类型、药理分类）、药品具体品种</w:t>
            </w:r>
            <w:r>
              <w:rPr>
                <w:rFonts w:ascii="宋体" w:hAnsi="宋体" w:cs="宋体"/>
                <w:sz w:val="21"/>
                <w:szCs w:val="21"/>
              </w:rPr>
              <w:t>分析；</w:t>
            </w:r>
            <w:r>
              <w:rPr>
                <w:rFonts w:hint="eastAsia" w:ascii="宋体" w:hAnsi="宋体" w:cs="宋体"/>
                <w:sz w:val="21"/>
                <w:szCs w:val="21"/>
              </w:rPr>
              <w:t>支持统计全院（可分别统计住院、门诊、急诊）、科室（可分别统计住院、门诊、急诊）、医师（可分别统计住院、门诊、急诊）使用的具体药品数量、药品使用金额。</w:t>
            </w:r>
            <w:r>
              <w:rPr>
                <w:rFonts w:ascii="宋体" w:hAnsi="宋体" w:cs="宋体"/>
                <w:sz w:val="21"/>
                <w:szCs w:val="21"/>
              </w:rPr>
              <w:br w:type="textWrapping"/>
            </w:r>
            <w:r>
              <w:rPr>
                <w:rFonts w:ascii="宋体" w:hAnsi="宋体" w:cs="宋体"/>
                <w:sz w:val="21"/>
                <w:szCs w:val="21"/>
              </w:rPr>
              <w:t>二、门急诊药品概况：包括门急诊药品总费用、门急诊西药总费用、门急诊中成药总费用、门急诊草药总费用、门诊药品费用、急诊药品费用、门急诊药占比、门急诊西药占比、门急诊中成药占比、门急诊草药占比、门诊药占比、急诊药占比；支持指标趋势图、科室</w:t>
            </w:r>
            <w:r>
              <w:rPr>
                <w:rFonts w:hint="eastAsia" w:ascii="宋体" w:hAnsi="宋体" w:cs="宋体"/>
                <w:sz w:val="21"/>
                <w:szCs w:val="21"/>
              </w:rPr>
              <w:t>、医师</w:t>
            </w:r>
            <w:r>
              <w:rPr>
                <w:rFonts w:ascii="宋体" w:hAnsi="宋体" w:cs="宋体"/>
                <w:sz w:val="21"/>
                <w:szCs w:val="21"/>
              </w:rPr>
              <w:t>排名、患者类型、就诊类型</w:t>
            </w:r>
            <w:r>
              <w:rPr>
                <w:rFonts w:hint="eastAsia" w:ascii="宋体" w:hAnsi="宋体" w:cs="宋体"/>
                <w:sz w:val="21"/>
                <w:szCs w:val="21"/>
              </w:rPr>
              <w:t>、药品类型（包括管理类型、药理分类）、药品具体品种</w:t>
            </w:r>
            <w:r>
              <w:rPr>
                <w:rFonts w:ascii="宋体" w:hAnsi="宋体" w:cs="宋体"/>
                <w:sz w:val="21"/>
                <w:szCs w:val="21"/>
              </w:rPr>
              <w:t>分析；支持指标按照科室-医生-患者进行下钻分析；</w:t>
            </w:r>
            <w:r>
              <w:rPr>
                <w:rFonts w:ascii="宋体" w:hAnsi="宋体" w:cs="宋体"/>
                <w:sz w:val="21"/>
                <w:szCs w:val="21"/>
              </w:rPr>
              <w:br w:type="textWrapping"/>
            </w:r>
            <w:r>
              <w:rPr>
                <w:rFonts w:ascii="宋体" w:hAnsi="宋体" w:cs="宋体"/>
                <w:sz w:val="21"/>
                <w:szCs w:val="21"/>
              </w:rPr>
              <w:t>三、住院药品概况：包括住院药品费用、住院西药费用、住院中成药费用、住院草药费用、住院抗菌药物费用、住院药占比、住院西药占比、住院中成药占比、住院草药占比、住院药品费占医疗总收入比重；支持指标趋势图、科室排名、患者类型、就诊类型</w:t>
            </w:r>
            <w:r>
              <w:rPr>
                <w:rFonts w:hint="eastAsia" w:ascii="宋体" w:hAnsi="宋体" w:cs="宋体"/>
                <w:sz w:val="21"/>
                <w:szCs w:val="21"/>
              </w:rPr>
              <w:t>、药品类型（包括管理类型、药理分类）、药品具体品种</w:t>
            </w:r>
            <w:r>
              <w:rPr>
                <w:rFonts w:ascii="宋体" w:hAnsi="宋体" w:cs="宋体"/>
                <w:sz w:val="21"/>
                <w:szCs w:val="21"/>
              </w:rPr>
              <w:t>分析；支持指标按照科室-医生-患者进行下钻分析；</w:t>
            </w:r>
            <w:r>
              <w:rPr>
                <w:rFonts w:ascii="宋体" w:hAnsi="宋体" w:cs="宋体"/>
                <w:sz w:val="21"/>
                <w:szCs w:val="21"/>
              </w:rPr>
              <w:br w:type="textWrapping"/>
            </w:r>
            <w:r>
              <w:rPr>
                <w:rFonts w:ascii="宋体" w:hAnsi="宋体" w:cs="宋体"/>
                <w:sz w:val="21"/>
                <w:szCs w:val="21"/>
              </w:rPr>
              <w:t>四、抗菌药物分析：抗菌药物总费用、门诊抗菌药物费用、</w:t>
            </w:r>
            <w:r>
              <w:rPr>
                <w:rFonts w:hint="eastAsia" w:ascii="宋体" w:hAnsi="宋体" w:cs="宋体"/>
                <w:sz w:val="21"/>
                <w:szCs w:val="21"/>
              </w:rPr>
              <w:t>急诊抗菌药物费用、</w:t>
            </w:r>
            <w:r>
              <w:rPr>
                <w:rFonts w:ascii="宋体" w:hAnsi="宋体" w:cs="宋体"/>
                <w:sz w:val="21"/>
                <w:szCs w:val="21"/>
              </w:rPr>
              <w:t>住院抗菌药物费用、门诊抗菌药物使用人次、</w:t>
            </w:r>
            <w:r>
              <w:rPr>
                <w:rFonts w:hint="eastAsia" w:ascii="宋体" w:hAnsi="宋体" w:cs="宋体"/>
                <w:sz w:val="21"/>
                <w:szCs w:val="21"/>
              </w:rPr>
              <w:t>急诊抗菌药物使用人次、</w:t>
            </w:r>
            <w:r>
              <w:rPr>
                <w:rFonts w:ascii="宋体" w:hAnsi="宋体" w:cs="宋体"/>
                <w:sz w:val="21"/>
                <w:szCs w:val="21"/>
              </w:rPr>
              <w:t>住院抗菌药物使用人次、抗菌药物使用强度（DDDs）、抗菌药物占比、门诊抗菌药物占比、</w:t>
            </w:r>
            <w:r>
              <w:rPr>
                <w:rFonts w:hint="eastAsia" w:ascii="宋体" w:hAnsi="宋体" w:cs="宋体"/>
                <w:sz w:val="21"/>
                <w:szCs w:val="21"/>
              </w:rPr>
              <w:t>急诊抗菌药物占比、</w:t>
            </w:r>
            <w:r>
              <w:rPr>
                <w:rFonts w:ascii="宋体" w:hAnsi="宋体" w:cs="宋体"/>
                <w:sz w:val="21"/>
                <w:szCs w:val="21"/>
              </w:rPr>
              <w:t>住院抗菌药物占比、门诊抗菌药物使用率、</w:t>
            </w:r>
            <w:r>
              <w:rPr>
                <w:rFonts w:hint="eastAsia" w:ascii="宋体" w:hAnsi="宋体" w:cs="宋体"/>
                <w:sz w:val="21"/>
                <w:szCs w:val="21"/>
              </w:rPr>
              <w:t>急诊抗菌药物使用率、</w:t>
            </w:r>
            <w:r>
              <w:rPr>
                <w:rFonts w:ascii="宋体" w:hAnsi="宋体" w:cs="宋体"/>
                <w:sz w:val="21"/>
                <w:szCs w:val="21"/>
              </w:rPr>
              <w:t>住院抗菌药物使用率；支持指标趋势图、科室排名、患者类型、就诊类型</w:t>
            </w:r>
            <w:r>
              <w:rPr>
                <w:rFonts w:hint="eastAsia" w:ascii="宋体" w:hAnsi="宋体" w:cs="宋体"/>
                <w:sz w:val="21"/>
                <w:szCs w:val="21"/>
              </w:rPr>
              <w:t>、抗菌药物分级管理类型、药品具体品种</w:t>
            </w:r>
            <w:r>
              <w:rPr>
                <w:rFonts w:ascii="宋体" w:hAnsi="宋体" w:cs="宋体"/>
                <w:sz w:val="21"/>
                <w:szCs w:val="21"/>
              </w:rPr>
              <w:t>分析；支持指标按照科室-医生-患者进行下钻分析；支持查询指定时间段内门诊抗菌药物使用率、</w:t>
            </w:r>
            <w:r>
              <w:rPr>
                <w:rFonts w:hint="eastAsia" w:ascii="宋体" w:hAnsi="宋体" w:cs="宋体"/>
                <w:sz w:val="21"/>
                <w:szCs w:val="21"/>
              </w:rPr>
              <w:t>急诊抗菌药物使用率、</w:t>
            </w:r>
            <w:r>
              <w:rPr>
                <w:rFonts w:ascii="宋体" w:hAnsi="宋体" w:cs="宋体"/>
                <w:sz w:val="21"/>
                <w:szCs w:val="21"/>
              </w:rPr>
              <w:t>住院抗菌药物使用率</w:t>
            </w:r>
            <w:r>
              <w:rPr>
                <w:rFonts w:hint="eastAsia" w:ascii="宋体" w:hAnsi="宋体" w:cs="宋体"/>
                <w:sz w:val="21"/>
                <w:szCs w:val="21"/>
              </w:rPr>
              <w:t>、</w:t>
            </w:r>
            <w:r>
              <w:rPr>
                <w:rFonts w:ascii="宋体" w:hAnsi="宋体" w:cs="宋体"/>
                <w:sz w:val="21"/>
                <w:szCs w:val="21"/>
              </w:rPr>
              <w:t>抗菌药物使用强度</w:t>
            </w:r>
            <w:r>
              <w:rPr>
                <w:rFonts w:hint="eastAsia" w:ascii="宋体" w:hAnsi="宋体" w:cs="宋体"/>
                <w:sz w:val="21"/>
                <w:szCs w:val="21"/>
              </w:rPr>
              <w:t>、特殊使用级抗菌药物使用强度、抗菌药物使用量、特殊使用级抗菌药物使用量、全院出院患者总床日数、专科出院患者总床日数</w:t>
            </w:r>
            <w:r>
              <w:rPr>
                <w:rFonts w:ascii="宋体" w:hAnsi="宋体" w:cs="宋体"/>
                <w:sz w:val="21"/>
                <w:szCs w:val="21"/>
              </w:rPr>
              <w:t>以及合理用药专题相关指标的本期值、同期值、目标值、增长率等情况。</w:t>
            </w:r>
            <w:r>
              <w:rPr>
                <w:rFonts w:ascii="宋体" w:hAnsi="宋体" w:cs="宋体"/>
                <w:sz w:val="21"/>
                <w:szCs w:val="21"/>
              </w:rPr>
              <w:br w:type="textWrapping"/>
            </w:r>
            <w:r>
              <w:rPr>
                <w:rFonts w:ascii="宋体" w:hAnsi="宋体" w:cs="宋体"/>
                <w:sz w:val="21"/>
                <w:szCs w:val="21"/>
              </w:rPr>
              <w:t>五、支持查询指定时间段内集采中选药品使用量、任务量、序时进度、中选品种占比等情况。</w:t>
            </w:r>
            <w:r>
              <w:rPr>
                <w:rFonts w:ascii="宋体" w:hAnsi="宋体" w:cs="宋体"/>
                <w:sz w:val="21"/>
                <w:szCs w:val="21"/>
              </w:rPr>
              <w:br w:type="textWrapping"/>
            </w:r>
            <w:r>
              <w:rPr>
                <w:rFonts w:ascii="宋体" w:hAnsi="宋体" w:cs="宋体"/>
                <w:sz w:val="21"/>
                <w:szCs w:val="21"/>
              </w:rPr>
              <w:t>六、支持统计当日门诊开方数量、处方平均费用</w:t>
            </w:r>
            <w:r>
              <w:rPr>
                <w:rFonts w:ascii="宋体" w:hAnsi="宋体" w:cs="宋体"/>
                <w:szCs w:val="21"/>
              </w:rPr>
              <w:t>；</w:t>
            </w:r>
            <w:r>
              <w:rPr>
                <w:rFonts w:ascii="宋体" w:hAnsi="宋体" w:cs="宋体"/>
                <w:sz w:val="21"/>
                <w:szCs w:val="21"/>
              </w:rPr>
              <w:t>支持统计门诊使用抗菌药物百分率、门诊抗菌药费费用率、住院使用抗菌药物百分率、住院抗菌药费费用率</w:t>
            </w:r>
            <w:r>
              <w:rPr>
                <w:rFonts w:ascii="宋体" w:hAnsi="宋体" w:cs="宋体"/>
                <w:szCs w:val="21"/>
              </w:rPr>
              <w:t>；</w:t>
            </w:r>
            <w:r>
              <w:rPr>
                <w:rFonts w:ascii="宋体" w:hAnsi="宋体" w:cs="宋体"/>
                <w:sz w:val="21"/>
                <w:szCs w:val="21"/>
              </w:rPr>
              <w:br w:type="textWrapping"/>
            </w:r>
            <w:r>
              <w:rPr>
                <w:rFonts w:ascii="宋体" w:hAnsi="宋体" w:cs="宋体"/>
                <w:sz w:val="21"/>
                <w:szCs w:val="21"/>
              </w:rPr>
              <w:t>七、支持按临床科室统计各个科室的药品收入排名,按医生统计各个医生的处方平均费用排名,按处方类型统计各个类型的处方数量分布</w:t>
            </w:r>
            <w:r>
              <w:rPr>
                <w:rFonts w:ascii="宋体" w:hAnsi="宋体" w:cs="宋体"/>
                <w:szCs w:val="21"/>
              </w:rPr>
              <w:t>；</w:t>
            </w:r>
            <w:r>
              <w:rPr>
                <w:rFonts w:ascii="宋体" w:hAnsi="宋体" w:cs="宋体"/>
                <w:sz w:val="21"/>
                <w:szCs w:val="21"/>
              </w:rPr>
              <w:br w:type="textWrapping"/>
            </w:r>
            <w:r>
              <w:rPr>
                <w:rFonts w:ascii="宋体" w:hAnsi="宋体" w:cs="宋体"/>
                <w:sz w:val="21"/>
                <w:szCs w:val="21"/>
              </w:rPr>
              <w:t>八、支持统计国家三级公立医院绩效考核药事相关指标、药事管理专业医疗质量控制指标、三级医院评审药事相关指标</w:t>
            </w:r>
            <w:r>
              <w:rPr>
                <w:rFonts w:hint="eastAsia" w:ascii="宋体" w:hAnsi="宋体" w:cs="宋体"/>
                <w:sz w:val="21"/>
                <w:szCs w:val="21"/>
              </w:rPr>
              <w:t>，以上指标支持从全院、科室、治疗组、个人四个维度进行统计</w:t>
            </w:r>
            <w:r>
              <w:rPr>
                <w:rFonts w:ascii="宋体" w:hAnsi="宋体" w:cs="宋体"/>
                <w:sz w:val="21"/>
                <w:szCs w:val="21"/>
              </w:rPr>
              <w:t>；</w:t>
            </w:r>
            <w:r>
              <w:rPr>
                <w:rFonts w:ascii="宋体" w:hAnsi="宋体" w:cs="宋体"/>
                <w:sz w:val="21"/>
                <w:szCs w:val="21"/>
              </w:rPr>
              <w:br w:type="textWrapping"/>
            </w:r>
            <w:r>
              <w:rPr>
                <w:rFonts w:ascii="宋体" w:hAnsi="宋体" w:cs="宋体"/>
                <w:sz w:val="21"/>
                <w:szCs w:val="21"/>
              </w:rPr>
              <w:t>九、支持统计导出《全国抗菌药物临床应用监测网系统》上报表单、《全国抗肿瘤药物临床应用监测网》上报表单、《全国公立医疗卫生机构药品使用监测》上报表单；</w:t>
            </w:r>
            <w:r>
              <w:rPr>
                <w:rFonts w:ascii="宋体" w:hAnsi="宋体" w:cs="宋体"/>
                <w:sz w:val="21"/>
                <w:szCs w:val="21"/>
              </w:rPr>
              <w:br w:type="textWrapping"/>
            </w:r>
            <w:r>
              <w:rPr>
                <w:rFonts w:hint="eastAsia" w:ascii="宋体" w:hAnsi="宋体" w:cs="宋体"/>
                <w:sz w:val="21"/>
                <w:szCs w:val="21"/>
              </w:rPr>
              <w:t>十、</w:t>
            </w:r>
            <w:r>
              <w:rPr>
                <w:rFonts w:ascii="宋体" w:hAnsi="宋体" w:cs="宋体"/>
                <w:sz w:val="21"/>
                <w:szCs w:val="21"/>
              </w:rPr>
              <w:t>支持统计特殊管理药品使用情况（包括但不限于麻醉药品、精神药品、易制毒药品、终止妊娠药品、抗肿瘤药）、重点监控药品使用情况、药品追溯码采集上传情况、药品采购情况。</w:t>
            </w:r>
          </w:p>
          <w:p w14:paraId="61860466">
            <w:pPr>
              <w:numPr>
                <w:ilvl w:val="0"/>
                <w:numId w:val="19"/>
              </w:numPr>
              <w:rPr>
                <w:rFonts w:hint="eastAsia" w:ascii="宋体" w:hAnsi="宋体" w:cs="宋体"/>
                <w:sz w:val="21"/>
                <w:szCs w:val="21"/>
              </w:rPr>
            </w:pPr>
            <w:r>
              <w:rPr>
                <w:rFonts w:hint="eastAsia" w:ascii="宋体" w:hAnsi="宋体" w:cs="宋体"/>
                <w:sz w:val="21"/>
                <w:szCs w:val="21"/>
              </w:rPr>
              <w:t>支持统计全院、科室、药师开展的药学门诊、住院药学监护诊疗量、诊疗收入。</w:t>
            </w:r>
          </w:p>
          <w:p w14:paraId="7622EE1C">
            <w:pPr>
              <w:numPr>
                <w:ilvl w:val="0"/>
                <w:numId w:val="19"/>
              </w:numPr>
              <w:rPr>
                <w:rFonts w:ascii="宋体" w:hAnsi="宋体" w:cs="宋体"/>
                <w:sz w:val="21"/>
                <w:szCs w:val="21"/>
              </w:rPr>
            </w:pPr>
            <w:r>
              <w:rPr>
                <w:rFonts w:hint="eastAsia" w:ascii="宋体" w:hAnsi="宋体" w:cs="宋体"/>
                <w:sz w:val="21"/>
                <w:szCs w:val="21"/>
              </w:rPr>
              <w:t>支持统计门诊、急诊、出院带药、住院医嘱的处方详情，包括：处方/医嘱编号、患者ID、患者姓名、患者身份证号、科室、诊断、医师姓名、医师ID、药品通用名、药品商品名、药品数量、用法用量、药品使用天数、药品金额、发药药师、调配药师、发药时间、调配时间、审核药师、审核时间</w:t>
            </w:r>
          </w:p>
          <w:p w14:paraId="0E3F182C">
            <w:pPr>
              <w:numPr>
                <w:ilvl w:val="0"/>
                <w:numId w:val="19"/>
              </w:numPr>
              <w:rPr>
                <w:rFonts w:hint="eastAsia"/>
              </w:rPr>
            </w:pPr>
            <w:r>
              <w:rPr>
                <w:rFonts w:hint="eastAsia" w:ascii="宋体" w:hAnsi="宋体" w:cs="宋体"/>
                <w:sz w:val="21"/>
                <w:szCs w:val="21"/>
              </w:rPr>
              <w:t>支持统计展示</w:t>
            </w:r>
            <w:r>
              <w:rPr>
                <w:rFonts w:ascii="宋体" w:hAnsi="宋体" w:cs="宋体"/>
                <w:sz w:val="21"/>
                <w:szCs w:val="21"/>
              </w:rPr>
              <w:t>药房入库金额，药房退库金额，药房入库数量，药房退库数量，药房入库金额与退库金额趋势分析，药房入库数量与退库数量趋势分析，展示药房进销存</w:t>
            </w:r>
            <w:r>
              <w:rPr>
                <w:rFonts w:hint="eastAsia" w:ascii="宋体" w:hAnsi="宋体" w:cs="宋体"/>
                <w:sz w:val="21"/>
                <w:szCs w:val="21"/>
              </w:rPr>
              <w:t>。</w:t>
            </w:r>
          </w:p>
        </w:tc>
      </w:tr>
      <w:tr w14:paraId="6B77B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741" w:type="dxa"/>
            <w:vMerge w:val="continue"/>
            <w:noWrap w:val="0"/>
            <w:vAlign w:val="center"/>
          </w:tcPr>
          <w:p w14:paraId="18BBC1B3">
            <w:pPr>
              <w:widowControl/>
              <w:jc w:val="left"/>
              <w:rPr>
                <w:rFonts w:hint="eastAsia" w:ascii="宋体" w:hAnsi="宋体" w:cs="宋体"/>
                <w:kern w:val="0"/>
                <w:szCs w:val="21"/>
              </w:rPr>
            </w:pPr>
          </w:p>
        </w:tc>
        <w:tc>
          <w:tcPr>
            <w:tcW w:w="876" w:type="dxa"/>
            <w:noWrap w:val="0"/>
            <w:vAlign w:val="center"/>
          </w:tcPr>
          <w:p w14:paraId="4A769DA8">
            <w:pPr>
              <w:widowControl/>
              <w:jc w:val="center"/>
              <w:rPr>
                <w:rFonts w:hint="eastAsia" w:ascii="宋体" w:hAnsi="宋体" w:cs="宋体"/>
                <w:kern w:val="0"/>
                <w:szCs w:val="21"/>
              </w:rPr>
            </w:pPr>
            <w:r>
              <w:rPr>
                <w:rFonts w:hint="eastAsia" w:ascii="宋体" w:hAnsi="宋体" w:cs="宋体"/>
                <w:kern w:val="0"/>
                <w:szCs w:val="21"/>
              </w:rPr>
              <w:t>医保物价管理主题分析</w:t>
            </w:r>
          </w:p>
        </w:tc>
        <w:tc>
          <w:tcPr>
            <w:tcW w:w="7170" w:type="dxa"/>
            <w:noWrap w:val="0"/>
            <w:vAlign w:val="center"/>
          </w:tcPr>
          <w:p w14:paraId="691F5BE9">
            <w:pPr>
              <w:widowControl/>
              <w:rPr>
                <w:rFonts w:ascii="宋体" w:hAnsi="宋体" w:cs="宋体"/>
                <w:kern w:val="0"/>
                <w:szCs w:val="21"/>
              </w:rPr>
            </w:pPr>
          </w:p>
          <w:p w14:paraId="17D66DD1">
            <w:pPr>
              <w:widowControl/>
              <w:spacing w:line="300" w:lineRule="exact"/>
              <w:rPr>
                <w:rFonts w:ascii="宋体" w:hAnsi="宋体" w:cs="宋体"/>
                <w:b/>
                <w:bCs/>
                <w:kern w:val="0"/>
                <w:szCs w:val="21"/>
              </w:rPr>
            </w:pPr>
            <w:r>
              <w:rPr>
                <w:rFonts w:hint="eastAsia" w:ascii="宋体" w:hAnsi="宋体" w:cs="宋体"/>
                <w:b/>
                <w:bCs/>
                <w:kern w:val="0"/>
                <w:szCs w:val="21"/>
              </w:rPr>
              <w:t>一、概况视图</w:t>
            </w:r>
          </w:p>
          <w:p w14:paraId="6FAD400E">
            <w:pPr>
              <w:widowControl/>
              <w:spacing w:line="300" w:lineRule="exact"/>
              <w:ind w:firstLine="420" w:firstLineChars="200"/>
              <w:rPr>
                <w:rFonts w:ascii="宋体" w:hAnsi="宋体" w:cs="宋体"/>
                <w:kern w:val="0"/>
                <w:szCs w:val="21"/>
              </w:rPr>
            </w:pPr>
            <w:r>
              <w:rPr>
                <w:rFonts w:hint="eastAsia" w:ascii="宋体" w:hAnsi="宋体" w:cs="宋体"/>
                <w:kern w:val="0"/>
                <w:szCs w:val="21"/>
              </w:rPr>
              <w:t>提供门急诊医保概况，包括门急诊医保人次、门急诊医保费用、门急诊医保药品费用、门急诊医保次均费用、门急诊医保支付金额、门急诊医保自费金额、门急诊医保人次占比、门急诊医保收入占比、门急诊医保药占比、门急诊医保次均药费、门急诊医保自负金额、基金占比，各参保区划参保人占比、门诊特定病种结算人次及占比等。</w:t>
            </w:r>
          </w:p>
          <w:p w14:paraId="3EE785F6">
            <w:pPr>
              <w:widowControl/>
              <w:spacing w:line="300" w:lineRule="exact"/>
              <w:rPr>
                <w:rFonts w:hint="eastAsia" w:ascii="宋体" w:hAnsi="宋体" w:cs="宋体"/>
                <w:b/>
                <w:bCs/>
                <w:kern w:val="0"/>
                <w:szCs w:val="21"/>
              </w:rPr>
            </w:pPr>
            <w:r>
              <w:rPr>
                <w:rFonts w:hint="eastAsia" w:ascii="宋体" w:hAnsi="宋体" w:cs="宋体"/>
                <w:b/>
                <w:bCs/>
                <w:kern w:val="0"/>
                <w:szCs w:val="21"/>
              </w:rPr>
              <w:t>二、在院医保患者数据查询报表：</w:t>
            </w:r>
          </w:p>
          <w:p w14:paraId="27D70BAF">
            <w:pPr>
              <w:widowControl/>
              <w:spacing w:line="300" w:lineRule="exact"/>
              <w:ind w:firstLine="420" w:firstLineChars="200"/>
              <w:rPr>
                <w:rFonts w:hint="eastAsia" w:ascii="宋体" w:hAnsi="宋体" w:cs="宋体"/>
                <w:kern w:val="0"/>
                <w:szCs w:val="21"/>
              </w:rPr>
            </w:pPr>
            <w:r>
              <w:rPr>
                <w:rFonts w:hint="eastAsia" w:ascii="宋体" w:hAnsi="宋体" w:cs="宋体"/>
                <w:kern w:val="0"/>
                <w:szCs w:val="21"/>
              </w:rPr>
              <w:t>展示全量在院患者明细信息含参保地、险种、诊断、年龄、当前总费用、住院天数、费用结构等；</w:t>
            </w:r>
          </w:p>
          <w:p w14:paraId="07F8C83E">
            <w:pPr>
              <w:widowControl/>
              <w:spacing w:line="300" w:lineRule="exact"/>
              <w:ind w:firstLineChars="0"/>
              <w:rPr>
                <w:rFonts w:ascii="宋体" w:hAnsi="宋体" w:cs="宋体"/>
                <w:kern w:val="0"/>
                <w:szCs w:val="21"/>
              </w:rPr>
            </w:pPr>
            <w:bookmarkStart w:id="5" w:name="OLE_LINK3"/>
            <w:r>
              <w:rPr>
                <w:rFonts w:hint="eastAsia" w:ascii="宋体" w:hAnsi="宋体" w:cs="宋体"/>
                <w:b/>
                <w:bCs/>
                <w:kern w:val="0"/>
                <w:szCs w:val="21"/>
              </w:rPr>
              <w:t>三、医保结算清单数据查询报表：</w:t>
            </w:r>
            <w:r>
              <w:rPr>
                <w:rFonts w:hint="eastAsia" w:ascii="宋体" w:hAnsi="宋体" w:cs="宋体"/>
                <w:kern w:val="0"/>
                <w:szCs w:val="21"/>
              </w:rPr>
              <w:t>支持已结算医保数据的全量统计（含自费）；支持按科室、按治疗组、按病种、按医保通道、按主管医师、按险种等维度统计结算数据；结算数据需含患者基本信息、诊疗信息、险种信息、记账信息。支持统计医保出院患者手术人数占比、医保出院患者四级手术人数占比、医保患者平均住院日、住院医保患者十五日内再入院率；支持统计次均记账费用、次均医疗费用、同期次均医疗费用增长率、自付率等。提供已结算的单个医疗服务项目搜索统计报表；</w:t>
            </w:r>
          </w:p>
          <w:p w14:paraId="62C1FD27">
            <w:pPr>
              <w:widowControl/>
              <w:spacing w:line="300" w:lineRule="exact"/>
              <w:rPr>
                <w:rFonts w:hint="eastAsia" w:ascii="宋体" w:hAnsi="宋体" w:cs="宋体"/>
                <w:kern w:val="0"/>
                <w:szCs w:val="21"/>
              </w:rPr>
            </w:pPr>
            <w:r>
              <w:rPr>
                <w:rFonts w:hint="eastAsia" w:ascii="宋体" w:hAnsi="宋体" w:cs="宋体"/>
                <w:b/>
                <w:bCs/>
                <w:kern w:val="0"/>
                <w:szCs w:val="21"/>
              </w:rPr>
              <w:t>四、</w:t>
            </w:r>
            <w:r>
              <w:rPr>
                <w:rFonts w:hint="eastAsia" w:ascii="宋体" w:hAnsi="宋体" w:cs="宋体"/>
                <w:kern w:val="0"/>
                <w:szCs w:val="21"/>
              </w:rPr>
              <w:t>提供出院医保概况，包括住院医保人次、住院医保费用、住院医保药品费用、住院医保次均费用、住院医保支付金额、住院医保自费金额、住院医保人次占比、住院医保收入占比、住院医保药占比、住院医保次均药费、住院医保自负金额；支持指标按照科室-(治疗组)医生-患者的维度进行下钻分析，可钻取到患者列表。</w:t>
            </w:r>
          </w:p>
          <w:p w14:paraId="0D2341E2">
            <w:pPr>
              <w:pStyle w:val="82"/>
              <w:spacing w:line="300" w:lineRule="exact"/>
              <w:ind w:firstLine="0" w:firstLineChars="0"/>
              <w:rPr>
                <w:rFonts w:hint="eastAsia" w:ascii="宋体" w:hAnsi="宋体" w:cs="宋体"/>
                <w:b/>
                <w:bCs/>
                <w:szCs w:val="21"/>
              </w:rPr>
            </w:pPr>
            <w:r>
              <w:rPr>
                <w:rFonts w:hint="eastAsia" w:ascii="宋体" w:hAnsi="宋体" w:cs="宋体"/>
                <w:b/>
                <w:bCs/>
                <w:szCs w:val="21"/>
              </w:rPr>
              <w:t>五、专项统计指标数据展示</w:t>
            </w:r>
          </w:p>
          <w:p w14:paraId="57E571B2">
            <w:pPr>
              <w:pStyle w:val="82"/>
              <w:widowControl/>
              <w:spacing w:line="300" w:lineRule="exact"/>
              <w:ind w:firstLine="420"/>
              <w:rPr>
                <w:rFonts w:hint="eastAsia" w:ascii="宋体" w:hAnsi="宋体" w:cs="宋体"/>
                <w:szCs w:val="21"/>
              </w:rPr>
            </w:pPr>
            <w:r>
              <w:rPr>
                <w:rFonts w:hint="eastAsia" w:ascii="宋体" w:hAnsi="宋体" w:cs="宋体"/>
                <w:szCs w:val="21"/>
              </w:rPr>
              <w:t>支持对接</w:t>
            </w:r>
            <w:r>
              <w:rPr>
                <w:rFonts w:ascii="宋体" w:hAnsi="宋体" w:cs="宋体"/>
                <w:szCs w:val="21"/>
              </w:rPr>
              <w:t>广东省医保信用评价数据</w:t>
            </w:r>
            <w:r>
              <w:rPr>
                <w:rFonts w:hint="eastAsia" w:ascii="宋体" w:hAnsi="宋体" w:cs="宋体"/>
                <w:szCs w:val="21"/>
              </w:rPr>
              <w:t>（</w:t>
            </w:r>
            <w:r>
              <w:rPr>
                <w:rFonts w:ascii="宋体" w:hAnsi="宋体" w:cs="宋体"/>
                <w:szCs w:val="21"/>
              </w:rPr>
              <w:t>医保局官方下发的信用评级结果文件</w:t>
            </w:r>
            <w:r>
              <w:rPr>
                <w:rFonts w:hint="eastAsia" w:ascii="宋体" w:hAnsi="宋体" w:cs="宋体"/>
                <w:szCs w:val="21"/>
              </w:rPr>
              <w:t>）</w:t>
            </w:r>
            <w:r>
              <w:rPr>
                <w:rFonts w:ascii="宋体" w:hAnsi="宋体" w:cs="宋体"/>
                <w:szCs w:val="21"/>
              </w:rPr>
              <w:t>，结合院内医保结算明细数据加工展示；</w:t>
            </w:r>
            <w:r>
              <w:rPr>
                <w:rFonts w:hint="eastAsia" w:ascii="宋体" w:hAnsi="宋体" w:cs="宋体"/>
                <w:szCs w:val="21"/>
              </w:rPr>
              <w:t>支持对接</w:t>
            </w:r>
            <w:r>
              <w:rPr>
                <w:rFonts w:ascii="宋体" w:hAnsi="宋体" w:cs="宋体"/>
                <w:szCs w:val="21"/>
              </w:rPr>
              <w:t>深圳市医保绩效考核</w:t>
            </w:r>
            <w:r>
              <w:rPr>
                <w:rFonts w:hint="eastAsia" w:ascii="宋体" w:hAnsi="宋体" w:cs="宋体"/>
                <w:szCs w:val="21"/>
              </w:rPr>
              <w:t>（</w:t>
            </w:r>
            <w:r>
              <w:rPr>
                <w:rFonts w:ascii="宋体" w:hAnsi="宋体" w:cs="宋体"/>
                <w:szCs w:val="21"/>
              </w:rPr>
              <w:t>深圳医保局官方考核反馈结果</w:t>
            </w:r>
            <w:r>
              <w:rPr>
                <w:rFonts w:hint="eastAsia" w:ascii="宋体" w:hAnsi="宋体" w:cs="宋体"/>
                <w:szCs w:val="21"/>
              </w:rPr>
              <w:t>）</w:t>
            </w:r>
            <w:r>
              <w:rPr>
                <w:rFonts w:ascii="宋体" w:hAnsi="宋体" w:cs="宋体"/>
                <w:szCs w:val="21"/>
              </w:rPr>
              <w:t>、院内病案首页DRG分组数据及医保结算业务明细数据</w:t>
            </w:r>
            <w:r>
              <w:rPr>
                <w:rFonts w:hint="eastAsia" w:ascii="宋体" w:hAnsi="宋体" w:cs="宋体"/>
                <w:szCs w:val="21"/>
              </w:rPr>
              <w:t>进行展示。</w:t>
            </w:r>
            <w:bookmarkEnd w:id="5"/>
          </w:p>
        </w:tc>
      </w:tr>
      <w:tr w14:paraId="36638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741" w:type="dxa"/>
            <w:vMerge w:val="continue"/>
            <w:noWrap w:val="0"/>
            <w:vAlign w:val="center"/>
          </w:tcPr>
          <w:p w14:paraId="41D5EBCA">
            <w:pPr>
              <w:widowControl/>
              <w:jc w:val="left"/>
              <w:rPr>
                <w:rFonts w:hint="eastAsia" w:ascii="宋体" w:hAnsi="宋体" w:cs="宋体"/>
                <w:kern w:val="0"/>
                <w:szCs w:val="21"/>
              </w:rPr>
            </w:pPr>
          </w:p>
        </w:tc>
        <w:tc>
          <w:tcPr>
            <w:tcW w:w="876" w:type="dxa"/>
            <w:noWrap w:val="0"/>
            <w:vAlign w:val="center"/>
          </w:tcPr>
          <w:p w14:paraId="5E51618E">
            <w:pPr>
              <w:widowControl/>
              <w:jc w:val="center"/>
              <w:rPr>
                <w:rFonts w:hint="eastAsia" w:ascii="宋体" w:hAnsi="宋体" w:cs="宋体"/>
                <w:kern w:val="0"/>
                <w:szCs w:val="21"/>
              </w:rPr>
            </w:pPr>
            <w:r>
              <w:rPr>
                <w:rFonts w:hint="eastAsia" w:ascii="宋体" w:hAnsi="宋体" w:cs="宋体"/>
                <w:kern w:val="0"/>
                <w:szCs w:val="21"/>
              </w:rPr>
              <w:t>科室综合主题分析</w:t>
            </w:r>
          </w:p>
        </w:tc>
        <w:tc>
          <w:tcPr>
            <w:tcW w:w="7170" w:type="dxa"/>
            <w:noWrap w:val="0"/>
            <w:vAlign w:val="center"/>
          </w:tcPr>
          <w:p w14:paraId="40971A0B">
            <w:pPr>
              <w:widowControl/>
              <w:rPr>
                <w:rFonts w:hint="eastAsia" w:ascii="宋体" w:hAnsi="宋体" w:cs="宋体"/>
                <w:kern w:val="0"/>
                <w:szCs w:val="21"/>
              </w:rPr>
            </w:pPr>
            <w:r>
              <w:rPr>
                <w:rFonts w:hint="eastAsia" w:ascii="宋体" w:hAnsi="宋体" w:cs="宋体"/>
                <w:kern w:val="0"/>
                <w:szCs w:val="21"/>
              </w:rPr>
              <w:t>提供临床科室业务量，包括门诊、急诊、住院、手术类。支持下钻至科室不同医生的业务工作量构成与占比排名；提供临床科室收入，包括统计分析门急诊、住院、手术收入，提供收入结构预警功能。同时支持分析科室不同医生的收入构成与占比排名；提供临床科室病床使用率，病床周转次数；提供检查、检验科室指标，包括医技科室检查化验项次，收入及其占比，医技科室top排名</w:t>
            </w:r>
          </w:p>
        </w:tc>
      </w:tr>
      <w:tr w14:paraId="3A9AD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741" w:type="dxa"/>
            <w:vMerge w:val="continue"/>
            <w:noWrap w:val="0"/>
            <w:vAlign w:val="center"/>
          </w:tcPr>
          <w:p w14:paraId="429E896E">
            <w:pPr>
              <w:widowControl/>
              <w:jc w:val="left"/>
              <w:rPr>
                <w:rFonts w:hint="eastAsia" w:ascii="宋体" w:hAnsi="宋体" w:cs="宋体"/>
                <w:kern w:val="0"/>
                <w:szCs w:val="21"/>
              </w:rPr>
            </w:pPr>
          </w:p>
        </w:tc>
        <w:tc>
          <w:tcPr>
            <w:tcW w:w="876" w:type="dxa"/>
            <w:noWrap w:val="0"/>
            <w:vAlign w:val="center"/>
          </w:tcPr>
          <w:p w14:paraId="1DF2EB95">
            <w:pPr>
              <w:widowControl/>
              <w:jc w:val="center"/>
              <w:rPr>
                <w:rFonts w:hint="eastAsia" w:ascii="宋体" w:hAnsi="宋体" w:cs="宋体"/>
                <w:kern w:val="0"/>
                <w:szCs w:val="21"/>
              </w:rPr>
            </w:pPr>
            <w:r>
              <w:rPr>
                <w:rFonts w:hint="eastAsia" w:ascii="宋体" w:hAnsi="宋体" w:cs="宋体"/>
                <w:kern w:val="0"/>
                <w:szCs w:val="21"/>
              </w:rPr>
              <w:t>财务主题分析</w:t>
            </w:r>
          </w:p>
        </w:tc>
        <w:tc>
          <w:tcPr>
            <w:tcW w:w="7170" w:type="dxa"/>
            <w:noWrap w:val="0"/>
            <w:vAlign w:val="center"/>
          </w:tcPr>
          <w:p w14:paraId="5DF84778">
            <w:pPr>
              <w:widowControl/>
              <w:rPr>
                <w:rFonts w:hint="eastAsia" w:ascii="宋体" w:hAnsi="宋体" w:cs="宋体"/>
                <w:kern w:val="0"/>
                <w:szCs w:val="21"/>
              </w:rPr>
            </w:pPr>
            <w:r>
              <w:rPr>
                <w:rFonts w:hint="eastAsia" w:ascii="宋体" w:hAnsi="宋体" w:cs="宋体"/>
                <w:kern w:val="0"/>
                <w:szCs w:val="21"/>
              </w:rPr>
              <w:t>支持使用门诊收入、急诊收入、住院收入三个指标以及对应的人次从当月累计、当月及以后目标、当月目标完成进度、年累计（截至上月）、年累计目标（截至上月）、年累计同比（截至上月）、年目标、当前目标完成进度、当前时间进度进行分析，并支持按全院、院区、科室等层级进行查看，以及收入构成的种类分析。具体地包括：1、门诊患者费用分析，从各科室的均次 费用及人次、以及对应的各病种收入及构成进行细化分析，找出费用总额及构成不合理的病种；2、出院患者费用分析，从各科室、病区的出院患者均次费用及人次、以及对应的各病种收入及构成进行细化分析，找出费用总额及构成不合理的病种；3、住院患者病种分析，通过接入</w:t>
            </w:r>
            <w:r>
              <w:rPr>
                <w:rFonts w:ascii="宋体" w:hAnsi="宋体" w:cs="宋体"/>
                <w:kern w:val="0"/>
                <w:szCs w:val="21"/>
              </w:rPr>
              <w:t>医院已有的DRG/DIP系统分组器</w:t>
            </w:r>
            <w:r>
              <w:rPr>
                <w:rFonts w:hint="eastAsia" w:ascii="宋体" w:hAnsi="宋体" w:cs="宋体"/>
                <w:kern w:val="0"/>
                <w:szCs w:val="21"/>
              </w:rPr>
              <w:t>结果分析 CMI、RW 确定当前科室的整体救治水平。如 CMI 不及预期，则通过对各病种的 入组人数、均次费用、平均住院日等分析具体的病种情况，对于RW较低的病种进行患者明细分析，分析科室的优势病种，掌握病种诊疗过程患者负担情况，定位优势病种重点发展</w:t>
            </w:r>
          </w:p>
        </w:tc>
      </w:tr>
      <w:tr w14:paraId="009E7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741" w:type="dxa"/>
            <w:vMerge w:val="continue"/>
            <w:noWrap w:val="0"/>
            <w:vAlign w:val="center"/>
          </w:tcPr>
          <w:p w14:paraId="4967E9E8">
            <w:pPr>
              <w:widowControl/>
              <w:jc w:val="left"/>
              <w:rPr>
                <w:rFonts w:hint="eastAsia" w:ascii="宋体" w:hAnsi="宋体" w:cs="宋体"/>
                <w:kern w:val="0"/>
                <w:szCs w:val="21"/>
              </w:rPr>
            </w:pPr>
          </w:p>
        </w:tc>
        <w:tc>
          <w:tcPr>
            <w:tcW w:w="876" w:type="dxa"/>
            <w:noWrap w:val="0"/>
            <w:vAlign w:val="center"/>
          </w:tcPr>
          <w:p w14:paraId="0E228A93">
            <w:pPr>
              <w:widowControl/>
              <w:jc w:val="center"/>
              <w:rPr>
                <w:rFonts w:hint="eastAsia" w:ascii="宋体" w:hAnsi="宋体" w:cs="宋体"/>
                <w:kern w:val="0"/>
                <w:szCs w:val="21"/>
              </w:rPr>
            </w:pPr>
            <w:r>
              <w:rPr>
                <w:rFonts w:hint="eastAsia" w:ascii="宋体" w:hAnsi="宋体" w:cs="宋体"/>
                <w:kern w:val="0"/>
                <w:szCs w:val="21"/>
              </w:rPr>
              <w:t>预算主题分析</w:t>
            </w:r>
          </w:p>
        </w:tc>
        <w:tc>
          <w:tcPr>
            <w:tcW w:w="7170" w:type="dxa"/>
            <w:noWrap w:val="0"/>
            <w:vAlign w:val="center"/>
          </w:tcPr>
          <w:p w14:paraId="487D9EE1">
            <w:pPr>
              <w:widowControl/>
              <w:rPr>
                <w:rFonts w:hint="eastAsia" w:ascii="宋体" w:hAnsi="宋体" w:cs="宋体"/>
                <w:kern w:val="0"/>
                <w:szCs w:val="21"/>
              </w:rPr>
            </w:pPr>
            <w:r>
              <w:rPr>
                <w:rFonts w:hint="eastAsia" w:ascii="宋体" w:hAnsi="宋体" w:cs="宋体"/>
                <w:kern w:val="0"/>
                <w:szCs w:val="21"/>
              </w:rPr>
              <w:t>基于业务科市场 / 预算归口科室的预算项目基础资料，对收入、支出预算编制的执行情况进行跟踪，根据科室、归口科室、医院可查询收入、支出执行情况。根据收支配比及相关考核指标情况，药品耗材等支出可根据预算指标控制</w:t>
            </w:r>
          </w:p>
        </w:tc>
      </w:tr>
      <w:tr w14:paraId="7EDBE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741" w:type="dxa"/>
            <w:vMerge w:val="continue"/>
            <w:noWrap w:val="0"/>
            <w:vAlign w:val="center"/>
          </w:tcPr>
          <w:p w14:paraId="2B0B6D7D">
            <w:pPr>
              <w:widowControl/>
              <w:jc w:val="left"/>
              <w:rPr>
                <w:rFonts w:hint="eastAsia" w:ascii="宋体" w:hAnsi="宋体" w:cs="宋体"/>
                <w:kern w:val="0"/>
                <w:szCs w:val="21"/>
              </w:rPr>
            </w:pPr>
          </w:p>
        </w:tc>
        <w:tc>
          <w:tcPr>
            <w:tcW w:w="876" w:type="dxa"/>
            <w:noWrap w:val="0"/>
            <w:vAlign w:val="center"/>
          </w:tcPr>
          <w:p w14:paraId="2CF754F9">
            <w:pPr>
              <w:widowControl/>
              <w:jc w:val="center"/>
              <w:rPr>
                <w:rFonts w:hint="eastAsia" w:ascii="宋体" w:hAnsi="宋体" w:cs="宋体"/>
                <w:kern w:val="0"/>
                <w:szCs w:val="21"/>
              </w:rPr>
            </w:pPr>
            <w:r>
              <w:rPr>
                <w:rFonts w:hint="eastAsia" w:ascii="宋体" w:hAnsi="宋体" w:cs="宋体"/>
                <w:kern w:val="0"/>
                <w:szCs w:val="21"/>
              </w:rPr>
              <w:t>成本主题分析</w:t>
            </w:r>
          </w:p>
        </w:tc>
        <w:tc>
          <w:tcPr>
            <w:tcW w:w="7170" w:type="dxa"/>
            <w:noWrap w:val="0"/>
            <w:vAlign w:val="center"/>
          </w:tcPr>
          <w:p w14:paraId="23AFC81B">
            <w:pPr>
              <w:widowControl/>
              <w:rPr>
                <w:rFonts w:hint="eastAsia" w:ascii="宋体" w:hAnsi="宋体" w:cs="宋体"/>
                <w:kern w:val="0"/>
                <w:szCs w:val="21"/>
              </w:rPr>
            </w:pPr>
            <w:r>
              <w:rPr>
                <w:rFonts w:hint="eastAsia" w:ascii="宋体" w:hAnsi="宋体" w:cs="宋体"/>
                <w:kern w:val="0"/>
                <w:szCs w:val="21"/>
              </w:rPr>
              <w:t>一、全成本核算分析，覆盖科室成本、诊次/床日成本、医疗服务项目成本、病种成本、DRG成本（支持对接全成本核算系统，包括科室成本、诊次/创日成本、医疗服务项目成本、病重成本、DRG成本）；展示人员经费、卫生材料费、药品费、固定资产折旧费、无形资产摊销费、医疗风险基金、其他费用7类成本构成；</w:t>
            </w:r>
          </w:p>
          <w:p w14:paraId="36630F2E">
            <w:pPr>
              <w:widowControl/>
              <w:rPr>
                <w:rFonts w:ascii="宋体" w:hAnsi="宋体" w:cs="宋体"/>
                <w:kern w:val="0"/>
                <w:szCs w:val="21"/>
              </w:rPr>
            </w:pPr>
            <w:r>
              <w:rPr>
                <w:rFonts w:hint="eastAsia" w:ascii="宋体" w:hAnsi="宋体" w:cs="宋体"/>
                <w:kern w:val="0"/>
                <w:szCs w:val="21"/>
              </w:rPr>
              <w:t>支持展示其他费用细分内容，比如物业、水电、物资领用、被服洗涤等。</w:t>
            </w:r>
          </w:p>
          <w:p w14:paraId="10DAC8F2">
            <w:pPr>
              <w:widowControl/>
              <w:rPr>
                <w:rFonts w:ascii="宋体" w:hAnsi="宋体" w:cs="宋体"/>
                <w:kern w:val="0"/>
                <w:szCs w:val="21"/>
              </w:rPr>
            </w:pPr>
            <w:r>
              <w:rPr>
                <w:rFonts w:hint="eastAsia" w:ascii="宋体" w:hAnsi="宋体" w:cs="宋体"/>
                <w:kern w:val="0"/>
                <w:szCs w:val="21"/>
              </w:rPr>
              <w:t>二、</w:t>
            </w:r>
            <w:r>
              <w:rPr>
                <w:rFonts w:ascii="宋体" w:hAnsi="宋体" w:cs="宋体"/>
                <w:kern w:val="0"/>
                <w:szCs w:val="21"/>
              </w:rPr>
              <w:t>开放科室级成本数据、预算执行、成本构成、盈亏分析查询权限，支持按科室、诊疗组、项目、DRG多维度钻取</w:t>
            </w:r>
            <w:r>
              <w:rPr>
                <w:rFonts w:hint="eastAsia" w:ascii="宋体" w:hAnsi="宋体" w:cs="宋体"/>
                <w:kern w:val="0"/>
                <w:szCs w:val="21"/>
              </w:rPr>
              <w:t>。</w:t>
            </w:r>
          </w:p>
          <w:p w14:paraId="201CC287">
            <w:pPr>
              <w:widowControl/>
              <w:rPr>
                <w:rFonts w:hint="eastAsia" w:ascii="宋体" w:hAnsi="宋体" w:cs="宋体"/>
                <w:kern w:val="0"/>
                <w:szCs w:val="21"/>
              </w:rPr>
            </w:pPr>
            <w:r>
              <w:rPr>
                <w:rFonts w:hint="eastAsia" w:ascii="宋体" w:hAnsi="宋体" w:cs="宋体"/>
                <w:kern w:val="0"/>
                <w:szCs w:val="21"/>
              </w:rPr>
              <w:t>三、支持预置成本月报、成本分析报告、预算执行报表、对外监管报送报表模板，支持导出、审计留痕，符合《事业单位成本核算具体指引-公立医院》(财会[2021]26号)要求。</w:t>
            </w:r>
          </w:p>
          <w:p w14:paraId="165E3DED">
            <w:pPr>
              <w:widowControl/>
              <w:rPr>
                <w:rFonts w:ascii="宋体" w:hAnsi="宋体" w:cs="宋体"/>
                <w:kern w:val="0"/>
                <w:szCs w:val="21"/>
              </w:rPr>
            </w:pPr>
            <w:r>
              <w:rPr>
                <w:rFonts w:hint="eastAsia" w:ascii="宋体" w:hAnsi="宋体" w:cs="宋体"/>
                <w:kern w:val="0"/>
                <w:szCs w:val="21"/>
              </w:rPr>
              <w:t>四、支持预置资产台账表、折旧计算表、资产变动表、盘点差异表、资产处置表、资产对账报告等，支持excel导人、导出等功能，符合政府会计制度、公立医院资产管理相关规范要求。</w:t>
            </w:r>
          </w:p>
          <w:p w14:paraId="592DCEAD">
            <w:pPr>
              <w:widowControl/>
              <w:rPr>
                <w:rFonts w:hint="eastAsia" w:ascii="宋体" w:hAnsi="宋体" w:cs="宋体"/>
                <w:kern w:val="0"/>
                <w:szCs w:val="21"/>
              </w:rPr>
            </w:pPr>
            <w:r>
              <w:rPr>
                <w:rFonts w:hint="eastAsia" w:ascii="宋体" w:hAnsi="宋体" w:cs="宋体"/>
                <w:kern w:val="0"/>
                <w:szCs w:val="21"/>
              </w:rPr>
              <w:t>本主题需完成与院内现有业务+BI系统全面对接；须确保:历史数据完整、口径统一延续；资产类数据完整；财务类历史数据可追溯；保障预算管理、全成本核算、资产管理数据准确、完整、可追溯。</w:t>
            </w:r>
          </w:p>
          <w:p w14:paraId="6C776A63">
            <w:pPr>
              <w:widowControl/>
              <w:rPr>
                <w:rFonts w:hint="eastAsia" w:ascii="宋体" w:hAnsi="宋体" w:cs="宋体"/>
                <w:kern w:val="0"/>
                <w:szCs w:val="21"/>
              </w:rPr>
            </w:pPr>
            <w:r>
              <w:rPr>
                <w:rFonts w:hint="eastAsia" w:ascii="宋体" w:hAnsi="宋体" w:cs="宋体"/>
                <w:kern w:val="0"/>
                <w:szCs w:val="21"/>
              </w:rPr>
              <w:t>系统对接明细需满足如下要求：</w:t>
            </w:r>
          </w:p>
          <w:p w14:paraId="08FDDA42">
            <w:pPr>
              <w:widowControl/>
              <w:rPr>
                <w:rFonts w:hint="eastAsia" w:ascii="宋体" w:hAnsi="宋体" w:cs="宋体"/>
                <w:kern w:val="0"/>
                <w:szCs w:val="21"/>
              </w:rPr>
            </w:pPr>
            <w:r>
              <w:rPr>
                <w:rFonts w:hint="eastAsia" w:ascii="宋体" w:hAnsi="宋体" w:cs="宋体"/>
                <w:kern w:val="0"/>
                <w:szCs w:val="21"/>
              </w:rPr>
              <w:t>HIS系统：对接收入明细、收费项目、工作量、患者信息、医保结算。历史3-5年数据迁移，保留原始业务主键。每日增量同步；收入稽核对账报表。</w:t>
            </w:r>
          </w:p>
          <w:p w14:paraId="5DF71569">
            <w:pPr>
              <w:widowControl/>
              <w:rPr>
                <w:rFonts w:hint="eastAsia" w:ascii="宋体" w:hAnsi="宋体" w:cs="宋体"/>
                <w:kern w:val="0"/>
                <w:szCs w:val="21"/>
              </w:rPr>
            </w:pPr>
            <w:r>
              <w:rPr>
                <w:rFonts w:hint="eastAsia" w:ascii="宋体" w:hAnsi="宋体" w:cs="宋体"/>
                <w:kern w:val="0"/>
                <w:szCs w:val="21"/>
              </w:rPr>
              <w:t>DRG/DIP分组器：对接分组结果、RW、CMI、入组率。分组版本及历史分组结果可追溯（按月份/版本保存，支持回溯）。</w:t>
            </w:r>
          </w:p>
          <w:p w14:paraId="31933D6E">
            <w:pPr>
              <w:widowControl/>
              <w:rPr>
                <w:rFonts w:hint="eastAsia" w:ascii="宋体" w:hAnsi="宋体" w:cs="宋体"/>
                <w:kern w:val="0"/>
                <w:szCs w:val="21"/>
              </w:rPr>
            </w:pPr>
            <w:r>
              <w:rPr>
                <w:rFonts w:hint="eastAsia" w:ascii="宋体" w:hAnsi="宋体" w:cs="宋体"/>
                <w:kern w:val="0"/>
                <w:szCs w:val="21"/>
              </w:rPr>
              <w:t>资产系统：对接资产卡片、折旧、变动、处置。资产历史全量迁移，保留变动轨迹。资产生命周期履历可查。</w:t>
            </w:r>
          </w:p>
          <w:p w14:paraId="16615004">
            <w:pPr>
              <w:widowControl/>
              <w:rPr>
                <w:rFonts w:hint="eastAsia" w:ascii="宋体" w:hAnsi="宋体" w:cs="宋体"/>
                <w:kern w:val="0"/>
                <w:szCs w:val="21"/>
              </w:rPr>
            </w:pPr>
            <w:r>
              <w:rPr>
                <w:rFonts w:hint="eastAsia" w:ascii="宋体" w:hAnsi="宋体" w:cs="宋体"/>
                <w:kern w:val="0"/>
                <w:szCs w:val="21"/>
              </w:rPr>
              <w:t>财务系统（总账）：对接科目余额、凭证、支出明细。历年凭证可查询，辅助核算完整。凭证与业务单据双向联查。</w:t>
            </w:r>
          </w:p>
          <w:p w14:paraId="6784E1E5">
            <w:pPr>
              <w:widowControl/>
              <w:rPr>
                <w:rFonts w:hint="eastAsia" w:ascii="宋体" w:hAnsi="宋体" w:cs="宋体"/>
                <w:kern w:val="0"/>
                <w:szCs w:val="21"/>
              </w:rPr>
            </w:pPr>
            <w:r>
              <w:rPr>
                <w:rFonts w:hint="eastAsia" w:ascii="宋体" w:hAnsi="宋体" w:cs="宋体"/>
                <w:kern w:val="0"/>
                <w:szCs w:val="21"/>
              </w:rPr>
              <w:t>物资/SPD系统：对接入库、出库、消耗、库存。进销存历史完整，批次序列可追溯。与财务应付、成本系统自动对账。</w:t>
            </w:r>
          </w:p>
          <w:p w14:paraId="2332D7DD">
            <w:pPr>
              <w:widowControl/>
              <w:rPr>
                <w:rFonts w:hint="eastAsia" w:ascii="宋体" w:hAnsi="宋体" w:cs="宋体"/>
                <w:kern w:val="0"/>
                <w:szCs w:val="21"/>
              </w:rPr>
            </w:pPr>
            <w:r>
              <w:rPr>
                <w:rFonts w:hint="eastAsia" w:ascii="宋体" w:hAnsi="宋体" w:cs="宋体"/>
                <w:kern w:val="0"/>
                <w:szCs w:val="21"/>
              </w:rPr>
              <w:t>人事/薪酬系统：对接人员信息、工资、奖金、社保。历史薪酬数据可查询。人力成本自动归集至成本系统。</w:t>
            </w:r>
          </w:p>
          <w:p w14:paraId="334299C1">
            <w:pPr>
              <w:widowControl/>
              <w:rPr>
                <w:rFonts w:hint="eastAsia" w:ascii="宋体" w:hAnsi="宋体" w:cs="宋体"/>
                <w:kern w:val="0"/>
                <w:szCs w:val="21"/>
              </w:rPr>
            </w:pPr>
            <w:r>
              <w:rPr>
                <w:rFonts w:hint="eastAsia" w:ascii="宋体" w:hAnsi="宋体" w:cs="宋体"/>
                <w:kern w:val="0"/>
                <w:szCs w:val="21"/>
              </w:rPr>
              <w:t>预算系统：对接历史预算编制、执行数据。按年度版本保存，预算调整记录留痕。</w:t>
            </w:r>
          </w:p>
          <w:p w14:paraId="7CE8CF49">
            <w:pPr>
              <w:widowControl/>
              <w:rPr>
                <w:rFonts w:hint="eastAsia" w:ascii="宋体" w:hAnsi="宋体" w:cs="宋体"/>
                <w:kern w:val="0"/>
                <w:szCs w:val="21"/>
              </w:rPr>
            </w:pPr>
            <w:r>
              <w:rPr>
                <w:rFonts w:hint="eastAsia" w:ascii="宋体" w:hAnsi="宋体" w:cs="宋体"/>
                <w:kern w:val="0"/>
                <w:szCs w:val="21"/>
              </w:rPr>
              <w:t>成本系统：对接分摊规则、成本数据。历史核算结果可复现，成本计算日志、版本管理。</w:t>
            </w:r>
          </w:p>
          <w:p w14:paraId="0D5C8BA1">
            <w:pPr>
              <w:widowControl/>
              <w:rPr>
                <w:rFonts w:hint="eastAsia" w:ascii="宋体" w:hAnsi="宋体" w:cs="宋体"/>
                <w:kern w:val="0"/>
                <w:szCs w:val="21"/>
              </w:rPr>
            </w:pPr>
            <w:r>
              <w:rPr>
                <w:rFonts w:hint="eastAsia" w:ascii="宋体" w:hAnsi="宋体" w:cs="宋体"/>
                <w:kern w:val="0"/>
                <w:szCs w:val="21"/>
              </w:rPr>
              <w:t>保障要求：历史数据完整迁移、口径统一延续；资产类及财务类历史数据可追溯；预算、成本、资产管理数据准确、完整、可追溯。</w:t>
            </w:r>
          </w:p>
        </w:tc>
      </w:tr>
      <w:tr w14:paraId="43094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741" w:type="dxa"/>
            <w:vMerge w:val="continue"/>
            <w:noWrap w:val="0"/>
            <w:vAlign w:val="center"/>
          </w:tcPr>
          <w:p w14:paraId="3741A8AB">
            <w:pPr>
              <w:widowControl/>
              <w:jc w:val="left"/>
              <w:rPr>
                <w:rFonts w:hint="eastAsia" w:ascii="宋体" w:hAnsi="宋体" w:cs="宋体"/>
                <w:kern w:val="0"/>
                <w:szCs w:val="21"/>
              </w:rPr>
            </w:pPr>
          </w:p>
        </w:tc>
        <w:tc>
          <w:tcPr>
            <w:tcW w:w="876" w:type="dxa"/>
            <w:noWrap w:val="0"/>
            <w:vAlign w:val="center"/>
          </w:tcPr>
          <w:p w14:paraId="6E11E44F">
            <w:pPr>
              <w:widowControl/>
              <w:jc w:val="center"/>
              <w:rPr>
                <w:rFonts w:hint="eastAsia" w:ascii="宋体" w:hAnsi="宋体" w:cs="宋体"/>
                <w:kern w:val="0"/>
                <w:szCs w:val="21"/>
              </w:rPr>
            </w:pPr>
            <w:r>
              <w:rPr>
                <w:rFonts w:hint="eastAsia" w:ascii="宋体" w:hAnsi="宋体" w:cs="宋体"/>
                <w:kern w:val="0"/>
                <w:szCs w:val="21"/>
              </w:rPr>
              <w:t>教学管理主题分析</w:t>
            </w:r>
          </w:p>
        </w:tc>
        <w:tc>
          <w:tcPr>
            <w:tcW w:w="7170" w:type="dxa"/>
            <w:noWrap w:val="0"/>
            <w:vAlign w:val="center"/>
          </w:tcPr>
          <w:p w14:paraId="78F780D8">
            <w:pPr>
              <w:widowControl/>
              <w:rPr>
                <w:rFonts w:hint="eastAsia" w:ascii="宋体" w:hAnsi="宋体" w:cs="宋体"/>
                <w:kern w:val="0"/>
                <w:szCs w:val="21"/>
              </w:rPr>
            </w:pPr>
            <w:r>
              <w:rPr>
                <w:rFonts w:hint="eastAsia" w:ascii="宋体" w:hAnsi="宋体" w:cs="宋体"/>
                <w:kern w:val="0"/>
                <w:szCs w:val="21"/>
              </w:rPr>
              <w:t>通过接入CCMTV系统相关教务数据，包括教研室/基地/科室层面及个人（员工及学员）层面的教学工作量、教学质量分值、教学业绩、各类教学培训情况、各类考核成绩、教学推优晋升数据、教学场地使用情况，并提供教研室/基地/科室间横向对比和科室自身纵向对比分析。</w:t>
            </w:r>
            <w:r>
              <w:rPr>
                <w:rFonts w:ascii="宋体" w:hAnsi="宋体" w:cs="宋体"/>
                <w:kern w:val="0"/>
                <w:szCs w:val="21"/>
              </w:rPr>
              <w:br w:type="textWrapping"/>
            </w:r>
            <w:r>
              <w:rPr>
                <w:rFonts w:hint="eastAsia" w:ascii="宋体" w:hAnsi="宋体" w:cs="宋体"/>
                <w:kern w:val="0"/>
                <w:szCs w:val="21"/>
              </w:rPr>
              <w:t>1、提供教学工作量结构分析，包括各类师资的各类教学工作量，可展示各教研室/基地/科室各类教学工作量分布情况等信息；</w:t>
            </w:r>
          </w:p>
          <w:p w14:paraId="2A47C1CE">
            <w:pPr>
              <w:widowControl/>
              <w:rPr>
                <w:rFonts w:hint="eastAsia" w:ascii="宋体" w:hAnsi="宋体" w:cs="宋体"/>
                <w:kern w:val="0"/>
                <w:szCs w:val="21"/>
              </w:rPr>
            </w:pPr>
            <w:r>
              <w:rPr>
                <w:rFonts w:hint="eastAsia" w:ascii="宋体" w:hAnsi="宋体" w:cs="宋体"/>
                <w:kern w:val="0"/>
                <w:szCs w:val="21"/>
              </w:rPr>
              <w:t>2、提供教学质量结构分析，包括各类师资的各类教学质量，可展示各教研室/基地/科室各类教学质量分值及对比情况等信息；</w:t>
            </w:r>
          </w:p>
          <w:p w14:paraId="44616651">
            <w:pPr>
              <w:widowControl/>
              <w:rPr>
                <w:rFonts w:hint="eastAsia" w:ascii="宋体" w:hAnsi="宋体" w:cs="宋体"/>
                <w:kern w:val="0"/>
                <w:szCs w:val="21"/>
              </w:rPr>
            </w:pPr>
            <w:r>
              <w:rPr>
                <w:rFonts w:hint="eastAsia" w:ascii="宋体" w:hAnsi="宋体" w:cs="宋体"/>
                <w:kern w:val="0"/>
                <w:szCs w:val="21"/>
              </w:rPr>
              <w:t>3、提供教学人员结构分析，可展示各教研室/基地/科室各类教学师资数量、职称情况等信息；</w:t>
            </w:r>
          </w:p>
          <w:p w14:paraId="35528387">
            <w:pPr>
              <w:widowControl/>
              <w:rPr>
                <w:rFonts w:hint="eastAsia" w:ascii="宋体" w:hAnsi="宋体" w:cs="宋体"/>
                <w:kern w:val="0"/>
                <w:szCs w:val="21"/>
              </w:rPr>
            </w:pPr>
            <w:r>
              <w:rPr>
                <w:rFonts w:hint="eastAsia" w:ascii="宋体" w:hAnsi="宋体" w:cs="宋体"/>
                <w:kern w:val="0"/>
                <w:szCs w:val="21"/>
              </w:rPr>
              <w:t>4、提供教学业绩结构分析，可展示各教研室/基地/科室各类教学师资各类教学业绩情况等信息；</w:t>
            </w:r>
          </w:p>
          <w:p w14:paraId="6A4E4ECC">
            <w:pPr>
              <w:widowControl/>
              <w:rPr>
                <w:rFonts w:hint="eastAsia" w:ascii="宋体" w:hAnsi="宋体" w:cs="宋体"/>
                <w:kern w:val="0"/>
                <w:szCs w:val="21"/>
              </w:rPr>
            </w:pPr>
            <w:r>
              <w:rPr>
                <w:rFonts w:hint="eastAsia" w:ascii="宋体" w:hAnsi="宋体" w:cs="宋体"/>
                <w:kern w:val="0"/>
                <w:szCs w:val="21"/>
              </w:rPr>
              <w:t>5、提供教学考核成绩分析，可展示各教研室/基地/科室各类教学师资、各类学员的各项考核（理论考试、技能考试以及各类操作、手术及病例病种完成情况等数据，）成绩情况及对比分析。</w:t>
            </w:r>
          </w:p>
        </w:tc>
      </w:tr>
      <w:tr w14:paraId="639F6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741" w:type="dxa"/>
            <w:vMerge w:val="continue"/>
            <w:noWrap w:val="0"/>
            <w:vAlign w:val="center"/>
          </w:tcPr>
          <w:p w14:paraId="7A3DC1FB">
            <w:pPr>
              <w:widowControl/>
              <w:jc w:val="left"/>
              <w:rPr>
                <w:rFonts w:hint="eastAsia" w:ascii="宋体" w:hAnsi="宋体" w:cs="宋体"/>
                <w:kern w:val="0"/>
                <w:szCs w:val="21"/>
              </w:rPr>
            </w:pPr>
          </w:p>
        </w:tc>
        <w:tc>
          <w:tcPr>
            <w:tcW w:w="876" w:type="dxa"/>
            <w:noWrap w:val="0"/>
            <w:vAlign w:val="center"/>
          </w:tcPr>
          <w:p w14:paraId="363CD9E2">
            <w:pPr>
              <w:widowControl/>
              <w:jc w:val="center"/>
              <w:rPr>
                <w:rFonts w:hint="eastAsia" w:ascii="宋体" w:hAnsi="宋体" w:cs="宋体"/>
                <w:kern w:val="0"/>
                <w:szCs w:val="21"/>
              </w:rPr>
            </w:pPr>
            <w:r>
              <w:rPr>
                <w:rFonts w:hint="eastAsia" w:ascii="宋体" w:hAnsi="宋体" w:cs="宋体"/>
                <w:kern w:val="0"/>
                <w:szCs w:val="21"/>
              </w:rPr>
              <w:t>业务科室运营分析报告</w:t>
            </w:r>
          </w:p>
        </w:tc>
        <w:tc>
          <w:tcPr>
            <w:tcW w:w="7170" w:type="dxa"/>
            <w:noWrap w:val="0"/>
            <w:vAlign w:val="center"/>
          </w:tcPr>
          <w:p w14:paraId="0BD1F8BF">
            <w:pPr>
              <w:widowControl/>
              <w:rPr>
                <w:rFonts w:hint="eastAsia" w:ascii="宋体" w:hAnsi="宋体" w:cs="宋体"/>
                <w:kern w:val="0"/>
                <w:szCs w:val="21"/>
              </w:rPr>
            </w:pPr>
            <w:r>
              <w:rPr>
                <w:rFonts w:hint="eastAsia" w:ascii="宋体" w:hAnsi="宋体" w:cs="宋体"/>
                <w:kern w:val="0"/>
                <w:szCs w:val="21"/>
              </w:rPr>
              <w:t>分析包括收入结构、门急诊量、出院人次、DRG总权重、CMI、时间和费用消耗指数、平均住院日、药占比、耗占比、门诊次均费用、住院次均费用、门诊次均药费、住院次均药费、每医师床日负荷、目标完成情况，平台科室包括工作量（点值）、预约等待时间等，并提供科室间横向对比和科室自身纵向对比，并提供管理建议。</w:t>
            </w:r>
          </w:p>
        </w:tc>
      </w:tr>
      <w:tr w14:paraId="1A089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741" w:type="dxa"/>
            <w:vMerge w:val="continue"/>
            <w:noWrap w:val="0"/>
            <w:vAlign w:val="center"/>
          </w:tcPr>
          <w:p w14:paraId="2B43B0B3">
            <w:pPr>
              <w:widowControl/>
              <w:jc w:val="left"/>
              <w:rPr>
                <w:rFonts w:hint="eastAsia" w:ascii="宋体" w:hAnsi="宋体" w:cs="宋体"/>
                <w:kern w:val="0"/>
                <w:szCs w:val="21"/>
              </w:rPr>
            </w:pPr>
          </w:p>
        </w:tc>
        <w:tc>
          <w:tcPr>
            <w:tcW w:w="876" w:type="dxa"/>
            <w:noWrap w:val="0"/>
            <w:vAlign w:val="center"/>
          </w:tcPr>
          <w:p w14:paraId="78FAB0AE">
            <w:pPr>
              <w:widowControl/>
              <w:jc w:val="center"/>
              <w:rPr>
                <w:rFonts w:ascii="宋体" w:hAnsi="宋体" w:cs="宋体"/>
                <w:kern w:val="0"/>
                <w:szCs w:val="21"/>
              </w:rPr>
            </w:pPr>
            <w:r>
              <w:rPr>
                <w:rFonts w:hint="eastAsia" w:ascii="宋体" w:hAnsi="宋体" w:cs="宋体"/>
                <w:kern w:val="0"/>
                <w:szCs w:val="21"/>
              </w:rPr>
              <w:t>医院感染防控监测主题分析</w:t>
            </w:r>
          </w:p>
        </w:tc>
        <w:tc>
          <w:tcPr>
            <w:tcW w:w="7170" w:type="dxa"/>
            <w:noWrap w:val="0"/>
            <w:vAlign w:val="center"/>
          </w:tcPr>
          <w:p w14:paraId="64E132D2">
            <w:pPr>
              <w:widowControl/>
              <w:numPr>
                <w:ilvl w:val="0"/>
                <w:numId w:val="0"/>
              </w:numPr>
              <w:tabs>
                <w:tab w:val="left" w:pos="312"/>
              </w:tabs>
              <w:ind w:firstLine="420" w:firstLineChars="200"/>
            </w:pPr>
            <w:r>
              <w:rPr>
                <w:rFonts w:hint="eastAsia"/>
              </w:rPr>
              <w:t>一、支持如下指标统计：</w:t>
            </w:r>
          </w:p>
          <w:p w14:paraId="5BCF436C">
            <w:pPr>
              <w:widowControl/>
              <w:numPr>
                <w:ilvl w:val="0"/>
                <w:numId w:val="20"/>
              </w:numPr>
              <w:tabs>
                <w:tab w:val="left" w:pos="312"/>
              </w:tabs>
              <w:ind w:firstLine="420" w:firstLineChars="0"/>
              <w:rPr>
                <w:rFonts w:hint="eastAsia"/>
              </w:rPr>
            </w:pPr>
            <w:r>
              <w:rPr>
                <w:rFonts w:hint="eastAsia" w:ascii="宋体" w:hAnsi="宋体" w:cs="宋体"/>
                <w:kern w:val="0"/>
                <w:szCs w:val="21"/>
              </w:rPr>
              <w:t>千日医院感染例次发病率</w:t>
            </w:r>
          </w:p>
          <w:p w14:paraId="7CB05279">
            <w:pPr>
              <w:widowControl/>
              <w:numPr>
                <w:ilvl w:val="0"/>
                <w:numId w:val="20"/>
              </w:numPr>
              <w:tabs>
                <w:tab w:val="left" w:pos="312"/>
              </w:tabs>
              <w:ind w:firstLine="420" w:firstLineChars="0"/>
              <w:rPr>
                <w:rFonts w:hint="eastAsia" w:ascii="宋体" w:hAnsi="宋体" w:cs="宋体"/>
                <w:kern w:val="0"/>
                <w:szCs w:val="21"/>
              </w:rPr>
            </w:pPr>
            <w:r>
              <w:rPr>
                <w:rFonts w:hint="eastAsia" w:ascii="宋体" w:hAnsi="宋体" w:cs="宋体"/>
                <w:kern w:val="0"/>
                <w:szCs w:val="21"/>
              </w:rPr>
              <w:t>新生儿千日医院感染例次发病率</w:t>
            </w:r>
          </w:p>
          <w:p w14:paraId="0A90D6D8">
            <w:pPr>
              <w:widowControl/>
              <w:numPr>
                <w:ilvl w:val="0"/>
                <w:numId w:val="20"/>
              </w:numPr>
              <w:tabs>
                <w:tab w:val="left" w:pos="312"/>
              </w:tabs>
              <w:ind w:firstLine="420" w:firstLineChars="0"/>
            </w:pPr>
            <w:r>
              <w:rPr>
                <w:rFonts w:hint="eastAsia" w:ascii="宋体" w:hAnsi="宋体" w:cs="宋体"/>
                <w:kern w:val="0"/>
                <w:szCs w:val="21"/>
              </w:rPr>
              <w:t>不同出生体重新生儿千日医院感染例次发病率:0-1000g,1001-1500g,1501-2500g,体重超2500g。</w:t>
            </w:r>
          </w:p>
          <w:p w14:paraId="4373B36A">
            <w:pPr>
              <w:widowControl/>
              <w:numPr>
                <w:ilvl w:val="0"/>
                <w:numId w:val="20"/>
              </w:numPr>
              <w:tabs>
                <w:tab w:val="left" w:pos="312"/>
              </w:tabs>
              <w:ind w:firstLine="420" w:firstLineChars="0"/>
              <w:rPr>
                <w:rFonts w:ascii="宋体" w:hAnsi="宋体" w:cs="宋体"/>
                <w:kern w:val="0"/>
                <w:szCs w:val="21"/>
              </w:rPr>
            </w:pPr>
            <w:r>
              <w:rPr>
                <w:rFonts w:hint="eastAsia" w:ascii="宋体" w:hAnsi="宋体" w:cs="宋体"/>
                <w:kern w:val="0"/>
                <w:szCs w:val="21"/>
              </w:rPr>
              <w:t>千日特定多耐医院感染例次发病率</w:t>
            </w:r>
          </w:p>
          <w:p w14:paraId="4169B293">
            <w:pPr>
              <w:widowControl/>
              <w:numPr>
                <w:ilvl w:val="0"/>
                <w:numId w:val="20"/>
              </w:numPr>
              <w:tabs>
                <w:tab w:val="left" w:pos="312"/>
              </w:tabs>
              <w:ind w:firstLine="420" w:firstLineChars="0"/>
              <w:rPr>
                <w:rFonts w:ascii="宋体" w:hAnsi="宋体" w:cs="宋体"/>
                <w:kern w:val="0"/>
                <w:szCs w:val="21"/>
              </w:rPr>
            </w:pPr>
            <w:r>
              <w:rPr>
                <w:rFonts w:hint="eastAsia" w:ascii="宋体" w:hAnsi="宋体" w:cs="宋体"/>
                <w:kern w:val="0"/>
                <w:szCs w:val="21"/>
              </w:rPr>
              <w:t>联合用药病原学送检率</w:t>
            </w:r>
          </w:p>
          <w:p w14:paraId="17D61835">
            <w:pPr>
              <w:widowControl/>
              <w:numPr>
                <w:ilvl w:val="0"/>
                <w:numId w:val="20"/>
              </w:numPr>
              <w:tabs>
                <w:tab w:val="left" w:pos="312"/>
              </w:tabs>
              <w:ind w:firstLine="420" w:firstLineChars="0"/>
              <w:rPr>
                <w:rFonts w:ascii="宋体" w:hAnsi="宋体" w:cs="宋体"/>
                <w:kern w:val="0"/>
                <w:szCs w:val="21"/>
              </w:rPr>
            </w:pPr>
            <w:r>
              <w:rPr>
                <w:rFonts w:hint="eastAsia" w:ascii="宋体" w:hAnsi="宋体" w:cs="宋体"/>
                <w:kern w:val="0"/>
                <w:szCs w:val="21"/>
              </w:rPr>
              <w:t>I类切口手术抗菌药物预防使用率</w:t>
            </w:r>
          </w:p>
          <w:p w14:paraId="1195B799">
            <w:pPr>
              <w:widowControl/>
              <w:numPr>
                <w:ilvl w:val="0"/>
                <w:numId w:val="20"/>
              </w:numPr>
              <w:tabs>
                <w:tab w:val="left" w:pos="312"/>
              </w:tabs>
              <w:ind w:firstLine="420" w:firstLineChars="0"/>
              <w:rPr>
                <w:rFonts w:ascii="宋体" w:hAnsi="宋体" w:cs="宋体"/>
                <w:kern w:val="0"/>
                <w:szCs w:val="21"/>
              </w:rPr>
            </w:pPr>
            <w:r>
              <w:rPr>
                <w:rFonts w:hint="eastAsia" w:ascii="宋体" w:hAnsi="宋体" w:cs="宋体"/>
                <w:kern w:val="0"/>
                <w:szCs w:val="21"/>
              </w:rPr>
              <w:t>导管相关血流感染发病率</w:t>
            </w:r>
          </w:p>
          <w:p w14:paraId="3934FCD1">
            <w:pPr>
              <w:widowControl/>
              <w:numPr>
                <w:ilvl w:val="0"/>
                <w:numId w:val="20"/>
              </w:numPr>
              <w:tabs>
                <w:tab w:val="left" w:pos="312"/>
              </w:tabs>
              <w:ind w:firstLine="420" w:firstLineChars="0"/>
              <w:rPr>
                <w:rFonts w:ascii="宋体" w:hAnsi="宋体" w:cs="宋体"/>
                <w:kern w:val="0"/>
                <w:szCs w:val="21"/>
              </w:rPr>
            </w:pPr>
            <w:r>
              <w:rPr>
                <w:rFonts w:hint="eastAsia" w:ascii="宋体" w:hAnsi="宋体" w:cs="宋体"/>
                <w:kern w:val="0"/>
                <w:szCs w:val="21"/>
              </w:rPr>
              <w:t>呼吸机相关肺炎发病率</w:t>
            </w:r>
          </w:p>
          <w:p w14:paraId="480A3D21">
            <w:pPr>
              <w:widowControl/>
              <w:numPr>
                <w:ilvl w:val="0"/>
                <w:numId w:val="20"/>
              </w:numPr>
              <w:tabs>
                <w:tab w:val="left" w:pos="312"/>
              </w:tabs>
              <w:ind w:firstLine="420" w:firstLineChars="0"/>
              <w:rPr>
                <w:rFonts w:ascii="宋体" w:hAnsi="宋体" w:cs="宋体"/>
                <w:kern w:val="0"/>
                <w:szCs w:val="21"/>
              </w:rPr>
            </w:pPr>
            <w:r>
              <w:rPr>
                <w:rFonts w:hint="eastAsia" w:ascii="宋体" w:hAnsi="宋体" w:cs="宋体"/>
                <w:kern w:val="0"/>
                <w:szCs w:val="21"/>
              </w:rPr>
              <w:t>导尿管相关尿路感染发病率</w:t>
            </w:r>
          </w:p>
          <w:p w14:paraId="33307260">
            <w:pPr>
              <w:widowControl/>
              <w:numPr>
                <w:ilvl w:val="0"/>
                <w:numId w:val="20"/>
              </w:numPr>
              <w:tabs>
                <w:tab w:val="left" w:pos="312"/>
              </w:tabs>
              <w:ind w:firstLine="420" w:firstLineChars="0"/>
              <w:rPr>
                <w:rFonts w:ascii="宋体" w:hAnsi="宋体" w:cs="宋体"/>
                <w:kern w:val="0"/>
                <w:szCs w:val="21"/>
              </w:rPr>
            </w:pPr>
            <w:r>
              <w:rPr>
                <w:rFonts w:hint="eastAsia" w:ascii="宋体" w:hAnsi="宋体" w:cs="宋体"/>
                <w:kern w:val="0"/>
                <w:szCs w:val="21"/>
              </w:rPr>
              <w:t>手术部位感染率：I类、II类、III类、IV类切口手术部位感染率</w:t>
            </w:r>
          </w:p>
          <w:p w14:paraId="37D17163">
            <w:pPr>
              <w:widowControl/>
              <w:numPr>
                <w:ilvl w:val="0"/>
                <w:numId w:val="20"/>
              </w:numPr>
              <w:tabs>
                <w:tab w:val="left" w:pos="312"/>
              </w:tabs>
              <w:ind w:firstLine="420" w:firstLineChars="0"/>
              <w:rPr>
                <w:rFonts w:ascii="宋体" w:hAnsi="宋体" w:cs="宋体"/>
                <w:kern w:val="0"/>
                <w:szCs w:val="21"/>
              </w:rPr>
            </w:pPr>
            <w:r>
              <w:rPr>
                <w:rFonts w:hint="eastAsia" w:ascii="宋体" w:hAnsi="宋体" w:cs="宋体"/>
                <w:kern w:val="0"/>
                <w:szCs w:val="21"/>
              </w:rPr>
              <w:t>脑出血I类切口分类手术部位感染率</w:t>
            </w:r>
          </w:p>
          <w:p w14:paraId="6A5EDE00">
            <w:pPr>
              <w:widowControl/>
              <w:numPr>
                <w:ilvl w:val="0"/>
                <w:numId w:val="20"/>
              </w:numPr>
              <w:tabs>
                <w:tab w:val="left" w:pos="312"/>
              </w:tabs>
              <w:ind w:firstLine="420" w:firstLineChars="0"/>
              <w:rPr>
                <w:rFonts w:ascii="宋体" w:hAnsi="宋体" w:cs="宋体"/>
                <w:kern w:val="0"/>
                <w:szCs w:val="21"/>
              </w:rPr>
            </w:pPr>
            <w:r>
              <w:rPr>
                <w:rFonts w:hint="eastAsia" w:ascii="宋体" w:hAnsi="宋体" w:cs="宋体"/>
                <w:kern w:val="0"/>
                <w:szCs w:val="21"/>
              </w:rPr>
              <w:t>髋关节I类切口分类手术部位感染率</w:t>
            </w:r>
          </w:p>
          <w:p w14:paraId="15376386">
            <w:pPr>
              <w:widowControl/>
              <w:numPr>
                <w:ilvl w:val="0"/>
                <w:numId w:val="20"/>
              </w:numPr>
              <w:tabs>
                <w:tab w:val="left" w:pos="312"/>
              </w:tabs>
              <w:ind w:firstLine="420" w:firstLineChars="0"/>
              <w:rPr>
                <w:rFonts w:ascii="宋体" w:hAnsi="宋体" w:cs="宋体"/>
                <w:kern w:val="0"/>
                <w:szCs w:val="21"/>
              </w:rPr>
            </w:pPr>
            <w:r>
              <w:rPr>
                <w:rFonts w:hint="eastAsia" w:ascii="宋体" w:hAnsi="宋体" w:cs="宋体"/>
                <w:kern w:val="0"/>
                <w:szCs w:val="21"/>
              </w:rPr>
              <w:t>膝关节I类切口分类手术部位感染率</w:t>
            </w:r>
          </w:p>
          <w:p w14:paraId="630FE032">
            <w:pPr>
              <w:widowControl/>
              <w:numPr>
                <w:ilvl w:val="0"/>
                <w:numId w:val="20"/>
              </w:numPr>
              <w:tabs>
                <w:tab w:val="left" w:pos="312"/>
              </w:tabs>
              <w:ind w:firstLine="420" w:firstLineChars="0"/>
              <w:rPr>
                <w:rFonts w:ascii="宋体" w:hAnsi="宋体" w:cs="宋体"/>
                <w:kern w:val="0"/>
                <w:szCs w:val="21"/>
              </w:rPr>
            </w:pPr>
            <w:r>
              <w:rPr>
                <w:rFonts w:hint="eastAsia" w:ascii="宋体" w:hAnsi="宋体" w:cs="宋体"/>
                <w:kern w:val="0"/>
                <w:szCs w:val="21"/>
              </w:rPr>
              <w:t>术后肺炎发生率</w:t>
            </w:r>
          </w:p>
          <w:p w14:paraId="0E334861">
            <w:pPr>
              <w:widowControl/>
              <w:numPr>
                <w:ilvl w:val="0"/>
                <w:numId w:val="20"/>
              </w:numPr>
              <w:tabs>
                <w:tab w:val="left" w:pos="312"/>
              </w:tabs>
              <w:ind w:firstLine="420" w:firstLineChars="0"/>
              <w:rPr>
                <w:rFonts w:ascii="宋体" w:hAnsi="宋体" w:cs="宋体"/>
                <w:kern w:val="0"/>
                <w:szCs w:val="21"/>
              </w:rPr>
            </w:pPr>
            <w:r>
              <w:rPr>
                <w:rFonts w:hint="eastAsia" w:ascii="宋体" w:hAnsi="宋体" w:cs="宋体"/>
                <w:kern w:val="0"/>
                <w:szCs w:val="21"/>
              </w:rPr>
              <w:t>预防性使用抗菌药物0。5-1小时给药率</w:t>
            </w:r>
          </w:p>
          <w:p w14:paraId="5EA6F937">
            <w:pPr>
              <w:widowControl/>
              <w:numPr>
                <w:ilvl w:val="0"/>
                <w:numId w:val="20"/>
              </w:numPr>
              <w:tabs>
                <w:tab w:val="left" w:pos="312"/>
              </w:tabs>
              <w:ind w:firstLine="420" w:firstLineChars="0"/>
              <w:rPr>
                <w:rFonts w:ascii="宋体" w:hAnsi="宋体" w:cs="宋体"/>
                <w:kern w:val="0"/>
                <w:szCs w:val="21"/>
              </w:rPr>
            </w:pPr>
            <w:r>
              <w:rPr>
                <w:rFonts w:hint="eastAsia" w:ascii="宋体" w:hAnsi="宋体" w:cs="宋体"/>
                <w:kern w:val="0"/>
                <w:szCs w:val="21"/>
              </w:rPr>
              <w:t>I类切口预防性使用抗菌药物24小时停药率</w:t>
            </w:r>
          </w:p>
          <w:p w14:paraId="18AA5D68">
            <w:pPr>
              <w:widowControl/>
              <w:numPr>
                <w:ilvl w:val="0"/>
                <w:numId w:val="20"/>
              </w:numPr>
              <w:tabs>
                <w:tab w:val="left" w:pos="312"/>
              </w:tabs>
              <w:ind w:firstLine="420" w:firstLineChars="0"/>
              <w:rPr>
                <w:rFonts w:ascii="宋体" w:hAnsi="宋体" w:cs="宋体"/>
                <w:kern w:val="0"/>
                <w:szCs w:val="21"/>
              </w:rPr>
            </w:pPr>
            <w:r>
              <w:rPr>
                <w:rFonts w:hint="eastAsia" w:ascii="宋体" w:hAnsi="宋体" w:cs="宋体"/>
                <w:kern w:val="0"/>
                <w:szCs w:val="21"/>
              </w:rPr>
              <w:t>心脏手术相关I类切口预防性使用抗菌药物48小时停药率</w:t>
            </w:r>
          </w:p>
          <w:p w14:paraId="538524BA">
            <w:pPr>
              <w:widowControl/>
              <w:numPr>
                <w:ilvl w:val="0"/>
                <w:numId w:val="20"/>
              </w:numPr>
              <w:tabs>
                <w:tab w:val="left" w:pos="312"/>
              </w:tabs>
              <w:ind w:firstLine="420" w:firstLineChars="0"/>
              <w:rPr>
                <w:rFonts w:ascii="宋体" w:hAnsi="宋体" w:cs="宋体"/>
                <w:kern w:val="0"/>
                <w:szCs w:val="21"/>
              </w:rPr>
            </w:pPr>
            <w:r>
              <w:rPr>
                <w:rFonts w:hint="eastAsia" w:ascii="宋体" w:hAnsi="宋体" w:cs="宋体"/>
                <w:kern w:val="0"/>
                <w:szCs w:val="21"/>
              </w:rPr>
              <w:t>脑出血I类切口预防性使用抗菌药物24小时停药率</w:t>
            </w:r>
          </w:p>
          <w:p w14:paraId="7328F9C0">
            <w:pPr>
              <w:widowControl/>
              <w:numPr>
                <w:ilvl w:val="0"/>
                <w:numId w:val="20"/>
              </w:numPr>
              <w:tabs>
                <w:tab w:val="left" w:pos="312"/>
              </w:tabs>
              <w:ind w:firstLine="420" w:firstLineChars="0"/>
              <w:rPr>
                <w:rFonts w:ascii="宋体" w:hAnsi="宋体" w:cs="宋体"/>
                <w:kern w:val="0"/>
                <w:szCs w:val="21"/>
              </w:rPr>
            </w:pPr>
            <w:r>
              <w:rPr>
                <w:rFonts w:hint="eastAsia" w:ascii="宋体" w:hAnsi="宋体" w:cs="宋体"/>
                <w:kern w:val="0"/>
                <w:szCs w:val="21"/>
              </w:rPr>
              <w:t>髋关节I类切口预防性使用抗菌药物24小时停药率</w:t>
            </w:r>
          </w:p>
          <w:p w14:paraId="30D84200">
            <w:pPr>
              <w:widowControl/>
              <w:numPr>
                <w:ilvl w:val="0"/>
                <w:numId w:val="20"/>
              </w:numPr>
              <w:tabs>
                <w:tab w:val="left" w:pos="312"/>
              </w:tabs>
              <w:ind w:firstLine="420" w:firstLineChars="0"/>
              <w:rPr>
                <w:rFonts w:ascii="宋体" w:hAnsi="宋体" w:cs="宋体"/>
                <w:kern w:val="0"/>
                <w:szCs w:val="21"/>
              </w:rPr>
            </w:pPr>
            <w:r>
              <w:rPr>
                <w:rFonts w:hint="eastAsia" w:ascii="宋体" w:hAnsi="宋体" w:cs="宋体"/>
                <w:kern w:val="0"/>
                <w:szCs w:val="21"/>
              </w:rPr>
              <w:t>膝关节I类切口预防性使用抗菌药物24小时停药率</w:t>
            </w:r>
          </w:p>
          <w:p w14:paraId="0E96F408">
            <w:pPr>
              <w:widowControl/>
              <w:numPr>
                <w:ilvl w:val="0"/>
                <w:numId w:val="20"/>
              </w:numPr>
              <w:tabs>
                <w:tab w:val="left" w:pos="312"/>
              </w:tabs>
              <w:ind w:firstLine="420" w:firstLineChars="0"/>
              <w:rPr>
                <w:rFonts w:ascii="宋体" w:hAnsi="宋体" w:cs="宋体"/>
                <w:kern w:val="0"/>
                <w:szCs w:val="21"/>
              </w:rPr>
            </w:pPr>
            <w:r>
              <w:rPr>
                <w:rFonts w:hint="eastAsia" w:ascii="宋体" w:hAnsi="宋体" w:cs="宋体"/>
                <w:kern w:val="0"/>
                <w:szCs w:val="21"/>
              </w:rPr>
              <w:t>冠状动脉旁路移植术相关I类切口预防性使用抗菌药物48小时停药率</w:t>
            </w:r>
          </w:p>
          <w:p w14:paraId="69CAC078">
            <w:pPr>
              <w:widowControl/>
              <w:numPr>
                <w:ilvl w:val="0"/>
                <w:numId w:val="20"/>
              </w:numPr>
              <w:tabs>
                <w:tab w:val="left" w:pos="312"/>
              </w:tabs>
              <w:ind w:firstLine="420" w:firstLineChars="0"/>
              <w:rPr>
                <w:rFonts w:ascii="宋体" w:hAnsi="宋体" w:cs="宋体"/>
                <w:kern w:val="0"/>
                <w:szCs w:val="21"/>
              </w:rPr>
            </w:pPr>
            <w:r>
              <w:rPr>
                <w:rFonts w:hint="eastAsia" w:ascii="宋体" w:hAnsi="宋体" w:cs="宋体"/>
                <w:kern w:val="0"/>
                <w:szCs w:val="21"/>
              </w:rPr>
              <w:t>抗菌药物治疗前病原学送检率</w:t>
            </w:r>
          </w:p>
          <w:p w14:paraId="3B083A05">
            <w:pPr>
              <w:widowControl/>
              <w:numPr>
                <w:ilvl w:val="0"/>
                <w:numId w:val="20"/>
              </w:numPr>
              <w:tabs>
                <w:tab w:val="left" w:pos="312"/>
              </w:tabs>
              <w:ind w:firstLine="420" w:firstLineChars="0"/>
              <w:rPr>
                <w:rFonts w:ascii="宋体" w:hAnsi="宋体" w:cs="宋体"/>
                <w:kern w:val="0"/>
                <w:szCs w:val="21"/>
              </w:rPr>
            </w:pPr>
            <w:r>
              <w:rPr>
                <w:rFonts w:hint="eastAsia" w:ascii="宋体" w:hAnsi="宋体" w:cs="宋体"/>
                <w:kern w:val="0"/>
                <w:szCs w:val="21"/>
              </w:rPr>
              <w:t>医院感染诊断相关病原学送检率</w:t>
            </w:r>
          </w:p>
          <w:p w14:paraId="3982B664">
            <w:pPr>
              <w:widowControl/>
              <w:numPr>
                <w:ilvl w:val="0"/>
                <w:numId w:val="20"/>
              </w:numPr>
              <w:tabs>
                <w:tab w:val="left" w:pos="312"/>
              </w:tabs>
              <w:ind w:firstLine="420" w:firstLineChars="0"/>
              <w:rPr>
                <w:rFonts w:ascii="宋体" w:hAnsi="宋体" w:cs="宋体"/>
                <w:kern w:val="0"/>
                <w:szCs w:val="21"/>
              </w:rPr>
            </w:pPr>
            <w:r>
              <w:rPr>
                <w:rFonts w:hint="eastAsia" w:ascii="宋体" w:hAnsi="宋体" w:cs="宋体"/>
                <w:kern w:val="0"/>
                <w:szCs w:val="21"/>
              </w:rPr>
              <w:t>医院感染发病率</w:t>
            </w:r>
          </w:p>
          <w:p w14:paraId="73F78A2A">
            <w:pPr>
              <w:widowControl/>
              <w:numPr>
                <w:ilvl w:val="0"/>
                <w:numId w:val="20"/>
              </w:numPr>
              <w:tabs>
                <w:tab w:val="left" w:pos="312"/>
              </w:tabs>
              <w:ind w:firstLine="420" w:firstLineChars="0"/>
              <w:rPr>
                <w:rFonts w:ascii="宋体" w:hAnsi="宋体" w:cs="宋体"/>
                <w:kern w:val="0"/>
                <w:szCs w:val="21"/>
              </w:rPr>
            </w:pPr>
            <w:r>
              <w:rPr>
                <w:rFonts w:hint="eastAsia" w:ascii="宋体" w:hAnsi="宋体" w:cs="宋体"/>
                <w:kern w:val="0"/>
                <w:szCs w:val="21"/>
              </w:rPr>
              <w:t>医院感染发病例次率</w:t>
            </w:r>
          </w:p>
          <w:p w14:paraId="0583195E">
            <w:pPr>
              <w:widowControl/>
              <w:numPr>
                <w:ilvl w:val="0"/>
                <w:numId w:val="20"/>
              </w:numPr>
              <w:tabs>
                <w:tab w:val="left" w:pos="312"/>
              </w:tabs>
              <w:ind w:firstLine="420" w:firstLineChars="0"/>
              <w:rPr>
                <w:rFonts w:ascii="宋体" w:hAnsi="宋体" w:cs="宋体"/>
                <w:kern w:val="0"/>
                <w:szCs w:val="21"/>
              </w:rPr>
            </w:pPr>
            <w:r>
              <w:rPr>
                <w:rFonts w:hint="eastAsia" w:ascii="宋体" w:hAnsi="宋体" w:cs="宋体"/>
                <w:kern w:val="0"/>
                <w:szCs w:val="21"/>
              </w:rPr>
              <w:t>时点医院感染现患率</w:t>
            </w:r>
          </w:p>
          <w:p w14:paraId="520B92C7">
            <w:pPr>
              <w:widowControl/>
              <w:numPr>
                <w:ilvl w:val="0"/>
                <w:numId w:val="20"/>
              </w:numPr>
              <w:tabs>
                <w:tab w:val="left" w:pos="312"/>
              </w:tabs>
              <w:ind w:firstLine="420" w:firstLineChars="0"/>
              <w:rPr>
                <w:rFonts w:ascii="宋体" w:hAnsi="宋体" w:cs="宋体"/>
                <w:kern w:val="0"/>
                <w:szCs w:val="21"/>
              </w:rPr>
            </w:pPr>
            <w:r>
              <w:rPr>
                <w:rFonts w:hint="eastAsia" w:ascii="宋体" w:hAnsi="宋体" w:cs="宋体"/>
                <w:kern w:val="0"/>
                <w:szCs w:val="21"/>
              </w:rPr>
              <w:t>时点医院感染现患例次率</w:t>
            </w:r>
          </w:p>
          <w:p w14:paraId="71AA873E">
            <w:pPr>
              <w:widowControl/>
              <w:numPr>
                <w:ilvl w:val="0"/>
                <w:numId w:val="20"/>
              </w:numPr>
              <w:tabs>
                <w:tab w:val="left" w:pos="312"/>
              </w:tabs>
              <w:ind w:firstLine="420" w:firstLineChars="0"/>
              <w:rPr>
                <w:rFonts w:ascii="宋体" w:hAnsi="宋体" w:cs="宋体"/>
                <w:kern w:val="0"/>
                <w:szCs w:val="21"/>
              </w:rPr>
            </w:pPr>
            <w:r>
              <w:rPr>
                <w:rFonts w:hint="eastAsia" w:ascii="宋体" w:hAnsi="宋体" w:cs="宋体"/>
                <w:kern w:val="0"/>
                <w:szCs w:val="21"/>
              </w:rPr>
              <w:t>时段医院感染现患率</w:t>
            </w:r>
          </w:p>
          <w:p w14:paraId="4E8E6519">
            <w:pPr>
              <w:widowControl/>
              <w:numPr>
                <w:ilvl w:val="0"/>
                <w:numId w:val="20"/>
              </w:numPr>
              <w:tabs>
                <w:tab w:val="left" w:pos="312"/>
              </w:tabs>
              <w:ind w:firstLine="420" w:firstLineChars="0"/>
              <w:rPr>
                <w:rFonts w:ascii="宋体" w:hAnsi="宋体" w:cs="宋体"/>
                <w:kern w:val="0"/>
                <w:szCs w:val="21"/>
              </w:rPr>
            </w:pPr>
            <w:r>
              <w:rPr>
                <w:rFonts w:hint="eastAsia" w:ascii="宋体" w:hAnsi="宋体" w:cs="宋体"/>
                <w:kern w:val="0"/>
                <w:szCs w:val="21"/>
              </w:rPr>
              <w:t>时段医院感染现患例次率</w:t>
            </w:r>
          </w:p>
          <w:p w14:paraId="3C618753">
            <w:pPr>
              <w:widowControl/>
              <w:numPr>
                <w:ilvl w:val="0"/>
                <w:numId w:val="20"/>
              </w:numPr>
              <w:tabs>
                <w:tab w:val="left" w:pos="312"/>
              </w:tabs>
              <w:ind w:firstLine="420" w:firstLineChars="0"/>
            </w:pPr>
            <w:r>
              <w:rPr>
                <w:rFonts w:hint="eastAsia" w:ascii="宋体" w:hAnsi="宋体" w:cs="宋体"/>
                <w:kern w:val="0"/>
                <w:szCs w:val="21"/>
              </w:rPr>
              <w:t>医院感染漏报例次率</w:t>
            </w:r>
          </w:p>
          <w:p w14:paraId="2C14F31D">
            <w:pPr>
              <w:widowControl/>
              <w:numPr>
                <w:ilvl w:val="0"/>
                <w:numId w:val="20"/>
              </w:numPr>
              <w:tabs>
                <w:tab w:val="left" w:pos="312"/>
              </w:tabs>
              <w:ind w:firstLine="420" w:firstLineChars="0"/>
              <w:rPr>
                <w:rFonts w:ascii="宋体" w:hAnsi="宋体" w:cs="宋体"/>
                <w:kern w:val="0"/>
                <w:szCs w:val="21"/>
              </w:rPr>
            </w:pPr>
            <w:r>
              <w:rPr>
                <w:rFonts w:hint="eastAsia" w:ascii="宋体" w:hAnsi="宋体" w:cs="宋体"/>
                <w:kern w:val="0"/>
                <w:szCs w:val="21"/>
              </w:rPr>
              <w:t>多重耐药菌感染例次率</w:t>
            </w:r>
          </w:p>
          <w:p w14:paraId="664D80BD">
            <w:pPr>
              <w:widowControl/>
              <w:numPr>
                <w:ilvl w:val="0"/>
                <w:numId w:val="20"/>
              </w:numPr>
              <w:tabs>
                <w:tab w:val="left" w:pos="312"/>
              </w:tabs>
              <w:ind w:firstLine="420" w:firstLineChars="0"/>
              <w:rPr>
                <w:rFonts w:ascii="宋体" w:hAnsi="宋体" w:cs="宋体"/>
                <w:kern w:val="0"/>
                <w:szCs w:val="21"/>
              </w:rPr>
            </w:pPr>
            <w:r>
              <w:rPr>
                <w:rFonts w:hint="eastAsia" w:ascii="宋体" w:hAnsi="宋体" w:cs="宋体"/>
                <w:kern w:val="0"/>
                <w:szCs w:val="21"/>
              </w:rPr>
              <w:t>多重耐药菌检出率</w:t>
            </w:r>
          </w:p>
          <w:p w14:paraId="69AD5C8F">
            <w:pPr>
              <w:widowControl/>
              <w:numPr>
                <w:ilvl w:val="0"/>
                <w:numId w:val="20"/>
              </w:numPr>
              <w:tabs>
                <w:tab w:val="left" w:pos="312"/>
              </w:tabs>
              <w:ind w:firstLine="420" w:firstLineChars="0"/>
              <w:rPr>
                <w:rFonts w:ascii="宋体" w:hAnsi="宋体" w:cs="宋体"/>
                <w:kern w:val="0"/>
                <w:szCs w:val="21"/>
              </w:rPr>
            </w:pPr>
            <w:r>
              <w:rPr>
                <w:rFonts w:hint="eastAsia" w:ascii="宋体" w:hAnsi="宋体" w:cs="宋体"/>
                <w:kern w:val="0"/>
                <w:szCs w:val="21"/>
              </w:rPr>
              <w:t>住院患者抗菌药物使用率</w:t>
            </w:r>
          </w:p>
          <w:p w14:paraId="77F73AA5">
            <w:pPr>
              <w:widowControl/>
              <w:numPr>
                <w:ilvl w:val="0"/>
                <w:numId w:val="20"/>
              </w:numPr>
              <w:tabs>
                <w:tab w:val="left" w:pos="312"/>
              </w:tabs>
              <w:ind w:firstLine="420" w:firstLineChars="0"/>
              <w:rPr>
                <w:rFonts w:ascii="宋体" w:hAnsi="宋体" w:cs="宋体"/>
                <w:kern w:val="0"/>
                <w:szCs w:val="21"/>
              </w:rPr>
            </w:pPr>
            <w:r>
              <w:rPr>
                <w:rFonts w:hint="eastAsia" w:ascii="宋体" w:hAnsi="宋体" w:cs="宋体"/>
                <w:kern w:val="0"/>
                <w:szCs w:val="21"/>
              </w:rPr>
              <w:t>手卫生依从率（含分指征、分职系、分科室明细）</w:t>
            </w:r>
          </w:p>
          <w:p w14:paraId="676D33E5">
            <w:pPr>
              <w:widowControl/>
              <w:numPr>
                <w:ilvl w:val="0"/>
                <w:numId w:val="20"/>
              </w:numPr>
              <w:tabs>
                <w:tab w:val="left" w:pos="312"/>
              </w:tabs>
              <w:ind w:firstLine="420" w:firstLineChars="0"/>
              <w:rPr>
                <w:rFonts w:ascii="宋体" w:hAnsi="宋体" w:cs="宋体"/>
                <w:kern w:val="0"/>
                <w:szCs w:val="21"/>
              </w:rPr>
            </w:pPr>
            <w:r>
              <w:rPr>
                <w:rFonts w:hint="eastAsia" w:ascii="宋体" w:hAnsi="宋体" w:cs="宋体"/>
                <w:kern w:val="0"/>
                <w:szCs w:val="21"/>
              </w:rPr>
              <w:t>手卫生正确率（含分指征、分职系、分科室明细）</w:t>
            </w:r>
          </w:p>
          <w:p w14:paraId="01167881">
            <w:pPr>
              <w:widowControl/>
              <w:numPr>
                <w:ilvl w:val="0"/>
                <w:numId w:val="20"/>
              </w:numPr>
              <w:tabs>
                <w:tab w:val="left" w:pos="312"/>
              </w:tabs>
              <w:ind w:firstLine="420" w:firstLineChars="0"/>
              <w:rPr>
                <w:rFonts w:ascii="宋体" w:hAnsi="宋体" w:cs="宋体"/>
                <w:kern w:val="0"/>
                <w:szCs w:val="21"/>
              </w:rPr>
            </w:pPr>
            <w:r>
              <w:rPr>
                <w:rFonts w:hint="eastAsia" w:ascii="宋体" w:hAnsi="宋体" w:cs="宋体"/>
                <w:kern w:val="0"/>
                <w:szCs w:val="21"/>
              </w:rPr>
              <w:t>手卫生用品消耗量及每床日数分摊等</w:t>
            </w:r>
          </w:p>
          <w:p w14:paraId="1670FC9C">
            <w:pPr>
              <w:widowControl/>
              <w:numPr>
                <w:ilvl w:val="0"/>
                <w:numId w:val="20"/>
              </w:numPr>
              <w:tabs>
                <w:tab w:val="left" w:pos="312"/>
              </w:tabs>
              <w:ind w:firstLine="420" w:firstLineChars="0"/>
              <w:rPr>
                <w:rFonts w:ascii="宋体" w:hAnsi="宋体" w:cs="宋体"/>
                <w:kern w:val="0"/>
                <w:szCs w:val="21"/>
              </w:rPr>
            </w:pPr>
            <w:r>
              <w:rPr>
                <w:rFonts w:hint="eastAsia" w:ascii="宋体" w:hAnsi="宋体" w:cs="宋体"/>
                <w:kern w:val="0"/>
                <w:szCs w:val="21"/>
              </w:rPr>
              <w:t>各科室环境卫生学消毒效果合格率及动态监测合格率</w:t>
            </w:r>
          </w:p>
          <w:p w14:paraId="09E49FC9">
            <w:pPr>
              <w:widowControl/>
              <w:numPr>
                <w:ilvl w:val="0"/>
                <w:numId w:val="20"/>
              </w:numPr>
              <w:tabs>
                <w:tab w:val="left" w:pos="312"/>
              </w:tabs>
              <w:ind w:firstLine="420" w:firstLineChars="0"/>
              <w:rPr>
                <w:rFonts w:ascii="宋体" w:hAnsi="宋体" w:cs="宋体"/>
                <w:kern w:val="0"/>
                <w:szCs w:val="21"/>
              </w:rPr>
            </w:pPr>
            <w:r>
              <w:rPr>
                <w:rFonts w:hint="eastAsia" w:ascii="宋体" w:hAnsi="宋体" w:cs="宋体"/>
                <w:kern w:val="0"/>
                <w:szCs w:val="21"/>
              </w:rPr>
              <w:t>环境卫生学各监测项目（物体表面、空气、手卫生效果</w:t>
            </w:r>
          </w:p>
          <w:p w14:paraId="603CCD06">
            <w:pPr>
              <w:widowControl/>
              <w:numPr>
                <w:ilvl w:val="0"/>
                <w:numId w:val="20"/>
              </w:numPr>
              <w:tabs>
                <w:tab w:val="left" w:pos="312"/>
              </w:tabs>
              <w:ind w:firstLine="420" w:firstLineChars="0"/>
              <w:rPr>
                <w:rFonts w:ascii="宋体" w:hAnsi="宋体" w:cs="宋体"/>
                <w:kern w:val="0"/>
                <w:szCs w:val="21"/>
              </w:rPr>
            </w:pPr>
            <w:r>
              <w:rPr>
                <w:rFonts w:hint="eastAsia" w:ascii="宋体" w:hAnsi="宋体" w:cs="宋体"/>
                <w:kern w:val="0"/>
                <w:szCs w:val="21"/>
              </w:rPr>
              <w:t>消毒液监测</w:t>
            </w:r>
          </w:p>
          <w:p w14:paraId="302DD0F1">
            <w:pPr>
              <w:widowControl/>
              <w:numPr>
                <w:ilvl w:val="0"/>
                <w:numId w:val="20"/>
              </w:numPr>
              <w:tabs>
                <w:tab w:val="left" w:pos="312"/>
              </w:tabs>
              <w:ind w:firstLine="420" w:firstLineChars="0"/>
              <w:rPr>
                <w:rFonts w:ascii="宋体" w:hAnsi="宋体" w:cs="宋体"/>
                <w:kern w:val="0"/>
                <w:szCs w:val="21"/>
              </w:rPr>
            </w:pPr>
            <w:r>
              <w:rPr>
                <w:rFonts w:hint="eastAsia" w:ascii="宋体" w:hAnsi="宋体" w:cs="宋体"/>
                <w:kern w:val="0"/>
                <w:szCs w:val="21"/>
              </w:rPr>
              <w:t>外科手、纯化水、医疗用水、医疗器械、医用织物、无菌物品、污水监测、百级手套表面）消毒效果合格率及动态监测合格率。</w:t>
            </w:r>
          </w:p>
          <w:p w14:paraId="5EC2C155">
            <w:pPr>
              <w:widowControl/>
              <w:numPr>
                <w:ilvl w:val="0"/>
                <w:numId w:val="20"/>
              </w:numPr>
              <w:rPr>
                <w:rFonts w:hint="eastAsia" w:ascii="宋体" w:hAnsi="宋体" w:cs="宋体"/>
                <w:kern w:val="0"/>
                <w:szCs w:val="21"/>
              </w:rPr>
            </w:pPr>
            <w:r>
              <w:rPr>
                <w:rFonts w:hint="eastAsia" w:ascii="宋体" w:hAnsi="宋体" w:cs="宋体"/>
                <w:kern w:val="0"/>
                <w:szCs w:val="21"/>
              </w:rPr>
              <w:t>临床预警处理率（预警时间）</w:t>
            </w:r>
          </w:p>
          <w:p w14:paraId="4C82852E">
            <w:pPr>
              <w:widowControl/>
              <w:numPr>
                <w:ilvl w:val="0"/>
                <w:numId w:val="20"/>
              </w:numPr>
              <w:rPr>
                <w:rFonts w:ascii="宋体" w:hAnsi="宋体" w:cs="宋体"/>
                <w:kern w:val="0"/>
                <w:szCs w:val="21"/>
              </w:rPr>
            </w:pPr>
            <w:r>
              <w:rPr>
                <w:rFonts w:hint="eastAsia" w:ascii="宋体" w:hAnsi="宋体" w:cs="宋体"/>
                <w:kern w:val="0"/>
                <w:szCs w:val="21"/>
              </w:rPr>
              <w:t>术前皮肤准备合格率</w:t>
            </w:r>
          </w:p>
          <w:p w14:paraId="043FDD2D">
            <w:pPr>
              <w:widowControl/>
              <w:numPr>
                <w:ilvl w:val="0"/>
                <w:numId w:val="20"/>
              </w:numPr>
              <w:rPr>
                <w:rFonts w:hint="eastAsia" w:ascii="宋体" w:hAnsi="宋体" w:cs="宋体"/>
                <w:kern w:val="0"/>
                <w:szCs w:val="21"/>
              </w:rPr>
            </w:pPr>
            <w:r>
              <w:rPr>
                <w:rFonts w:hint="eastAsia" w:ascii="宋体" w:hAnsi="宋体" w:cs="宋体"/>
                <w:kern w:val="0"/>
                <w:szCs w:val="21"/>
              </w:rPr>
              <w:t>血液透析相关血流感染发病率（住院病区+门诊）</w:t>
            </w:r>
          </w:p>
          <w:p w14:paraId="597F1FFB">
            <w:pPr>
              <w:widowControl/>
              <w:numPr>
                <w:ilvl w:val="0"/>
                <w:numId w:val="20"/>
              </w:numPr>
              <w:jc w:val="left"/>
              <w:rPr>
                <w:rFonts w:hint="eastAsia" w:ascii="宋体" w:hAnsi="宋体" w:cs="宋体"/>
                <w:color w:val="auto"/>
                <w:kern w:val="0"/>
                <w:sz w:val="21"/>
                <w:szCs w:val="21"/>
              </w:rPr>
            </w:pPr>
            <w:r>
              <w:rPr>
                <w:rFonts w:hint="eastAsia" w:ascii="宋体" w:hAnsi="宋体" w:cs="宋体"/>
                <w:color w:val="auto"/>
                <w:kern w:val="0"/>
                <w:sz w:val="21"/>
                <w:szCs w:val="21"/>
              </w:rPr>
              <w:t>透析机与水处理系统的微生物培养合格率</w:t>
            </w:r>
          </w:p>
          <w:p w14:paraId="7EF0BB4C">
            <w:pPr>
              <w:widowControl/>
              <w:numPr>
                <w:ilvl w:val="0"/>
                <w:numId w:val="20"/>
              </w:numPr>
              <w:rPr>
                <w:rFonts w:hint="eastAsia" w:ascii="宋体" w:hAnsi="宋体" w:cs="宋体"/>
                <w:kern w:val="0"/>
                <w:szCs w:val="21"/>
              </w:rPr>
            </w:pPr>
            <w:r>
              <w:rPr>
                <w:rFonts w:hint="eastAsia" w:ascii="宋体" w:hAnsi="宋体" w:cs="宋体"/>
                <w:kern w:val="0"/>
                <w:szCs w:val="21"/>
              </w:rPr>
              <w:t>血管穿刺部位感染发生率</w:t>
            </w:r>
          </w:p>
          <w:p w14:paraId="7F8A66F3">
            <w:pPr>
              <w:widowControl/>
              <w:numPr>
                <w:ilvl w:val="0"/>
                <w:numId w:val="20"/>
              </w:numPr>
              <w:tabs>
                <w:tab w:val="left" w:pos="312"/>
              </w:tabs>
              <w:rPr>
                <w:rFonts w:hint="eastAsia" w:ascii="宋体" w:hAnsi="宋体" w:cs="宋体"/>
                <w:kern w:val="0"/>
                <w:szCs w:val="21"/>
              </w:rPr>
            </w:pPr>
            <w:r>
              <w:rPr>
                <w:rFonts w:hint="eastAsia" w:ascii="宋体" w:hAnsi="宋体" w:cs="宋体"/>
                <w:kern w:val="0"/>
                <w:szCs w:val="21"/>
              </w:rPr>
              <w:t>HBV/HCV/HIV/梅毒阳转率</w:t>
            </w:r>
          </w:p>
          <w:p w14:paraId="1E2E7665">
            <w:pPr>
              <w:widowControl/>
              <w:numPr>
                <w:ilvl w:val="0"/>
                <w:numId w:val="20"/>
              </w:numPr>
              <w:tabs>
                <w:tab w:val="left" w:pos="312"/>
              </w:tabs>
              <w:rPr>
                <w:rFonts w:hint="eastAsia" w:ascii="宋体" w:hAnsi="宋体" w:cs="宋体"/>
                <w:kern w:val="0"/>
                <w:szCs w:val="21"/>
              </w:rPr>
            </w:pPr>
            <w:r>
              <w:rPr>
                <w:rFonts w:hint="eastAsia" w:ascii="宋体" w:hAnsi="宋体" w:cs="宋体"/>
                <w:kern w:val="0"/>
                <w:szCs w:val="21"/>
              </w:rPr>
              <w:t>新入患者传染病标志物检验完成率</w:t>
            </w:r>
          </w:p>
          <w:p w14:paraId="46387401">
            <w:pPr>
              <w:widowControl/>
              <w:numPr>
                <w:ilvl w:val="0"/>
                <w:numId w:val="20"/>
              </w:numPr>
              <w:tabs>
                <w:tab w:val="left" w:pos="312"/>
              </w:tabs>
              <w:rPr>
                <w:rFonts w:hint="eastAsia" w:ascii="宋体" w:hAnsi="宋体" w:cs="宋体"/>
                <w:kern w:val="0"/>
                <w:szCs w:val="21"/>
              </w:rPr>
            </w:pPr>
            <w:r>
              <w:rPr>
                <w:rFonts w:hint="eastAsia" w:ascii="宋体" w:hAnsi="宋体" w:cs="宋体"/>
                <w:kern w:val="0"/>
                <w:szCs w:val="21"/>
              </w:rPr>
              <w:t>血液透析相关感染发生率</w:t>
            </w:r>
          </w:p>
          <w:p w14:paraId="50ED8C7A">
            <w:pPr>
              <w:widowControl/>
              <w:numPr>
                <w:ilvl w:val="0"/>
                <w:numId w:val="20"/>
              </w:numPr>
            </w:pPr>
            <w:r>
              <w:rPr>
                <w:rFonts w:hint="eastAsia" w:ascii="宋体" w:hAnsi="宋体" w:cs="宋体"/>
                <w:kern w:val="0"/>
                <w:szCs w:val="21"/>
              </w:rPr>
              <w:t>长期透析患者定时检验完成率</w:t>
            </w:r>
          </w:p>
          <w:p w14:paraId="25B5D9C8">
            <w:pPr>
              <w:widowControl/>
              <w:rPr>
                <w:rFonts w:ascii="宋体" w:hAnsi="宋体" w:cs="宋体"/>
                <w:color w:val="0000FF"/>
                <w:kern w:val="0"/>
                <w:szCs w:val="21"/>
              </w:rPr>
            </w:pPr>
            <w:r>
              <w:rPr>
                <w:rFonts w:hint="eastAsia" w:ascii="宋体" w:hAnsi="宋体" w:cs="宋体"/>
                <w:kern w:val="0"/>
                <w:szCs w:val="21"/>
              </w:rPr>
              <w:t>二、</w:t>
            </w:r>
            <w:r>
              <w:rPr>
                <w:rFonts w:hint="eastAsia" w:ascii="宋体" w:hAnsi="宋体" w:cs="宋体"/>
                <w:b/>
                <w:bCs/>
                <w:kern w:val="0"/>
                <w:szCs w:val="21"/>
              </w:rPr>
              <w:t>支持统计上报表单：</w:t>
            </w:r>
            <w:r>
              <w:rPr>
                <w:rFonts w:hint="eastAsia" w:ascii="宋体" w:hAnsi="宋体" w:cs="宋体"/>
                <w:color w:val="0000FF"/>
                <w:kern w:val="0"/>
                <w:szCs w:val="21"/>
              </w:rPr>
              <w:t>支持统计导出《全国医院感染监测网》上报表单</w:t>
            </w:r>
          </w:p>
          <w:p w14:paraId="3794453E">
            <w:pPr>
              <w:widowControl/>
              <w:rPr>
                <w:rFonts w:hint="eastAsia" w:ascii="宋体" w:hAnsi="宋体" w:cs="宋体"/>
                <w:color w:val="0000FF"/>
                <w:kern w:val="0"/>
                <w:szCs w:val="21"/>
              </w:rPr>
            </w:pPr>
            <w:r>
              <w:rPr>
                <w:rFonts w:hint="eastAsia" w:ascii="宋体" w:hAnsi="宋体" w:cs="宋体"/>
                <w:color w:val="0000FF"/>
                <w:kern w:val="0"/>
                <w:szCs w:val="21"/>
              </w:rPr>
              <w:t>支持统计导出《广东省医政医管网》月度上报表单</w:t>
            </w:r>
          </w:p>
          <w:p w14:paraId="02013AC9">
            <w:pPr>
              <w:widowControl/>
              <w:rPr>
                <w:rFonts w:hint="eastAsia"/>
              </w:rPr>
            </w:pPr>
            <w:r>
              <w:rPr>
                <w:rFonts w:hint="eastAsia" w:ascii="宋体" w:hAnsi="宋体" w:cs="宋体"/>
                <w:color w:val="0000FF"/>
                <w:kern w:val="0"/>
                <w:szCs w:val="21"/>
              </w:rPr>
              <w:t>《wst312-2023医院感染监测标准》中附录H中的表H。1</w:t>
            </w:r>
          </w:p>
        </w:tc>
      </w:tr>
      <w:tr w14:paraId="3FAF1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741" w:type="dxa"/>
            <w:vMerge w:val="continue"/>
            <w:noWrap w:val="0"/>
            <w:vAlign w:val="center"/>
          </w:tcPr>
          <w:p w14:paraId="290C2424">
            <w:pPr>
              <w:widowControl/>
              <w:jc w:val="left"/>
              <w:rPr>
                <w:rFonts w:hint="eastAsia" w:ascii="宋体" w:hAnsi="宋体" w:cs="宋体"/>
                <w:kern w:val="0"/>
                <w:szCs w:val="21"/>
              </w:rPr>
            </w:pPr>
          </w:p>
        </w:tc>
        <w:tc>
          <w:tcPr>
            <w:tcW w:w="876" w:type="dxa"/>
            <w:noWrap w:val="0"/>
            <w:vAlign w:val="center"/>
          </w:tcPr>
          <w:p w14:paraId="59659D3B">
            <w:pPr>
              <w:pStyle w:val="37"/>
              <w:widowControl/>
              <w:jc w:val="center"/>
              <w:rPr>
                <w:rFonts w:hint="eastAsia" w:ascii="宋体" w:hAnsi="宋体" w:cs="宋体"/>
                <w:szCs w:val="21"/>
              </w:rPr>
            </w:pPr>
            <w:r>
              <w:rPr>
                <w:color w:val="333333"/>
                <w:sz w:val="22"/>
                <w:szCs w:val="22"/>
              </w:rPr>
              <w:t>公共卫生管理主题</w:t>
            </w:r>
          </w:p>
        </w:tc>
        <w:tc>
          <w:tcPr>
            <w:tcW w:w="7170" w:type="dxa"/>
            <w:noWrap w:val="0"/>
            <w:vAlign w:val="center"/>
          </w:tcPr>
          <w:p w14:paraId="1D65CA3F">
            <w:pPr>
              <w:pStyle w:val="82"/>
              <w:spacing w:line="240" w:lineRule="auto"/>
              <w:ind w:firstLine="0" w:firstLineChars="0"/>
              <w:rPr>
                <w:rFonts w:hint="eastAsia"/>
              </w:rPr>
            </w:pPr>
            <w:r>
              <w:rPr>
                <w:rFonts w:hint="eastAsia"/>
              </w:rPr>
              <w:t>支持通过多个系统抓取（包含结构化及非机构化字段）、匹配、统计等形成各项目数据列表及信息明细导出，要求可根据时间段、门急诊或住院、科室、患者等信息进行查询、统计及导出，部分表格可按模板格式导出：</w:t>
            </w:r>
          </w:p>
          <w:p w14:paraId="0DA77290">
            <w:pPr>
              <w:pStyle w:val="82"/>
              <w:spacing w:line="240" w:lineRule="auto"/>
              <w:ind w:firstLine="0" w:firstLineChars="0"/>
              <w:rPr>
                <w:rFonts w:hint="eastAsia"/>
              </w:rPr>
            </w:pPr>
            <w:r>
              <w:rPr>
                <w:rFonts w:hint="eastAsia"/>
              </w:rPr>
              <w:t>1.门诊肿瘤报表</w:t>
            </w:r>
          </w:p>
          <w:p w14:paraId="47F5376A">
            <w:pPr>
              <w:pStyle w:val="82"/>
              <w:spacing w:line="240" w:lineRule="auto"/>
              <w:ind w:firstLine="0" w:firstLineChars="0"/>
              <w:rPr>
                <w:rFonts w:hint="eastAsia"/>
              </w:rPr>
            </w:pPr>
            <w:r>
              <w:rPr>
                <w:rFonts w:hint="eastAsia"/>
              </w:rPr>
              <w:t>2.门诊心脑血管事件报表</w:t>
            </w:r>
          </w:p>
          <w:p w14:paraId="2CEE2CC6">
            <w:pPr>
              <w:pStyle w:val="82"/>
              <w:spacing w:line="240" w:lineRule="auto"/>
              <w:ind w:firstLine="0" w:firstLineChars="0"/>
              <w:rPr>
                <w:rFonts w:hint="eastAsia"/>
              </w:rPr>
            </w:pPr>
            <w:r>
              <w:rPr>
                <w:rFonts w:hint="eastAsia"/>
              </w:rPr>
              <w:t>3.乳腺B超及钼靶筛查明细</w:t>
            </w:r>
          </w:p>
          <w:p w14:paraId="4A8CA031">
            <w:pPr>
              <w:pStyle w:val="82"/>
              <w:spacing w:line="240" w:lineRule="auto"/>
              <w:ind w:firstLine="0" w:firstLineChars="0"/>
              <w:rPr>
                <w:rFonts w:hint="eastAsia"/>
              </w:rPr>
            </w:pPr>
            <w:r>
              <w:rPr>
                <w:rFonts w:hint="eastAsia"/>
              </w:rPr>
              <w:t>4.肿瘤报告卡数据统计报表</w:t>
            </w:r>
          </w:p>
          <w:p w14:paraId="243050F8">
            <w:pPr>
              <w:pStyle w:val="82"/>
              <w:spacing w:line="240" w:lineRule="auto"/>
              <w:ind w:firstLine="0" w:firstLineChars="0"/>
              <w:rPr>
                <w:rFonts w:hint="eastAsia"/>
              </w:rPr>
            </w:pPr>
            <w:r>
              <w:rPr>
                <w:rFonts w:hint="eastAsia"/>
              </w:rPr>
              <w:t>5.心脑血管疾病报告卡数据统计报表</w:t>
            </w:r>
          </w:p>
          <w:p w14:paraId="647A2C54">
            <w:pPr>
              <w:pStyle w:val="82"/>
              <w:spacing w:line="240" w:lineRule="auto"/>
              <w:ind w:firstLine="0" w:firstLineChars="0"/>
              <w:rPr>
                <w:rFonts w:hint="eastAsia"/>
              </w:rPr>
            </w:pPr>
            <w:r>
              <w:rPr>
                <w:rFonts w:hint="eastAsia"/>
              </w:rPr>
              <w:t>6.艾滋病病毒抗体筛查情况统计报表</w:t>
            </w:r>
          </w:p>
          <w:p w14:paraId="1893ECC6">
            <w:pPr>
              <w:pStyle w:val="82"/>
              <w:spacing w:line="240" w:lineRule="auto"/>
              <w:ind w:firstLine="0" w:firstLineChars="0"/>
              <w:rPr>
                <w:rFonts w:hint="eastAsia"/>
              </w:rPr>
            </w:pPr>
            <w:r>
              <w:rPr>
                <w:rFonts w:hint="eastAsia"/>
              </w:rPr>
              <w:t>7.艾滋病实验室样品检测量报表</w:t>
            </w:r>
          </w:p>
          <w:p w14:paraId="3E8F3CC5">
            <w:pPr>
              <w:pStyle w:val="82"/>
              <w:spacing w:line="240" w:lineRule="auto"/>
              <w:ind w:firstLine="0" w:firstLineChars="0"/>
              <w:rPr>
                <w:rFonts w:hint="eastAsia"/>
              </w:rPr>
            </w:pPr>
            <w:r>
              <w:rPr>
                <w:rFonts w:hint="eastAsia"/>
              </w:rPr>
              <w:t>8.死亡病例质控报表</w:t>
            </w:r>
          </w:p>
          <w:p w14:paraId="31B76A7C">
            <w:pPr>
              <w:pStyle w:val="82"/>
              <w:spacing w:line="240" w:lineRule="auto"/>
              <w:ind w:firstLine="0" w:firstLineChars="0"/>
              <w:rPr>
                <w:rFonts w:hint="eastAsia"/>
              </w:rPr>
            </w:pPr>
            <w:r>
              <w:rPr>
                <w:rFonts w:hint="eastAsia"/>
              </w:rPr>
              <w:t>9.深圳市淋病和生殖道沙眼衣原体感染综合防治项目月报表</w:t>
            </w:r>
          </w:p>
          <w:p w14:paraId="2CB09A2E">
            <w:pPr>
              <w:pStyle w:val="82"/>
              <w:spacing w:line="240" w:lineRule="auto"/>
              <w:ind w:firstLine="0" w:firstLineChars="0"/>
              <w:rPr>
                <w:rFonts w:hint="eastAsia"/>
              </w:rPr>
            </w:pPr>
            <w:r>
              <w:rPr>
                <w:rFonts w:hint="eastAsia"/>
              </w:rPr>
              <w:t>10.淋病检验报表</w:t>
            </w:r>
          </w:p>
          <w:p w14:paraId="49D2EF17">
            <w:pPr>
              <w:pStyle w:val="82"/>
              <w:spacing w:line="240" w:lineRule="auto"/>
              <w:ind w:firstLine="0" w:firstLineChars="0"/>
              <w:rPr>
                <w:rFonts w:hint="eastAsia"/>
              </w:rPr>
            </w:pPr>
            <w:r>
              <w:rPr>
                <w:rFonts w:hint="eastAsia"/>
              </w:rPr>
              <w:t>11.沙眼检验报表</w:t>
            </w:r>
          </w:p>
          <w:p w14:paraId="0E18B5A3">
            <w:pPr>
              <w:pStyle w:val="82"/>
              <w:spacing w:line="240" w:lineRule="auto"/>
              <w:ind w:firstLine="0" w:firstLineChars="0"/>
              <w:rPr>
                <w:rFonts w:hint="eastAsia"/>
              </w:rPr>
            </w:pPr>
            <w:r>
              <w:rPr>
                <w:rFonts w:hint="eastAsia"/>
              </w:rPr>
              <w:t>12.梅毒、淋病、生殖道沙眼衣原体感染患者规范治疗报表</w:t>
            </w:r>
          </w:p>
          <w:p w14:paraId="0EACF89E">
            <w:pPr>
              <w:pStyle w:val="82"/>
              <w:spacing w:line="240" w:lineRule="auto"/>
              <w:ind w:firstLine="0" w:firstLineChars="0"/>
              <w:rPr>
                <w:rFonts w:hint="eastAsia"/>
              </w:rPr>
            </w:pPr>
            <w:r>
              <w:rPr>
                <w:rFonts w:hint="eastAsia"/>
              </w:rPr>
              <w:t>13.梅毒检测及治疗报表</w:t>
            </w:r>
          </w:p>
          <w:p w14:paraId="50ED48FA">
            <w:pPr>
              <w:pStyle w:val="82"/>
              <w:spacing w:line="240" w:lineRule="auto"/>
              <w:ind w:firstLine="0" w:firstLineChars="0"/>
              <w:rPr>
                <w:rFonts w:hint="eastAsia"/>
              </w:rPr>
            </w:pPr>
            <w:r>
              <w:rPr>
                <w:rFonts w:hint="eastAsia"/>
              </w:rPr>
              <w:t>14.门诊梅毒患者苄星青霉素使用率</w:t>
            </w:r>
          </w:p>
          <w:p w14:paraId="720D7D9F">
            <w:pPr>
              <w:pStyle w:val="82"/>
              <w:spacing w:line="240" w:lineRule="auto"/>
              <w:ind w:firstLine="0" w:firstLineChars="0"/>
              <w:rPr>
                <w:rFonts w:hint="eastAsia"/>
              </w:rPr>
            </w:pPr>
            <w:r>
              <w:rPr>
                <w:rFonts w:hint="eastAsia"/>
              </w:rPr>
              <w:t>15.男性尿道炎统计表</w:t>
            </w:r>
          </w:p>
          <w:p w14:paraId="2DBC2E4D">
            <w:pPr>
              <w:pStyle w:val="82"/>
              <w:spacing w:line="240" w:lineRule="auto"/>
              <w:ind w:firstLine="0" w:firstLineChars="0"/>
              <w:rPr>
                <w:rFonts w:hint="eastAsia"/>
              </w:rPr>
            </w:pPr>
            <w:r>
              <w:rPr>
                <w:rFonts w:hint="eastAsia"/>
              </w:rPr>
              <w:t>16.麻风防治项目统计报表</w:t>
            </w:r>
          </w:p>
          <w:p w14:paraId="37AA4D9A">
            <w:pPr>
              <w:pStyle w:val="82"/>
              <w:spacing w:line="240" w:lineRule="auto"/>
              <w:ind w:firstLine="0" w:firstLineChars="0"/>
              <w:rPr>
                <w:rFonts w:hint="eastAsia"/>
              </w:rPr>
            </w:pPr>
            <w:r>
              <w:rPr>
                <w:rFonts w:hint="eastAsia"/>
              </w:rPr>
              <w:t>17.职业暴露管理</w:t>
            </w:r>
          </w:p>
          <w:p w14:paraId="053DEE8C">
            <w:pPr>
              <w:pStyle w:val="82"/>
              <w:spacing w:line="240" w:lineRule="auto"/>
              <w:ind w:firstLine="0" w:firstLineChars="0"/>
              <w:rPr>
                <w:rFonts w:hint="eastAsia"/>
              </w:rPr>
            </w:pPr>
            <w:r>
              <w:rPr>
                <w:rFonts w:hint="eastAsia"/>
              </w:rPr>
              <w:t>18.职业暴露数据统计表</w:t>
            </w:r>
          </w:p>
          <w:p w14:paraId="3221B621">
            <w:pPr>
              <w:pStyle w:val="82"/>
              <w:spacing w:line="240" w:lineRule="auto"/>
              <w:ind w:firstLine="0" w:firstLineChars="0"/>
              <w:rPr>
                <w:rFonts w:hint="eastAsia"/>
              </w:rPr>
            </w:pPr>
            <w:r>
              <w:rPr>
                <w:rFonts w:hint="eastAsia"/>
              </w:rPr>
              <w:t>19.门诊健康教育处方统计量表</w:t>
            </w:r>
          </w:p>
          <w:p w14:paraId="0EC57D9A">
            <w:pPr>
              <w:pStyle w:val="82"/>
              <w:spacing w:line="240" w:lineRule="auto"/>
              <w:ind w:firstLine="0" w:firstLineChars="0"/>
              <w:rPr>
                <w:rFonts w:hint="eastAsia"/>
              </w:rPr>
            </w:pPr>
            <w:r>
              <w:rPr>
                <w:rFonts w:hint="eastAsia"/>
              </w:rPr>
              <w:t>20.呼吸门诊40岁及以上就诊者量表</w:t>
            </w:r>
          </w:p>
          <w:p w14:paraId="64C0C5C8">
            <w:pPr>
              <w:pStyle w:val="82"/>
              <w:spacing w:line="240" w:lineRule="auto"/>
              <w:ind w:firstLine="0" w:firstLineChars="0"/>
              <w:rPr>
                <w:rFonts w:hint="eastAsia"/>
              </w:rPr>
            </w:pPr>
            <w:r>
              <w:rPr>
                <w:rFonts w:hint="eastAsia"/>
              </w:rPr>
              <w:t>21.35岁及以上健康体检人群血脂检测量表</w:t>
            </w:r>
          </w:p>
          <w:p w14:paraId="1D671769">
            <w:pPr>
              <w:pStyle w:val="82"/>
              <w:spacing w:line="240" w:lineRule="auto"/>
              <w:ind w:firstLine="0" w:firstLineChars="0"/>
              <w:rPr>
                <w:rFonts w:hint="eastAsia"/>
              </w:rPr>
            </w:pPr>
            <w:r>
              <w:rPr>
                <w:rFonts w:hint="eastAsia"/>
              </w:rPr>
              <w:t>22.门诊高血压/糖尿病病人信息报表</w:t>
            </w:r>
          </w:p>
          <w:p w14:paraId="5137AD06">
            <w:pPr>
              <w:pStyle w:val="82"/>
              <w:spacing w:line="240" w:lineRule="auto"/>
              <w:ind w:firstLine="0" w:firstLineChars="0"/>
              <w:rPr>
                <w:rFonts w:hint="eastAsia"/>
              </w:rPr>
            </w:pPr>
            <w:r>
              <w:rPr>
                <w:rFonts w:hint="eastAsia"/>
              </w:rPr>
              <w:t>23.新生儿脊髓型肌萎缩症筛查（SMA）医嘱明细</w:t>
            </w:r>
          </w:p>
          <w:p w14:paraId="0FE710ED">
            <w:pPr>
              <w:pStyle w:val="82"/>
              <w:spacing w:line="240" w:lineRule="auto"/>
              <w:ind w:firstLine="0" w:firstLineChars="0"/>
              <w:rPr>
                <w:rFonts w:hint="eastAsia"/>
              </w:rPr>
            </w:pPr>
            <w:r>
              <w:rPr>
                <w:rFonts w:hint="eastAsia"/>
              </w:rPr>
              <w:t>24.B链球菌月报表</w:t>
            </w:r>
          </w:p>
          <w:p w14:paraId="74D1799A">
            <w:pPr>
              <w:pStyle w:val="82"/>
              <w:spacing w:line="240" w:lineRule="auto"/>
              <w:ind w:firstLine="0" w:firstLineChars="0"/>
              <w:rPr>
                <w:rFonts w:hint="eastAsia"/>
              </w:rPr>
            </w:pPr>
            <w:r>
              <w:rPr>
                <w:rFonts w:hint="eastAsia"/>
              </w:rPr>
              <w:t>25.NT阳性数据表</w:t>
            </w:r>
          </w:p>
          <w:p w14:paraId="2A6879F7">
            <w:pPr>
              <w:pStyle w:val="82"/>
              <w:spacing w:line="240" w:lineRule="auto"/>
              <w:ind w:firstLine="0" w:firstLineChars="0"/>
              <w:rPr>
                <w:rFonts w:hint="eastAsia"/>
              </w:rPr>
            </w:pPr>
            <w:r>
              <w:rPr>
                <w:rFonts w:hint="eastAsia"/>
              </w:rPr>
              <w:t>26.分娩信息表</w:t>
            </w:r>
          </w:p>
          <w:p w14:paraId="5C48DFD1">
            <w:pPr>
              <w:pStyle w:val="82"/>
              <w:spacing w:line="240" w:lineRule="auto"/>
              <w:ind w:firstLine="0" w:firstLineChars="0"/>
              <w:rPr>
                <w:rFonts w:hint="eastAsia"/>
              </w:rPr>
            </w:pPr>
            <w:r>
              <w:rPr>
                <w:rFonts w:hint="eastAsia"/>
              </w:rPr>
              <w:t>27.辅助生殖个案信息表</w:t>
            </w:r>
          </w:p>
          <w:p w14:paraId="0EA6A716">
            <w:pPr>
              <w:pStyle w:val="82"/>
              <w:spacing w:line="240" w:lineRule="auto"/>
              <w:ind w:firstLine="0" w:firstLineChars="0"/>
              <w:rPr>
                <w:rFonts w:hint="eastAsia"/>
              </w:rPr>
            </w:pPr>
            <w:r>
              <w:rPr>
                <w:rFonts w:hint="eastAsia"/>
              </w:rPr>
              <w:t>28.消除艾滋病、梅毒和乙肝母婴传播工作报表</w:t>
            </w:r>
          </w:p>
          <w:p w14:paraId="6C473D99">
            <w:pPr>
              <w:pStyle w:val="82"/>
              <w:spacing w:line="240" w:lineRule="auto"/>
              <w:ind w:firstLine="0" w:firstLineChars="0"/>
              <w:rPr>
                <w:rFonts w:hint="eastAsia"/>
              </w:rPr>
            </w:pPr>
            <w:r>
              <w:rPr>
                <w:rFonts w:hint="eastAsia"/>
              </w:rPr>
              <w:t>29.出生缺陷统计表</w:t>
            </w:r>
          </w:p>
          <w:p w14:paraId="65E11D92">
            <w:pPr>
              <w:pStyle w:val="82"/>
              <w:spacing w:line="240" w:lineRule="auto"/>
              <w:ind w:firstLine="0" w:firstLineChars="0"/>
              <w:rPr>
                <w:rFonts w:hint="eastAsia"/>
              </w:rPr>
            </w:pPr>
            <w:r>
              <w:rPr>
                <w:rFonts w:hint="eastAsia"/>
              </w:rPr>
              <w:t>30.社会因素剖宫产个案信息表</w:t>
            </w:r>
          </w:p>
          <w:p w14:paraId="3777CD65">
            <w:pPr>
              <w:pStyle w:val="82"/>
              <w:spacing w:line="240" w:lineRule="auto"/>
              <w:ind w:firstLine="0" w:firstLineChars="0"/>
              <w:rPr>
                <w:rFonts w:hint="eastAsia"/>
              </w:rPr>
            </w:pPr>
            <w:r>
              <w:rPr>
                <w:rFonts w:hint="eastAsia"/>
              </w:rPr>
              <w:t>31.产科床位数、床位使用率统计表</w:t>
            </w:r>
          </w:p>
          <w:p w14:paraId="03114FC0">
            <w:pPr>
              <w:pStyle w:val="82"/>
              <w:spacing w:line="240" w:lineRule="auto"/>
              <w:ind w:firstLine="0" w:firstLineChars="0"/>
              <w:rPr>
                <w:rFonts w:hint="eastAsia"/>
              </w:rPr>
            </w:pPr>
            <w:r>
              <w:rPr>
                <w:rFonts w:hint="eastAsia"/>
              </w:rPr>
              <w:t>32.产科工作报表</w:t>
            </w:r>
          </w:p>
          <w:p w14:paraId="57AAACC7">
            <w:pPr>
              <w:pStyle w:val="82"/>
              <w:spacing w:line="240" w:lineRule="auto"/>
              <w:ind w:firstLine="0" w:firstLineChars="0"/>
              <w:rPr>
                <w:rFonts w:hint="eastAsia"/>
              </w:rPr>
            </w:pPr>
            <w:r>
              <w:rPr>
                <w:rFonts w:hint="eastAsia"/>
              </w:rPr>
              <w:t>33.深圳市妇幼保健资源基本情况调查表</w:t>
            </w:r>
          </w:p>
          <w:p w14:paraId="7DB498D9">
            <w:pPr>
              <w:pStyle w:val="82"/>
              <w:spacing w:line="240" w:lineRule="auto"/>
              <w:ind w:firstLine="0" w:firstLineChars="0"/>
              <w:rPr>
                <w:rFonts w:hint="eastAsia"/>
              </w:rPr>
            </w:pPr>
            <w:r>
              <w:rPr>
                <w:rFonts w:hint="eastAsia"/>
              </w:rPr>
              <w:t>34.高危孕产妇风险颜色统计表</w:t>
            </w:r>
          </w:p>
          <w:p w14:paraId="61ECC10C">
            <w:pPr>
              <w:pStyle w:val="82"/>
              <w:spacing w:line="240" w:lineRule="auto"/>
              <w:ind w:firstLine="0" w:firstLineChars="0"/>
              <w:rPr>
                <w:rFonts w:hint="eastAsia"/>
              </w:rPr>
            </w:pPr>
            <w:r>
              <w:rPr>
                <w:rFonts w:hint="eastAsia"/>
              </w:rPr>
              <w:t>35.结核查漏数据表</w:t>
            </w:r>
          </w:p>
          <w:p w14:paraId="50B182B5">
            <w:pPr>
              <w:pStyle w:val="82"/>
              <w:spacing w:line="240" w:lineRule="auto"/>
              <w:ind w:firstLine="0" w:firstLineChars="0"/>
              <w:rPr>
                <w:rFonts w:hint="eastAsia"/>
              </w:rPr>
            </w:pPr>
            <w:r>
              <w:rPr>
                <w:rFonts w:hint="eastAsia"/>
              </w:rPr>
              <w:t>36.疑似职业病查漏表</w:t>
            </w:r>
          </w:p>
          <w:p w14:paraId="782C9E74">
            <w:pPr>
              <w:pStyle w:val="82"/>
              <w:spacing w:line="240" w:lineRule="auto"/>
              <w:ind w:firstLine="0" w:firstLineChars="0"/>
              <w:rPr>
                <w:rFonts w:hint="eastAsia"/>
              </w:rPr>
            </w:pPr>
            <w:r>
              <w:rPr>
                <w:rFonts w:hint="eastAsia"/>
              </w:rPr>
              <w:t>37.严重精神障碍统计表</w:t>
            </w:r>
          </w:p>
          <w:p w14:paraId="6E62F914">
            <w:pPr>
              <w:pStyle w:val="82"/>
              <w:spacing w:line="240" w:lineRule="auto"/>
              <w:ind w:firstLine="0" w:firstLineChars="0"/>
              <w:rPr>
                <w:rFonts w:hint="eastAsia"/>
              </w:rPr>
            </w:pPr>
            <w:r>
              <w:rPr>
                <w:rFonts w:hint="eastAsia"/>
              </w:rPr>
              <w:t>38.精神类药品信息统计表</w:t>
            </w:r>
          </w:p>
          <w:p w14:paraId="6A47DB28">
            <w:pPr>
              <w:pStyle w:val="82"/>
              <w:spacing w:line="240" w:lineRule="auto"/>
              <w:ind w:firstLine="0" w:firstLineChars="0"/>
              <w:rPr>
                <w:rFonts w:hint="eastAsia"/>
              </w:rPr>
            </w:pPr>
            <w:r>
              <w:rPr>
                <w:rFonts w:hint="eastAsia"/>
              </w:rPr>
              <w:t>39.肺结核转诊单报表</w:t>
            </w:r>
          </w:p>
          <w:p w14:paraId="6265D80B">
            <w:pPr>
              <w:pStyle w:val="82"/>
              <w:spacing w:line="240" w:lineRule="auto"/>
              <w:ind w:firstLine="0" w:firstLineChars="0"/>
              <w:rPr>
                <w:rFonts w:hint="eastAsia"/>
              </w:rPr>
            </w:pPr>
            <w:r>
              <w:rPr>
                <w:rFonts w:hint="eastAsia"/>
              </w:rPr>
              <w:t>40.门诊血压测量报表</w:t>
            </w:r>
          </w:p>
          <w:p w14:paraId="4B215C25">
            <w:pPr>
              <w:pStyle w:val="82"/>
              <w:spacing w:line="240" w:lineRule="auto"/>
              <w:ind w:firstLine="0" w:firstLineChars="0"/>
              <w:rPr>
                <w:rFonts w:hint="eastAsia"/>
              </w:rPr>
            </w:pPr>
            <w:r>
              <w:rPr>
                <w:rFonts w:hint="eastAsia"/>
              </w:rPr>
              <w:t>41.门诊住院高血压、糖尿病信息统计报表</w:t>
            </w:r>
          </w:p>
          <w:p w14:paraId="0A8AA4B6">
            <w:pPr>
              <w:pStyle w:val="82"/>
              <w:spacing w:line="240" w:lineRule="auto"/>
              <w:ind w:firstLine="0" w:firstLineChars="0"/>
              <w:rPr>
                <w:rFonts w:hint="eastAsia"/>
              </w:rPr>
            </w:pPr>
            <w:r>
              <w:rPr>
                <w:rFonts w:hint="eastAsia"/>
              </w:rPr>
              <w:t>42.精神障碍报告卡报表</w:t>
            </w:r>
          </w:p>
          <w:p w14:paraId="13319136">
            <w:pPr>
              <w:pStyle w:val="82"/>
              <w:spacing w:line="240" w:lineRule="auto"/>
              <w:ind w:firstLine="0" w:firstLineChars="0"/>
              <w:rPr>
                <w:rFonts w:hint="eastAsia"/>
              </w:rPr>
            </w:pPr>
            <w:r>
              <w:rPr>
                <w:rFonts w:hint="eastAsia"/>
              </w:rPr>
              <w:t>43.呼吸道感染性疾病诊疗情况</w:t>
            </w:r>
          </w:p>
          <w:p w14:paraId="00382162">
            <w:pPr>
              <w:pStyle w:val="82"/>
              <w:spacing w:line="240" w:lineRule="auto"/>
              <w:ind w:firstLine="0" w:firstLineChars="0"/>
              <w:rPr>
                <w:rFonts w:hint="eastAsia"/>
              </w:rPr>
            </w:pPr>
            <w:r>
              <w:rPr>
                <w:rFonts w:hint="eastAsia"/>
              </w:rPr>
              <w:t>44.门诊住院病人信息</w:t>
            </w:r>
          </w:p>
          <w:p w14:paraId="3FB4ABE5">
            <w:pPr>
              <w:pStyle w:val="82"/>
              <w:spacing w:line="240" w:lineRule="auto"/>
              <w:ind w:firstLine="0" w:firstLineChars="0"/>
              <w:rPr>
                <w:rFonts w:hint="eastAsia"/>
              </w:rPr>
            </w:pPr>
            <w:r>
              <w:rPr>
                <w:rFonts w:hint="eastAsia"/>
              </w:rPr>
              <w:t>45.门诊新冠疫苗接种费用查询</w:t>
            </w:r>
          </w:p>
          <w:p w14:paraId="50449D73">
            <w:pPr>
              <w:pStyle w:val="82"/>
              <w:spacing w:line="240" w:lineRule="auto"/>
              <w:ind w:firstLine="0" w:firstLineChars="0"/>
              <w:rPr>
                <w:rFonts w:hint="eastAsia"/>
              </w:rPr>
            </w:pPr>
            <w:r>
              <w:rPr>
                <w:rFonts w:hint="eastAsia"/>
              </w:rPr>
              <w:t>46.登革热筛查信息</w:t>
            </w:r>
          </w:p>
          <w:p w14:paraId="669A0C76">
            <w:pPr>
              <w:pStyle w:val="82"/>
              <w:spacing w:line="240" w:lineRule="auto"/>
              <w:ind w:firstLine="0" w:firstLineChars="0"/>
              <w:rPr>
                <w:rFonts w:hint="eastAsia"/>
              </w:rPr>
            </w:pPr>
            <w:r>
              <w:rPr>
                <w:rFonts w:hint="eastAsia"/>
              </w:rPr>
              <w:t>47.登革热NS1抗原、基孔肯雅热病毒核酸检测、疟疾检测统计表</w:t>
            </w:r>
          </w:p>
          <w:p w14:paraId="541D74CB">
            <w:pPr>
              <w:pStyle w:val="82"/>
              <w:spacing w:line="240" w:lineRule="auto"/>
              <w:ind w:firstLine="0" w:firstLineChars="0"/>
              <w:rPr>
                <w:rFonts w:hint="eastAsia"/>
              </w:rPr>
            </w:pPr>
            <w:r>
              <w:rPr>
                <w:rFonts w:hint="eastAsia"/>
              </w:rPr>
              <w:t>48.丙肝患者用药信息统计表</w:t>
            </w:r>
          </w:p>
          <w:p w14:paraId="3CD8716E">
            <w:pPr>
              <w:pStyle w:val="82"/>
              <w:spacing w:line="240" w:lineRule="auto"/>
              <w:ind w:firstLine="0" w:firstLineChars="0"/>
              <w:rPr>
                <w:rFonts w:hint="eastAsia"/>
              </w:rPr>
            </w:pPr>
            <w:r>
              <w:rPr>
                <w:rFonts w:hint="eastAsia"/>
              </w:rPr>
              <w:t>49.丙肝患者核酸监测统计表</w:t>
            </w:r>
          </w:p>
          <w:p w14:paraId="060AAE2E">
            <w:pPr>
              <w:pStyle w:val="82"/>
              <w:spacing w:line="240" w:lineRule="auto"/>
              <w:ind w:firstLine="0" w:firstLineChars="0"/>
              <w:rPr>
                <w:rFonts w:hint="eastAsia"/>
              </w:rPr>
            </w:pPr>
            <w:r>
              <w:rPr>
                <w:rFonts w:hint="eastAsia"/>
              </w:rPr>
              <w:t>50.传染病报告卡报表</w:t>
            </w:r>
          </w:p>
          <w:p w14:paraId="07C01605">
            <w:pPr>
              <w:pStyle w:val="82"/>
              <w:spacing w:line="240" w:lineRule="auto"/>
              <w:ind w:firstLine="0" w:firstLineChars="0"/>
              <w:rPr>
                <w:rFonts w:hint="eastAsia"/>
              </w:rPr>
            </w:pPr>
            <w:r>
              <w:rPr>
                <w:rFonts w:hint="eastAsia"/>
              </w:rPr>
              <w:t>51.传染病报告卡明细</w:t>
            </w:r>
          </w:p>
          <w:p w14:paraId="1619AFCC">
            <w:pPr>
              <w:pStyle w:val="82"/>
              <w:spacing w:line="240" w:lineRule="auto"/>
              <w:ind w:firstLine="0" w:firstLineChars="0"/>
              <w:rPr>
                <w:rFonts w:hint="eastAsia"/>
              </w:rPr>
            </w:pPr>
            <w:r>
              <w:rPr>
                <w:rFonts w:hint="eastAsia"/>
              </w:rPr>
              <w:t>52.传染病检验查漏统计表</w:t>
            </w:r>
          </w:p>
          <w:p w14:paraId="060FD333">
            <w:pPr>
              <w:pStyle w:val="82"/>
              <w:spacing w:line="240" w:lineRule="auto"/>
              <w:ind w:firstLine="0" w:firstLineChars="0"/>
              <w:rPr>
                <w:rFonts w:hint="eastAsia"/>
              </w:rPr>
            </w:pPr>
            <w:r>
              <w:rPr>
                <w:rFonts w:hint="eastAsia"/>
              </w:rPr>
              <w:t>53.传染病报卡质控表</w:t>
            </w:r>
          </w:p>
          <w:p w14:paraId="01165B1F">
            <w:pPr>
              <w:pStyle w:val="82"/>
              <w:spacing w:line="240" w:lineRule="auto"/>
              <w:ind w:firstLine="0" w:firstLineChars="0"/>
              <w:rPr>
                <w:rFonts w:hint="eastAsia"/>
              </w:rPr>
            </w:pPr>
            <w:r>
              <w:rPr>
                <w:rFonts w:hint="eastAsia"/>
              </w:rPr>
              <w:t>54.AFP查漏报表</w:t>
            </w:r>
          </w:p>
          <w:p w14:paraId="1B3446EA">
            <w:pPr>
              <w:pStyle w:val="82"/>
              <w:spacing w:line="240" w:lineRule="auto"/>
              <w:ind w:firstLine="0" w:firstLineChars="0"/>
              <w:rPr>
                <w:rFonts w:hint="eastAsia"/>
              </w:rPr>
            </w:pPr>
            <w:r>
              <w:rPr>
                <w:rFonts w:hint="eastAsia"/>
              </w:rPr>
              <w:t>55.食源性疾病监测统计</w:t>
            </w:r>
          </w:p>
          <w:p w14:paraId="69636833">
            <w:pPr>
              <w:pStyle w:val="82"/>
              <w:spacing w:line="240" w:lineRule="auto"/>
              <w:ind w:firstLine="0" w:firstLineChars="0"/>
              <w:rPr>
                <w:rFonts w:hint="eastAsia"/>
              </w:rPr>
            </w:pPr>
            <w:r>
              <w:rPr>
                <w:rFonts w:hint="eastAsia"/>
              </w:rPr>
              <w:t>56.疫苗接种统计表</w:t>
            </w:r>
          </w:p>
          <w:p w14:paraId="664F6989">
            <w:pPr>
              <w:pStyle w:val="82"/>
              <w:spacing w:line="240" w:lineRule="auto"/>
              <w:ind w:firstLine="0" w:firstLineChars="0"/>
              <w:rPr>
                <w:rFonts w:hint="eastAsia"/>
              </w:rPr>
            </w:pPr>
            <w:r>
              <w:rPr>
                <w:rFonts w:hint="eastAsia"/>
              </w:rPr>
              <w:t>57.放射诊疗频度统计表</w:t>
            </w:r>
          </w:p>
        </w:tc>
      </w:tr>
      <w:tr w14:paraId="6C092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741" w:type="dxa"/>
            <w:vMerge w:val="continue"/>
            <w:noWrap w:val="0"/>
            <w:vAlign w:val="center"/>
          </w:tcPr>
          <w:p w14:paraId="79D4292C">
            <w:pPr>
              <w:widowControl/>
              <w:jc w:val="left"/>
              <w:rPr>
                <w:rFonts w:hint="eastAsia" w:ascii="宋体" w:hAnsi="宋体" w:cs="宋体"/>
                <w:kern w:val="0"/>
                <w:szCs w:val="21"/>
              </w:rPr>
            </w:pPr>
          </w:p>
        </w:tc>
        <w:tc>
          <w:tcPr>
            <w:tcW w:w="876" w:type="dxa"/>
            <w:noWrap w:val="0"/>
            <w:vAlign w:val="center"/>
          </w:tcPr>
          <w:p w14:paraId="5C200D8C">
            <w:pPr>
              <w:widowControl/>
              <w:jc w:val="center"/>
              <w:rPr>
                <w:rFonts w:ascii="宋体" w:hAnsi="宋体" w:cs="宋体"/>
                <w:kern w:val="0"/>
                <w:szCs w:val="21"/>
              </w:rPr>
            </w:pPr>
            <w:r>
              <w:rPr>
                <w:rFonts w:hint="eastAsia" w:ascii="宋体" w:hAnsi="宋体" w:cs="宋体"/>
                <w:kern w:val="0"/>
                <w:szCs w:val="21"/>
              </w:rPr>
              <w:t>科研成果管理主题分析</w:t>
            </w:r>
          </w:p>
        </w:tc>
        <w:tc>
          <w:tcPr>
            <w:tcW w:w="7170" w:type="dxa"/>
            <w:noWrap w:val="0"/>
            <w:vAlign w:val="center"/>
          </w:tcPr>
          <w:p w14:paraId="50633DDA">
            <w:pPr>
              <w:pStyle w:val="82"/>
              <w:ind w:firstLine="0" w:firstLineChars="0"/>
            </w:pPr>
            <w:r>
              <w:rPr>
                <w:rFonts w:hint="eastAsia"/>
              </w:rPr>
              <w:t>支持接入临床研究的项目数据进行临床研究项目费用统计、专利、成果等进行汇总展示</w:t>
            </w:r>
          </w:p>
          <w:p w14:paraId="055B17A9">
            <w:pPr>
              <w:pStyle w:val="82"/>
              <w:ind w:firstLine="0" w:firstLineChars="0"/>
              <w:rPr>
                <w:rFonts w:hint="eastAsia"/>
              </w:rPr>
            </w:pPr>
          </w:p>
        </w:tc>
      </w:tr>
      <w:tr w14:paraId="27175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741" w:type="dxa"/>
            <w:vMerge w:val="continue"/>
            <w:noWrap w:val="0"/>
            <w:vAlign w:val="center"/>
          </w:tcPr>
          <w:p w14:paraId="12E0AF54">
            <w:pPr>
              <w:widowControl/>
              <w:jc w:val="left"/>
              <w:rPr>
                <w:rFonts w:hint="eastAsia" w:ascii="宋体" w:hAnsi="宋体" w:cs="宋体"/>
                <w:kern w:val="0"/>
                <w:szCs w:val="21"/>
              </w:rPr>
            </w:pPr>
          </w:p>
        </w:tc>
        <w:tc>
          <w:tcPr>
            <w:tcW w:w="876" w:type="dxa"/>
            <w:noWrap w:val="0"/>
            <w:vAlign w:val="center"/>
          </w:tcPr>
          <w:p w14:paraId="33C84140">
            <w:pPr>
              <w:widowControl/>
              <w:jc w:val="center"/>
              <w:rPr>
                <w:rFonts w:ascii="宋体" w:hAnsi="宋体" w:cs="宋体"/>
                <w:kern w:val="0"/>
                <w:szCs w:val="21"/>
              </w:rPr>
            </w:pPr>
            <w:r>
              <w:rPr>
                <w:rFonts w:hint="eastAsia" w:ascii="宋体" w:hAnsi="宋体" w:cs="宋体"/>
                <w:kern w:val="0"/>
                <w:szCs w:val="21"/>
              </w:rPr>
              <w:t>审计主题分析</w:t>
            </w:r>
          </w:p>
        </w:tc>
        <w:tc>
          <w:tcPr>
            <w:tcW w:w="7170" w:type="dxa"/>
            <w:noWrap w:val="0"/>
            <w:vAlign w:val="center"/>
          </w:tcPr>
          <w:p w14:paraId="57DCFE10">
            <w:pPr>
              <w:pStyle w:val="82"/>
              <w:spacing w:line="240" w:lineRule="auto"/>
              <w:ind w:firstLine="0" w:firstLineChars="0"/>
              <w:rPr>
                <w:rFonts w:ascii="宋体" w:hAnsi="宋体" w:cs="宋体"/>
                <w:sz w:val="21"/>
                <w:szCs w:val="21"/>
              </w:rPr>
            </w:pPr>
            <w:r>
              <w:rPr>
                <w:rFonts w:hint="eastAsia" w:ascii="宋体" w:hAnsi="宋体" w:cs="宋体"/>
                <w:sz w:val="21"/>
                <w:szCs w:val="21"/>
              </w:rPr>
              <w:t>1.</w:t>
            </w:r>
            <w:r>
              <w:rPr>
                <w:rFonts w:ascii="宋体" w:hAnsi="宋体" w:cs="宋体"/>
                <w:sz w:val="21"/>
                <w:szCs w:val="21"/>
              </w:rPr>
              <w:t>审计数据获取：审计信息系统可从数据湖仓获取所需数据，并具备通过脱敏映射关系锁定原始未脱敏数据的能力，确保审计可追溯。</w:t>
            </w:r>
          </w:p>
          <w:p w14:paraId="1CADF009">
            <w:pPr>
              <w:pStyle w:val="82"/>
              <w:spacing w:line="240" w:lineRule="auto"/>
              <w:ind w:firstLine="0" w:firstLineChars="0"/>
              <w:rPr>
                <w:rFonts w:hint="eastAsia"/>
              </w:rPr>
            </w:pPr>
            <w:r>
              <w:rPr>
                <w:rFonts w:hint="eastAsia" w:ascii="宋体" w:hAnsi="宋体" w:cs="宋体"/>
                <w:sz w:val="21"/>
                <w:szCs w:val="21"/>
              </w:rPr>
              <w:t>2.</w:t>
            </w:r>
            <w:r>
              <w:rPr>
                <w:rFonts w:ascii="宋体" w:hAnsi="宋体" w:cs="宋体"/>
                <w:szCs w:val="21"/>
              </w:rPr>
              <w:t xml:space="preserve"> </w:t>
            </w:r>
            <w:r>
              <w:rPr>
                <w:rFonts w:ascii="宋体" w:hAnsi="宋体" w:cs="宋体"/>
                <w:sz w:val="21"/>
                <w:szCs w:val="21"/>
              </w:rPr>
              <w:t>HRP新建模块对接：后续建成的HRP系统模块（预算、采购、合同、报销等）须能接入本数据湖仓</w:t>
            </w:r>
            <w:r>
              <w:rPr>
                <w:rFonts w:ascii="宋体" w:hAnsi="宋体" w:cs="宋体"/>
                <w:sz w:val="24"/>
                <w:szCs w:val="24"/>
              </w:rPr>
              <w:t>。</w:t>
            </w:r>
          </w:p>
        </w:tc>
      </w:tr>
      <w:tr w14:paraId="4615C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741" w:type="dxa"/>
            <w:vMerge w:val="continue"/>
            <w:noWrap w:val="0"/>
            <w:vAlign w:val="center"/>
          </w:tcPr>
          <w:p w14:paraId="16417C73">
            <w:pPr>
              <w:widowControl/>
              <w:jc w:val="left"/>
              <w:rPr>
                <w:rFonts w:hint="eastAsia" w:ascii="宋体" w:hAnsi="宋体" w:cs="宋体"/>
                <w:kern w:val="0"/>
                <w:szCs w:val="21"/>
              </w:rPr>
            </w:pPr>
          </w:p>
        </w:tc>
        <w:tc>
          <w:tcPr>
            <w:tcW w:w="876" w:type="dxa"/>
            <w:noWrap w:val="0"/>
            <w:vAlign w:val="center"/>
          </w:tcPr>
          <w:p w14:paraId="5EB7FFB2">
            <w:pPr>
              <w:widowControl/>
              <w:jc w:val="center"/>
              <w:rPr>
                <w:rFonts w:hint="eastAsia" w:ascii="宋体" w:hAnsi="宋体" w:cs="宋体"/>
                <w:kern w:val="0"/>
                <w:szCs w:val="21"/>
              </w:rPr>
            </w:pPr>
            <w:r>
              <w:rPr>
                <w:rFonts w:hint="eastAsia" w:ascii="宋体" w:hAnsi="宋体" w:cs="宋体"/>
                <w:kern w:val="0"/>
                <w:szCs w:val="21"/>
              </w:rPr>
              <w:t>满意度主题分析</w:t>
            </w:r>
          </w:p>
        </w:tc>
        <w:tc>
          <w:tcPr>
            <w:tcW w:w="7170" w:type="dxa"/>
            <w:noWrap w:val="0"/>
            <w:vAlign w:val="center"/>
          </w:tcPr>
          <w:p w14:paraId="347AB4E1">
            <w:pPr>
              <w:pStyle w:val="82"/>
              <w:spacing w:line="240" w:lineRule="auto"/>
              <w:ind w:firstLine="0" w:firstLineChars="0"/>
              <w:rPr>
                <w:rFonts w:hint="eastAsia" w:ascii="宋体" w:hAnsi="宋体" w:cs="宋体"/>
                <w:szCs w:val="21"/>
              </w:rPr>
            </w:pPr>
            <w:r>
              <w:rPr>
                <w:rFonts w:hint="eastAsia" w:ascii="宋体" w:hAnsi="宋体" w:cs="宋体"/>
                <w:szCs w:val="21"/>
              </w:rPr>
              <w:t>包括门诊、住院患者满意度；院内科室间满意度互评；国考满意度、医院第三方满意度；随访系统满意度数据分析</w:t>
            </w:r>
          </w:p>
        </w:tc>
      </w:tr>
      <w:tr w14:paraId="2DCB3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741" w:type="dxa"/>
            <w:vMerge w:val="continue"/>
            <w:noWrap w:val="0"/>
            <w:vAlign w:val="center"/>
          </w:tcPr>
          <w:p w14:paraId="2B1D7307">
            <w:pPr>
              <w:widowControl/>
              <w:jc w:val="left"/>
              <w:rPr>
                <w:rFonts w:hint="eastAsia" w:ascii="宋体" w:hAnsi="宋体" w:cs="宋体"/>
                <w:kern w:val="0"/>
                <w:szCs w:val="21"/>
              </w:rPr>
            </w:pPr>
          </w:p>
        </w:tc>
        <w:tc>
          <w:tcPr>
            <w:tcW w:w="876" w:type="dxa"/>
            <w:noWrap w:val="0"/>
            <w:vAlign w:val="center"/>
          </w:tcPr>
          <w:p w14:paraId="0E40DBB9">
            <w:pPr>
              <w:widowControl/>
              <w:jc w:val="center"/>
              <w:rPr>
                <w:rFonts w:hint="eastAsia" w:ascii="宋体" w:hAnsi="宋体" w:cs="宋体"/>
                <w:kern w:val="0"/>
                <w:szCs w:val="21"/>
              </w:rPr>
            </w:pPr>
            <w:r>
              <w:rPr>
                <w:rFonts w:hint="eastAsia" w:ascii="宋体" w:hAnsi="宋体" w:cs="宋体"/>
                <w:kern w:val="0"/>
                <w:szCs w:val="21"/>
              </w:rPr>
              <w:t>设备运营主题分析</w:t>
            </w:r>
          </w:p>
        </w:tc>
        <w:tc>
          <w:tcPr>
            <w:tcW w:w="7170" w:type="dxa"/>
            <w:noWrap w:val="0"/>
            <w:vAlign w:val="center"/>
          </w:tcPr>
          <w:p w14:paraId="77B0481C">
            <w:pPr>
              <w:pStyle w:val="82"/>
              <w:spacing w:line="240" w:lineRule="auto"/>
              <w:ind w:firstLine="0" w:firstLineChars="0"/>
              <w:rPr>
                <w:rFonts w:hint="eastAsia" w:ascii="宋体" w:hAnsi="宋体" w:cs="宋体"/>
                <w:szCs w:val="21"/>
              </w:rPr>
            </w:pPr>
            <w:r>
              <w:rPr>
                <w:rFonts w:hint="eastAsia" w:ascii="宋体" w:hAnsi="宋体" w:cs="宋体"/>
                <w:szCs w:val="21"/>
              </w:rPr>
              <w:t>放射超声内镜的预约等待时间（含平均值和90%分位数）、手术准点开台率和接台时长、50万以上设备使用率、开机率和故障率、设备诊疗量（检查量）、结果阳性率、投资回收期、每万元成本检查人次，平台科室耗材成本占比</w:t>
            </w:r>
          </w:p>
        </w:tc>
      </w:tr>
      <w:tr w14:paraId="30B07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741" w:type="dxa"/>
            <w:vMerge w:val="continue"/>
            <w:noWrap w:val="0"/>
            <w:vAlign w:val="center"/>
          </w:tcPr>
          <w:p w14:paraId="7AAC4BC5">
            <w:pPr>
              <w:widowControl/>
              <w:jc w:val="left"/>
              <w:rPr>
                <w:rFonts w:hint="eastAsia" w:ascii="宋体" w:hAnsi="宋体" w:cs="宋体"/>
                <w:kern w:val="0"/>
                <w:szCs w:val="21"/>
              </w:rPr>
            </w:pPr>
          </w:p>
        </w:tc>
        <w:tc>
          <w:tcPr>
            <w:tcW w:w="876" w:type="dxa"/>
            <w:noWrap w:val="0"/>
            <w:vAlign w:val="center"/>
          </w:tcPr>
          <w:p w14:paraId="75F15880">
            <w:pPr>
              <w:widowControl/>
              <w:jc w:val="center"/>
              <w:rPr>
                <w:rFonts w:hint="eastAsia" w:ascii="宋体" w:hAnsi="宋体" w:cs="宋体"/>
                <w:kern w:val="0"/>
                <w:szCs w:val="21"/>
              </w:rPr>
            </w:pPr>
            <w:r>
              <w:rPr>
                <w:rFonts w:hint="eastAsia" w:ascii="宋体" w:hAnsi="宋体" w:cs="宋体"/>
                <w:kern w:val="0"/>
                <w:szCs w:val="21"/>
              </w:rPr>
              <w:t>耗材主题分析</w:t>
            </w:r>
          </w:p>
          <w:p w14:paraId="2A4BF8C6"/>
        </w:tc>
        <w:tc>
          <w:tcPr>
            <w:tcW w:w="7170" w:type="dxa"/>
            <w:noWrap w:val="0"/>
            <w:vAlign w:val="center"/>
          </w:tcPr>
          <w:p w14:paraId="5B906F5B">
            <w:pPr>
              <w:pStyle w:val="82"/>
              <w:spacing w:line="240" w:lineRule="auto"/>
              <w:ind w:firstLine="0" w:firstLineChars="0"/>
              <w:rPr>
                <w:rFonts w:hint="eastAsia" w:ascii="宋体" w:hAnsi="宋体" w:cs="宋体"/>
                <w:szCs w:val="21"/>
              </w:rPr>
            </w:pPr>
            <w:r>
              <w:rPr>
                <w:rFonts w:hint="eastAsia" w:ascii="宋体" w:hAnsi="宋体" w:cs="宋体"/>
                <w:szCs w:val="21"/>
              </w:rPr>
              <w:t>支持按月统计耗材入库、出库、月末结存等进销存情况；支持按耗材类别、科室等多维度分析；支持耗材使用效率分析</w:t>
            </w:r>
          </w:p>
          <w:p w14:paraId="295F0DC0">
            <w:pPr>
              <w:pStyle w:val="82"/>
              <w:spacing w:line="240" w:lineRule="auto"/>
              <w:ind w:firstLine="0" w:firstLineChars="0"/>
              <w:rPr>
                <w:rFonts w:hint="eastAsia" w:ascii="宋体" w:hAnsi="宋体" w:cs="宋体"/>
                <w:szCs w:val="21"/>
              </w:rPr>
            </w:pPr>
            <w:r>
              <w:rPr>
                <w:rFonts w:hint="eastAsia" w:ascii="宋体" w:hAnsi="宋体" w:cs="宋体"/>
                <w:szCs w:val="21"/>
              </w:rPr>
              <w:t>需对接系统:增加SPD系统</w:t>
            </w:r>
          </w:p>
        </w:tc>
      </w:tr>
      <w:tr w14:paraId="40599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741" w:type="dxa"/>
            <w:vMerge w:val="continue"/>
            <w:noWrap w:val="0"/>
            <w:vAlign w:val="center"/>
          </w:tcPr>
          <w:p w14:paraId="20FDF079">
            <w:pPr>
              <w:widowControl/>
              <w:jc w:val="left"/>
              <w:rPr>
                <w:rFonts w:hint="eastAsia" w:ascii="宋体" w:hAnsi="宋体" w:cs="宋体"/>
                <w:kern w:val="0"/>
                <w:szCs w:val="21"/>
              </w:rPr>
            </w:pPr>
          </w:p>
        </w:tc>
        <w:tc>
          <w:tcPr>
            <w:tcW w:w="876" w:type="dxa"/>
            <w:noWrap w:val="0"/>
            <w:vAlign w:val="center"/>
          </w:tcPr>
          <w:p w14:paraId="1C7EF0FC">
            <w:pPr>
              <w:widowControl/>
              <w:jc w:val="center"/>
              <w:rPr>
                <w:rFonts w:hint="eastAsia" w:ascii="宋体" w:hAnsi="宋体" w:cs="宋体"/>
                <w:kern w:val="0"/>
                <w:szCs w:val="21"/>
              </w:rPr>
            </w:pPr>
            <w:r>
              <w:rPr>
                <w:rFonts w:ascii="宋体" w:hAnsi="宋体" w:cs="宋体"/>
                <w:kern w:val="0"/>
                <w:szCs w:val="21"/>
              </w:rPr>
              <w:t>工资薪金与人力成本主题分析</w:t>
            </w:r>
          </w:p>
        </w:tc>
        <w:tc>
          <w:tcPr>
            <w:tcW w:w="7170" w:type="dxa"/>
            <w:noWrap w:val="0"/>
            <w:vAlign w:val="center"/>
          </w:tcPr>
          <w:p w14:paraId="12103264">
            <w:pPr>
              <w:pStyle w:val="82"/>
              <w:spacing w:line="240" w:lineRule="auto"/>
              <w:ind w:firstLine="0" w:firstLineChars="0"/>
              <w:rPr>
                <w:rFonts w:hint="eastAsia" w:ascii="宋体" w:hAnsi="宋体" w:cs="宋体"/>
                <w:szCs w:val="21"/>
              </w:rPr>
            </w:pPr>
            <w:r>
              <w:rPr>
                <w:rFonts w:ascii="宋体" w:hAnsi="宋体" w:cs="宋体"/>
                <w:szCs w:val="21"/>
              </w:rPr>
              <w:t>本模块以员工薪酬为核心，支撑工资薪金与人力成本的分析，并与全成本核算、全面预算、科室分析等模块实现数据联动</w:t>
            </w:r>
            <w:r>
              <w:rPr>
                <w:rFonts w:hint="eastAsia" w:ascii="宋体" w:hAnsi="宋体" w:cs="宋体"/>
                <w:szCs w:val="21"/>
              </w:rPr>
              <w:t>。</w:t>
            </w:r>
            <w:r>
              <w:rPr>
                <w:rFonts w:ascii="宋体" w:hAnsi="宋体" w:cs="宋体"/>
                <w:szCs w:val="21"/>
              </w:rPr>
              <w:t>功能需求:依托与人事系统、绩效系统的数据对接，支持按科室、岗位、职级等维度统计工资总额及人均工资，支持按月/季/年度分析工资总额变动趋势、同比环比分析</w:t>
            </w:r>
            <w:r>
              <w:rPr>
                <w:rFonts w:hint="eastAsia" w:ascii="宋体" w:hAnsi="宋体" w:cs="宋体"/>
                <w:szCs w:val="21"/>
              </w:rPr>
              <w:t>；</w:t>
            </w:r>
            <w:r>
              <w:rPr>
                <w:rFonts w:ascii="宋体" w:hAnsi="宋体" w:cs="宋体"/>
                <w:szCs w:val="21"/>
              </w:rPr>
              <w:t>实现薪酬预算编制、执行监控、差异预警及执行率分析;展示工资、奖金、社保、公积金、福利费等各类人力成本构成及占比;支撑人力成本结构分析、人均效能评估(如人均收入、人均工作量等)</w:t>
            </w:r>
            <w:r>
              <w:rPr>
                <w:rFonts w:hint="eastAsia" w:ascii="宋体" w:hAnsi="宋体" w:cs="宋体"/>
                <w:szCs w:val="21"/>
              </w:rPr>
              <w:t>。</w:t>
            </w:r>
            <w:r>
              <w:rPr>
                <w:rFonts w:ascii="宋体" w:hAnsi="宋体" w:cs="宋体"/>
                <w:szCs w:val="21"/>
              </w:rPr>
              <w:t>支持预算与实际发放差异分析，定位差异原因</w:t>
            </w:r>
          </w:p>
        </w:tc>
      </w:tr>
      <w:tr w14:paraId="3E558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4" w:hRule="atLeast"/>
        </w:trPr>
        <w:tc>
          <w:tcPr>
            <w:tcW w:w="741" w:type="dxa"/>
            <w:vMerge w:val="restart"/>
            <w:noWrap w:val="0"/>
            <w:vAlign w:val="center"/>
          </w:tcPr>
          <w:p w14:paraId="2FD47033">
            <w:pPr>
              <w:widowControl/>
              <w:jc w:val="both"/>
              <w:rPr>
                <w:rFonts w:hint="eastAsia" w:ascii="宋体" w:hAnsi="宋体" w:cs="宋体"/>
                <w:kern w:val="0"/>
                <w:szCs w:val="21"/>
              </w:rPr>
            </w:pPr>
            <w:r>
              <w:rPr>
                <w:rFonts w:hint="eastAsia" w:ascii="宋体" w:hAnsi="宋体" w:cs="宋体"/>
                <w:kern w:val="0"/>
                <w:szCs w:val="21"/>
              </w:rPr>
              <w:t>10.公立医院绩效考核专题管理</w:t>
            </w:r>
          </w:p>
        </w:tc>
        <w:tc>
          <w:tcPr>
            <w:tcW w:w="876" w:type="dxa"/>
            <w:vMerge w:val="restart"/>
            <w:noWrap w:val="0"/>
            <w:vAlign w:val="center"/>
          </w:tcPr>
          <w:p w14:paraId="55FC251A">
            <w:pPr>
              <w:widowControl/>
              <w:jc w:val="center"/>
              <w:rPr>
                <w:rFonts w:hint="eastAsia" w:ascii="宋体" w:hAnsi="宋体" w:cs="宋体"/>
                <w:kern w:val="0"/>
                <w:szCs w:val="21"/>
              </w:rPr>
            </w:pPr>
            <w:r>
              <w:rPr>
                <w:rFonts w:hint="eastAsia" w:ascii="宋体" w:hAnsi="宋体" w:cs="宋体"/>
                <w:kern w:val="0"/>
                <w:szCs w:val="21"/>
              </w:rPr>
              <w:t>工作台</w:t>
            </w:r>
          </w:p>
        </w:tc>
        <w:tc>
          <w:tcPr>
            <w:tcW w:w="7170" w:type="dxa"/>
            <w:noWrap w:val="0"/>
            <w:vAlign w:val="center"/>
          </w:tcPr>
          <w:p w14:paraId="4DAC9697">
            <w:pPr>
              <w:widowControl/>
              <w:rPr>
                <w:rFonts w:hint="eastAsia" w:ascii="宋体" w:hAnsi="宋体" w:cs="宋体"/>
                <w:kern w:val="0"/>
                <w:szCs w:val="21"/>
              </w:rPr>
            </w:pPr>
            <w:r>
              <w:rPr>
                <w:rFonts w:hint="eastAsia" w:ascii="宋体" w:hAnsi="宋体" w:cs="宋体"/>
                <w:kern w:val="0"/>
                <w:szCs w:val="21"/>
              </w:rPr>
              <w:t>绩效文件：支持查看最新的绩效检测操作手册；工作报告：支持根据用户过滤显示用户需要查看的或发布的报告列表；待办事项：支持显示用户待填报、待审核，或触发预警的指标信息；工作量统计：支持统计平台用户的操作工作量；工作记录：支持展示平台日常工作记录</w:t>
            </w:r>
          </w:p>
        </w:tc>
      </w:tr>
      <w:tr w14:paraId="51E3D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741" w:type="dxa"/>
            <w:vMerge w:val="continue"/>
            <w:noWrap w:val="0"/>
            <w:vAlign w:val="center"/>
          </w:tcPr>
          <w:p w14:paraId="397F16BF">
            <w:pPr>
              <w:widowControl/>
              <w:jc w:val="left"/>
              <w:rPr>
                <w:rFonts w:hint="eastAsia" w:ascii="宋体" w:hAnsi="宋体" w:cs="宋体"/>
                <w:kern w:val="0"/>
                <w:szCs w:val="21"/>
              </w:rPr>
            </w:pPr>
          </w:p>
        </w:tc>
        <w:tc>
          <w:tcPr>
            <w:tcW w:w="876" w:type="dxa"/>
            <w:vMerge w:val="continue"/>
            <w:noWrap w:val="0"/>
            <w:vAlign w:val="center"/>
          </w:tcPr>
          <w:p w14:paraId="434C322C">
            <w:pPr>
              <w:widowControl/>
              <w:jc w:val="center"/>
              <w:rPr>
                <w:rFonts w:hint="eastAsia" w:ascii="宋体" w:hAnsi="宋体" w:cs="宋体"/>
                <w:kern w:val="0"/>
                <w:szCs w:val="21"/>
              </w:rPr>
            </w:pPr>
          </w:p>
        </w:tc>
        <w:tc>
          <w:tcPr>
            <w:tcW w:w="7170" w:type="dxa"/>
            <w:noWrap w:val="0"/>
            <w:vAlign w:val="center"/>
          </w:tcPr>
          <w:p w14:paraId="3650C033">
            <w:pPr>
              <w:widowControl/>
              <w:rPr>
                <w:rFonts w:hint="eastAsia" w:ascii="宋体" w:hAnsi="宋体" w:cs="宋体"/>
                <w:kern w:val="0"/>
                <w:szCs w:val="21"/>
              </w:rPr>
            </w:pPr>
            <w:r>
              <w:rPr>
                <w:rFonts w:hint="eastAsia" w:ascii="宋体" w:hAnsi="宋体" w:cs="宋体"/>
                <w:kern w:val="0"/>
                <w:szCs w:val="21"/>
              </w:rPr>
              <w:t>支持对绩效文件进行上传、编辑、下载、删除等操作</w:t>
            </w:r>
          </w:p>
        </w:tc>
      </w:tr>
      <w:tr w14:paraId="12C04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741" w:type="dxa"/>
            <w:vMerge w:val="continue"/>
            <w:noWrap w:val="0"/>
            <w:vAlign w:val="center"/>
          </w:tcPr>
          <w:p w14:paraId="605BA451">
            <w:pPr>
              <w:widowControl/>
              <w:jc w:val="left"/>
              <w:rPr>
                <w:rFonts w:hint="eastAsia" w:ascii="宋体" w:hAnsi="宋体" w:cs="宋体"/>
                <w:kern w:val="0"/>
                <w:szCs w:val="21"/>
              </w:rPr>
            </w:pPr>
          </w:p>
        </w:tc>
        <w:tc>
          <w:tcPr>
            <w:tcW w:w="876" w:type="dxa"/>
            <w:vMerge w:val="continue"/>
            <w:noWrap w:val="0"/>
            <w:vAlign w:val="center"/>
          </w:tcPr>
          <w:p w14:paraId="790A05A7">
            <w:pPr>
              <w:widowControl/>
              <w:jc w:val="center"/>
              <w:rPr>
                <w:rFonts w:hint="eastAsia" w:ascii="宋体" w:hAnsi="宋体" w:cs="宋体"/>
                <w:kern w:val="0"/>
                <w:szCs w:val="21"/>
              </w:rPr>
            </w:pPr>
          </w:p>
        </w:tc>
        <w:tc>
          <w:tcPr>
            <w:tcW w:w="7170" w:type="dxa"/>
            <w:noWrap w:val="0"/>
            <w:vAlign w:val="center"/>
          </w:tcPr>
          <w:p w14:paraId="0DC150E4">
            <w:pPr>
              <w:widowControl/>
              <w:rPr>
                <w:rFonts w:hint="eastAsia" w:ascii="宋体" w:hAnsi="宋体" w:cs="宋体"/>
                <w:kern w:val="0"/>
                <w:szCs w:val="21"/>
              </w:rPr>
            </w:pPr>
            <w:r>
              <w:rPr>
                <w:rFonts w:hint="eastAsia" w:ascii="宋体" w:hAnsi="宋体" w:cs="宋体"/>
                <w:kern w:val="0"/>
                <w:szCs w:val="21"/>
              </w:rPr>
              <w:t>支持根据用户信息查询用户在平台的工作记录</w:t>
            </w:r>
          </w:p>
        </w:tc>
      </w:tr>
      <w:tr w14:paraId="76671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741" w:type="dxa"/>
            <w:vMerge w:val="continue"/>
            <w:noWrap w:val="0"/>
            <w:vAlign w:val="center"/>
          </w:tcPr>
          <w:p w14:paraId="07050440">
            <w:pPr>
              <w:widowControl/>
              <w:jc w:val="left"/>
              <w:rPr>
                <w:rFonts w:hint="eastAsia" w:ascii="宋体" w:hAnsi="宋体" w:cs="宋体"/>
                <w:kern w:val="0"/>
                <w:szCs w:val="21"/>
              </w:rPr>
            </w:pPr>
          </w:p>
        </w:tc>
        <w:tc>
          <w:tcPr>
            <w:tcW w:w="876" w:type="dxa"/>
            <w:noWrap w:val="0"/>
            <w:vAlign w:val="center"/>
          </w:tcPr>
          <w:p w14:paraId="4FFC7605">
            <w:pPr>
              <w:widowControl/>
              <w:jc w:val="center"/>
              <w:rPr>
                <w:rFonts w:hint="eastAsia" w:ascii="宋体" w:hAnsi="宋体" w:cs="宋体"/>
                <w:kern w:val="0"/>
                <w:szCs w:val="21"/>
              </w:rPr>
            </w:pPr>
            <w:r>
              <w:rPr>
                <w:rFonts w:hint="eastAsia" w:ascii="宋体" w:hAnsi="宋体" w:cs="宋体"/>
                <w:kern w:val="0"/>
                <w:szCs w:val="21"/>
              </w:rPr>
              <w:t>方案管理</w:t>
            </w:r>
          </w:p>
        </w:tc>
        <w:tc>
          <w:tcPr>
            <w:tcW w:w="7170" w:type="dxa"/>
            <w:noWrap w:val="0"/>
            <w:vAlign w:val="center"/>
          </w:tcPr>
          <w:p w14:paraId="470D73F5">
            <w:pPr>
              <w:widowControl/>
              <w:rPr>
                <w:rFonts w:hint="eastAsia" w:ascii="宋体" w:hAnsi="宋体" w:cs="宋体"/>
                <w:kern w:val="0"/>
                <w:szCs w:val="21"/>
              </w:rPr>
            </w:pPr>
            <w:r>
              <w:rPr>
                <w:rFonts w:hint="eastAsia" w:ascii="宋体" w:hAnsi="宋体" w:cs="宋体"/>
                <w:kern w:val="0"/>
                <w:szCs w:val="21"/>
              </w:rPr>
              <w:t>系统需内置包括国家三级公立医院绩效考核、公立医院高质量发展评价以及部分省市的考核方案；支持医院根据不同的考核要求新建对应的考核方案，设定方案的启用、停用和授权管理；可以批量配置考核方案下需要纳入的考核指标；界面配置考核方案下指标的前端展示名称、分析维度、明细字段等相关信息。</w:t>
            </w:r>
          </w:p>
        </w:tc>
      </w:tr>
      <w:tr w14:paraId="39D58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741" w:type="dxa"/>
            <w:vMerge w:val="continue"/>
            <w:noWrap w:val="0"/>
            <w:vAlign w:val="center"/>
          </w:tcPr>
          <w:p w14:paraId="2836F6D2">
            <w:pPr>
              <w:widowControl/>
              <w:jc w:val="left"/>
              <w:rPr>
                <w:rFonts w:hint="eastAsia" w:ascii="宋体" w:hAnsi="宋体" w:cs="宋体"/>
                <w:kern w:val="0"/>
                <w:szCs w:val="21"/>
              </w:rPr>
            </w:pPr>
          </w:p>
        </w:tc>
        <w:tc>
          <w:tcPr>
            <w:tcW w:w="876" w:type="dxa"/>
            <w:noWrap w:val="0"/>
            <w:vAlign w:val="center"/>
          </w:tcPr>
          <w:p w14:paraId="6B6254CE">
            <w:pPr>
              <w:widowControl/>
              <w:jc w:val="center"/>
              <w:rPr>
                <w:rFonts w:hint="eastAsia" w:ascii="宋体" w:hAnsi="宋体" w:cs="宋体"/>
                <w:kern w:val="0"/>
                <w:szCs w:val="21"/>
              </w:rPr>
            </w:pPr>
            <w:r>
              <w:rPr>
                <w:rFonts w:hint="eastAsia" w:ascii="宋体" w:hAnsi="宋体" w:cs="宋体"/>
                <w:kern w:val="0"/>
                <w:szCs w:val="21"/>
              </w:rPr>
              <w:t>指标监测分析</w:t>
            </w:r>
          </w:p>
        </w:tc>
        <w:tc>
          <w:tcPr>
            <w:tcW w:w="7170" w:type="dxa"/>
            <w:noWrap w:val="0"/>
            <w:vAlign w:val="center"/>
          </w:tcPr>
          <w:p w14:paraId="74F114FF">
            <w:pPr>
              <w:widowControl/>
              <w:rPr>
                <w:rFonts w:hint="eastAsia" w:ascii="宋体" w:hAnsi="宋体" w:cs="宋体"/>
                <w:kern w:val="0"/>
                <w:szCs w:val="21"/>
              </w:rPr>
            </w:pPr>
            <w:r>
              <w:rPr>
                <w:rFonts w:hint="eastAsia" w:ascii="宋体" w:hAnsi="宋体" w:cs="宋体"/>
                <w:kern w:val="0"/>
                <w:szCs w:val="21"/>
              </w:rPr>
              <w:t>提供公立医院绩效考核指标的指标结果的可视化图表展示，包括指标结果、平均值、中位值、同环比分析、时间变化趋势、科室对比、医生对比、患者明细等；提供指标数据一键导出功能；能够针对不同特性的指标设定合适的分析维度；支持查看指标说明：查看指标的基本信息，包括指标基本信息、业务统计口径、指标导向、来源系统、业务限定、统计周期、采集方式、指标责任人、汇总人等；历史版本：查看指标的历史版本、修订记录、改动模块；血缘关系：可向前溯源元数据信息，追溯来源库、来源域、来源表，可向后展示基于该指标构成的复杂指标和衍生指标；建设指标包含医疗质量、运行效率、持续发展、满意度评价等维度相关指标及新增重点监控高值医用耗材收入占比指标。</w:t>
            </w:r>
          </w:p>
        </w:tc>
      </w:tr>
      <w:tr w14:paraId="41E71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741" w:type="dxa"/>
            <w:vMerge w:val="continue"/>
            <w:noWrap w:val="0"/>
            <w:vAlign w:val="center"/>
          </w:tcPr>
          <w:p w14:paraId="41A99F57">
            <w:pPr>
              <w:widowControl/>
              <w:jc w:val="left"/>
              <w:rPr>
                <w:rFonts w:hint="eastAsia" w:ascii="宋体" w:hAnsi="宋体" w:cs="宋体"/>
                <w:kern w:val="0"/>
                <w:szCs w:val="21"/>
              </w:rPr>
            </w:pPr>
          </w:p>
        </w:tc>
        <w:tc>
          <w:tcPr>
            <w:tcW w:w="876" w:type="dxa"/>
            <w:noWrap w:val="0"/>
            <w:vAlign w:val="center"/>
          </w:tcPr>
          <w:p w14:paraId="01D1CFF5">
            <w:pPr>
              <w:widowControl/>
              <w:jc w:val="center"/>
              <w:rPr>
                <w:rFonts w:hint="eastAsia" w:ascii="宋体" w:hAnsi="宋体" w:cs="宋体"/>
                <w:kern w:val="0"/>
                <w:szCs w:val="21"/>
              </w:rPr>
            </w:pPr>
            <w:r>
              <w:rPr>
                <w:rFonts w:hint="eastAsia" w:ascii="宋体" w:hAnsi="宋体" w:cs="宋体"/>
                <w:kern w:val="0"/>
                <w:szCs w:val="21"/>
              </w:rPr>
              <w:t>国考监测大屏</w:t>
            </w:r>
          </w:p>
        </w:tc>
        <w:tc>
          <w:tcPr>
            <w:tcW w:w="7170" w:type="dxa"/>
            <w:noWrap w:val="0"/>
            <w:vAlign w:val="center"/>
          </w:tcPr>
          <w:p w14:paraId="3B000770">
            <w:pPr>
              <w:widowControl/>
              <w:rPr>
                <w:rFonts w:hint="eastAsia" w:ascii="宋体" w:hAnsi="宋体" w:cs="宋体"/>
                <w:kern w:val="0"/>
                <w:szCs w:val="21"/>
              </w:rPr>
            </w:pPr>
            <w:r>
              <w:rPr>
                <w:rFonts w:hint="eastAsia" w:ascii="宋体" w:hAnsi="宋体" w:cs="宋体"/>
                <w:kern w:val="0"/>
                <w:szCs w:val="21"/>
              </w:rPr>
              <w:t>支持展示国考方案实时测评分数，及医疗质量、运营效率、持续发展、满意度调查等一级指标得分及得分率；支持折线图、柱状图等形式国家重点监测指标的指标值和同比数据。</w:t>
            </w:r>
          </w:p>
        </w:tc>
      </w:tr>
      <w:tr w14:paraId="24AFD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741" w:type="dxa"/>
            <w:vMerge w:val="continue"/>
            <w:noWrap w:val="0"/>
            <w:vAlign w:val="center"/>
          </w:tcPr>
          <w:p w14:paraId="34EC4524">
            <w:pPr>
              <w:widowControl/>
              <w:jc w:val="left"/>
              <w:rPr>
                <w:rFonts w:hint="eastAsia" w:ascii="宋体" w:hAnsi="宋体" w:cs="宋体"/>
                <w:kern w:val="0"/>
                <w:szCs w:val="21"/>
              </w:rPr>
            </w:pPr>
          </w:p>
        </w:tc>
        <w:tc>
          <w:tcPr>
            <w:tcW w:w="876" w:type="dxa"/>
            <w:noWrap w:val="0"/>
            <w:vAlign w:val="center"/>
          </w:tcPr>
          <w:p w14:paraId="5AEA1CC0">
            <w:pPr>
              <w:widowControl/>
              <w:jc w:val="center"/>
              <w:rPr>
                <w:rFonts w:hint="eastAsia" w:ascii="宋体" w:hAnsi="宋体" w:cs="宋体"/>
                <w:kern w:val="0"/>
                <w:szCs w:val="21"/>
              </w:rPr>
            </w:pPr>
            <w:r>
              <w:rPr>
                <w:rFonts w:hint="eastAsia" w:ascii="宋体" w:hAnsi="宋体" w:cs="宋体"/>
                <w:kern w:val="0"/>
                <w:szCs w:val="21"/>
              </w:rPr>
              <w:t>历史数据导入</w:t>
            </w:r>
          </w:p>
        </w:tc>
        <w:tc>
          <w:tcPr>
            <w:tcW w:w="7170" w:type="dxa"/>
            <w:noWrap w:val="0"/>
            <w:vAlign w:val="center"/>
          </w:tcPr>
          <w:p w14:paraId="6C09AA1D">
            <w:pPr>
              <w:widowControl/>
              <w:rPr>
                <w:rFonts w:ascii="宋体" w:hAnsi="宋体" w:cs="宋体"/>
                <w:kern w:val="0"/>
                <w:szCs w:val="21"/>
              </w:rPr>
            </w:pPr>
            <w:r>
              <w:rPr>
                <w:rFonts w:hint="eastAsia" w:ascii="宋体" w:hAnsi="宋体" w:cs="宋体"/>
                <w:kern w:val="0"/>
                <w:szCs w:val="21"/>
              </w:rPr>
              <w:t>支持导入医院历年的公立医院绩效考核明细结果并提供展示，快速清晰的查看医院历年的得分、排名和指标明细结果；支持对医院历史结果进行分析展示，包括医院国家监测指标历年分值变化和得分率雷达图，国家排名、CMI 排名、科研经费排名、四季手术排名的时间变化趋势，公立医院绩效考核二级指标的历年变化趋势，在总结分析中标记出医院关键指标的得分变化，辅助医院有目的的进行管理</w:t>
            </w:r>
          </w:p>
        </w:tc>
      </w:tr>
      <w:tr w14:paraId="1E8D3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741" w:type="dxa"/>
            <w:vMerge w:val="continue"/>
            <w:noWrap w:val="0"/>
            <w:vAlign w:val="center"/>
          </w:tcPr>
          <w:p w14:paraId="0A8E2C7F">
            <w:pPr>
              <w:widowControl/>
              <w:jc w:val="left"/>
              <w:rPr>
                <w:rFonts w:hint="eastAsia" w:ascii="宋体" w:hAnsi="宋体" w:cs="宋体"/>
                <w:kern w:val="0"/>
                <w:szCs w:val="21"/>
              </w:rPr>
            </w:pPr>
          </w:p>
        </w:tc>
        <w:tc>
          <w:tcPr>
            <w:tcW w:w="876" w:type="dxa"/>
            <w:noWrap w:val="0"/>
            <w:vAlign w:val="center"/>
          </w:tcPr>
          <w:p w14:paraId="6AE7050A">
            <w:pPr>
              <w:widowControl/>
              <w:jc w:val="center"/>
              <w:rPr>
                <w:rFonts w:hint="eastAsia" w:ascii="宋体" w:hAnsi="宋体" w:cs="宋体"/>
                <w:kern w:val="0"/>
                <w:szCs w:val="21"/>
              </w:rPr>
            </w:pPr>
            <w:r>
              <w:rPr>
                <w:rFonts w:hint="eastAsia" w:ascii="宋体" w:hAnsi="宋体" w:cs="宋体"/>
                <w:kern w:val="0"/>
                <w:szCs w:val="21"/>
              </w:rPr>
              <w:t>国考数据分析</w:t>
            </w:r>
          </w:p>
        </w:tc>
        <w:tc>
          <w:tcPr>
            <w:tcW w:w="7170" w:type="dxa"/>
            <w:noWrap w:val="0"/>
            <w:vAlign w:val="center"/>
          </w:tcPr>
          <w:p w14:paraId="29D68201">
            <w:pPr>
              <w:widowControl/>
              <w:rPr>
                <w:rFonts w:hint="eastAsia" w:ascii="宋体" w:hAnsi="宋体" w:cs="宋体"/>
                <w:kern w:val="0"/>
                <w:szCs w:val="21"/>
              </w:rPr>
            </w:pPr>
            <w:r>
              <w:rPr>
                <w:rFonts w:hint="eastAsia" w:ascii="宋体" w:hAnsi="宋体" w:cs="宋体"/>
                <w:kern w:val="0"/>
                <w:szCs w:val="21"/>
              </w:rPr>
              <w:t>支持查看近两年国家监测指标的得分率变化以及失分最多的指标 top5</w:t>
            </w:r>
          </w:p>
        </w:tc>
      </w:tr>
      <w:tr w14:paraId="22A43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741" w:type="dxa"/>
            <w:vMerge w:val="continue"/>
            <w:noWrap w:val="0"/>
            <w:vAlign w:val="center"/>
          </w:tcPr>
          <w:p w14:paraId="496558C5">
            <w:pPr>
              <w:widowControl/>
              <w:jc w:val="left"/>
              <w:rPr>
                <w:rFonts w:hint="eastAsia" w:ascii="宋体" w:hAnsi="宋体" w:cs="宋体"/>
                <w:kern w:val="0"/>
                <w:szCs w:val="21"/>
              </w:rPr>
            </w:pPr>
          </w:p>
        </w:tc>
        <w:tc>
          <w:tcPr>
            <w:tcW w:w="876" w:type="dxa"/>
            <w:noWrap w:val="0"/>
            <w:vAlign w:val="center"/>
          </w:tcPr>
          <w:p w14:paraId="5EB8AE59">
            <w:pPr>
              <w:widowControl/>
              <w:jc w:val="center"/>
              <w:rPr>
                <w:rFonts w:hint="eastAsia" w:ascii="宋体" w:hAnsi="宋体" w:cs="宋体"/>
                <w:kern w:val="0"/>
                <w:szCs w:val="21"/>
              </w:rPr>
            </w:pPr>
            <w:r>
              <w:rPr>
                <w:rFonts w:hint="eastAsia" w:ascii="宋体" w:hAnsi="宋体" w:cs="宋体"/>
                <w:kern w:val="0"/>
                <w:szCs w:val="21"/>
              </w:rPr>
              <w:t>病案管理</w:t>
            </w:r>
          </w:p>
        </w:tc>
        <w:tc>
          <w:tcPr>
            <w:tcW w:w="7170" w:type="dxa"/>
            <w:noWrap w:val="0"/>
            <w:vAlign w:val="center"/>
          </w:tcPr>
          <w:p w14:paraId="3C1B0555">
            <w:pPr>
              <w:widowControl/>
              <w:rPr>
                <w:rFonts w:hint="eastAsia" w:ascii="宋体" w:hAnsi="宋体" w:cs="宋体"/>
                <w:kern w:val="0"/>
                <w:szCs w:val="21"/>
              </w:rPr>
            </w:pPr>
            <w:r>
              <w:rPr>
                <w:rFonts w:hint="eastAsia" w:ascii="宋体" w:hAnsi="宋体" w:cs="宋体"/>
                <w:kern w:val="0"/>
                <w:szCs w:val="21"/>
              </w:rPr>
              <w:t>支持根据国家标准数据上传接口规则上传病案文件数据；支“按年或月统计病案首页质量评分结果分析、责任部门分析、质量结果分析、质量指标分析。其中评分结果分析包含数据量、质量平均分、缺陷项数、平均缺陷项；责任部分分析包含病案首页各负责项责任部分缺陷发生情况分析。</w:t>
            </w:r>
          </w:p>
          <w:p w14:paraId="78E28563">
            <w:pPr>
              <w:pStyle w:val="37"/>
              <w:widowControl/>
              <w:spacing w:beforeAutospacing="0" w:afterAutospacing="0"/>
              <w:jc w:val="both"/>
              <w:rPr>
                <w:rFonts w:hint="eastAsia" w:ascii="宋体" w:hAnsi="宋体" w:cs="宋体"/>
                <w:szCs w:val="21"/>
              </w:rPr>
            </w:pPr>
          </w:p>
        </w:tc>
      </w:tr>
      <w:tr w14:paraId="02939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741" w:type="dxa"/>
            <w:vMerge w:val="continue"/>
            <w:noWrap w:val="0"/>
            <w:vAlign w:val="center"/>
          </w:tcPr>
          <w:p w14:paraId="192B4751">
            <w:pPr>
              <w:widowControl/>
              <w:jc w:val="left"/>
              <w:rPr>
                <w:rFonts w:hint="eastAsia" w:ascii="宋体" w:hAnsi="宋体" w:cs="宋体"/>
                <w:kern w:val="0"/>
                <w:szCs w:val="21"/>
              </w:rPr>
            </w:pPr>
          </w:p>
        </w:tc>
        <w:tc>
          <w:tcPr>
            <w:tcW w:w="876" w:type="dxa"/>
            <w:noWrap w:val="0"/>
            <w:vAlign w:val="center"/>
          </w:tcPr>
          <w:p w14:paraId="65262918">
            <w:pPr>
              <w:pStyle w:val="37"/>
              <w:widowControl/>
              <w:spacing w:beforeAutospacing="0" w:afterAutospacing="0"/>
              <w:jc w:val="center"/>
              <w:rPr>
                <w:rFonts w:hint="eastAsia" w:ascii="宋体" w:hAnsi="宋体" w:cs="宋体"/>
                <w:sz w:val="21"/>
                <w:szCs w:val="21"/>
              </w:rPr>
            </w:pPr>
            <w:r>
              <w:rPr>
                <w:rFonts w:ascii="宋体" w:hAnsi="宋体"/>
                <w:color w:val="333333"/>
                <w:sz w:val="21"/>
                <w:szCs w:val="21"/>
              </w:rPr>
              <w:t>DRG数据管理</w:t>
            </w:r>
          </w:p>
        </w:tc>
        <w:tc>
          <w:tcPr>
            <w:tcW w:w="7170" w:type="dxa"/>
            <w:noWrap w:val="0"/>
            <w:vAlign w:val="center"/>
          </w:tcPr>
          <w:p w14:paraId="5F2BE901">
            <w:pPr>
              <w:pStyle w:val="37"/>
              <w:widowControl/>
              <w:spacing w:beforeAutospacing="0" w:afterAutospacing="0"/>
              <w:jc w:val="both"/>
              <w:rPr>
                <w:rFonts w:hint="eastAsia" w:ascii="宋体" w:hAnsi="宋体" w:cs="宋体"/>
                <w:sz w:val="21"/>
                <w:szCs w:val="21"/>
              </w:rPr>
            </w:pPr>
            <w:r>
              <w:rPr>
                <w:color w:val="333333"/>
                <w:sz w:val="21"/>
                <w:szCs w:val="21"/>
              </w:rPr>
              <w:t>支</w:t>
            </w:r>
            <w:r>
              <w:rPr>
                <w:color w:val="333333"/>
                <w:sz w:val="21"/>
                <w:szCs w:val="21"/>
                <w:shd w:val="clear" w:color="auto" w:fill="FFFF00"/>
              </w:rPr>
              <w:t>持</w:t>
            </w:r>
            <w:r>
              <w:rPr>
                <w:rFonts w:hint="eastAsia"/>
                <w:color w:val="333333"/>
                <w:sz w:val="21"/>
                <w:szCs w:val="21"/>
                <w:shd w:val="clear" w:color="auto" w:fill="FFFF00"/>
              </w:rPr>
              <w:t>接入医院已有分组器数据，</w:t>
            </w:r>
            <w:r>
              <w:rPr>
                <w:color w:val="333333"/>
                <w:sz w:val="21"/>
                <w:szCs w:val="21"/>
                <w:shd w:val="clear" w:color="auto" w:fill="FFFF00"/>
              </w:rPr>
              <w:t>结合医院转科的实际情况，从能力、效率和安全的角度，评价医院、科室、治疗组、个人的绩效；基于病人明细个案，从疑难病例和常见病例的角度，分析本院危急重症救治能力；分析本院住院病人权重构成，异地病人权重构成；提供病种的费用情况分析，提供患者明细查询。</w:t>
            </w:r>
          </w:p>
        </w:tc>
      </w:tr>
      <w:tr w14:paraId="7275B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741" w:type="dxa"/>
            <w:vMerge w:val="continue"/>
            <w:noWrap w:val="0"/>
            <w:vAlign w:val="center"/>
          </w:tcPr>
          <w:p w14:paraId="41F5C6B4">
            <w:pPr>
              <w:widowControl/>
              <w:jc w:val="left"/>
              <w:rPr>
                <w:rFonts w:hint="eastAsia" w:ascii="宋体" w:hAnsi="宋体" w:cs="宋体"/>
                <w:kern w:val="0"/>
                <w:szCs w:val="21"/>
              </w:rPr>
            </w:pPr>
          </w:p>
        </w:tc>
        <w:tc>
          <w:tcPr>
            <w:tcW w:w="876" w:type="dxa"/>
            <w:noWrap w:val="0"/>
            <w:vAlign w:val="center"/>
          </w:tcPr>
          <w:p w14:paraId="79205D8D">
            <w:pPr>
              <w:widowControl/>
              <w:jc w:val="center"/>
              <w:rPr>
                <w:rFonts w:hint="eastAsia" w:ascii="宋体" w:hAnsi="宋体" w:cs="宋体"/>
                <w:kern w:val="0"/>
                <w:szCs w:val="21"/>
              </w:rPr>
            </w:pPr>
            <w:r>
              <w:rPr>
                <w:rFonts w:hint="eastAsia" w:ascii="宋体" w:hAnsi="宋体" w:cs="宋体"/>
                <w:kern w:val="0"/>
                <w:szCs w:val="21"/>
              </w:rPr>
              <w:t>数据上报</w:t>
            </w:r>
          </w:p>
        </w:tc>
        <w:tc>
          <w:tcPr>
            <w:tcW w:w="7170" w:type="dxa"/>
            <w:noWrap w:val="0"/>
            <w:vAlign w:val="center"/>
          </w:tcPr>
          <w:p w14:paraId="04833D71">
            <w:pPr>
              <w:pStyle w:val="82"/>
              <w:ind w:firstLine="0" w:firstLineChars="0"/>
              <w:rPr>
                <w:rFonts w:hint="eastAsia"/>
              </w:rPr>
            </w:pPr>
            <w:r>
              <w:rPr>
                <w:rFonts w:hint="eastAsia" w:ascii="宋体" w:hAnsi="宋体" w:cs="宋体"/>
                <w:szCs w:val="21"/>
              </w:rPr>
              <w:t>支持自动获取类指标直接生成在数据上报模块表格中，填报类指标可以直接在表格中进行填报</w:t>
            </w:r>
          </w:p>
        </w:tc>
      </w:tr>
      <w:tr w14:paraId="204DA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741" w:type="dxa"/>
            <w:vMerge w:val="restart"/>
            <w:noWrap w:val="0"/>
            <w:vAlign w:val="center"/>
          </w:tcPr>
          <w:p w14:paraId="1C587C83">
            <w:pPr>
              <w:widowControl/>
              <w:jc w:val="left"/>
              <w:rPr>
                <w:rFonts w:hint="eastAsia" w:ascii="宋体" w:hAnsi="宋体" w:cs="宋体"/>
                <w:kern w:val="0"/>
                <w:szCs w:val="21"/>
              </w:rPr>
            </w:pPr>
            <w:r>
              <w:rPr>
                <w:rFonts w:hint="eastAsia" w:ascii="宋体" w:hAnsi="宋体" w:cs="宋体"/>
                <w:kern w:val="0"/>
                <w:szCs w:val="21"/>
              </w:rPr>
              <w:t>11.医院等级评审专题分析管理</w:t>
            </w:r>
          </w:p>
        </w:tc>
        <w:tc>
          <w:tcPr>
            <w:tcW w:w="876" w:type="dxa"/>
            <w:noWrap w:val="0"/>
            <w:vAlign w:val="center"/>
          </w:tcPr>
          <w:p w14:paraId="45783A44">
            <w:pPr>
              <w:widowControl/>
              <w:jc w:val="center"/>
              <w:rPr>
                <w:rFonts w:hint="eastAsia" w:ascii="宋体" w:hAnsi="宋体" w:cs="宋体"/>
                <w:kern w:val="0"/>
                <w:szCs w:val="21"/>
              </w:rPr>
            </w:pPr>
            <w:r>
              <w:rPr>
                <w:rFonts w:hint="eastAsia" w:ascii="宋体" w:hAnsi="宋体" w:cs="宋体"/>
                <w:kern w:val="0"/>
                <w:szCs w:val="21"/>
              </w:rPr>
              <w:t>医院等级评审全览</w:t>
            </w:r>
          </w:p>
        </w:tc>
        <w:tc>
          <w:tcPr>
            <w:tcW w:w="7170" w:type="dxa"/>
            <w:noWrap w:val="0"/>
            <w:vAlign w:val="center"/>
          </w:tcPr>
          <w:p w14:paraId="30CBCE70">
            <w:pPr>
              <w:widowControl/>
              <w:rPr>
                <w:rFonts w:hint="eastAsia" w:ascii="宋体" w:hAnsi="宋体" w:cs="宋体"/>
                <w:kern w:val="0"/>
                <w:szCs w:val="21"/>
              </w:rPr>
            </w:pPr>
            <w:r>
              <w:rPr>
                <w:rFonts w:hint="eastAsia" w:ascii="宋体" w:hAnsi="宋体" w:cs="宋体"/>
                <w:kern w:val="0"/>
                <w:szCs w:val="21"/>
              </w:rPr>
              <w:t>支持展示对应省份最新医院等级评审实施细则第二部分医疗服务能力与医疗质量安全检测数据本次评审周期四年的指标结果、指标导向，支持配置指标的自评规则计算出指标的采用数据、达标情况或得分；提供数据导出功能，支持导出指标清单及指标分子分母结果明细；。</w:t>
            </w:r>
          </w:p>
        </w:tc>
      </w:tr>
      <w:tr w14:paraId="2B980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741" w:type="dxa"/>
            <w:vMerge w:val="continue"/>
            <w:noWrap w:val="0"/>
            <w:vAlign w:val="center"/>
          </w:tcPr>
          <w:p w14:paraId="6BED161E">
            <w:pPr>
              <w:widowControl/>
              <w:jc w:val="left"/>
              <w:rPr>
                <w:rFonts w:hint="eastAsia" w:ascii="宋体" w:hAnsi="宋体" w:cs="宋体"/>
                <w:kern w:val="0"/>
                <w:szCs w:val="21"/>
              </w:rPr>
            </w:pPr>
          </w:p>
        </w:tc>
        <w:tc>
          <w:tcPr>
            <w:tcW w:w="876" w:type="dxa"/>
            <w:noWrap w:val="0"/>
            <w:vAlign w:val="center"/>
          </w:tcPr>
          <w:p w14:paraId="7DAD8995">
            <w:pPr>
              <w:widowControl/>
              <w:jc w:val="center"/>
              <w:rPr>
                <w:rFonts w:hint="eastAsia" w:ascii="宋体" w:hAnsi="宋体" w:cs="宋体"/>
                <w:kern w:val="0"/>
                <w:szCs w:val="21"/>
              </w:rPr>
            </w:pPr>
            <w:r>
              <w:rPr>
                <w:rFonts w:hint="eastAsia" w:ascii="宋体" w:hAnsi="宋体" w:cs="宋体"/>
                <w:kern w:val="0"/>
                <w:szCs w:val="21"/>
              </w:rPr>
              <w:t>资源配置与运行数据</w:t>
            </w:r>
          </w:p>
        </w:tc>
        <w:tc>
          <w:tcPr>
            <w:tcW w:w="7170" w:type="dxa"/>
            <w:noWrap w:val="0"/>
            <w:vAlign w:val="center"/>
          </w:tcPr>
          <w:p w14:paraId="3BB3FF2F">
            <w:pPr>
              <w:widowControl/>
              <w:rPr>
                <w:rFonts w:hint="eastAsia" w:ascii="宋体" w:hAnsi="宋体" w:cs="宋体"/>
                <w:kern w:val="0"/>
                <w:szCs w:val="21"/>
              </w:rPr>
            </w:pPr>
            <w:r>
              <w:rPr>
                <w:rFonts w:hint="eastAsia" w:ascii="宋体" w:hAnsi="宋体" w:cs="宋体"/>
                <w:kern w:val="0"/>
                <w:szCs w:val="21"/>
              </w:rPr>
              <w:t>提供医院床位配置、卫生技术人员配备、相关科室资源配置、运行指标、科研指标等 5 大类指标，13 小类的指标内容；5 大类指标包括医院床位配置、人员配置、科室配置、运行指标、科研指标；床位配置：核定床位数、实际开放床位数、平均床位使用率；卫生技术人员配备：卫生技术人员数与开放床位数比、全院护士人数与开放床位数比、病区护士人数与开放床位数比、医院感染管理专职人员数与开放床位数比；相关科室资源配置：急诊医学科、重症医学科、麻醉科、中医科、康复医学科、感染性疾病科 (人、床、工作量)；运行指标：相关手术科室年手术人次占其出院人次比例、开放床位使用率、人员支出占业务支出的比重；科研指标：新技术临床转化数量、取得临床相关国家专利数量。</w:t>
            </w:r>
          </w:p>
        </w:tc>
      </w:tr>
      <w:tr w14:paraId="54A3D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741" w:type="dxa"/>
            <w:vMerge w:val="continue"/>
            <w:noWrap w:val="0"/>
            <w:vAlign w:val="center"/>
          </w:tcPr>
          <w:p w14:paraId="46D3A8DF">
            <w:pPr>
              <w:widowControl/>
              <w:jc w:val="left"/>
              <w:rPr>
                <w:rFonts w:hint="eastAsia" w:ascii="宋体" w:hAnsi="宋体" w:cs="宋体"/>
                <w:kern w:val="0"/>
                <w:szCs w:val="21"/>
              </w:rPr>
            </w:pPr>
          </w:p>
        </w:tc>
        <w:tc>
          <w:tcPr>
            <w:tcW w:w="876" w:type="dxa"/>
            <w:noWrap w:val="0"/>
            <w:vAlign w:val="center"/>
          </w:tcPr>
          <w:p w14:paraId="0521A93E">
            <w:pPr>
              <w:widowControl/>
              <w:jc w:val="center"/>
              <w:rPr>
                <w:rFonts w:hint="eastAsia" w:ascii="宋体" w:hAnsi="宋体" w:cs="宋体"/>
                <w:kern w:val="0"/>
                <w:szCs w:val="21"/>
              </w:rPr>
            </w:pPr>
            <w:r>
              <w:rPr>
                <w:rFonts w:hint="eastAsia" w:ascii="宋体" w:hAnsi="宋体" w:cs="宋体"/>
                <w:kern w:val="0"/>
                <w:szCs w:val="21"/>
              </w:rPr>
              <w:t>医疗服务能力与医院质量安全</w:t>
            </w:r>
          </w:p>
        </w:tc>
        <w:tc>
          <w:tcPr>
            <w:tcW w:w="7170" w:type="dxa"/>
            <w:noWrap w:val="0"/>
            <w:vAlign w:val="center"/>
          </w:tcPr>
          <w:p w14:paraId="3D15507C">
            <w:pPr>
              <w:widowControl/>
              <w:rPr>
                <w:rFonts w:hint="eastAsia" w:ascii="宋体" w:hAnsi="宋体" w:cs="宋体"/>
                <w:kern w:val="0"/>
                <w:szCs w:val="21"/>
              </w:rPr>
            </w:pPr>
            <w:r>
              <w:rPr>
                <w:rFonts w:hint="eastAsia" w:ascii="宋体" w:hAnsi="宋体" w:cs="宋体"/>
                <w:kern w:val="0"/>
                <w:szCs w:val="21"/>
              </w:rPr>
              <w:t>提供医院医疗服务能力下各类指标：收治病种数量、住院术种数量、DRG-DRGs 组数 、DRG-CMI 、DRG 时间消耗指数 、DRG 费用消耗指数、出院患者人次数、出院患者手术比例、出院患者四级手术占比、出院患者微创手术占比等指标内容；提供医院质量安全下各类指标：年度国家医疗质量安全目标改进情况 、患者住院总死亡率 、新生儿患者住院死亡率 、手术患者住院死亡率 、住院患者出院后0-31天非预期再住院率、手术患者术后 48 小时/ 31天内非预期重返手术室 再次手术率 、ICD 低风险病种患者住院死亡率；包含多项医院获得性医疗安全指标及发生例数、发生率统计。</w:t>
            </w:r>
          </w:p>
        </w:tc>
      </w:tr>
      <w:tr w14:paraId="3BA50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741" w:type="dxa"/>
            <w:vMerge w:val="continue"/>
            <w:noWrap w:val="0"/>
            <w:vAlign w:val="center"/>
          </w:tcPr>
          <w:p w14:paraId="2D9DA40F">
            <w:pPr>
              <w:widowControl/>
              <w:jc w:val="left"/>
              <w:rPr>
                <w:rFonts w:hint="eastAsia" w:ascii="宋体" w:hAnsi="宋体" w:cs="宋体"/>
                <w:kern w:val="0"/>
                <w:szCs w:val="21"/>
              </w:rPr>
            </w:pPr>
          </w:p>
        </w:tc>
        <w:tc>
          <w:tcPr>
            <w:tcW w:w="876" w:type="dxa"/>
            <w:noWrap w:val="0"/>
            <w:vAlign w:val="center"/>
          </w:tcPr>
          <w:p w14:paraId="525CC853">
            <w:pPr>
              <w:widowControl/>
              <w:jc w:val="center"/>
              <w:rPr>
                <w:rFonts w:hint="eastAsia" w:ascii="宋体" w:hAnsi="宋体" w:cs="宋体"/>
                <w:kern w:val="0"/>
                <w:szCs w:val="21"/>
              </w:rPr>
            </w:pPr>
            <w:r>
              <w:rPr>
                <w:rFonts w:hint="eastAsia" w:ascii="宋体" w:hAnsi="宋体" w:cs="宋体"/>
                <w:kern w:val="0"/>
                <w:szCs w:val="21"/>
              </w:rPr>
              <w:t>重点专业质量控制</w:t>
            </w:r>
          </w:p>
        </w:tc>
        <w:tc>
          <w:tcPr>
            <w:tcW w:w="7170" w:type="dxa"/>
            <w:noWrap w:val="0"/>
            <w:vAlign w:val="center"/>
          </w:tcPr>
          <w:p w14:paraId="0C463ED8">
            <w:pPr>
              <w:widowControl/>
              <w:rPr>
                <w:rFonts w:hint="eastAsia" w:ascii="宋体" w:hAnsi="宋体" w:cs="宋体"/>
                <w:kern w:val="0"/>
                <w:szCs w:val="21"/>
              </w:rPr>
            </w:pPr>
            <w:r>
              <w:rPr>
                <w:rFonts w:hint="eastAsia" w:ascii="宋体" w:hAnsi="宋体" w:cs="宋体"/>
                <w:kern w:val="0"/>
                <w:szCs w:val="21"/>
              </w:rPr>
              <w:t>根据对应省份最新医院等级评审实施细则第二部分第三章重点专业质量控制指标进行建设，具体指标将根据医院等级评审要求以及医院个专科实际情况进行建设；覆盖临床检验、临床用血、呼吸内科、产科、神经系统疾病、肾病、护理、药事管理、病案管理等超 30 个专业的国家发布质量控制指标。</w:t>
            </w:r>
          </w:p>
        </w:tc>
      </w:tr>
      <w:tr w14:paraId="3802F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741" w:type="dxa"/>
            <w:vMerge w:val="continue"/>
            <w:noWrap w:val="0"/>
            <w:vAlign w:val="center"/>
          </w:tcPr>
          <w:p w14:paraId="6E8D7C7D">
            <w:pPr>
              <w:widowControl/>
              <w:jc w:val="left"/>
              <w:rPr>
                <w:rFonts w:hint="eastAsia" w:ascii="宋体" w:hAnsi="宋体" w:cs="宋体"/>
                <w:kern w:val="0"/>
                <w:szCs w:val="21"/>
              </w:rPr>
            </w:pPr>
          </w:p>
        </w:tc>
        <w:tc>
          <w:tcPr>
            <w:tcW w:w="876" w:type="dxa"/>
            <w:noWrap w:val="0"/>
            <w:vAlign w:val="center"/>
          </w:tcPr>
          <w:p w14:paraId="50E24975">
            <w:pPr>
              <w:widowControl/>
              <w:jc w:val="center"/>
              <w:rPr>
                <w:rFonts w:hint="eastAsia" w:ascii="宋体" w:hAnsi="宋体" w:cs="宋体"/>
                <w:kern w:val="0"/>
                <w:szCs w:val="21"/>
              </w:rPr>
            </w:pPr>
            <w:r>
              <w:rPr>
                <w:rFonts w:hint="eastAsia" w:ascii="宋体" w:hAnsi="宋体" w:cs="宋体"/>
                <w:kern w:val="0"/>
                <w:szCs w:val="21"/>
              </w:rPr>
              <w:t>单病种（术种）质量控制</w:t>
            </w:r>
          </w:p>
        </w:tc>
        <w:tc>
          <w:tcPr>
            <w:tcW w:w="7170" w:type="dxa"/>
            <w:noWrap w:val="0"/>
            <w:vAlign w:val="center"/>
          </w:tcPr>
          <w:p w14:paraId="1D4B4E77">
            <w:pPr>
              <w:widowControl/>
              <w:rPr>
                <w:rFonts w:hint="eastAsia" w:ascii="宋体" w:hAnsi="宋体" w:cs="宋体"/>
                <w:kern w:val="0"/>
                <w:szCs w:val="21"/>
              </w:rPr>
            </w:pPr>
            <w:r>
              <w:rPr>
                <w:rFonts w:hint="eastAsia" w:ascii="宋体" w:hAnsi="宋体" w:cs="宋体"/>
                <w:kern w:val="0"/>
                <w:szCs w:val="21"/>
              </w:rPr>
              <w:t>项目建设参考相关单病种质量控制指标进行，具体将根据医院等级评审实施细则要求以及医院各专科实际情况进行建设；统计单病种例数、平均住院日、次均费用、病死率等指标；覆盖急性心肌梗死、心力衰竭、脑梗死、乳腺癌、胃癌等51个单病种/术种，按ICD-10/ICD-9-CM-3 编码界定纳入范围。</w:t>
            </w:r>
          </w:p>
        </w:tc>
      </w:tr>
      <w:tr w14:paraId="39436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741" w:type="dxa"/>
            <w:vMerge w:val="continue"/>
            <w:noWrap w:val="0"/>
            <w:vAlign w:val="center"/>
          </w:tcPr>
          <w:p w14:paraId="4D6F3CA6">
            <w:pPr>
              <w:widowControl/>
              <w:jc w:val="left"/>
              <w:rPr>
                <w:rFonts w:hint="eastAsia" w:ascii="宋体" w:hAnsi="宋体" w:cs="宋体"/>
                <w:kern w:val="0"/>
                <w:szCs w:val="21"/>
              </w:rPr>
            </w:pPr>
          </w:p>
        </w:tc>
        <w:tc>
          <w:tcPr>
            <w:tcW w:w="876" w:type="dxa"/>
            <w:noWrap w:val="0"/>
            <w:vAlign w:val="center"/>
          </w:tcPr>
          <w:p w14:paraId="6EE9EC3B">
            <w:pPr>
              <w:pStyle w:val="37"/>
              <w:widowControl/>
              <w:spacing w:beforeAutospacing="0" w:afterAutospacing="0"/>
              <w:jc w:val="center"/>
              <w:rPr>
                <w:rFonts w:hint="eastAsia" w:ascii="宋体" w:hAnsi="宋体" w:cs="宋体"/>
                <w:sz w:val="21"/>
                <w:szCs w:val="21"/>
              </w:rPr>
            </w:pPr>
            <w:r>
              <w:rPr>
                <w:rFonts w:ascii="宋体" w:hAnsi="宋体"/>
                <w:color w:val="333333"/>
                <w:sz w:val="21"/>
                <w:szCs w:val="21"/>
              </w:rPr>
              <w:t>TNM</w:t>
            </w:r>
          </w:p>
        </w:tc>
        <w:tc>
          <w:tcPr>
            <w:tcW w:w="7170" w:type="dxa"/>
            <w:noWrap w:val="0"/>
            <w:vAlign w:val="center"/>
          </w:tcPr>
          <w:p w14:paraId="4FDBE487">
            <w:pPr>
              <w:pStyle w:val="37"/>
              <w:widowControl/>
              <w:spacing w:beforeAutospacing="0" w:afterAutospacing="0"/>
              <w:jc w:val="both"/>
              <w:rPr>
                <w:rFonts w:hint="eastAsia" w:ascii="宋体" w:hAnsi="宋体" w:cs="宋体"/>
                <w:sz w:val="21"/>
                <w:szCs w:val="21"/>
              </w:rPr>
            </w:pPr>
            <w:r>
              <w:rPr>
                <w:rFonts w:ascii="宋体" w:hAnsi="宋体" w:eastAsia="宋体" w:cs="微软雅黑"/>
                <w:color w:val="585858"/>
                <w:sz w:val="21"/>
                <w:szCs w:val="21"/>
                <w:shd w:val="clear" w:color="auto" w:fill="FFFFFF"/>
              </w:rPr>
              <w:t>需</w:t>
            </w:r>
            <w:r>
              <w:rPr>
                <w:rFonts w:hint="eastAsia" w:ascii="宋体" w:hAnsi="宋体" w:eastAsia="宋体" w:cs="微软雅黑"/>
                <w:color w:val="585858"/>
                <w:sz w:val="21"/>
                <w:szCs w:val="21"/>
                <w:shd w:val="clear" w:color="auto" w:fill="FFFFFF"/>
              </w:rPr>
              <w:t>支持统计肿瘤治疗前TNM分期评估明细表及评估率，肺癌、肝内胆管癌、甲状腺癌、结直肠癌、前列腺癌、乳腺癌、肾癌、食管癌、胃癌、肝细胞癌、宫颈癌肿瘤患者首次治疗前临床TNM分期评估率、肿瘤患者首次治疗前病理学诊断率及其明细表。</w:t>
            </w:r>
            <w:r>
              <w:rPr>
                <w:rFonts w:hint="eastAsia" w:ascii="宋体" w:hAnsi="宋体" w:cs="宋体"/>
                <w:color w:val="000000"/>
                <w:sz w:val="21"/>
                <w:szCs w:val="21"/>
              </w:rPr>
              <w:t>需支持根据医院等级评审实施细则要求以及医院各专科情况进行配置建设。</w:t>
            </w:r>
          </w:p>
        </w:tc>
      </w:tr>
      <w:tr w14:paraId="09DF6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741" w:type="dxa"/>
            <w:vMerge w:val="continue"/>
            <w:noWrap w:val="0"/>
            <w:vAlign w:val="center"/>
          </w:tcPr>
          <w:p w14:paraId="510CDF97">
            <w:pPr>
              <w:widowControl/>
              <w:jc w:val="left"/>
              <w:rPr>
                <w:rFonts w:hint="eastAsia" w:ascii="宋体" w:hAnsi="宋体" w:cs="宋体"/>
                <w:kern w:val="0"/>
                <w:szCs w:val="21"/>
              </w:rPr>
            </w:pPr>
          </w:p>
        </w:tc>
        <w:tc>
          <w:tcPr>
            <w:tcW w:w="876" w:type="dxa"/>
            <w:noWrap w:val="0"/>
            <w:vAlign w:val="center"/>
          </w:tcPr>
          <w:p w14:paraId="1F28A04C">
            <w:pPr>
              <w:widowControl/>
              <w:jc w:val="center"/>
              <w:rPr>
                <w:rFonts w:hint="eastAsia" w:ascii="宋体" w:hAnsi="宋体" w:cs="宋体"/>
                <w:kern w:val="0"/>
                <w:szCs w:val="21"/>
              </w:rPr>
            </w:pPr>
            <w:r>
              <w:rPr>
                <w:rFonts w:hint="eastAsia" w:ascii="宋体" w:hAnsi="宋体" w:cs="宋体"/>
                <w:kern w:val="0"/>
                <w:szCs w:val="21"/>
              </w:rPr>
              <w:t>重点医疗技术临床应用质量控制</w:t>
            </w:r>
          </w:p>
        </w:tc>
        <w:tc>
          <w:tcPr>
            <w:tcW w:w="7170" w:type="dxa"/>
            <w:noWrap w:val="0"/>
            <w:vAlign w:val="center"/>
          </w:tcPr>
          <w:p w14:paraId="3759BE09">
            <w:pPr>
              <w:widowControl/>
              <w:rPr>
                <w:rFonts w:hint="eastAsia" w:ascii="宋体" w:hAnsi="宋体" w:cs="宋体"/>
                <w:kern w:val="0"/>
                <w:szCs w:val="21"/>
              </w:rPr>
            </w:pPr>
            <w:r>
              <w:rPr>
                <w:rFonts w:hint="eastAsia" w:ascii="宋体" w:hAnsi="宋体" w:cs="宋体"/>
                <w:kern w:val="0"/>
                <w:szCs w:val="21"/>
              </w:rPr>
              <w:t>项目建设参考相关单病种质量控制指标进行，具体将根据所在省份医院等级评审实施细则要求以及医院各专科实际情况进行建设；包含国家限制类医疗技术、省限制类医疗技术、人体器官捐献获取与移植技术相关质量控制指标；其中国家限制类含异基因造血干细胞移植、ECMO、人工智能辅助治疗等技术，省限制类含各科室内镜诊疗、关节置换等技术，器官移植含肝、肾、心、肺等移植技术质控指标</w:t>
            </w:r>
          </w:p>
        </w:tc>
      </w:tr>
      <w:tr w14:paraId="1F629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741" w:type="dxa"/>
            <w:vMerge w:val="continue"/>
            <w:noWrap w:val="0"/>
            <w:vAlign w:val="center"/>
          </w:tcPr>
          <w:p w14:paraId="3632F6A0">
            <w:pPr>
              <w:widowControl/>
              <w:jc w:val="left"/>
              <w:rPr>
                <w:rFonts w:hint="eastAsia" w:ascii="宋体" w:hAnsi="宋体" w:cs="宋体"/>
                <w:kern w:val="0"/>
                <w:szCs w:val="21"/>
              </w:rPr>
            </w:pPr>
          </w:p>
        </w:tc>
        <w:tc>
          <w:tcPr>
            <w:tcW w:w="876" w:type="dxa"/>
            <w:noWrap w:val="0"/>
            <w:vAlign w:val="center"/>
          </w:tcPr>
          <w:p w14:paraId="167B8634">
            <w:pPr>
              <w:widowControl/>
              <w:jc w:val="center"/>
              <w:rPr>
                <w:rFonts w:hint="eastAsia" w:ascii="宋体" w:hAnsi="宋体" w:cs="宋体"/>
                <w:kern w:val="0"/>
                <w:szCs w:val="21"/>
              </w:rPr>
            </w:pPr>
            <w:r>
              <w:rPr>
                <w:rFonts w:hint="eastAsia" w:ascii="宋体" w:hAnsi="宋体" w:cs="宋体"/>
                <w:kern w:val="0"/>
                <w:szCs w:val="21"/>
              </w:rPr>
              <w:t>循证溯源</w:t>
            </w:r>
          </w:p>
        </w:tc>
        <w:tc>
          <w:tcPr>
            <w:tcW w:w="7170" w:type="dxa"/>
            <w:noWrap w:val="0"/>
            <w:vAlign w:val="center"/>
          </w:tcPr>
          <w:p w14:paraId="744C699A">
            <w:pPr>
              <w:widowControl/>
              <w:rPr>
                <w:rFonts w:hint="eastAsia" w:ascii="宋体" w:hAnsi="宋体" w:cs="宋体"/>
                <w:kern w:val="0"/>
                <w:szCs w:val="21"/>
              </w:rPr>
            </w:pPr>
            <w:r>
              <w:rPr>
                <w:rFonts w:hint="eastAsia" w:ascii="宋体" w:hAnsi="宋体" w:cs="宋体"/>
                <w:kern w:val="0"/>
                <w:szCs w:val="21"/>
              </w:rPr>
              <w:t>支持一键调取明细列表中患者该次就诊信息的全部数据，包括病案首页、手术记录、检查记录、检验记录、医嘱明细等，对符合条件的数据来源优先展示和关键数据项高亮展示；支持在患者明细列表中点击跳转至患者就诊全息视图进入溯源模式，在溯源模式中系统会自动高亮展示患者本次就诊的病历文书、医嘱信息、检查检验报告等关键数据源</w:t>
            </w:r>
          </w:p>
        </w:tc>
      </w:tr>
      <w:tr w14:paraId="46B7D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5" w:hRule="atLeast"/>
        </w:trPr>
        <w:tc>
          <w:tcPr>
            <w:tcW w:w="741" w:type="dxa"/>
            <w:vMerge w:val="continue"/>
            <w:noWrap w:val="0"/>
            <w:vAlign w:val="center"/>
          </w:tcPr>
          <w:p w14:paraId="047B5D00">
            <w:pPr>
              <w:widowControl/>
              <w:jc w:val="left"/>
              <w:rPr>
                <w:rFonts w:hint="eastAsia" w:ascii="宋体" w:hAnsi="宋体" w:cs="宋体"/>
                <w:kern w:val="0"/>
                <w:szCs w:val="21"/>
              </w:rPr>
            </w:pPr>
          </w:p>
        </w:tc>
        <w:tc>
          <w:tcPr>
            <w:tcW w:w="876" w:type="dxa"/>
            <w:noWrap w:val="0"/>
            <w:vAlign w:val="center"/>
          </w:tcPr>
          <w:p w14:paraId="456D7D1D">
            <w:pPr>
              <w:widowControl/>
              <w:jc w:val="center"/>
              <w:rPr>
                <w:rFonts w:hint="eastAsia" w:ascii="宋体" w:hAnsi="宋体" w:cs="宋体"/>
                <w:kern w:val="0"/>
                <w:szCs w:val="21"/>
              </w:rPr>
            </w:pPr>
            <w:r>
              <w:rPr>
                <w:rFonts w:hint="eastAsia" w:ascii="宋体" w:hAnsi="宋体" w:cs="宋体"/>
                <w:kern w:val="0"/>
                <w:szCs w:val="21"/>
              </w:rPr>
              <w:t>持续改进</w:t>
            </w:r>
          </w:p>
        </w:tc>
        <w:tc>
          <w:tcPr>
            <w:tcW w:w="7170" w:type="dxa"/>
            <w:noWrap w:val="0"/>
            <w:vAlign w:val="center"/>
          </w:tcPr>
          <w:p w14:paraId="355D8A59">
            <w:pPr>
              <w:widowControl/>
              <w:rPr>
                <w:rFonts w:hint="eastAsia" w:ascii="宋体" w:hAnsi="宋体" w:cs="宋体"/>
                <w:kern w:val="0"/>
                <w:szCs w:val="21"/>
              </w:rPr>
            </w:pPr>
            <w:r>
              <w:rPr>
                <w:rFonts w:hint="eastAsia" w:ascii="宋体" w:hAnsi="宋体" w:cs="宋体"/>
                <w:kern w:val="0"/>
                <w:szCs w:val="21"/>
              </w:rPr>
              <w:t>支持对需要改进的指标进行线上 PDCA 管理；计划环节：利用 5W1H 工具分析问题与挑战；支持在线绘制鱼骨图进行根本原因识别；支持编辑整改措施等内容；执行环节：支持填写执行对策、执行进度、执行人员和上传执行过程中产生的附件内容；检查环节：能够展示整改前指定周期的指标结果、整改后指定周期的指标结果，并进行整改前后对比分析；处理环节：对于改进过程中的经验和不足进行标化总结，支持上传相关佐证材料</w:t>
            </w:r>
          </w:p>
        </w:tc>
      </w:tr>
      <w:tr w14:paraId="52ADC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741" w:type="dxa"/>
            <w:vMerge w:val="restart"/>
            <w:noWrap w:val="0"/>
            <w:vAlign w:val="center"/>
          </w:tcPr>
          <w:p w14:paraId="5497CAEC">
            <w:pPr>
              <w:widowControl/>
              <w:jc w:val="left"/>
              <w:rPr>
                <w:rFonts w:hint="eastAsia" w:ascii="宋体" w:hAnsi="宋体" w:cs="宋体"/>
                <w:kern w:val="0"/>
                <w:szCs w:val="21"/>
              </w:rPr>
            </w:pPr>
            <w:r>
              <w:rPr>
                <w:rFonts w:hint="eastAsia" w:ascii="宋体" w:hAnsi="宋体" w:cs="宋体"/>
                <w:kern w:val="0"/>
                <w:szCs w:val="21"/>
              </w:rPr>
              <w:t>12.移动端</w:t>
            </w:r>
          </w:p>
        </w:tc>
        <w:tc>
          <w:tcPr>
            <w:tcW w:w="876" w:type="dxa"/>
            <w:vMerge w:val="restart"/>
            <w:noWrap w:val="0"/>
            <w:vAlign w:val="center"/>
          </w:tcPr>
          <w:p w14:paraId="13D0EA73">
            <w:pPr>
              <w:widowControl/>
              <w:rPr>
                <w:rFonts w:hint="eastAsia" w:ascii="宋体" w:hAnsi="宋体" w:cs="宋体"/>
                <w:kern w:val="0"/>
                <w:szCs w:val="21"/>
              </w:rPr>
            </w:pPr>
            <w:r>
              <w:rPr>
                <w:rFonts w:hint="eastAsia" w:ascii="宋体" w:hAnsi="宋体" w:cs="宋体"/>
                <w:kern w:val="0"/>
                <w:szCs w:val="21"/>
              </w:rPr>
              <w:t>功能指标</w:t>
            </w:r>
          </w:p>
        </w:tc>
        <w:tc>
          <w:tcPr>
            <w:tcW w:w="7170" w:type="dxa"/>
            <w:noWrap w:val="0"/>
            <w:vAlign w:val="center"/>
          </w:tcPr>
          <w:p w14:paraId="5399493B">
            <w:pPr>
              <w:widowControl/>
              <w:rPr>
                <w:rFonts w:hint="eastAsia" w:ascii="宋体" w:hAnsi="宋体" w:cs="宋体"/>
                <w:kern w:val="0"/>
                <w:szCs w:val="21"/>
              </w:rPr>
            </w:pPr>
            <w:r>
              <w:rPr>
                <w:rFonts w:hint="eastAsia" w:ascii="宋体" w:hAnsi="宋体" w:cs="宋体"/>
                <w:kern w:val="0"/>
                <w:szCs w:val="21"/>
              </w:rPr>
              <w:t>支持用户在企业微信与官方APP上手动输入服务器地址和二维码扫描连接服务器的方式，便于用户进行移动端服务器登录。</w:t>
            </w:r>
          </w:p>
        </w:tc>
      </w:tr>
      <w:tr w14:paraId="0AB4A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741" w:type="dxa"/>
            <w:vMerge w:val="continue"/>
            <w:noWrap w:val="0"/>
            <w:vAlign w:val="center"/>
          </w:tcPr>
          <w:p w14:paraId="5F6E9D6F">
            <w:pPr>
              <w:widowControl/>
              <w:jc w:val="left"/>
              <w:rPr>
                <w:rFonts w:hint="eastAsia" w:ascii="宋体" w:hAnsi="宋体" w:cs="宋体"/>
                <w:kern w:val="0"/>
                <w:szCs w:val="21"/>
              </w:rPr>
            </w:pPr>
          </w:p>
        </w:tc>
        <w:tc>
          <w:tcPr>
            <w:tcW w:w="876" w:type="dxa"/>
            <w:vMerge w:val="continue"/>
            <w:noWrap w:val="0"/>
            <w:vAlign w:val="center"/>
          </w:tcPr>
          <w:p w14:paraId="3047D057">
            <w:pPr>
              <w:widowControl/>
              <w:jc w:val="center"/>
              <w:rPr>
                <w:rFonts w:hint="eastAsia" w:ascii="宋体" w:hAnsi="宋体" w:cs="宋体"/>
                <w:kern w:val="0"/>
                <w:szCs w:val="21"/>
              </w:rPr>
            </w:pPr>
          </w:p>
        </w:tc>
        <w:tc>
          <w:tcPr>
            <w:tcW w:w="7170" w:type="dxa"/>
            <w:noWrap w:val="0"/>
            <w:vAlign w:val="center"/>
          </w:tcPr>
          <w:p w14:paraId="537B22E4">
            <w:pPr>
              <w:widowControl/>
              <w:rPr>
                <w:rFonts w:hint="eastAsia" w:ascii="宋体" w:hAnsi="宋体" w:cs="宋体"/>
                <w:kern w:val="0"/>
                <w:szCs w:val="21"/>
              </w:rPr>
            </w:pPr>
            <w:r>
              <w:rPr>
                <w:rFonts w:hint="eastAsia" w:ascii="宋体" w:hAnsi="宋体" w:cs="宋体"/>
                <w:kern w:val="0"/>
                <w:szCs w:val="21"/>
              </w:rPr>
              <w:t>支持在移动端对表格以及图形进行数据层级钻取穿透、联动、旋转、切片分析，支持用户将自己常用的模板进行收藏。</w:t>
            </w:r>
          </w:p>
        </w:tc>
      </w:tr>
      <w:tr w14:paraId="52C3E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741" w:type="dxa"/>
            <w:vMerge w:val="continue"/>
            <w:noWrap w:val="0"/>
            <w:vAlign w:val="center"/>
          </w:tcPr>
          <w:p w14:paraId="28583CA5">
            <w:pPr>
              <w:widowControl/>
              <w:jc w:val="left"/>
              <w:rPr>
                <w:rFonts w:hint="eastAsia" w:ascii="宋体" w:hAnsi="宋体" w:cs="宋体"/>
                <w:kern w:val="0"/>
                <w:szCs w:val="21"/>
              </w:rPr>
            </w:pPr>
          </w:p>
        </w:tc>
        <w:tc>
          <w:tcPr>
            <w:tcW w:w="876" w:type="dxa"/>
            <w:vMerge w:val="continue"/>
            <w:noWrap w:val="0"/>
            <w:vAlign w:val="center"/>
          </w:tcPr>
          <w:p w14:paraId="15989413">
            <w:pPr>
              <w:widowControl/>
              <w:jc w:val="center"/>
              <w:rPr>
                <w:rFonts w:hint="eastAsia" w:ascii="宋体" w:hAnsi="宋体" w:cs="宋体"/>
                <w:kern w:val="0"/>
                <w:szCs w:val="21"/>
              </w:rPr>
            </w:pPr>
          </w:p>
        </w:tc>
        <w:tc>
          <w:tcPr>
            <w:tcW w:w="7170" w:type="dxa"/>
            <w:noWrap w:val="0"/>
            <w:vAlign w:val="center"/>
          </w:tcPr>
          <w:p w14:paraId="766981CB">
            <w:pPr>
              <w:widowControl/>
              <w:rPr>
                <w:rFonts w:hint="eastAsia" w:ascii="宋体" w:hAnsi="宋体" w:cs="宋体"/>
                <w:kern w:val="0"/>
                <w:szCs w:val="21"/>
              </w:rPr>
            </w:pPr>
            <w:r>
              <w:rPr>
                <w:rFonts w:hint="eastAsia" w:ascii="宋体" w:hAnsi="宋体" w:cs="宋体"/>
                <w:kern w:val="0"/>
                <w:szCs w:val="21"/>
              </w:rPr>
              <w:t>支持与企业微信进行集成，同时支持用户的自动和手动匹配，进行单点登录，实现无缝集成。支持移动设备的常见交互体验，比如缩放、横屏、手势翻页等操作，另外还兼容PC端的交互效果，包括数据钻取、图表联动等。</w:t>
            </w:r>
          </w:p>
        </w:tc>
      </w:tr>
      <w:tr w14:paraId="69109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741" w:type="dxa"/>
            <w:vMerge w:val="continue"/>
            <w:noWrap w:val="0"/>
            <w:vAlign w:val="center"/>
          </w:tcPr>
          <w:p w14:paraId="52215AE0">
            <w:pPr>
              <w:widowControl/>
              <w:jc w:val="left"/>
              <w:rPr>
                <w:rFonts w:hint="eastAsia" w:ascii="宋体" w:hAnsi="宋体" w:cs="宋体"/>
                <w:kern w:val="0"/>
                <w:szCs w:val="21"/>
              </w:rPr>
            </w:pPr>
          </w:p>
        </w:tc>
        <w:tc>
          <w:tcPr>
            <w:tcW w:w="876" w:type="dxa"/>
            <w:noWrap w:val="0"/>
            <w:vAlign w:val="center"/>
          </w:tcPr>
          <w:p w14:paraId="3F5AF663">
            <w:pPr>
              <w:widowControl/>
              <w:jc w:val="center"/>
              <w:rPr>
                <w:rFonts w:hint="eastAsia" w:ascii="宋体" w:hAnsi="宋体" w:cs="宋体"/>
                <w:kern w:val="0"/>
                <w:szCs w:val="21"/>
              </w:rPr>
            </w:pPr>
            <w:r>
              <w:rPr>
                <w:rFonts w:hint="eastAsia" w:ascii="宋体" w:hAnsi="宋体" w:cs="宋体"/>
                <w:kern w:val="0"/>
                <w:szCs w:val="21"/>
              </w:rPr>
              <w:t>掌上门户</w:t>
            </w:r>
          </w:p>
        </w:tc>
        <w:tc>
          <w:tcPr>
            <w:tcW w:w="7170" w:type="dxa"/>
            <w:noWrap w:val="0"/>
            <w:vAlign w:val="center"/>
          </w:tcPr>
          <w:p w14:paraId="67C68D59">
            <w:pPr>
              <w:widowControl/>
              <w:rPr>
                <w:rFonts w:hint="eastAsia" w:ascii="宋体" w:hAnsi="宋体" w:cs="宋体"/>
                <w:kern w:val="0"/>
                <w:szCs w:val="21"/>
              </w:rPr>
            </w:pPr>
            <w:r>
              <w:rPr>
                <w:rFonts w:hint="eastAsia" w:ascii="宋体" w:hAnsi="宋体" w:cs="宋体"/>
                <w:kern w:val="0"/>
                <w:szCs w:val="21"/>
              </w:rPr>
              <w:t>支持移动端聚合医院运营管理核心主题指标分析入口，包括门诊、住院、财务等业务主题，以及医院等级评审、公立医院绩效考核等考核主题，为管理者提供实时运营看板与高频功能的一键触达入口。</w:t>
            </w:r>
          </w:p>
        </w:tc>
      </w:tr>
      <w:tr w14:paraId="38ADE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741" w:type="dxa"/>
            <w:vMerge w:val="continue"/>
            <w:noWrap w:val="0"/>
            <w:vAlign w:val="center"/>
          </w:tcPr>
          <w:p w14:paraId="5213EB43">
            <w:pPr>
              <w:widowControl/>
              <w:jc w:val="left"/>
              <w:rPr>
                <w:rFonts w:hint="eastAsia" w:ascii="宋体" w:hAnsi="宋体" w:cs="宋体"/>
                <w:kern w:val="0"/>
                <w:szCs w:val="21"/>
              </w:rPr>
            </w:pPr>
          </w:p>
        </w:tc>
        <w:tc>
          <w:tcPr>
            <w:tcW w:w="876" w:type="dxa"/>
            <w:noWrap w:val="0"/>
            <w:vAlign w:val="center"/>
          </w:tcPr>
          <w:p w14:paraId="06DEA815">
            <w:pPr>
              <w:widowControl/>
              <w:jc w:val="center"/>
              <w:rPr>
                <w:rFonts w:hint="eastAsia" w:ascii="宋体" w:hAnsi="宋体" w:cs="宋体"/>
                <w:kern w:val="0"/>
                <w:szCs w:val="21"/>
              </w:rPr>
            </w:pPr>
            <w:r>
              <w:rPr>
                <w:rFonts w:hint="eastAsia" w:ascii="宋体" w:hAnsi="宋体" w:cs="宋体"/>
                <w:kern w:val="0"/>
                <w:szCs w:val="21"/>
              </w:rPr>
              <w:t>掌上驾驶舱</w:t>
            </w:r>
          </w:p>
        </w:tc>
        <w:tc>
          <w:tcPr>
            <w:tcW w:w="7170" w:type="dxa"/>
            <w:noWrap w:val="0"/>
            <w:vAlign w:val="center"/>
          </w:tcPr>
          <w:p w14:paraId="16B283D1">
            <w:pPr>
              <w:widowControl/>
              <w:rPr>
                <w:rFonts w:hint="eastAsia" w:ascii="宋体" w:hAnsi="宋体" w:cs="宋体"/>
                <w:kern w:val="0"/>
                <w:szCs w:val="21"/>
              </w:rPr>
            </w:pPr>
            <w:r>
              <w:rPr>
                <w:rFonts w:hint="eastAsia" w:ascii="宋体" w:hAnsi="宋体" w:cs="宋体"/>
                <w:kern w:val="0"/>
                <w:szCs w:val="21"/>
              </w:rPr>
              <w:t>支持移动端查看全院今日总览、门诊、住院、财务、重症救治等主题指标分析。提供实时、周期性数据统计。支持按时间、院区、科室维度进行趋势分析，支持明细查看</w:t>
            </w:r>
          </w:p>
        </w:tc>
      </w:tr>
      <w:tr w14:paraId="2E827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741" w:type="dxa"/>
            <w:vMerge w:val="continue"/>
            <w:noWrap w:val="0"/>
            <w:vAlign w:val="center"/>
          </w:tcPr>
          <w:p w14:paraId="466E67AF">
            <w:pPr>
              <w:widowControl/>
              <w:jc w:val="left"/>
              <w:rPr>
                <w:rFonts w:hint="eastAsia" w:ascii="宋体" w:hAnsi="宋体" w:cs="宋体"/>
                <w:kern w:val="0"/>
                <w:szCs w:val="21"/>
              </w:rPr>
            </w:pPr>
          </w:p>
        </w:tc>
        <w:tc>
          <w:tcPr>
            <w:tcW w:w="876" w:type="dxa"/>
            <w:noWrap w:val="0"/>
            <w:vAlign w:val="center"/>
          </w:tcPr>
          <w:p w14:paraId="5E524AD9">
            <w:pPr>
              <w:widowControl/>
              <w:jc w:val="center"/>
              <w:rPr>
                <w:rFonts w:hint="eastAsia" w:ascii="宋体" w:hAnsi="宋体" w:cs="宋体"/>
                <w:kern w:val="0"/>
                <w:szCs w:val="21"/>
              </w:rPr>
            </w:pPr>
            <w:r>
              <w:rPr>
                <w:rFonts w:hint="eastAsia" w:ascii="宋体" w:hAnsi="宋体" w:cs="宋体"/>
                <w:kern w:val="0"/>
                <w:szCs w:val="21"/>
              </w:rPr>
              <w:t>运营分析报告</w:t>
            </w:r>
          </w:p>
        </w:tc>
        <w:tc>
          <w:tcPr>
            <w:tcW w:w="7170" w:type="dxa"/>
            <w:noWrap w:val="0"/>
            <w:vAlign w:val="center"/>
          </w:tcPr>
          <w:p w14:paraId="76326C73">
            <w:pPr>
              <w:widowControl/>
              <w:rPr>
                <w:rFonts w:hint="eastAsia" w:ascii="宋体" w:hAnsi="宋体" w:cs="宋体"/>
                <w:kern w:val="0"/>
                <w:szCs w:val="21"/>
              </w:rPr>
            </w:pPr>
            <w:r>
              <w:rPr>
                <w:rFonts w:hint="eastAsia" w:ascii="宋体" w:hAnsi="宋体" w:cs="宋体"/>
                <w:kern w:val="0"/>
                <w:szCs w:val="21"/>
              </w:rPr>
              <w:t>支持在移动端查看按照预置的模板进行推送的运营分析报告，支持查看针对指标达标情况的建议分析</w:t>
            </w:r>
          </w:p>
        </w:tc>
      </w:tr>
      <w:tr w14:paraId="71984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741" w:type="dxa"/>
            <w:vMerge w:val="continue"/>
            <w:noWrap w:val="0"/>
            <w:vAlign w:val="center"/>
          </w:tcPr>
          <w:p w14:paraId="0BD451F4">
            <w:pPr>
              <w:widowControl/>
              <w:jc w:val="left"/>
              <w:rPr>
                <w:rFonts w:hint="eastAsia" w:ascii="宋体" w:hAnsi="宋体" w:cs="宋体"/>
                <w:kern w:val="0"/>
                <w:szCs w:val="21"/>
              </w:rPr>
            </w:pPr>
          </w:p>
        </w:tc>
        <w:tc>
          <w:tcPr>
            <w:tcW w:w="876" w:type="dxa"/>
            <w:vMerge w:val="restart"/>
            <w:noWrap w:val="0"/>
            <w:vAlign w:val="center"/>
          </w:tcPr>
          <w:p w14:paraId="72BE7920">
            <w:pPr>
              <w:widowControl/>
              <w:jc w:val="center"/>
              <w:rPr>
                <w:rFonts w:hint="eastAsia" w:ascii="宋体" w:hAnsi="宋体" w:cs="宋体"/>
                <w:kern w:val="0"/>
                <w:szCs w:val="21"/>
              </w:rPr>
            </w:pPr>
            <w:r>
              <w:rPr>
                <w:rFonts w:hint="eastAsia" w:ascii="宋体" w:hAnsi="宋体" w:cs="宋体"/>
                <w:kern w:val="0"/>
                <w:szCs w:val="21"/>
              </w:rPr>
              <w:t>考核专题指标检测</w:t>
            </w:r>
          </w:p>
        </w:tc>
        <w:tc>
          <w:tcPr>
            <w:tcW w:w="7170" w:type="dxa"/>
            <w:noWrap w:val="0"/>
            <w:vAlign w:val="center"/>
          </w:tcPr>
          <w:p w14:paraId="35653AFA">
            <w:pPr>
              <w:widowControl/>
              <w:rPr>
                <w:rFonts w:hint="eastAsia" w:ascii="宋体" w:hAnsi="宋体" w:cs="宋体"/>
                <w:kern w:val="0"/>
                <w:szCs w:val="21"/>
              </w:rPr>
            </w:pPr>
            <w:r>
              <w:rPr>
                <w:rFonts w:hint="eastAsia" w:ascii="宋体" w:hAnsi="宋体" w:cs="宋体"/>
                <w:kern w:val="0"/>
                <w:szCs w:val="21"/>
              </w:rPr>
              <w:t>基于常用指标、公立医院绩效考核、医院等级评审等指标体系标准进行指标目录分类。指标列表提供指标业务定义、指标实时结果、周同比、月环比的展示</w:t>
            </w:r>
          </w:p>
        </w:tc>
      </w:tr>
      <w:tr w14:paraId="306FE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741" w:type="dxa"/>
            <w:vMerge w:val="continue"/>
            <w:noWrap w:val="0"/>
            <w:vAlign w:val="center"/>
          </w:tcPr>
          <w:p w14:paraId="4B52AD0F">
            <w:pPr>
              <w:widowControl/>
              <w:jc w:val="left"/>
              <w:rPr>
                <w:rFonts w:hint="eastAsia" w:ascii="宋体" w:hAnsi="宋体" w:cs="宋体"/>
                <w:kern w:val="0"/>
                <w:szCs w:val="21"/>
              </w:rPr>
            </w:pPr>
          </w:p>
        </w:tc>
        <w:tc>
          <w:tcPr>
            <w:tcW w:w="876" w:type="dxa"/>
            <w:vMerge w:val="continue"/>
            <w:noWrap w:val="0"/>
            <w:vAlign w:val="center"/>
          </w:tcPr>
          <w:p w14:paraId="31CD104F">
            <w:pPr>
              <w:widowControl/>
              <w:jc w:val="center"/>
              <w:rPr>
                <w:rFonts w:hint="eastAsia" w:ascii="宋体" w:hAnsi="宋体" w:cs="宋体"/>
                <w:kern w:val="0"/>
                <w:szCs w:val="21"/>
              </w:rPr>
            </w:pPr>
          </w:p>
        </w:tc>
        <w:tc>
          <w:tcPr>
            <w:tcW w:w="7170" w:type="dxa"/>
            <w:noWrap w:val="0"/>
            <w:vAlign w:val="center"/>
          </w:tcPr>
          <w:p w14:paraId="4EAC4A56">
            <w:pPr>
              <w:widowControl/>
              <w:rPr>
                <w:rFonts w:hint="eastAsia" w:ascii="宋体" w:hAnsi="宋体" w:cs="宋体"/>
                <w:kern w:val="0"/>
                <w:szCs w:val="21"/>
              </w:rPr>
            </w:pPr>
            <w:r>
              <w:rPr>
                <w:rFonts w:hint="eastAsia" w:ascii="宋体" w:hAnsi="宋体" w:cs="宋体"/>
                <w:kern w:val="0"/>
                <w:szCs w:val="21"/>
              </w:rPr>
              <w:t>提供国考、等级评审重点指标、医院高质量发展等考核主题指标监测。支持查看指标一览，及指标说明信息。通过监测指标详情，查看指标实时、历史数据、院区 / 科室趋势和明细分析</w:t>
            </w:r>
          </w:p>
        </w:tc>
      </w:tr>
      <w:tr w14:paraId="6B51D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741" w:type="dxa"/>
            <w:vMerge w:val="continue"/>
            <w:noWrap w:val="0"/>
            <w:vAlign w:val="center"/>
          </w:tcPr>
          <w:p w14:paraId="22280135">
            <w:pPr>
              <w:widowControl/>
              <w:jc w:val="left"/>
              <w:rPr>
                <w:rFonts w:hint="eastAsia" w:ascii="宋体" w:hAnsi="宋体" w:cs="宋体"/>
                <w:kern w:val="0"/>
                <w:szCs w:val="21"/>
              </w:rPr>
            </w:pPr>
          </w:p>
        </w:tc>
        <w:tc>
          <w:tcPr>
            <w:tcW w:w="876" w:type="dxa"/>
            <w:vMerge w:val="continue"/>
            <w:noWrap w:val="0"/>
            <w:vAlign w:val="center"/>
          </w:tcPr>
          <w:p w14:paraId="78955B01">
            <w:pPr>
              <w:widowControl/>
              <w:jc w:val="center"/>
              <w:rPr>
                <w:rFonts w:hint="eastAsia" w:ascii="宋体" w:hAnsi="宋体" w:cs="宋体"/>
                <w:kern w:val="0"/>
                <w:szCs w:val="21"/>
              </w:rPr>
            </w:pPr>
          </w:p>
        </w:tc>
        <w:tc>
          <w:tcPr>
            <w:tcW w:w="7170" w:type="dxa"/>
            <w:noWrap w:val="0"/>
            <w:vAlign w:val="center"/>
          </w:tcPr>
          <w:p w14:paraId="3609EB6C">
            <w:pPr>
              <w:widowControl/>
              <w:rPr>
                <w:rFonts w:hint="eastAsia" w:ascii="宋体" w:hAnsi="宋体" w:cs="宋体"/>
                <w:kern w:val="0"/>
                <w:szCs w:val="21"/>
              </w:rPr>
            </w:pPr>
            <w:r>
              <w:rPr>
                <w:rFonts w:hint="eastAsia" w:ascii="宋体" w:hAnsi="宋体" w:cs="宋体"/>
                <w:kern w:val="0"/>
                <w:szCs w:val="21"/>
              </w:rPr>
              <w:t>提供指标今日动态分析，包括指标的今日累计、每小时峰值、实时趋势、实时科室排名等；提供指标变化趋势分析，包括对不同统计维度与统计周期的趋势分析与环比计算；提供指标科室排名分析，包括对不同统计维度和统计周期的科室排名分析；提供指标病种排名分析，包括对不同统计维度和统计周期的病种排名分析</w:t>
            </w:r>
          </w:p>
        </w:tc>
      </w:tr>
      <w:tr w14:paraId="0099F4E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trHeight w:val="360" w:hRule="atLeast"/>
        </w:trPr>
        <w:tc>
          <w:tcPr>
            <w:tcW w:w="741" w:type="dxa"/>
            <w:vMerge w:val="restart"/>
            <w:tcBorders>
              <w:top w:val="single" w:color="000000" w:sz="4" w:space="0"/>
              <w:left w:val="single" w:color="000000" w:sz="4" w:space="0"/>
              <w:bottom w:val="single" w:color="000000" w:sz="4" w:space="0"/>
              <w:right w:val="single" w:color="000000" w:sz="4" w:space="0"/>
            </w:tcBorders>
            <w:noWrap/>
            <w:vAlign w:val="center"/>
          </w:tcPr>
          <w:p w14:paraId="0972DB78">
            <w:pPr>
              <w:widowControl/>
              <w:jc w:val="center"/>
              <w:rPr>
                <w:rFonts w:ascii="宋体" w:hAnsi="宋体"/>
                <w:color w:val="000000"/>
                <w:kern w:val="0"/>
                <w:sz w:val="24"/>
              </w:rPr>
            </w:pPr>
            <w:r>
              <w:rPr>
                <w:rFonts w:hint="eastAsia" w:ascii="宋体" w:hAnsi="宋体"/>
                <w:color w:val="000000"/>
              </w:rPr>
              <w:t>13.指标中心</w:t>
            </w:r>
          </w:p>
        </w:tc>
        <w:tc>
          <w:tcPr>
            <w:tcW w:w="876" w:type="dxa"/>
            <w:tcBorders>
              <w:top w:val="single" w:color="000000" w:sz="4" w:space="0"/>
              <w:left w:val="single" w:color="000000" w:sz="4" w:space="0"/>
              <w:bottom w:val="single" w:color="000000" w:sz="4" w:space="0"/>
              <w:right w:val="single" w:color="000000" w:sz="4" w:space="0"/>
            </w:tcBorders>
            <w:noWrap/>
            <w:vAlign w:val="center"/>
          </w:tcPr>
          <w:p w14:paraId="423C4E86">
            <w:pPr>
              <w:jc w:val="center"/>
              <w:rPr>
                <w:rFonts w:hint="eastAsia"/>
                <w:color w:val="000000"/>
              </w:rPr>
            </w:pPr>
            <w:r>
              <w:rPr>
                <w:rFonts w:hint="eastAsia"/>
                <w:color w:val="000000"/>
              </w:rPr>
              <w:t>指标大屏</w:t>
            </w:r>
          </w:p>
        </w:tc>
        <w:tc>
          <w:tcPr>
            <w:tcW w:w="7170" w:type="dxa"/>
            <w:tcBorders>
              <w:top w:val="single" w:color="000000" w:sz="4" w:space="0"/>
              <w:left w:val="single" w:color="000000" w:sz="4" w:space="0"/>
              <w:bottom w:val="single" w:color="000000" w:sz="4" w:space="0"/>
              <w:right w:val="single" w:color="000000" w:sz="4" w:space="0"/>
            </w:tcBorders>
            <w:noWrap/>
            <w:vAlign w:val="center"/>
          </w:tcPr>
          <w:p w14:paraId="6B0903DE">
            <w:pPr>
              <w:rPr>
                <w:rFonts w:hint="eastAsia"/>
                <w:color w:val="000000"/>
              </w:rPr>
            </w:pPr>
            <w:r>
              <w:rPr>
                <w:rFonts w:hint="eastAsia"/>
                <w:color w:val="000000"/>
              </w:rPr>
              <w:t>提供对指标中心整体生产情况的统计与指标架构展示，以及指标复用情况统计</w:t>
            </w:r>
          </w:p>
        </w:tc>
      </w:tr>
      <w:tr w14:paraId="2CAF6B1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trHeight w:val="360" w:hRule="atLeast"/>
        </w:trPr>
        <w:tc>
          <w:tcPr>
            <w:tcW w:w="7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242ABA">
            <w:pPr>
              <w:rPr>
                <w:rFonts w:ascii="宋体" w:hAnsi="宋体" w:cs="宋体"/>
                <w:color w:val="000000"/>
                <w:sz w:val="24"/>
              </w:rPr>
            </w:pPr>
          </w:p>
        </w:tc>
        <w:tc>
          <w:tcPr>
            <w:tcW w:w="876" w:type="dxa"/>
            <w:vMerge w:val="restart"/>
            <w:tcBorders>
              <w:top w:val="single" w:color="000000" w:sz="4" w:space="0"/>
              <w:left w:val="single" w:color="000000" w:sz="4" w:space="0"/>
              <w:bottom w:val="single" w:color="000000" w:sz="4" w:space="0"/>
              <w:right w:val="single" w:color="000000" w:sz="4" w:space="0"/>
            </w:tcBorders>
            <w:noWrap/>
            <w:vAlign w:val="center"/>
          </w:tcPr>
          <w:p w14:paraId="1F761F4B">
            <w:pPr>
              <w:jc w:val="center"/>
              <w:rPr>
                <w:rFonts w:hint="eastAsia"/>
                <w:color w:val="000000"/>
              </w:rPr>
            </w:pPr>
            <w:r>
              <w:rPr>
                <w:rFonts w:hint="eastAsia"/>
                <w:color w:val="000000"/>
              </w:rPr>
              <w:t>指标生产</w:t>
            </w:r>
          </w:p>
        </w:tc>
        <w:tc>
          <w:tcPr>
            <w:tcW w:w="7170" w:type="dxa"/>
            <w:tcBorders>
              <w:top w:val="single" w:color="000000" w:sz="4" w:space="0"/>
              <w:left w:val="single" w:color="000000" w:sz="4" w:space="0"/>
              <w:bottom w:val="single" w:color="000000" w:sz="4" w:space="0"/>
              <w:right w:val="single" w:color="000000" w:sz="4" w:space="0"/>
            </w:tcBorders>
            <w:noWrap w:val="0"/>
            <w:vAlign w:val="center"/>
          </w:tcPr>
          <w:p w14:paraId="6295DC6D">
            <w:pPr>
              <w:rPr>
                <w:rFonts w:hint="eastAsia"/>
                <w:color w:val="000000"/>
              </w:rPr>
            </w:pPr>
            <w:r>
              <w:rPr>
                <w:rFonts w:hint="eastAsia"/>
                <w:color w:val="000000"/>
              </w:rPr>
              <w:t>支持通过关键词、指标类型、目录、业务文件、主题等多种方式快速查询指标</w:t>
            </w:r>
          </w:p>
        </w:tc>
      </w:tr>
      <w:tr w14:paraId="67CB5F9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trHeight w:val="360" w:hRule="atLeast"/>
        </w:trPr>
        <w:tc>
          <w:tcPr>
            <w:tcW w:w="7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CAD500">
            <w:pPr>
              <w:rPr>
                <w:rFonts w:ascii="宋体" w:hAnsi="宋体" w:cs="宋体"/>
                <w:color w:val="000000"/>
                <w:sz w:val="24"/>
              </w:rPr>
            </w:pPr>
          </w:p>
        </w:tc>
        <w:tc>
          <w:tcPr>
            <w:tcW w:w="8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6A04FD">
            <w:pPr>
              <w:rPr>
                <w:rFonts w:ascii="宋体" w:hAnsi="宋体" w:cs="宋体"/>
                <w:color w:val="000000"/>
                <w:sz w:val="24"/>
              </w:rPr>
            </w:pPr>
          </w:p>
        </w:tc>
        <w:tc>
          <w:tcPr>
            <w:tcW w:w="7170" w:type="dxa"/>
            <w:tcBorders>
              <w:top w:val="single" w:color="000000" w:sz="4" w:space="0"/>
              <w:left w:val="single" w:color="000000" w:sz="4" w:space="0"/>
              <w:bottom w:val="single" w:color="000000" w:sz="4" w:space="0"/>
              <w:right w:val="single" w:color="000000" w:sz="4" w:space="0"/>
            </w:tcBorders>
            <w:noWrap w:val="0"/>
            <w:vAlign w:val="center"/>
          </w:tcPr>
          <w:p w14:paraId="58B5D874">
            <w:pPr>
              <w:rPr>
                <w:rFonts w:hint="eastAsia"/>
                <w:color w:val="000000"/>
              </w:rPr>
            </w:pPr>
            <w:r>
              <w:rPr>
                <w:rFonts w:hint="eastAsia"/>
                <w:color w:val="000000"/>
              </w:rPr>
              <w:t>支持通过Excel、zip文件导入指标</w:t>
            </w:r>
          </w:p>
        </w:tc>
      </w:tr>
      <w:tr w14:paraId="39F5A5C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trHeight w:val="360" w:hRule="atLeast"/>
        </w:trPr>
        <w:tc>
          <w:tcPr>
            <w:tcW w:w="7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284407">
            <w:pPr>
              <w:rPr>
                <w:rFonts w:ascii="宋体" w:hAnsi="宋体" w:cs="宋体"/>
                <w:color w:val="000000"/>
                <w:sz w:val="24"/>
              </w:rPr>
            </w:pPr>
          </w:p>
        </w:tc>
        <w:tc>
          <w:tcPr>
            <w:tcW w:w="8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6D3D1E">
            <w:pPr>
              <w:rPr>
                <w:rFonts w:ascii="宋体" w:hAnsi="宋体" w:cs="宋体"/>
                <w:color w:val="000000"/>
                <w:sz w:val="24"/>
              </w:rPr>
            </w:pPr>
          </w:p>
        </w:tc>
        <w:tc>
          <w:tcPr>
            <w:tcW w:w="7170" w:type="dxa"/>
            <w:tcBorders>
              <w:top w:val="single" w:color="000000" w:sz="4" w:space="0"/>
              <w:left w:val="single" w:color="000000" w:sz="4" w:space="0"/>
              <w:bottom w:val="single" w:color="000000" w:sz="4" w:space="0"/>
              <w:right w:val="single" w:color="000000" w:sz="4" w:space="0"/>
            </w:tcBorders>
            <w:noWrap w:val="0"/>
            <w:vAlign w:val="center"/>
          </w:tcPr>
          <w:p w14:paraId="7B8EC4B9">
            <w:pPr>
              <w:rPr>
                <w:rFonts w:hint="eastAsia"/>
                <w:color w:val="000000"/>
              </w:rPr>
            </w:pPr>
            <w:r>
              <w:rPr>
                <w:rFonts w:hint="eastAsia"/>
                <w:color w:val="000000"/>
              </w:rPr>
              <w:t>支持查看指标的定义详情、构建详情、数据预览、血缘关系、版本记录以及操作记录等信息</w:t>
            </w:r>
          </w:p>
        </w:tc>
      </w:tr>
      <w:tr w14:paraId="5C65631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trHeight w:val="630" w:hRule="atLeast"/>
        </w:trPr>
        <w:tc>
          <w:tcPr>
            <w:tcW w:w="7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40D676">
            <w:pPr>
              <w:rPr>
                <w:rFonts w:ascii="宋体" w:hAnsi="宋体" w:cs="宋体"/>
                <w:color w:val="000000"/>
                <w:sz w:val="24"/>
              </w:rPr>
            </w:pPr>
          </w:p>
        </w:tc>
        <w:tc>
          <w:tcPr>
            <w:tcW w:w="8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DBB5B8">
            <w:pPr>
              <w:rPr>
                <w:rFonts w:ascii="宋体" w:hAnsi="宋体" w:cs="宋体"/>
                <w:color w:val="000000"/>
                <w:sz w:val="24"/>
              </w:rPr>
            </w:pPr>
          </w:p>
        </w:tc>
        <w:tc>
          <w:tcPr>
            <w:tcW w:w="7170" w:type="dxa"/>
            <w:tcBorders>
              <w:top w:val="single" w:color="000000" w:sz="4" w:space="0"/>
              <w:left w:val="single" w:color="000000" w:sz="4" w:space="0"/>
              <w:bottom w:val="single" w:color="000000" w:sz="4" w:space="0"/>
              <w:right w:val="single" w:color="000000" w:sz="4" w:space="0"/>
            </w:tcBorders>
            <w:noWrap w:val="0"/>
            <w:vAlign w:val="center"/>
          </w:tcPr>
          <w:p w14:paraId="6E1D834F">
            <w:pPr>
              <w:rPr>
                <w:rFonts w:hint="eastAsia"/>
                <w:color w:val="000000"/>
              </w:rPr>
            </w:pPr>
            <w:r>
              <w:rPr>
                <w:rFonts w:hint="eastAsia"/>
                <w:color w:val="000000"/>
              </w:rPr>
              <w:t>支持创建和编辑指标的业务定义内容，包括指标名称、指标类型、计算公式、业务限定、业务口径等</w:t>
            </w:r>
          </w:p>
        </w:tc>
      </w:tr>
      <w:tr w14:paraId="6CF6C02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trHeight w:val="360" w:hRule="atLeast"/>
        </w:trPr>
        <w:tc>
          <w:tcPr>
            <w:tcW w:w="7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9C91F2">
            <w:pPr>
              <w:rPr>
                <w:rFonts w:ascii="宋体" w:hAnsi="宋体" w:cs="宋体"/>
                <w:color w:val="000000"/>
                <w:sz w:val="24"/>
              </w:rPr>
            </w:pPr>
          </w:p>
        </w:tc>
        <w:tc>
          <w:tcPr>
            <w:tcW w:w="8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FF524E">
            <w:pPr>
              <w:rPr>
                <w:rFonts w:ascii="宋体" w:hAnsi="宋体" w:cs="宋体"/>
                <w:color w:val="000000"/>
                <w:sz w:val="24"/>
              </w:rPr>
            </w:pPr>
          </w:p>
        </w:tc>
        <w:tc>
          <w:tcPr>
            <w:tcW w:w="7170" w:type="dxa"/>
            <w:tcBorders>
              <w:top w:val="single" w:color="000000" w:sz="4" w:space="0"/>
              <w:left w:val="single" w:color="000000" w:sz="4" w:space="0"/>
              <w:bottom w:val="single" w:color="000000" w:sz="4" w:space="0"/>
              <w:right w:val="single" w:color="000000" w:sz="4" w:space="0"/>
            </w:tcBorders>
            <w:noWrap w:val="0"/>
            <w:vAlign w:val="center"/>
          </w:tcPr>
          <w:p w14:paraId="1672A581">
            <w:pPr>
              <w:rPr>
                <w:rFonts w:hint="eastAsia"/>
                <w:color w:val="000000"/>
              </w:rPr>
            </w:pPr>
            <w:r>
              <w:rPr>
                <w:rFonts w:hint="eastAsia"/>
                <w:color w:val="000000"/>
              </w:rPr>
              <w:t>支持对指标的业务定义内容进行审核</w:t>
            </w:r>
          </w:p>
        </w:tc>
      </w:tr>
      <w:tr w14:paraId="49A13A8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trHeight w:val="360" w:hRule="atLeast"/>
        </w:trPr>
        <w:tc>
          <w:tcPr>
            <w:tcW w:w="7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A0ABE7">
            <w:pPr>
              <w:rPr>
                <w:rFonts w:ascii="宋体" w:hAnsi="宋体" w:cs="宋体"/>
                <w:color w:val="000000"/>
                <w:sz w:val="24"/>
              </w:rPr>
            </w:pPr>
          </w:p>
        </w:tc>
        <w:tc>
          <w:tcPr>
            <w:tcW w:w="8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A4C4AD">
            <w:pPr>
              <w:rPr>
                <w:rFonts w:ascii="宋体" w:hAnsi="宋体" w:cs="宋体"/>
                <w:color w:val="000000"/>
                <w:sz w:val="24"/>
              </w:rPr>
            </w:pPr>
          </w:p>
        </w:tc>
        <w:tc>
          <w:tcPr>
            <w:tcW w:w="7170" w:type="dxa"/>
            <w:tcBorders>
              <w:top w:val="single" w:color="000000" w:sz="4" w:space="0"/>
              <w:left w:val="single" w:color="000000" w:sz="4" w:space="0"/>
              <w:bottom w:val="single" w:color="000000" w:sz="4" w:space="0"/>
              <w:right w:val="single" w:color="000000" w:sz="4" w:space="0"/>
            </w:tcBorders>
            <w:noWrap w:val="0"/>
            <w:vAlign w:val="center"/>
          </w:tcPr>
          <w:p w14:paraId="3F1F8A59">
            <w:pPr>
              <w:rPr>
                <w:rFonts w:hint="eastAsia"/>
                <w:color w:val="000000"/>
              </w:rPr>
            </w:pPr>
            <w:r>
              <w:rPr>
                <w:rFonts w:hint="eastAsia"/>
                <w:color w:val="000000"/>
              </w:rPr>
              <w:t>支持用户通过可视化配置指标计算逻辑，实现指标的自动化计算和更新</w:t>
            </w:r>
          </w:p>
        </w:tc>
      </w:tr>
      <w:tr w14:paraId="5B8366E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trHeight w:val="360" w:hRule="atLeast"/>
        </w:trPr>
        <w:tc>
          <w:tcPr>
            <w:tcW w:w="7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ECBCB1">
            <w:pPr>
              <w:rPr>
                <w:rFonts w:ascii="宋体" w:hAnsi="宋体" w:cs="宋体"/>
                <w:color w:val="000000"/>
                <w:sz w:val="24"/>
              </w:rPr>
            </w:pPr>
          </w:p>
        </w:tc>
        <w:tc>
          <w:tcPr>
            <w:tcW w:w="8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097E00">
            <w:pPr>
              <w:rPr>
                <w:rFonts w:ascii="宋体" w:hAnsi="宋体" w:cs="宋体"/>
                <w:color w:val="000000"/>
                <w:sz w:val="24"/>
              </w:rPr>
            </w:pPr>
          </w:p>
        </w:tc>
        <w:tc>
          <w:tcPr>
            <w:tcW w:w="7170" w:type="dxa"/>
            <w:tcBorders>
              <w:top w:val="single" w:color="000000" w:sz="4" w:space="0"/>
              <w:left w:val="single" w:color="000000" w:sz="4" w:space="0"/>
              <w:bottom w:val="single" w:color="000000" w:sz="4" w:space="0"/>
              <w:right w:val="single" w:color="000000" w:sz="4" w:space="0"/>
            </w:tcBorders>
            <w:noWrap w:val="0"/>
            <w:vAlign w:val="center"/>
          </w:tcPr>
          <w:p w14:paraId="47F3E013">
            <w:pPr>
              <w:rPr>
                <w:rFonts w:hint="eastAsia"/>
                <w:color w:val="000000"/>
              </w:rPr>
            </w:pPr>
            <w:r>
              <w:rPr>
                <w:rFonts w:hint="eastAsia"/>
                <w:color w:val="000000"/>
              </w:rPr>
              <w:t>支持对指标的构建内容进行审核</w:t>
            </w:r>
          </w:p>
        </w:tc>
      </w:tr>
      <w:tr w14:paraId="56D7A9B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trHeight w:val="360" w:hRule="atLeast"/>
        </w:trPr>
        <w:tc>
          <w:tcPr>
            <w:tcW w:w="7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69C0A4">
            <w:pPr>
              <w:rPr>
                <w:rFonts w:ascii="宋体" w:hAnsi="宋体" w:cs="宋体"/>
                <w:color w:val="000000"/>
                <w:sz w:val="24"/>
              </w:rPr>
            </w:pPr>
          </w:p>
        </w:tc>
        <w:tc>
          <w:tcPr>
            <w:tcW w:w="8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6AD851">
            <w:pPr>
              <w:rPr>
                <w:rFonts w:ascii="宋体" w:hAnsi="宋体" w:cs="宋体"/>
                <w:color w:val="000000"/>
                <w:sz w:val="24"/>
              </w:rPr>
            </w:pPr>
          </w:p>
        </w:tc>
        <w:tc>
          <w:tcPr>
            <w:tcW w:w="7170" w:type="dxa"/>
            <w:tcBorders>
              <w:top w:val="single" w:color="000000" w:sz="4" w:space="0"/>
              <w:left w:val="single" w:color="000000" w:sz="4" w:space="0"/>
              <w:bottom w:val="single" w:color="000000" w:sz="4" w:space="0"/>
              <w:right w:val="single" w:color="000000" w:sz="4" w:space="0"/>
            </w:tcBorders>
            <w:noWrap w:val="0"/>
            <w:vAlign w:val="center"/>
          </w:tcPr>
          <w:p w14:paraId="1A58FD0F">
            <w:pPr>
              <w:rPr>
                <w:rFonts w:hint="eastAsia"/>
                <w:color w:val="000000"/>
              </w:rPr>
            </w:pPr>
            <w:r>
              <w:rPr>
                <w:rFonts w:hint="eastAsia"/>
                <w:color w:val="000000"/>
              </w:rPr>
              <w:t>支持对已构建审核的指标进行数据验证</w:t>
            </w:r>
          </w:p>
        </w:tc>
      </w:tr>
      <w:tr w14:paraId="4E22326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trHeight w:val="360" w:hRule="atLeast"/>
        </w:trPr>
        <w:tc>
          <w:tcPr>
            <w:tcW w:w="7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A32A4C">
            <w:pPr>
              <w:rPr>
                <w:rFonts w:ascii="宋体" w:hAnsi="宋体" w:cs="宋体"/>
                <w:color w:val="000000"/>
                <w:sz w:val="24"/>
              </w:rPr>
            </w:pPr>
          </w:p>
        </w:tc>
        <w:tc>
          <w:tcPr>
            <w:tcW w:w="8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27901C">
            <w:pPr>
              <w:rPr>
                <w:rFonts w:ascii="宋体" w:hAnsi="宋体" w:cs="宋体"/>
                <w:color w:val="000000"/>
                <w:sz w:val="24"/>
              </w:rPr>
            </w:pPr>
          </w:p>
        </w:tc>
        <w:tc>
          <w:tcPr>
            <w:tcW w:w="7170" w:type="dxa"/>
            <w:tcBorders>
              <w:top w:val="single" w:color="000000" w:sz="4" w:space="0"/>
              <w:left w:val="single" w:color="000000" w:sz="4" w:space="0"/>
              <w:bottom w:val="single" w:color="000000" w:sz="4" w:space="0"/>
              <w:right w:val="single" w:color="000000" w:sz="4" w:space="0"/>
            </w:tcBorders>
            <w:noWrap w:val="0"/>
            <w:vAlign w:val="center"/>
          </w:tcPr>
          <w:p w14:paraId="6C14F872">
            <w:pPr>
              <w:rPr>
                <w:rFonts w:hint="eastAsia"/>
                <w:color w:val="000000"/>
              </w:rPr>
            </w:pPr>
            <w:r>
              <w:rPr>
                <w:rFonts w:hint="eastAsia"/>
                <w:color w:val="000000"/>
              </w:rPr>
              <w:t>支持对验证完成的指标进行发布到指标库，并查看指标发布的影响范围</w:t>
            </w:r>
          </w:p>
        </w:tc>
      </w:tr>
      <w:tr w14:paraId="4D2A8B7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trHeight w:val="360" w:hRule="atLeast"/>
        </w:trPr>
        <w:tc>
          <w:tcPr>
            <w:tcW w:w="7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88FA8D">
            <w:pPr>
              <w:rPr>
                <w:rFonts w:ascii="宋体" w:hAnsi="宋体" w:cs="宋体"/>
                <w:color w:val="000000"/>
                <w:sz w:val="24"/>
              </w:rPr>
            </w:pPr>
          </w:p>
        </w:tc>
        <w:tc>
          <w:tcPr>
            <w:tcW w:w="8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782066">
            <w:pPr>
              <w:rPr>
                <w:rFonts w:ascii="宋体" w:hAnsi="宋体" w:cs="宋体"/>
                <w:color w:val="000000"/>
                <w:sz w:val="24"/>
              </w:rPr>
            </w:pPr>
          </w:p>
        </w:tc>
        <w:tc>
          <w:tcPr>
            <w:tcW w:w="7170" w:type="dxa"/>
            <w:tcBorders>
              <w:top w:val="single" w:color="000000" w:sz="4" w:space="0"/>
              <w:left w:val="single" w:color="000000" w:sz="4" w:space="0"/>
              <w:bottom w:val="single" w:color="000000" w:sz="4" w:space="0"/>
              <w:right w:val="single" w:color="000000" w:sz="4" w:space="0"/>
            </w:tcBorders>
            <w:noWrap w:val="0"/>
            <w:vAlign w:val="center"/>
          </w:tcPr>
          <w:p w14:paraId="77EB616F">
            <w:pPr>
              <w:rPr>
                <w:rFonts w:hint="eastAsia"/>
                <w:color w:val="000000"/>
              </w:rPr>
            </w:pPr>
            <w:r>
              <w:rPr>
                <w:rFonts w:hint="eastAsia"/>
                <w:color w:val="000000"/>
              </w:rPr>
              <w:t>支持对已发布的指标进行下线处理</w:t>
            </w:r>
          </w:p>
        </w:tc>
      </w:tr>
      <w:tr w14:paraId="6283C00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trHeight w:val="360" w:hRule="atLeast"/>
        </w:trPr>
        <w:tc>
          <w:tcPr>
            <w:tcW w:w="7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F2008C">
            <w:pPr>
              <w:rPr>
                <w:rFonts w:ascii="宋体" w:hAnsi="宋体" w:cs="宋体"/>
                <w:color w:val="000000"/>
                <w:sz w:val="24"/>
              </w:rPr>
            </w:pPr>
          </w:p>
        </w:tc>
        <w:tc>
          <w:tcPr>
            <w:tcW w:w="8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351993">
            <w:pPr>
              <w:rPr>
                <w:rFonts w:ascii="宋体" w:hAnsi="宋体" w:cs="宋体"/>
                <w:color w:val="000000"/>
                <w:sz w:val="24"/>
              </w:rPr>
            </w:pPr>
          </w:p>
        </w:tc>
        <w:tc>
          <w:tcPr>
            <w:tcW w:w="7170" w:type="dxa"/>
            <w:tcBorders>
              <w:top w:val="single" w:color="000000" w:sz="4" w:space="0"/>
              <w:left w:val="single" w:color="000000" w:sz="4" w:space="0"/>
              <w:bottom w:val="single" w:color="000000" w:sz="4" w:space="0"/>
              <w:right w:val="single" w:color="000000" w:sz="4" w:space="0"/>
            </w:tcBorders>
            <w:noWrap w:val="0"/>
            <w:vAlign w:val="center"/>
          </w:tcPr>
          <w:p w14:paraId="650DB33D">
            <w:pPr>
              <w:rPr>
                <w:rFonts w:hint="eastAsia"/>
                <w:color w:val="000000"/>
              </w:rPr>
            </w:pPr>
            <w:r>
              <w:rPr>
                <w:rFonts w:hint="eastAsia"/>
                <w:color w:val="000000"/>
              </w:rPr>
              <w:t>支持对已下线的指标进行重新上线</w:t>
            </w:r>
          </w:p>
        </w:tc>
      </w:tr>
      <w:tr w14:paraId="67DC03C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trHeight w:val="360" w:hRule="atLeast"/>
        </w:trPr>
        <w:tc>
          <w:tcPr>
            <w:tcW w:w="7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B6DD60">
            <w:pPr>
              <w:rPr>
                <w:rFonts w:ascii="宋体" w:hAnsi="宋体" w:cs="宋体"/>
                <w:color w:val="000000"/>
                <w:sz w:val="24"/>
              </w:rPr>
            </w:pPr>
          </w:p>
        </w:tc>
        <w:tc>
          <w:tcPr>
            <w:tcW w:w="8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B01479">
            <w:pPr>
              <w:rPr>
                <w:rFonts w:ascii="宋体" w:hAnsi="宋体" w:cs="宋体"/>
                <w:color w:val="000000"/>
                <w:sz w:val="24"/>
              </w:rPr>
            </w:pPr>
          </w:p>
        </w:tc>
        <w:tc>
          <w:tcPr>
            <w:tcW w:w="7170" w:type="dxa"/>
            <w:tcBorders>
              <w:top w:val="single" w:color="000000" w:sz="4" w:space="0"/>
              <w:left w:val="single" w:color="000000" w:sz="4" w:space="0"/>
              <w:bottom w:val="single" w:color="000000" w:sz="4" w:space="0"/>
              <w:right w:val="single" w:color="000000" w:sz="4" w:space="0"/>
            </w:tcBorders>
            <w:noWrap w:val="0"/>
            <w:vAlign w:val="center"/>
          </w:tcPr>
          <w:p w14:paraId="2AE5E606">
            <w:pPr>
              <w:rPr>
                <w:rFonts w:hint="eastAsia"/>
                <w:color w:val="000000"/>
              </w:rPr>
            </w:pPr>
            <w:r>
              <w:rPr>
                <w:rFonts w:hint="eastAsia"/>
                <w:color w:val="000000"/>
              </w:rPr>
              <w:t>提供对已生产的指标进行变更，修改指标定义和构建内容</w:t>
            </w:r>
          </w:p>
        </w:tc>
      </w:tr>
      <w:tr w14:paraId="58C03A0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trHeight w:val="360" w:hRule="atLeast"/>
        </w:trPr>
        <w:tc>
          <w:tcPr>
            <w:tcW w:w="7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BF3A57">
            <w:pPr>
              <w:rPr>
                <w:rFonts w:ascii="宋体" w:hAnsi="宋体" w:cs="宋体"/>
                <w:color w:val="000000"/>
                <w:sz w:val="24"/>
              </w:rPr>
            </w:pPr>
          </w:p>
        </w:tc>
        <w:tc>
          <w:tcPr>
            <w:tcW w:w="8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D01DC2">
            <w:pPr>
              <w:rPr>
                <w:rFonts w:ascii="宋体" w:hAnsi="宋体" w:cs="宋体"/>
                <w:color w:val="000000"/>
                <w:sz w:val="24"/>
              </w:rPr>
            </w:pPr>
          </w:p>
        </w:tc>
        <w:tc>
          <w:tcPr>
            <w:tcW w:w="7170" w:type="dxa"/>
            <w:tcBorders>
              <w:top w:val="single" w:color="000000" w:sz="4" w:space="0"/>
              <w:left w:val="single" w:color="000000" w:sz="4" w:space="0"/>
              <w:bottom w:val="single" w:color="000000" w:sz="4" w:space="0"/>
              <w:right w:val="single" w:color="000000" w:sz="4" w:space="0"/>
            </w:tcBorders>
            <w:noWrap w:val="0"/>
            <w:vAlign w:val="center"/>
          </w:tcPr>
          <w:p w14:paraId="2B778919">
            <w:pPr>
              <w:rPr>
                <w:rFonts w:hint="eastAsia"/>
                <w:color w:val="000000"/>
              </w:rPr>
            </w:pPr>
            <w:r>
              <w:rPr>
                <w:rFonts w:hint="eastAsia"/>
                <w:color w:val="000000"/>
              </w:rPr>
              <w:t>支持对指标进行删除</w:t>
            </w:r>
          </w:p>
        </w:tc>
      </w:tr>
      <w:tr w14:paraId="5405086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trHeight w:val="360" w:hRule="atLeast"/>
        </w:trPr>
        <w:tc>
          <w:tcPr>
            <w:tcW w:w="7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8ACF89">
            <w:pPr>
              <w:rPr>
                <w:rFonts w:ascii="宋体" w:hAnsi="宋体" w:cs="宋体"/>
                <w:color w:val="000000"/>
                <w:sz w:val="24"/>
              </w:rPr>
            </w:pPr>
          </w:p>
        </w:tc>
        <w:tc>
          <w:tcPr>
            <w:tcW w:w="876" w:type="dxa"/>
            <w:vMerge w:val="restart"/>
            <w:tcBorders>
              <w:top w:val="single" w:color="000000" w:sz="4" w:space="0"/>
              <w:left w:val="single" w:color="000000" w:sz="4" w:space="0"/>
              <w:bottom w:val="single" w:color="000000" w:sz="4" w:space="0"/>
              <w:right w:val="single" w:color="000000" w:sz="4" w:space="0"/>
            </w:tcBorders>
            <w:noWrap/>
            <w:vAlign w:val="center"/>
          </w:tcPr>
          <w:p w14:paraId="0E710FBC">
            <w:pPr>
              <w:jc w:val="center"/>
              <w:rPr>
                <w:rFonts w:hint="eastAsia"/>
                <w:color w:val="000000"/>
              </w:rPr>
            </w:pPr>
            <w:r>
              <w:rPr>
                <w:rFonts w:hint="eastAsia"/>
                <w:color w:val="000000"/>
              </w:rPr>
              <w:t>维度管理</w:t>
            </w:r>
          </w:p>
        </w:tc>
        <w:tc>
          <w:tcPr>
            <w:tcW w:w="7170" w:type="dxa"/>
            <w:tcBorders>
              <w:top w:val="single" w:color="000000" w:sz="4" w:space="0"/>
              <w:left w:val="single" w:color="000000" w:sz="4" w:space="0"/>
              <w:bottom w:val="single" w:color="000000" w:sz="4" w:space="0"/>
              <w:right w:val="single" w:color="000000" w:sz="4" w:space="0"/>
            </w:tcBorders>
            <w:noWrap w:val="0"/>
            <w:vAlign w:val="center"/>
          </w:tcPr>
          <w:p w14:paraId="1DEB6D05">
            <w:pPr>
              <w:rPr>
                <w:rFonts w:hint="eastAsia"/>
                <w:color w:val="000000"/>
              </w:rPr>
            </w:pPr>
            <w:r>
              <w:rPr>
                <w:rFonts w:hint="eastAsia"/>
                <w:color w:val="000000"/>
              </w:rPr>
              <w:t>支持对维度进行分组管理</w:t>
            </w:r>
          </w:p>
        </w:tc>
      </w:tr>
      <w:tr w14:paraId="1B318AC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trHeight w:val="360" w:hRule="atLeast"/>
        </w:trPr>
        <w:tc>
          <w:tcPr>
            <w:tcW w:w="7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EFC838">
            <w:pPr>
              <w:rPr>
                <w:rFonts w:ascii="宋体" w:hAnsi="宋体" w:cs="宋体"/>
                <w:color w:val="000000"/>
                <w:sz w:val="24"/>
              </w:rPr>
            </w:pPr>
          </w:p>
        </w:tc>
        <w:tc>
          <w:tcPr>
            <w:tcW w:w="8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748A5D">
            <w:pPr>
              <w:rPr>
                <w:rFonts w:ascii="宋体" w:hAnsi="宋体" w:cs="宋体"/>
                <w:color w:val="000000"/>
                <w:sz w:val="24"/>
              </w:rPr>
            </w:pPr>
          </w:p>
        </w:tc>
        <w:tc>
          <w:tcPr>
            <w:tcW w:w="7170" w:type="dxa"/>
            <w:tcBorders>
              <w:top w:val="single" w:color="000000" w:sz="4" w:space="0"/>
              <w:left w:val="single" w:color="000000" w:sz="4" w:space="0"/>
              <w:bottom w:val="single" w:color="000000" w:sz="4" w:space="0"/>
              <w:right w:val="single" w:color="000000" w:sz="4" w:space="0"/>
            </w:tcBorders>
            <w:noWrap w:val="0"/>
            <w:vAlign w:val="center"/>
          </w:tcPr>
          <w:p w14:paraId="016792A2">
            <w:pPr>
              <w:rPr>
                <w:rFonts w:hint="eastAsia"/>
                <w:color w:val="000000"/>
              </w:rPr>
            </w:pPr>
            <w:r>
              <w:rPr>
                <w:rFonts w:hint="eastAsia"/>
                <w:color w:val="000000"/>
              </w:rPr>
              <w:t>支持对公共维度进行构建，包括设置维度计算逻辑以及管理维度值</w:t>
            </w:r>
          </w:p>
        </w:tc>
      </w:tr>
      <w:tr w14:paraId="5CEAF1F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trHeight w:val="360" w:hRule="atLeast"/>
        </w:trPr>
        <w:tc>
          <w:tcPr>
            <w:tcW w:w="7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A6035A">
            <w:pPr>
              <w:rPr>
                <w:rFonts w:ascii="宋体" w:hAnsi="宋体" w:cs="宋体"/>
                <w:color w:val="000000"/>
                <w:sz w:val="24"/>
              </w:rPr>
            </w:pPr>
          </w:p>
        </w:tc>
        <w:tc>
          <w:tcPr>
            <w:tcW w:w="876" w:type="dxa"/>
            <w:vMerge w:val="restart"/>
            <w:tcBorders>
              <w:top w:val="single" w:color="000000" w:sz="4" w:space="0"/>
              <w:left w:val="single" w:color="000000" w:sz="4" w:space="0"/>
              <w:bottom w:val="single" w:color="000000" w:sz="4" w:space="0"/>
              <w:right w:val="single" w:color="000000" w:sz="4" w:space="0"/>
            </w:tcBorders>
            <w:noWrap/>
            <w:vAlign w:val="center"/>
          </w:tcPr>
          <w:p w14:paraId="65F03A26">
            <w:pPr>
              <w:jc w:val="center"/>
              <w:rPr>
                <w:rFonts w:hint="eastAsia"/>
                <w:color w:val="000000"/>
              </w:rPr>
            </w:pPr>
            <w:r>
              <w:rPr>
                <w:rFonts w:hint="eastAsia"/>
                <w:color w:val="000000"/>
              </w:rPr>
              <w:t>配置管理</w:t>
            </w:r>
          </w:p>
        </w:tc>
        <w:tc>
          <w:tcPr>
            <w:tcW w:w="7170" w:type="dxa"/>
            <w:tcBorders>
              <w:top w:val="single" w:color="000000" w:sz="4" w:space="0"/>
              <w:left w:val="single" w:color="000000" w:sz="4" w:space="0"/>
              <w:bottom w:val="single" w:color="000000" w:sz="4" w:space="0"/>
              <w:right w:val="single" w:color="000000" w:sz="4" w:space="0"/>
            </w:tcBorders>
            <w:noWrap w:val="0"/>
            <w:vAlign w:val="center"/>
          </w:tcPr>
          <w:p w14:paraId="1DA539B6">
            <w:pPr>
              <w:rPr>
                <w:rFonts w:hint="eastAsia"/>
                <w:color w:val="000000"/>
              </w:rPr>
            </w:pPr>
            <w:r>
              <w:rPr>
                <w:rFonts w:hint="eastAsia"/>
                <w:color w:val="000000"/>
              </w:rPr>
              <w:t>支持对指标所属目录的增删改</w:t>
            </w:r>
          </w:p>
        </w:tc>
      </w:tr>
      <w:tr w14:paraId="3457860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trHeight w:val="360" w:hRule="atLeast"/>
        </w:trPr>
        <w:tc>
          <w:tcPr>
            <w:tcW w:w="7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07EDE4">
            <w:pPr>
              <w:rPr>
                <w:rFonts w:ascii="宋体" w:hAnsi="宋体" w:cs="宋体"/>
                <w:color w:val="000000"/>
                <w:sz w:val="24"/>
              </w:rPr>
            </w:pPr>
          </w:p>
        </w:tc>
        <w:tc>
          <w:tcPr>
            <w:tcW w:w="8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07C8E6">
            <w:pPr>
              <w:rPr>
                <w:rFonts w:ascii="宋体" w:hAnsi="宋体" w:cs="宋体"/>
                <w:color w:val="000000"/>
                <w:sz w:val="24"/>
              </w:rPr>
            </w:pPr>
          </w:p>
        </w:tc>
        <w:tc>
          <w:tcPr>
            <w:tcW w:w="7170" w:type="dxa"/>
            <w:tcBorders>
              <w:top w:val="single" w:color="000000" w:sz="4" w:space="0"/>
              <w:left w:val="single" w:color="000000" w:sz="4" w:space="0"/>
              <w:bottom w:val="single" w:color="000000" w:sz="4" w:space="0"/>
              <w:right w:val="single" w:color="000000" w:sz="4" w:space="0"/>
            </w:tcBorders>
            <w:noWrap w:val="0"/>
            <w:vAlign w:val="center"/>
          </w:tcPr>
          <w:p w14:paraId="51360E9A">
            <w:pPr>
              <w:rPr>
                <w:rFonts w:hint="eastAsia"/>
                <w:color w:val="000000"/>
              </w:rPr>
            </w:pPr>
            <w:r>
              <w:rPr>
                <w:rFonts w:hint="eastAsia"/>
                <w:color w:val="000000"/>
              </w:rPr>
              <w:t>支持对计量单位的增删改</w:t>
            </w:r>
          </w:p>
        </w:tc>
      </w:tr>
      <w:tr w14:paraId="0D69294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trHeight w:val="360" w:hRule="atLeast"/>
        </w:trPr>
        <w:tc>
          <w:tcPr>
            <w:tcW w:w="7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0A1733">
            <w:pPr>
              <w:rPr>
                <w:rFonts w:ascii="宋体" w:hAnsi="宋体" w:cs="宋体"/>
                <w:color w:val="000000"/>
                <w:sz w:val="24"/>
              </w:rPr>
            </w:pPr>
          </w:p>
        </w:tc>
        <w:tc>
          <w:tcPr>
            <w:tcW w:w="8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F8A1E6">
            <w:pPr>
              <w:rPr>
                <w:rFonts w:ascii="宋体" w:hAnsi="宋体" w:cs="宋体"/>
                <w:color w:val="000000"/>
                <w:sz w:val="24"/>
              </w:rPr>
            </w:pPr>
          </w:p>
        </w:tc>
        <w:tc>
          <w:tcPr>
            <w:tcW w:w="7170" w:type="dxa"/>
            <w:tcBorders>
              <w:top w:val="single" w:color="000000" w:sz="4" w:space="0"/>
              <w:left w:val="single" w:color="000000" w:sz="4" w:space="0"/>
              <w:bottom w:val="single" w:color="000000" w:sz="4" w:space="0"/>
              <w:right w:val="single" w:color="000000" w:sz="4" w:space="0"/>
            </w:tcBorders>
            <w:noWrap w:val="0"/>
            <w:vAlign w:val="center"/>
          </w:tcPr>
          <w:p w14:paraId="10064289">
            <w:pPr>
              <w:rPr>
                <w:rFonts w:hint="eastAsia"/>
                <w:color w:val="000000"/>
              </w:rPr>
            </w:pPr>
            <w:r>
              <w:rPr>
                <w:rFonts w:hint="eastAsia"/>
                <w:color w:val="000000"/>
              </w:rPr>
              <w:t>支持对来源系统的增删改</w:t>
            </w:r>
          </w:p>
        </w:tc>
      </w:tr>
      <w:tr w14:paraId="7D58399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trHeight w:val="360" w:hRule="atLeast"/>
        </w:trPr>
        <w:tc>
          <w:tcPr>
            <w:tcW w:w="7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73A6E1">
            <w:pPr>
              <w:rPr>
                <w:rFonts w:ascii="宋体" w:hAnsi="宋体" w:cs="宋体"/>
                <w:color w:val="000000"/>
                <w:sz w:val="24"/>
              </w:rPr>
            </w:pPr>
          </w:p>
        </w:tc>
        <w:tc>
          <w:tcPr>
            <w:tcW w:w="8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47B00C">
            <w:pPr>
              <w:rPr>
                <w:rFonts w:ascii="宋体" w:hAnsi="宋体" w:cs="宋体"/>
                <w:color w:val="000000"/>
                <w:sz w:val="24"/>
              </w:rPr>
            </w:pPr>
          </w:p>
        </w:tc>
        <w:tc>
          <w:tcPr>
            <w:tcW w:w="7170" w:type="dxa"/>
            <w:tcBorders>
              <w:top w:val="single" w:color="000000" w:sz="4" w:space="0"/>
              <w:left w:val="single" w:color="000000" w:sz="4" w:space="0"/>
              <w:bottom w:val="single" w:color="000000" w:sz="4" w:space="0"/>
              <w:right w:val="single" w:color="000000" w:sz="4" w:space="0"/>
            </w:tcBorders>
            <w:noWrap w:val="0"/>
            <w:vAlign w:val="center"/>
          </w:tcPr>
          <w:p w14:paraId="43FF87CF">
            <w:pPr>
              <w:rPr>
                <w:rFonts w:hint="eastAsia"/>
                <w:color w:val="000000"/>
              </w:rPr>
            </w:pPr>
            <w:r>
              <w:rPr>
                <w:rFonts w:hint="eastAsia"/>
                <w:color w:val="000000"/>
              </w:rPr>
              <w:t>支持对统计维度的增删改</w:t>
            </w:r>
          </w:p>
        </w:tc>
      </w:tr>
      <w:tr w14:paraId="45591DD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trHeight w:val="360" w:hRule="atLeast"/>
        </w:trPr>
        <w:tc>
          <w:tcPr>
            <w:tcW w:w="7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6684B3">
            <w:pPr>
              <w:rPr>
                <w:rFonts w:ascii="宋体" w:hAnsi="宋体" w:cs="宋体"/>
                <w:color w:val="000000"/>
                <w:sz w:val="24"/>
              </w:rPr>
            </w:pPr>
          </w:p>
        </w:tc>
        <w:tc>
          <w:tcPr>
            <w:tcW w:w="8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00F029">
            <w:pPr>
              <w:rPr>
                <w:rFonts w:ascii="宋体" w:hAnsi="宋体" w:cs="宋体"/>
                <w:color w:val="000000"/>
                <w:sz w:val="24"/>
              </w:rPr>
            </w:pPr>
          </w:p>
        </w:tc>
        <w:tc>
          <w:tcPr>
            <w:tcW w:w="7170" w:type="dxa"/>
            <w:tcBorders>
              <w:top w:val="single" w:color="000000" w:sz="4" w:space="0"/>
              <w:left w:val="single" w:color="000000" w:sz="4" w:space="0"/>
              <w:bottom w:val="single" w:color="000000" w:sz="4" w:space="0"/>
              <w:right w:val="single" w:color="000000" w:sz="4" w:space="0"/>
            </w:tcBorders>
            <w:noWrap w:val="0"/>
            <w:vAlign w:val="center"/>
          </w:tcPr>
          <w:p w14:paraId="71C25F13">
            <w:pPr>
              <w:rPr>
                <w:rFonts w:hint="eastAsia"/>
                <w:color w:val="000000"/>
              </w:rPr>
            </w:pPr>
            <w:r>
              <w:rPr>
                <w:rFonts w:hint="eastAsia"/>
                <w:color w:val="000000"/>
              </w:rPr>
              <w:t>支持对业务文件的增删改</w:t>
            </w:r>
          </w:p>
        </w:tc>
      </w:tr>
      <w:tr w14:paraId="4570B8A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trHeight w:val="360" w:hRule="atLeast"/>
        </w:trPr>
        <w:tc>
          <w:tcPr>
            <w:tcW w:w="7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92134B">
            <w:pPr>
              <w:rPr>
                <w:rFonts w:ascii="宋体" w:hAnsi="宋体" w:cs="宋体"/>
                <w:color w:val="000000"/>
                <w:sz w:val="24"/>
              </w:rPr>
            </w:pPr>
          </w:p>
        </w:tc>
        <w:tc>
          <w:tcPr>
            <w:tcW w:w="8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8B7383">
            <w:pPr>
              <w:rPr>
                <w:rFonts w:ascii="宋体" w:hAnsi="宋体" w:cs="宋体"/>
                <w:color w:val="000000"/>
                <w:sz w:val="24"/>
              </w:rPr>
            </w:pPr>
          </w:p>
        </w:tc>
        <w:tc>
          <w:tcPr>
            <w:tcW w:w="7170" w:type="dxa"/>
            <w:tcBorders>
              <w:top w:val="single" w:color="000000" w:sz="4" w:space="0"/>
              <w:left w:val="single" w:color="000000" w:sz="4" w:space="0"/>
              <w:bottom w:val="single" w:color="000000" w:sz="4" w:space="0"/>
              <w:right w:val="single" w:color="000000" w:sz="4" w:space="0"/>
            </w:tcBorders>
            <w:noWrap w:val="0"/>
            <w:vAlign w:val="center"/>
          </w:tcPr>
          <w:p w14:paraId="1B2B1CF4">
            <w:pPr>
              <w:rPr>
                <w:rFonts w:hint="eastAsia"/>
                <w:color w:val="000000"/>
              </w:rPr>
            </w:pPr>
            <w:r>
              <w:rPr>
                <w:rFonts w:hint="eastAsia"/>
                <w:color w:val="000000"/>
              </w:rPr>
              <w:t>支持对业务限定的增删改</w:t>
            </w:r>
          </w:p>
        </w:tc>
      </w:tr>
      <w:tr w14:paraId="58C1EBC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trHeight w:val="360" w:hRule="atLeast"/>
        </w:trPr>
        <w:tc>
          <w:tcPr>
            <w:tcW w:w="7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A037C4">
            <w:pPr>
              <w:rPr>
                <w:rFonts w:ascii="宋体" w:hAnsi="宋体" w:cs="宋体"/>
                <w:color w:val="000000"/>
                <w:sz w:val="24"/>
              </w:rPr>
            </w:pPr>
          </w:p>
        </w:tc>
        <w:tc>
          <w:tcPr>
            <w:tcW w:w="8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4E6823">
            <w:pPr>
              <w:rPr>
                <w:rFonts w:ascii="宋体" w:hAnsi="宋体" w:cs="宋体"/>
                <w:color w:val="000000"/>
                <w:sz w:val="24"/>
              </w:rPr>
            </w:pPr>
          </w:p>
        </w:tc>
        <w:tc>
          <w:tcPr>
            <w:tcW w:w="7170" w:type="dxa"/>
            <w:tcBorders>
              <w:top w:val="single" w:color="000000" w:sz="4" w:space="0"/>
              <w:left w:val="single" w:color="000000" w:sz="4" w:space="0"/>
              <w:bottom w:val="single" w:color="000000" w:sz="4" w:space="0"/>
              <w:right w:val="single" w:color="000000" w:sz="4" w:space="0"/>
            </w:tcBorders>
            <w:noWrap w:val="0"/>
            <w:vAlign w:val="center"/>
          </w:tcPr>
          <w:p w14:paraId="7F568885">
            <w:pPr>
              <w:rPr>
                <w:rFonts w:hint="eastAsia"/>
                <w:color w:val="000000"/>
              </w:rPr>
            </w:pPr>
            <w:r>
              <w:rPr>
                <w:rFonts w:hint="eastAsia"/>
                <w:color w:val="000000"/>
              </w:rPr>
              <w:t>支持对统计周期的增删改</w:t>
            </w:r>
          </w:p>
        </w:tc>
      </w:tr>
      <w:tr w14:paraId="7E7DD1D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trHeight w:val="360" w:hRule="atLeast"/>
        </w:trPr>
        <w:tc>
          <w:tcPr>
            <w:tcW w:w="7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8E4607">
            <w:pPr>
              <w:rPr>
                <w:rFonts w:ascii="宋体" w:hAnsi="宋体" w:cs="宋体"/>
                <w:color w:val="000000"/>
                <w:sz w:val="24"/>
              </w:rPr>
            </w:pPr>
          </w:p>
        </w:tc>
        <w:tc>
          <w:tcPr>
            <w:tcW w:w="8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049A85">
            <w:pPr>
              <w:rPr>
                <w:rFonts w:ascii="宋体" w:hAnsi="宋体" w:cs="宋体"/>
                <w:color w:val="000000"/>
                <w:sz w:val="24"/>
              </w:rPr>
            </w:pPr>
          </w:p>
        </w:tc>
        <w:tc>
          <w:tcPr>
            <w:tcW w:w="7170" w:type="dxa"/>
            <w:tcBorders>
              <w:top w:val="single" w:color="000000" w:sz="4" w:space="0"/>
              <w:left w:val="single" w:color="000000" w:sz="4" w:space="0"/>
              <w:bottom w:val="single" w:color="000000" w:sz="4" w:space="0"/>
              <w:right w:val="single" w:color="000000" w:sz="4" w:space="0"/>
            </w:tcBorders>
            <w:noWrap w:val="0"/>
            <w:vAlign w:val="center"/>
          </w:tcPr>
          <w:p w14:paraId="6C8F2F28">
            <w:pPr>
              <w:rPr>
                <w:rFonts w:hint="eastAsia"/>
                <w:color w:val="000000"/>
              </w:rPr>
            </w:pPr>
            <w:r>
              <w:rPr>
                <w:rFonts w:hint="eastAsia"/>
                <w:color w:val="000000"/>
              </w:rPr>
              <w:t>支持对统计时效的增删改</w:t>
            </w:r>
          </w:p>
        </w:tc>
      </w:tr>
      <w:tr w14:paraId="548F254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trHeight w:val="360" w:hRule="atLeast"/>
        </w:trPr>
        <w:tc>
          <w:tcPr>
            <w:tcW w:w="7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769479">
            <w:pPr>
              <w:rPr>
                <w:rFonts w:ascii="宋体" w:hAnsi="宋体" w:cs="宋体"/>
                <w:color w:val="000000"/>
                <w:sz w:val="24"/>
              </w:rPr>
            </w:pPr>
          </w:p>
        </w:tc>
        <w:tc>
          <w:tcPr>
            <w:tcW w:w="8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5179E8">
            <w:pPr>
              <w:rPr>
                <w:rFonts w:ascii="宋体" w:hAnsi="宋体" w:cs="宋体"/>
                <w:color w:val="000000"/>
                <w:sz w:val="24"/>
              </w:rPr>
            </w:pPr>
          </w:p>
        </w:tc>
        <w:tc>
          <w:tcPr>
            <w:tcW w:w="7170" w:type="dxa"/>
            <w:tcBorders>
              <w:top w:val="single" w:color="000000" w:sz="4" w:space="0"/>
              <w:left w:val="single" w:color="000000" w:sz="4" w:space="0"/>
              <w:bottom w:val="single" w:color="000000" w:sz="4" w:space="0"/>
              <w:right w:val="single" w:color="000000" w:sz="4" w:space="0"/>
            </w:tcBorders>
            <w:noWrap w:val="0"/>
            <w:vAlign w:val="center"/>
          </w:tcPr>
          <w:p w14:paraId="1D42B7A1">
            <w:pPr>
              <w:rPr>
                <w:rFonts w:hint="eastAsia"/>
                <w:color w:val="000000"/>
              </w:rPr>
            </w:pPr>
            <w:r>
              <w:rPr>
                <w:rFonts w:hint="eastAsia"/>
                <w:color w:val="000000"/>
              </w:rPr>
              <w:t>支持对主题的增删改，并设定关联指标</w:t>
            </w:r>
          </w:p>
        </w:tc>
      </w:tr>
      <w:tr w14:paraId="56EC764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trHeight w:val="360" w:hRule="atLeast"/>
        </w:trPr>
        <w:tc>
          <w:tcPr>
            <w:tcW w:w="7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31DCBC">
            <w:pPr>
              <w:rPr>
                <w:rFonts w:ascii="宋体" w:hAnsi="宋体" w:cs="宋体"/>
                <w:color w:val="000000"/>
                <w:sz w:val="24"/>
              </w:rPr>
            </w:pPr>
          </w:p>
        </w:tc>
        <w:tc>
          <w:tcPr>
            <w:tcW w:w="876" w:type="dxa"/>
            <w:vMerge w:val="restart"/>
            <w:tcBorders>
              <w:top w:val="single" w:color="000000" w:sz="4" w:space="0"/>
              <w:left w:val="single" w:color="000000" w:sz="4" w:space="0"/>
              <w:bottom w:val="single" w:color="000000" w:sz="4" w:space="0"/>
              <w:right w:val="single" w:color="000000" w:sz="4" w:space="0"/>
            </w:tcBorders>
            <w:noWrap/>
            <w:vAlign w:val="center"/>
          </w:tcPr>
          <w:p w14:paraId="5224E2F9">
            <w:pPr>
              <w:jc w:val="center"/>
              <w:rPr>
                <w:rFonts w:hint="eastAsia"/>
                <w:color w:val="000000"/>
              </w:rPr>
            </w:pPr>
            <w:r>
              <w:rPr>
                <w:rFonts w:hint="eastAsia"/>
                <w:color w:val="000000"/>
              </w:rPr>
              <w:t>打包管理</w:t>
            </w:r>
          </w:p>
        </w:tc>
        <w:tc>
          <w:tcPr>
            <w:tcW w:w="7170" w:type="dxa"/>
            <w:tcBorders>
              <w:top w:val="single" w:color="000000" w:sz="4" w:space="0"/>
              <w:left w:val="single" w:color="000000" w:sz="4" w:space="0"/>
              <w:bottom w:val="single" w:color="000000" w:sz="4" w:space="0"/>
              <w:right w:val="single" w:color="000000" w:sz="4" w:space="0"/>
            </w:tcBorders>
            <w:noWrap w:val="0"/>
            <w:vAlign w:val="center"/>
          </w:tcPr>
          <w:p w14:paraId="4DE7EFCC">
            <w:pPr>
              <w:rPr>
                <w:rFonts w:hint="eastAsia"/>
                <w:color w:val="000000"/>
              </w:rPr>
            </w:pPr>
            <w:r>
              <w:rPr>
                <w:rFonts w:hint="eastAsia"/>
                <w:color w:val="000000"/>
              </w:rPr>
              <w:t>支持通过关键字查询已经打包的文件，并查看文件的指标数量，密码等信息</w:t>
            </w:r>
          </w:p>
        </w:tc>
      </w:tr>
      <w:tr w14:paraId="5EF8BE8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trHeight w:val="360" w:hRule="atLeast"/>
        </w:trPr>
        <w:tc>
          <w:tcPr>
            <w:tcW w:w="7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EE0383">
            <w:pPr>
              <w:rPr>
                <w:rFonts w:ascii="宋体" w:hAnsi="宋体" w:cs="宋体"/>
                <w:color w:val="000000"/>
                <w:sz w:val="24"/>
              </w:rPr>
            </w:pPr>
          </w:p>
        </w:tc>
        <w:tc>
          <w:tcPr>
            <w:tcW w:w="8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42DE2D">
            <w:pPr>
              <w:rPr>
                <w:rFonts w:ascii="宋体" w:hAnsi="宋体" w:cs="宋体"/>
                <w:color w:val="000000"/>
                <w:sz w:val="24"/>
              </w:rPr>
            </w:pPr>
          </w:p>
        </w:tc>
        <w:tc>
          <w:tcPr>
            <w:tcW w:w="7170" w:type="dxa"/>
            <w:tcBorders>
              <w:top w:val="single" w:color="000000" w:sz="4" w:space="0"/>
              <w:left w:val="single" w:color="000000" w:sz="4" w:space="0"/>
              <w:bottom w:val="single" w:color="000000" w:sz="4" w:space="0"/>
              <w:right w:val="single" w:color="000000" w:sz="4" w:space="0"/>
            </w:tcBorders>
            <w:noWrap w:val="0"/>
            <w:vAlign w:val="center"/>
          </w:tcPr>
          <w:p w14:paraId="1C23496D">
            <w:pPr>
              <w:rPr>
                <w:rFonts w:hint="eastAsia"/>
                <w:color w:val="000000"/>
              </w:rPr>
            </w:pPr>
            <w:r>
              <w:rPr>
                <w:rFonts w:hint="eastAsia"/>
                <w:color w:val="000000"/>
              </w:rPr>
              <w:t>支持选择已发布的指标进行打包，并形成zip文件</w:t>
            </w:r>
          </w:p>
        </w:tc>
      </w:tr>
      <w:tr w14:paraId="54BE951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trHeight w:val="360" w:hRule="atLeast"/>
        </w:trPr>
        <w:tc>
          <w:tcPr>
            <w:tcW w:w="7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008BEE">
            <w:pPr>
              <w:rPr>
                <w:rFonts w:ascii="宋体" w:hAnsi="宋体" w:cs="宋体"/>
                <w:color w:val="000000"/>
                <w:sz w:val="24"/>
              </w:rPr>
            </w:pPr>
          </w:p>
        </w:tc>
        <w:tc>
          <w:tcPr>
            <w:tcW w:w="8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117868">
            <w:pPr>
              <w:rPr>
                <w:rFonts w:ascii="宋体" w:hAnsi="宋体" w:cs="宋体"/>
                <w:color w:val="000000"/>
                <w:sz w:val="24"/>
              </w:rPr>
            </w:pPr>
          </w:p>
        </w:tc>
        <w:tc>
          <w:tcPr>
            <w:tcW w:w="7170" w:type="dxa"/>
            <w:tcBorders>
              <w:top w:val="single" w:color="000000" w:sz="4" w:space="0"/>
              <w:left w:val="single" w:color="000000" w:sz="4" w:space="0"/>
              <w:bottom w:val="single" w:color="000000" w:sz="4" w:space="0"/>
              <w:right w:val="single" w:color="000000" w:sz="4" w:space="0"/>
            </w:tcBorders>
            <w:noWrap w:val="0"/>
            <w:vAlign w:val="center"/>
          </w:tcPr>
          <w:p w14:paraId="05C29D15">
            <w:pPr>
              <w:rPr>
                <w:rFonts w:hint="eastAsia"/>
                <w:color w:val="000000"/>
              </w:rPr>
            </w:pPr>
            <w:r>
              <w:rPr>
                <w:rFonts w:hint="eastAsia"/>
                <w:color w:val="000000"/>
              </w:rPr>
              <w:t>支持对打包完成的zip文件进行下载</w:t>
            </w:r>
          </w:p>
        </w:tc>
      </w:tr>
      <w:tr w14:paraId="1C10BCC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trHeight w:val="360" w:hRule="atLeast"/>
        </w:trPr>
        <w:tc>
          <w:tcPr>
            <w:tcW w:w="7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0CD741">
            <w:pPr>
              <w:rPr>
                <w:rFonts w:ascii="宋体" w:hAnsi="宋体" w:cs="宋体"/>
                <w:color w:val="000000"/>
                <w:sz w:val="24"/>
              </w:rPr>
            </w:pPr>
          </w:p>
        </w:tc>
        <w:tc>
          <w:tcPr>
            <w:tcW w:w="8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103573">
            <w:pPr>
              <w:rPr>
                <w:rFonts w:ascii="宋体" w:hAnsi="宋体" w:cs="宋体"/>
                <w:color w:val="000000"/>
                <w:sz w:val="24"/>
              </w:rPr>
            </w:pPr>
          </w:p>
        </w:tc>
        <w:tc>
          <w:tcPr>
            <w:tcW w:w="7170" w:type="dxa"/>
            <w:tcBorders>
              <w:top w:val="single" w:color="000000" w:sz="4" w:space="0"/>
              <w:left w:val="single" w:color="000000" w:sz="4" w:space="0"/>
              <w:bottom w:val="single" w:color="000000" w:sz="4" w:space="0"/>
              <w:right w:val="single" w:color="000000" w:sz="4" w:space="0"/>
            </w:tcBorders>
            <w:noWrap w:val="0"/>
            <w:vAlign w:val="center"/>
          </w:tcPr>
          <w:p w14:paraId="7BDA0A11">
            <w:pPr>
              <w:rPr>
                <w:rFonts w:hint="eastAsia"/>
                <w:color w:val="000000"/>
              </w:rPr>
            </w:pPr>
            <w:r>
              <w:rPr>
                <w:rFonts w:hint="eastAsia"/>
                <w:color w:val="000000"/>
              </w:rPr>
              <w:t>支持查看文件的下载记录</w:t>
            </w:r>
          </w:p>
        </w:tc>
      </w:tr>
      <w:tr w14:paraId="6F8B8E8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trHeight w:val="360" w:hRule="atLeast"/>
        </w:trPr>
        <w:tc>
          <w:tcPr>
            <w:tcW w:w="7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4DEA5E">
            <w:pPr>
              <w:rPr>
                <w:rFonts w:ascii="宋体" w:hAnsi="宋体" w:cs="宋体"/>
                <w:color w:val="000000"/>
                <w:sz w:val="24"/>
              </w:rPr>
            </w:pPr>
          </w:p>
        </w:tc>
        <w:tc>
          <w:tcPr>
            <w:tcW w:w="8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F3E158">
            <w:pPr>
              <w:rPr>
                <w:rFonts w:ascii="宋体" w:hAnsi="宋体" w:cs="宋体"/>
                <w:color w:val="000000"/>
                <w:sz w:val="24"/>
              </w:rPr>
            </w:pPr>
          </w:p>
        </w:tc>
        <w:tc>
          <w:tcPr>
            <w:tcW w:w="7170" w:type="dxa"/>
            <w:tcBorders>
              <w:top w:val="single" w:color="000000" w:sz="4" w:space="0"/>
              <w:left w:val="single" w:color="000000" w:sz="4" w:space="0"/>
              <w:bottom w:val="single" w:color="000000" w:sz="4" w:space="0"/>
              <w:right w:val="single" w:color="000000" w:sz="4" w:space="0"/>
            </w:tcBorders>
            <w:noWrap w:val="0"/>
            <w:vAlign w:val="center"/>
          </w:tcPr>
          <w:p w14:paraId="71DC781A">
            <w:pPr>
              <w:rPr>
                <w:rFonts w:hint="eastAsia"/>
                <w:color w:val="000000"/>
              </w:rPr>
            </w:pPr>
            <w:r>
              <w:rPr>
                <w:rFonts w:hint="eastAsia"/>
                <w:color w:val="000000"/>
              </w:rPr>
              <w:t>支持删除已创建的打包文件</w:t>
            </w:r>
          </w:p>
        </w:tc>
      </w:tr>
      <w:tr w14:paraId="6D93C00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trHeight w:val="360" w:hRule="atLeast"/>
        </w:trPr>
        <w:tc>
          <w:tcPr>
            <w:tcW w:w="7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708A4F">
            <w:pPr>
              <w:rPr>
                <w:rFonts w:ascii="宋体" w:hAnsi="宋体" w:cs="宋体"/>
                <w:color w:val="000000"/>
                <w:sz w:val="24"/>
              </w:rPr>
            </w:pPr>
          </w:p>
        </w:tc>
        <w:tc>
          <w:tcPr>
            <w:tcW w:w="876" w:type="dxa"/>
            <w:vMerge w:val="restart"/>
            <w:tcBorders>
              <w:top w:val="single" w:color="000000" w:sz="4" w:space="0"/>
              <w:left w:val="single" w:color="000000" w:sz="4" w:space="0"/>
              <w:bottom w:val="single" w:color="000000" w:sz="4" w:space="0"/>
              <w:right w:val="single" w:color="000000" w:sz="4" w:space="0"/>
            </w:tcBorders>
            <w:noWrap/>
            <w:vAlign w:val="center"/>
          </w:tcPr>
          <w:p w14:paraId="4AB56406">
            <w:pPr>
              <w:jc w:val="center"/>
              <w:rPr>
                <w:rFonts w:hint="eastAsia"/>
                <w:color w:val="000000"/>
              </w:rPr>
            </w:pPr>
            <w:r>
              <w:rPr>
                <w:rFonts w:hint="eastAsia"/>
                <w:color w:val="000000"/>
              </w:rPr>
              <w:t>调用服务</w:t>
            </w:r>
          </w:p>
        </w:tc>
        <w:tc>
          <w:tcPr>
            <w:tcW w:w="7170" w:type="dxa"/>
            <w:tcBorders>
              <w:top w:val="single" w:color="000000" w:sz="4" w:space="0"/>
              <w:left w:val="single" w:color="000000" w:sz="4" w:space="0"/>
              <w:bottom w:val="single" w:color="000000" w:sz="4" w:space="0"/>
              <w:right w:val="single" w:color="000000" w:sz="4" w:space="0"/>
            </w:tcBorders>
            <w:noWrap w:val="0"/>
            <w:vAlign w:val="center"/>
          </w:tcPr>
          <w:p w14:paraId="46E7365A">
            <w:pPr>
              <w:jc w:val="left"/>
              <w:rPr>
                <w:rFonts w:hint="eastAsia"/>
                <w:color w:val="000000"/>
              </w:rPr>
            </w:pPr>
            <w:r>
              <w:rPr>
                <w:rFonts w:hint="eastAsia"/>
                <w:color w:val="000000"/>
              </w:rPr>
              <w:t>支持通过应用名称、发布状态查询注册应用</w:t>
            </w:r>
          </w:p>
        </w:tc>
      </w:tr>
      <w:tr w14:paraId="3218971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trHeight w:val="360" w:hRule="atLeast"/>
        </w:trPr>
        <w:tc>
          <w:tcPr>
            <w:tcW w:w="7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0C90D3">
            <w:pPr>
              <w:rPr>
                <w:rFonts w:ascii="宋体" w:hAnsi="宋体" w:cs="宋体"/>
                <w:color w:val="000000"/>
                <w:sz w:val="24"/>
              </w:rPr>
            </w:pPr>
          </w:p>
        </w:tc>
        <w:tc>
          <w:tcPr>
            <w:tcW w:w="8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4BC449">
            <w:pPr>
              <w:rPr>
                <w:rFonts w:ascii="宋体" w:hAnsi="宋体" w:cs="宋体"/>
                <w:color w:val="000000"/>
                <w:sz w:val="24"/>
              </w:rPr>
            </w:pPr>
          </w:p>
        </w:tc>
        <w:tc>
          <w:tcPr>
            <w:tcW w:w="7170" w:type="dxa"/>
            <w:tcBorders>
              <w:top w:val="single" w:color="000000" w:sz="4" w:space="0"/>
              <w:left w:val="single" w:color="000000" w:sz="4" w:space="0"/>
              <w:bottom w:val="single" w:color="000000" w:sz="4" w:space="0"/>
              <w:right w:val="single" w:color="000000" w:sz="4" w:space="0"/>
            </w:tcBorders>
            <w:noWrap w:val="0"/>
            <w:vAlign w:val="center"/>
          </w:tcPr>
          <w:p w14:paraId="31C86DDC">
            <w:pPr>
              <w:jc w:val="left"/>
              <w:rPr>
                <w:rFonts w:hint="eastAsia"/>
                <w:color w:val="000000"/>
              </w:rPr>
            </w:pPr>
            <w:r>
              <w:rPr>
                <w:rFonts w:hint="eastAsia"/>
                <w:color w:val="000000"/>
              </w:rPr>
              <w:t>支持设定应用名称、失效时间、白名单等信息</w:t>
            </w:r>
          </w:p>
        </w:tc>
      </w:tr>
      <w:tr w14:paraId="75EF5AC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trHeight w:val="360" w:hRule="atLeast"/>
        </w:trPr>
        <w:tc>
          <w:tcPr>
            <w:tcW w:w="7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4F6D4B">
            <w:pPr>
              <w:rPr>
                <w:rFonts w:ascii="宋体" w:hAnsi="宋体" w:cs="宋体"/>
                <w:color w:val="000000"/>
                <w:sz w:val="24"/>
              </w:rPr>
            </w:pPr>
          </w:p>
        </w:tc>
        <w:tc>
          <w:tcPr>
            <w:tcW w:w="8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99C5CD">
            <w:pPr>
              <w:rPr>
                <w:rFonts w:ascii="宋体" w:hAnsi="宋体" w:cs="宋体"/>
                <w:color w:val="000000"/>
                <w:sz w:val="24"/>
              </w:rPr>
            </w:pPr>
          </w:p>
        </w:tc>
        <w:tc>
          <w:tcPr>
            <w:tcW w:w="7170" w:type="dxa"/>
            <w:tcBorders>
              <w:top w:val="single" w:color="000000" w:sz="4" w:space="0"/>
              <w:left w:val="single" w:color="000000" w:sz="4" w:space="0"/>
              <w:bottom w:val="single" w:color="000000" w:sz="4" w:space="0"/>
              <w:right w:val="single" w:color="000000" w:sz="4" w:space="0"/>
            </w:tcBorders>
            <w:noWrap w:val="0"/>
            <w:vAlign w:val="center"/>
          </w:tcPr>
          <w:p w14:paraId="734ED657">
            <w:pPr>
              <w:jc w:val="left"/>
              <w:rPr>
                <w:rFonts w:ascii="宋体" w:hAnsi="宋体" w:cs="宋体"/>
                <w:color w:val="000000"/>
                <w:sz w:val="24"/>
              </w:rPr>
            </w:pPr>
            <w:r>
              <w:rPr>
                <w:rFonts w:hint="eastAsia"/>
                <w:color w:val="000000"/>
              </w:rPr>
              <w:t>支持选择已发布的指标、数据集进行应用注册，并形成AppKey</w:t>
            </w:r>
          </w:p>
        </w:tc>
      </w:tr>
      <w:tr w14:paraId="4B8031D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trHeight w:val="360" w:hRule="atLeast"/>
        </w:trPr>
        <w:tc>
          <w:tcPr>
            <w:tcW w:w="7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9F456B">
            <w:pPr>
              <w:rPr>
                <w:rFonts w:ascii="宋体" w:hAnsi="宋体" w:cs="宋体"/>
                <w:color w:val="000000"/>
                <w:sz w:val="24"/>
              </w:rPr>
            </w:pPr>
          </w:p>
        </w:tc>
        <w:tc>
          <w:tcPr>
            <w:tcW w:w="8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3A3DE0">
            <w:pPr>
              <w:rPr>
                <w:rFonts w:ascii="宋体" w:hAnsi="宋体" w:cs="宋体"/>
                <w:color w:val="000000"/>
                <w:sz w:val="24"/>
              </w:rPr>
            </w:pPr>
          </w:p>
        </w:tc>
        <w:tc>
          <w:tcPr>
            <w:tcW w:w="7170" w:type="dxa"/>
            <w:tcBorders>
              <w:top w:val="single" w:color="000000" w:sz="4" w:space="0"/>
              <w:left w:val="single" w:color="000000" w:sz="4" w:space="0"/>
              <w:bottom w:val="single" w:color="000000" w:sz="4" w:space="0"/>
              <w:right w:val="single" w:color="000000" w:sz="4" w:space="0"/>
            </w:tcBorders>
            <w:noWrap w:val="0"/>
            <w:vAlign w:val="center"/>
          </w:tcPr>
          <w:p w14:paraId="036E39F8">
            <w:pPr>
              <w:jc w:val="left"/>
              <w:rPr>
                <w:rFonts w:hint="eastAsia"/>
                <w:color w:val="000000"/>
              </w:rPr>
            </w:pPr>
            <w:r>
              <w:rPr>
                <w:rFonts w:hint="eastAsia"/>
                <w:color w:val="000000"/>
              </w:rPr>
              <w:t>支持对应用进行下架，下架后的应用所关联的指标、数据集需实现禁用管理</w:t>
            </w:r>
          </w:p>
        </w:tc>
      </w:tr>
      <w:tr w14:paraId="16928DC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trHeight w:val="360" w:hRule="atLeast"/>
        </w:trPr>
        <w:tc>
          <w:tcPr>
            <w:tcW w:w="7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7E70BD">
            <w:pPr>
              <w:rPr>
                <w:rFonts w:ascii="宋体" w:hAnsi="宋体" w:cs="宋体"/>
                <w:color w:val="000000"/>
                <w:sz w:val="24"/>
              </w:rPr>
            </w:pPr>
          </w:p>
        </w:tc>
        <w:tc>
          <w:tcPr>
            <w:tcW w:w="8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C8FD31">
            <w:pPr>
              <w:rPr>
                <w:rFonts w:ascii="宋体" w:hAnsi="宋体" w:cs="宋体"/>
                <w:color w:val="000000"/>
                <w:sz w:val="24"/>
              </w:rPr>
            </w:pPr>
          </w:p>
        </w:tc>
        <w:tc>
          <w:tcPr>
            <w:tcW w:w="7170" w:type="dxa"/>
            <w:tcBorders>
              <w:top w:val="single" w:color="000000" w:sz="4" w:space="0"/>
              <w:left w:val="single" w:color="000000" w:sz="4" w:space="0"/>
              <w:bottom w:val="single" w:color="000000" w:sz="4" w:space="0"/>
              <w:right w:val="single" w:color="000000" w:sz="4" w:space="0"/>
            </w:tcBorders>
            <w:noWrap w:val="0"/>
            <w:vAlign w:val="center"/>
          </w:tcPr>
          <w:p w14:paraId="3E2F983E">
            <w:pPr>
              <w:jc w:val="left"/>
              <w:rPr>
                <w:rFonts w:hint="eastAsia"/>
                <w:color w:val="000000"/>
              </w:rPr>
            </w:pPr>
            <w:r>
              <w:rPr>
                <w:rFonts w:hint="eastAsia"/>
                <w:color w:val="000000"/>
              </w:rPr>
              <w:t>支持查看应用的调用记录以及具体的调用日志信息</w:t>
            </w:r>
          </w:p>
        </w:tc>
      </w:tr>
      <w:tr w14:paraId="56DBCCB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trHeight w:val="360" w:hRule="atLeast"/>
        </w:trPr>
        <w:tc>
          <w:tcPr>
            <w:tcW w:w="7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2713C9">
            <w:pPr>
              <w:rPr>
                <w:rFonts w:ascii="宋体" w:hAnsi="宋体" w:cs="宋体"/>
                <w:color w:val="000000"/>
                <w:sz w:val="24"/>
              </w:rPr>
            </w:pPr>
          </w:p>
        </w:tc>
        <w:tc>
          <w:tcPr>
            <w:tcW w:w="8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B007D0">
            <w:pPr>
              <w:rPr>
                <w:rFonts w:ascii="宋体" w:hAnsi="宋体" w:cs="宋体"/>
                <w:color w:val="000000"/>
                <w:sz w:val="24"/>
              </w:rPr>
            </w:pPr>
          </w:p>
        </w:tc>
        <w:tc>
          <w:tcPr>
            <w:tcW w:w="7170" w:type="dxa"/>
            <w:tcBorders>
              <w:top w:val="single" w:color="000000" w:sz="4" w:space="0"/>
              <w:left w:val="single" w:color="000000" w:sz="4" w:space="0"/>
              <w:bottom w:val="single" w:color="000000" w:sz="4" w:space="0"/>
              <w:right w:val="single" w:color="000000" w:sz="4" w:space="0"/>
            </w:tcBorders>
            <w:noWrap w:val="0"/>
            <w:vAlign w:val="center"/>
          </w:tcPr>
          <w:p w14:paraId="6F39C06B">
            <w:pPr>
              <w:jc w:val="left"/>
              <w:rPr>
                <w:rFonts w:hint="eastAsia"/>
                <w:color w:val="000000"/>
              </w:rPr>
            </w:pPr>
            <w:r>
              <w:rPr>
                <w:rFonts w:hint="eastAsia"/>
                <w:color w:val="000000"/>
              </w:rPr>
              <w:t>支持复制当前应用的密钥</w:t>
            </w:r>
          </w:p>
        </w:tc>
      </w:tr>
      <w:tr w14:paraId="6F766F8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trHeight w:val="360" w:hRule="atLeast"/>
        </w:trPr>
        <w:tc>
          <w:tcPr>
            <w:tcW w:w="7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513E3A">
            <w:pPr>
              <w:rPr>
                <w:rFonts w:ascii="宋体" w:hAnsi="宋体" w:cs="宋体"/>
                <w:color w:val="000000"/>
                <w:sz w:val="24"/>
              </w:rPr>
            </w:pPr>
          </w:p>
        </w:tc>
        <w:tc>
          <w:tcPr>
            <w:tcW w:w="8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1379F4">
            <w:pPr>
              <w:rPr>
                <w:rFonts w:ascii="宋体" w:hAnsi="宋体" w:cs="宋体"/>
                <w:color w:val="000000"/>
                <w:sz w:val="24"/>
              </w:rPr>
            </w:pPr>
          </w:p>
        </w:tc>
        <w:tc>
          <w:tcPr>
            <w:tcW w:w="7170" w:type="dxa"/>
            <w:tcBorders>
              <w:top w:val="single" w:color="000000" w:sz="4" w:space="0"/>
              <w:left w:val="single" w:color="000000" w:sz="4" w:space="0"/>
              <w:bottom w:val="single" w:color="000000" w:sz="4" w:space="0"/>
              <w:right w:val="single" w:color="000000" w:sz="4" w:space="0"/>
            </w:tcBorders>
            <w:noWrap w:val="0"/>
            <w:vAlign w:val="center"/>
          </w:tcPr>
          <w:p w14:paraId="132C7E7E">
            <w:pPr>
              <w:jc w:val="left"/>
              <w:rPr>
                <w:rFonts w:hint="eastAsia"/>
                <w:color w:val="000000"/>
              </w:rPr>
            </w:pPr>
            <w:r>
              <w:rPr>
                <w:rFonts w:hint="eastAsia"/>
                <w:color w:val="000000"/>
              </w:rPr>
              <w:t>支持更新当前应用的密钥</w:t>
            </w:r>
          </w:p>
        </w:tc>
      </w:tr>
      <w:tr w14:paraId="29F26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741" w:type="dxa"/>
            <w:vMerge w:val="restart"/>
            <w:noWrap w:val="0"/>
            <w:vAlign w:val="center"/>
          </w:tcPr>
          <w:p w14:paraId="78B2D805">
            <w:pPr>
              <w:widowControl/>
              <w:jc w:val="left"/>
              <w:rPr>
                <w:rFonts w:hint="eastAsia" w:ascii="宋体" w:hAnsi="宋体" w:cs="宋体"/>
                <w:kern w:val="0"/>
                <w:szCs w:val="21"/>
              </w:rPr>
            </w:pPr>
          </w:p>
          <w:p w14:paraId="384EC6C2">
            <w:pPr>
              <w:widowControl/>
              <w:jc w:val="left"/>
              <w:rPr>
                <w:rFonts w:hint="eastAsia" w:ascii="宋体" w:hAnsi="宋体" w:cs="宋体"/>
                <w:kern w:val="0"/>
                <w:szCs w:val="21"/>
              </w:rPr>
            </w:pPr>
          </w:p>
          <w:p w14:paraId="44C42D23">
            <w:pPr>
              <w:widowControl/>
              <w:jc w:val="left"/>
              <w:rPr>
                <w:rFonts w:hint="eastAsia" w:ascii="宋体" w:hAnsi="宋体" w:cs="宋体"/>
                <w:kern w:val="0"/>
                <w:szCs w:val="21"/>
              </w:rPr>
            </w:pPr>
          </w:p>
          <w:p w14:paraId="7E547990">
            <w:pPr>
              <w:widowControl/>
              <w:jc w:val="left"/>
              <w:rPr>
                <w:rFonts w:hint="eastAsia" w:ascii="宋体" w:hAnsi="宋体" w:cs="宋体"/>
                <w:kern w:val="0"/>
                <w:szCs w:val="21"/>
              </w:rPr>
            </w:pPr>
          </w:p>
          <w:p w14:paraId="06B412A4">
            <w:pPr>
              <w:widowControl/>
              <w:jc w:val="left"/>
              <w:rPr>
                <w:rFonts w:hint="eastAsia" w:ascii="宋体" w:hAnsi="宋体" w:cs="宋体"/>
                <w:kern w:val="0"/>
                <w:szCs w:val="21"/>
              </w:rPr>
            </w:pPr>
          </w:p>
          <w:p w14:paraId="0A314D95">
            <w:pPr>
              <w:widowControl/>
              <w:jc w:val="left"/>
              <w:rPr>
                <w:rFonts w:hint="eastAsia" w:ascii="宋体" w:hAnsi="宋体" w:cs="宋体"/>
                <w:kern w:val="0"/>
                <w:szCs w:val="21"/>
              </w:rPr>
            </w:pPr>
          </w:p>
          <w:p w14:paraId="4E7ECE32">
            <w:pPr>
              <w:widowControl/>
              <w:jc w:val="left"/>
              <w:rPr>
                <w:rFonts w:hint="eastAsia" w:ascii="宋体" w:hAnsi="宋体" w:cs="宋体"/>
                <w:kern w:val="0"/>
                <w:szCs w:val="21"/>
              </w:rPr>
            </w:pPr>
          </w:p>
          <w:p w14:paraId="5F498D8D">
            <w:pPr>
              <w:widowControl/>
              <w:jc w:val="left"/>
              <w:rPr>
                <w:rFonts w:hint="eastAsia" w:ascii="宋体" w:hAnsi="宋体" w:cs="宋体"/>
                <w:kern w:val="0"/>
                <w:szCs w:val="21"/>
              </w:rPr>
            </w:pPr>
          </w:p>
          <w:p w14:paraId="22883AB0">
            <w:pPr>
              <w:widowControl/>
              <w:jc w:val="left"/>
              <w:rPr>
                <w:rFonts w:hint="eastAsia" w:ascii="宋体" w:hAnsi="宋体" w:cs="宋体"/>
                <w:kern w:val="0"/>
                <w:szCs w:val="21"/>
              </w:rPr>
            </w:pPr>
          </w:p>
          <w:p w14:paraId="0A7FFC06">
            <w:pPr>
              <w:widowControl/>
              <w:jc w:val="left"/>
              <w:rPr>
                <w:rFonts w:hint="eastAsia" w:ascii="宋体" w:hAnsi="宋体" w:cs="宋体"/>
                <w:kern w:val="0"/>
                <w:szCs w:val="21"/>
              </w:rPr>
            </w:pPr>
          </w:p>
          <w:p w14:paraId="7089189F">
            <w:pPr>
              <w:widowControl/>
              <w:jc w:val="left"/>
              <w:rPr>
                <w:rFonts w:hint="eastAsia" w:ascii="宋体" w:hAnsi="宋体" w:cs="宋体"/>
                <w:kern w:val="0"/>
                <w:szCs w:val="21"/>
              </w:rPr>
            </w:pPr>
          </w:p>
          <w:p w14:paraId="2EAE35C6">
            <w:pPr>
              <w:widowControl/>
              <w:jc w:val="left"/>
              <w:rPr>
                <w:rFonts w:hint="eastAsia" w:ascii="宋体" w:hAnsi="宋体" w:cs="宋体"/>
                <w:kern w:val="0"/>
                <w:szCs w:val="21"/>
              </w:rPr>
            </w:pPr>
          </w:p>
          <w:p w14:paraId="637FBC96">
            <w:pPr>
              <w:widowControl/>
              <w:jc w:val="left"/>
              <w:rPr>
                <w:rFonts w:hint="eastAsia" w:ascii="宋体" w:hAnsi="宋体" w:cs="宋体"/>
                <w:kern w:val="0"/>
                <w:szCs w:val="21"/>
              </w:rPr>
            </w:pPr>
            <w:r>
              <w:rPr>
                <w:rFonts w:hint="eastAsia" w:ascii="宋体" w:hAnsi="宋体" w:cs="宋体"/>
                <w:kern w:val="0"/>
                <w:szCs w:val="21"/>
              </w:rPr>
              <w:t>14.数据治理运营服务</w:t>
            </w:r>
          </w:p>
        </w:tc>
        <w:tc>
          <w:tcPr>
            <w:tcW w:w="876" w:type="dxa"/>
            <w:vMerge w:val="restart"/>
            <w:noWrap w:val="0"/>
            <w:vAlign w:val="center"/>
          </w:tcPr>
          <w:p w14:paraId="7E7145BC">
            <w:pPr>
              <w:widowControl/>
              <w:jc w:val="center"/>
              <w:rPr>
                <w:rFonts w:hint="eastAsia" w:ascii="宋体" w:hAnsi="宋体" w:cs="宋体"/>
                <w:kern w:val="0"/>
                <w:szCs w:val="21"/>
              </w:rPr>
            </w:pPr>
            <w:r>
              <w:rPr>
                <w:rFonts w:hint="eastAsia" w:ascii="宋体" w:hAnsi="宋体" w:cs="宋体"/>
                <w:kern w:val="0"/>
                <w:szCs w:val="21"/>
              </w:rPr>
              <w:t>数据标准服务要求</w:t>
            </w:r>
          </w:p>
        </w:tc>
        <w:tc>
          <w:tcPr>
            <w:tcW w:w="7170" w:type="dxa"/>
            <w:noWrap w:val="0"/>
            <w:vAlign w:val="center"/>
          </w:tcPr>
          <w:p w14:paraId="2881AFDE">
            <w:pPr>
              <w:widowControl/>
              <w:rPr>
                <w:rFonts w:hint="eastAsia" w:ascii="宋体" w:hAnsi="宋体" w:cs="宋体"/>
                <w:kern w:val="0"/>
                <w:szCs w:val="21"/>
              </w:rPr>
            </w:pPr>
            <w:r>
              <w:rPr>
                <w:rFonts w:hint="eastAsia" w:ascii="宋体" w:hAnsi="宋体" w:cs="宋体"/>
                <w:kern w:val="0"/>
                <w:szCs w:val="21"/>
              </w:rPr>
              <w:t>参照国家大数据标准规范、国家卫生信息化标准基础框架、卫生信息数据相关标准设计指南,遵循广东省、广州市、深圳市区等相关标准以及其他相关标准，制订我院大数据平台的数据标准规范体系。</w:t>
            </w:r>
          </w:p>
        </w:tc>
      </w:tr>
      <w:tr w14:paraId="04FFB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741" w:type="dxa"/>
            <w:vMerge w:val="continue"/>
            <w:noWrap w:val="0"/>
            <w:vAlign w:val="center"/>
          </w:tcPr>
          <w:p w14:paraId="3A2987C1">
            <w:pPr>
              <w:widowControl/>
              <w:jc w:val="left"/>
              <w:rPr>
                <w:rFonts w:hint="eastAsia" w:ascii="宋体" w:hAnsi="宋体" w:cs="宋体"/>
                <w:kern w:val="0"/>
                <w:szCs w:val="21"/>
              </w:rPr>
            </w:pPr>
          </w:p>
        </w:tc>
        <w:tc>
          <w:tcPr>
            <w:tcW w:w="876" w:type="dxa"/>
            <w:vMerge w:val="continue"/>
            <w:noWrap w:val="0"/>
            <w:vAlign w:val="center"/>
          </w:tcPr>
          <w:p w14:paraId="6479CFD9">
            <w:pPr>
              <w:widowControl/>
              <w:jc w:val="center"/>
              <w:rPr>
                <w:rFonts w:hint="eastAsia" w:ascii="宋体" w:hAnsi="宋体" w:cs="宋体"/>
                <w:kern w:val="0"/>
                <w:szCs w:val="21"/>
              </w:rPr>
            </w:pPr>
          </w:p>
        </w:tc>
        <w:tc>
          <w:tcPr>
            <w:tcW w:w="7170" w:type="dxa"/>
            <w:noWrap w:val="0"/>
            <w:vAlign w:val="center"/>
          </w:tcPr>
          <w:p w14:paraId="2F8C80F0">
            <w:pPr>
              <w:widowControl/>
              <w:rPr>
                <w:rFonts w:hint="eastAsia" w:ascii="宋体" w:hAnsi="宋体" w:cs="宋体"/>
                <w:kern w:val="0"/>
                <w:szCs w:val="21"/>
              </w:rPr>
            </w:pPr>
            <w:r>
              <w:rPr>
                <w:rFonts w:hint="eastAsia" w:ascii="宋体" w:hAnsi="宋体" w:cs="宋体"/>
                <w:kern w:val="0"/>
                <w:szCs w:val="21"/>
              </w:rPr>
              <w:t>建设数据管理规范,包括数据资源目录、数据共享业务管理规范、数据安全管理规范、</w:t>
            </w:r>
            <w:r>
              <w:rPr>
                <w:rFonts w:hint="eastAsia" w:ascii="宋体" w:hAnsi="宋体" w:cs="宋体"/>
                <w:kern w:val="0"/>
                <w:szCs w:val="21"/>
                <w:lang w:val="en-US" w:eastAsia="zh-CN"/>
              </w:rPr>
              <w:t>数据分类分级规范、</w:t>
            </w:r>
            <w:r>
              <w:rPr>
                <w:rFonts w:hint="eastAsia" w:ascii="宋体" w:hAnsi="宋体" w:cs="宋体"/>
                <w:kern w:val="0"/>
                <w:szCs w:val="21"/>
              </w:rPr>
              <w:t>数据服务管理规范、数据运营管理规范。</w:t>
            </w:r>
          </w:p>
        </w:tc>
      </w:tr>
      <w:tr w14:paraId="53EA2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741" w:type="dxa"/>
            <w:vMerge w:val="continue"/>
            <w:noWrap w:val="0"/>
            <w:vAlign w:val="center"/>
          </w:tcPr>
          <w:p w14:paraId="05DFD613">
            <w:pPr>
              <w:widowControl/>
              <w:jc w:val="left"/>
              <w:rPr>
                <w:rFonts w:hint="eastAsia" w:ascii="宋体" w:hAnsi="宋体" w:cs="宋体"/>
                <w:kern w:val="0"/>
                <w:szCs w:val="21"/>
              </w:rPr>
            </w:pPr>
          </w:p>
        </w:tc>
        <w:tc>
          <w:tcPr>
            <w:tcW w:w="876" w:type="dxa"/>
            <w:vMerge w:val="continue"/>
            <w:noWrap w:val="0"/>
            <w:vAlign w:val="center"/>
          </w:tcPr>
          <w:p w14:paraId="3660DAC3">
            <w:pPr>
              <w:widowControl/>
              <w:jc w:val="center"/>
              <w:rPr>
                <w:rFonts w:hint="eastAsia" w:ascii="宋体" w:hAnsi="宋体" w:cs="宋体"/>
                <w:kern w:val="0"/>
                <w:szCs w:val="21"/>
              </w:rPr>
            </w:pPr>
          </w:p>
        </w:tc>
        <w:tc>
          <w:tcPr>
            <w:tcW w:w="7170" w:type="dxa"/>
            <w:noWrap w:val="0"/>
            <w:vAlign w:val="center"/>
          </w:tcPr>
          <w:p w14:paraId="5F3E3064">
            <w:pPr>
              <w:widowControl/>
              <w:rPr>
                <w:rFonts w:hint="eastAsia" w:ascii="宋体" w:hAnsi="宋体" w:cs="宋体"/>
                <w:kern w:val="0"/>
                <w:szCs w:val="21"/>
              </w:rPr>
            </w:pPr>
            <w:r>
              <w:rPr>
                <w:rFonts w:hint="eastAsia" w:ascii="宋体" w:hAnsi="宋体" w:cs="宋体"/>
                <w:kern w:val="0"/>
                <w:szCs w:val="21"/>
              </w:rPr>
              <w:t>建设数据规范,包括医疗数据基础库建设规范、医疗数据专题库建设规范。</w:t>
            </w:r>
          </w:p>
        </w:tc>
      </w:tr>
      <w:tr w14:paraId="31A7F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741" w:type="dxa"/>
            <w:vMerge w:val="continue"/>
            <w:noWrap w:val="0"/>
            <w:vAlign w:val="center"/>
          </w:tcPr>
          <w:p w14:paraId="38F3E8DF">
            <w:pPr>
              <w:widowControl/>
              <w:jc w:val="left"/>
              <w:rPr>
                <w:rFonts w:hint="eastAsia" w:ascii="宋体" w:hAnsi="宋体" w:cs="宋体"/>
                <w:kern w:val="0"/>
                <w:szCs w:val="21"/>
              </w:rPr>
            </w:pPr>
          </w:p>
        </w:tc>
        <w:tc>
          <w:tcPr>
            <w:tcW w:w="876" w:type="dxa"/>
            <w:vMerge w:val="continue"/>
            <w:noWrap w:val="0"/>
            <w:vAlign w:val="center"/>
          </w:tcPr>
          <w:p w14:paraId="3B679FC9">
            <w:pPr>
              <w:widowControl/>
              <w:jc w:val="center"/>
              <w:rPr>
                <w:rFonts w:hint="eastAsia" w:ascii="宋体" w:hAnsi="宋体" w:cs="宋体"/>
                <w:kern w:val="0"/>
                <w:szCs w:val="21"/>
              </w:rPr>
            </w:pPr>
          </w:p>
        </w:tc>
        <w:tc>
          <w:tcPr>
            <w:tcW w:w="7170" w:type="dxa"/>
            <w:noWrap w:val="0"/>
            <w:vAlign w:val="center"/>
          </w:tcPr>
          <w:p w14:paraId="12B0BFF2">
            <w:pPr>
              <w:widowControl/>
              <w:rPr>
                <w:rFonts w:hint="eastAsia" w:ascii="宋体" w:hAnsi="宋体" w:cs="宋体"/>
                <w:kern w:val="0"/>
                <w:szCs w:val="21"/>
              </w:rPr>
            </w:pPr>
            <w:r>
              <w:rPr>
                <w:rFonts w:hint="eastAsia" w:ascii="宋体" w:hAnsi="宋体" w:cs="宋体"/>
                <w:kern w:val="0"/>
                <w:szCs w:val="21"/>
              </w:rPr>
              <w:t>建设接口规范，包括数据质量管理标准接口规范、数据分析展示标准接口规范、数据开放标准接口规范、数据脱敏标准接口规范。</w:t>
            </w:r>
          </w:p>
        </w:tc>
      </w:tr>
      <w:tr w14:paraId="6F9DF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741" w:type="dxa"/>
            <w:vMerge w:val="continue"/>
            <w:noWrap w:val="0"/>
            <w:vAlign w:val="center"/>
          </w:tcPr>
          <w:p w14:paraId="1C4D00B3">
            <w:pPr>
              <w:widowControl/>
              <w:jc w:val="left"/>
              <w:rPr>
                <w:rFonts w:hint="eastAsia" w:ascii="宋体" w:hAnsi="宋体" w:cs="宋体"/>
                <w:kern w:val="0"/>
                <w:szCs w:val="21"/>
              </w:rPr>
            </w:pPr>
          </w:p>
        </w:tc>
        <w:tc>
          <w:tcPr>
            <w:tcW w:w="876" w:type="dxa"/>
            <w:vMerge w:val="continue"/>
            <w:noWrap w:val="0"/>
            <w:vAlign w:val="center"/>
          </w:tcPr>
          <w:p w14:paraId="4C9936BD">
            <w:pPr>
              <w:widowControl/>
              <w:jc w:val="center"/>
              <w:rPr>
                <w:rFonts w:hint="eastAsia" w:ascii="宋体" w:hAnsi="宋体" w:cs="宋体"/>
                <w:kern w:val="0"/>
                <w:szCs w:val="21"/>
              </w:rPr>
            </w:pPr>
          </w:p>
        </w:tc>
        <w:tc>
          <w:tcPr>
            <w:tcW w:w="7170" w:type="dxa"/>
            <w:noWrap w:val="0"/>
            <w:vAlign w:val="center"/>
          </w:tcPr>
          <w:p w14:paraId="5FA08431">
            <w:pPr>
              <w:widowControl/>
              <w:rPr>
                <w:rFonts w:hint="eastAsia" w:ascii="宋体" w:hAnsi="宋体" w:cs="宋体"/>
                <w:kern w:val="0"/>
                <w:szCs w:val="21"/>
              </w:rPr>
            </w:pPr>
            <w:r>
              <w:rPr>
                <w:rFonts w:hint="eastAsia" w:ascii="宋体" w:hAnsi="宋体" w:cs="宋体"/>
                <w:kern w:val="0"/>
                <w:szCs w:val="21"/>
              </w:rPr>
              <w:t>建立数据合规管理体系,要求合规管理技术可落地，操作可留痕，数据可追溯。</w:t>
            </w:r>
          </w:p>
        </w:tc>
      </w:tr>
      <w:tr w14:paraId="35E7D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741" w:type="dxa"/>
            <w:vMerge w:val="continue"/>
            <w:noWrap w:val="0"/>
            <w:vAlign w:val="center"/>
          </w:tcPr>
          <w:p w14:paraId="621CBAA8">
            <w:pPr>
              <w:widowControl/>
              <w:jc w:val="left"/>
              <w:rPr>
                <w:rFonts w:hint="eastAsia" w:ascii="宋体" w:hAnsi="宋体" w:cs="宋体"/>
                <w:kern w:val="0"/>
                <w:szCs w:val="21"/>
              </w:rPr>
            </w:pPr>
          </w:p>
        </w:tc>
        <w:tc>
          <w:tcPr>
            <w:tcW w:w="876" w:type="dxa"/>
            <w:vMerge w:val="restart"/>
            <w:noWrap w:val="0"/>
            <w:vAlign w:val="center"/>
          </w:tcPr>
          <w:p w14:paraId="41D6441F">
            <w:pPr>
              <w:widowControl/>
              <w:jc w:val="center"/>
              <w:rPr>
                <w:rFonts w:hint="eastAsia" w:ascii="宋体" w:hAnsi="宋体" w:cs="宋体"/>
                <w:kern w:val="0"/>
                <w:szCs w:val="21"/>
              </w:rPr>
            </w:pPr>
            <w:r>
              <w:rPr>
                <w:rFonts w:hint="eastAsia" w:ascii="宋体" w:hAnsi="宋体" w:cs="宋体"/>
                <w:kern w:val="0"/>
                <w:szCs w:val="21"/>
              </w:rPr>
              <w:t>数据治理服务要求</w:t>
            </w:r>
          </w:p>
        </w:tc>
        <w:tc>
          <w:tcPr>
            <w:tcW w:w="7170" w:type="dxa"/>
            <w:noWrap w:val="0"/>
            <w:vAlign w:val="center"/>
          </w:tcPr>
          <w:p w14:paraId="2750629B">
            <w:pPr>
              <w:widowControl/>
              <w:rPr>
                <w:rFonts w:hint="default" w:ascii="宋体" w:hAnsi="宋体" w:eastAsia="宋体" w:cs="宋体"/>
                <w:kern w:val="0"/>
                <w:szCs w:val="21"/>
                <w:lang w:val="en-US" w:eastAsia="zh-CN"/>
              </w:rPr>
            </w:pPr>
            <w:r>
              <w:rPr>
                <w:rFonts w:hint="eastAsia" w:ascii="宋体" w:hAnsi="宋体" w:cs="宋体"/>
                <w:kern w:val="0"/>
                <w:szCs w:val="21"/>
              </w:rPr>
              <w:t>梳理各业务条线相关业务系统按医疗业务事项涉及的医疗信息资源进行调查和整理，编制数据资源目录清单。</w:t>
            </w:r>
            <w:r>
              <w:rPr>
                <w:rFonts w:hint="eastAsia" w:ascii="宋体" w:hAnsi="宋体" w:cs="宋体"/>
                <w:kern w:val="0"/>
                <w:szCs w:val="21"/>
                <w:lang w:val="en-US" w:eastAsia="zh-CN"/>
              </w:rPr>
              <w:t>满足</w:t>
            </w:r>
            <w:r>
              <w:rPr>
                <w:rFonts w:hint="eastAsia" w:ascii="宋体" w:hAnsi="宋体" w:cs="宋体"/>
                <w:b/>
                <w:bCs/>
                <w:color w:val="auto"/>
                <w:kern w:val="0"/>
                <w:szCs w:val="21"/>
                <w:lang w:val="en-US" w:eastAsia="zh-CN"/>
              </w:rPr>
              <w:t>广东省深圳市《卫生健康数据分类分级实施指南》要求。</w:t>
            </w:r>
          </w:p>
        </w:tc>
      </w:tr>
      <w:tr w14:paraId="1AE15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741" w:type="dxa"/>
            <w:vMerge w:val="continue"/>
            <w:noWrap w:val="0"/>
            <w:vAlign w:val="center"/>
          </w:tcPr>
          <w:p w14:paraId="74F0AE06">
            <w:pPr>
              <w:widowControl/>
              <w:jc w:val="left"/>
              <w:rPr>
                <w:rFonts w:hint="eastAsia" w:ascii="宋体" w:hAnsi="宋体" w:cs="宋体"/>
                <w:kern w:val="0"/>
                <w:szCs w:val="21"/>
              </w:rPr>
            </w:pPr>
          </w:p>
        </w:tc>
        <w:tc>
          <w:tcPr>
            <w:tcW w:w="876" w:type="dxa"/>
            <w:vMerge w:val="continue"/>
            <w:noWrap w:val="0"/>
            <w:vAlign w:val="center"/>
          </w:tcPr>
          <w:p w14:paraId="134AE86B">
            <w:pPr>
              <w:widowControl/>
              <w:jc w:val="center"/>
              <w:rPr>
                <w:rFonts w:hint="eastAsia" w:ascii="宋体" w:hAnsi="宋体" w:cs="宋体"/>
                <w:kern w:val="0"/>
                <w:szCs w:val="21"/>
              </w:rPr>
            </w:pPr>
          </w:p>
        </w:tc>
        <w:tc>
          <w:tcPr>
            <w:tcW w:w="7170" w:type="dxa"/>
            <w:noWrap w:val="0"/>
            <w:vAlign w:val="center"/>
          </w:tcPr>
          <w:p w14:paraId="6E4EB2E7">
            <w:pPr>
              <w:widowControl/>
              <w:rPr>
                <w:rFonts w:hint="eastAsia" w:ascii="宋体" w:hAnsi="宋体" w:cs="宋体"/>
                <w:kern w:val="0"/>
                <w:szCs w:val="21"/>
              </w:rPr>
            </w:pPr>
            <w:r>
              <w:rPr>
                <w:rFonts w:hint="eastAsia" w:ascii="宋体" w:hAnsi="宋体" w:cs="宋体"/>
                <w:kern w:val="0"/>
                <w:szCs w:val="21"/>
              </w:rPr>
              <w:t>项目需提供驻场工程师并按要求,每日核查业务系统汇集情况、汇集的质量(完整性、稳定性等情况)等,以日报的形式发出。</w:t>
            </w:r>
          </w:p>
        </w:tc>
      </w:tr>
      <w:tr w14:paraId="74C54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8" w:hRule="atLeast"/>
        </w:trPr>
        <w:tc>
          <w:tcPr>
            <w:tcW w:w="741" w:type="dxa"/>
            <w:vMerge w:val="continue"/>
            <w:noWrap w:val="0"/>
            <w:vAlign w:val="center"/>
          </w:tcPr>
          <w:p w14:paraId="2D982098">
            <w:pPr>
              <w:widowControl/>
              <w:jc w:val="left"/>
              <w:rPr>
                <w:rFonts w:hint="eastAsia" w:ascii="宋体" w:hAnsi="宋体" w:cs="宋体"/>
                <w:kern w:val="0"/>
                <w:szCs w:val="21"/>
              </w:rPr>
            </w:pPr>
          </w:p>
        </w:tc>
        <w:tc>
          <w:tcPr>
            <w:tcW w:w="876" w:type="dxa"/>
            <w:vMerge w:val="continue"/>
            <w:noWrap w:val="0"/>
            <w:vAlign w:val="center"/>
          </w:tcPr>
          <w:p w14:paraId="2BFE1050">
            <w:pPr>
              <w:widowControl/>
              <w:jc w:val="center"/>
              <w:rPr>
                <w:rFonts w:hint="eastAsia" w:ascii="宋体" w:hAnsi="宋体" w:cs="宋体"/>
                <w:kern w:val="0"/>
                <w:szCs w:val="21"/>
              </w:rPr>
            </w:pPr>
          </w:p>
        </w:tc>
        <w:tc>
          <w:tcPr>
            <w:tcW w:w="7170" w:type="dxa"/>
            <w:noWrap w:val="0"/>
            <w:vAlign w:val="center"/>
          </w:tcPr>
          <w:p w14:paraId="7D5057A0">
            <w:pPr>
              <w:widowControl/>
              <w:rPr>
                <w:rFonts w:hint="eastAsia" w:ascii="宋体" w:hAnsi="宋体" w:cs="宋体"/>
                <w:kern w:val="0"/>
                <w:szCs w:val="21"/>
              </w:rPr>
            </w:pPr>
            <w:r>
              <w:rPr>
                <w:rFonts w:hint="eastAsia" w:ascii="宋体" w:hAnsi="宋体" w:cs="宋体"/>
                <w:kern w:val="0"/>
                <w:szCs w:val="21"/>
              </w:rPr>
              <w:t>数据治理工程师需要响应医院各业务需求部门提出的数据使用申请,提供问题咨询、技术上实施的可行性评估、工单任务进度跟踪等的服务支撑工作。同时也要负责数据使用工单的实施,并配合数据接口使用方完成接口测试和联调、上线工作。</w:t>
            </w:r>
          </w:p>
        </w:tc>
      </w:tr>
      <w:tr w14:paraId="00393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741" w:type="dxa"/>
            <w:vMerge w:val="continue"/>
            <w:noWrap w:val="0"/>
            <w:vAlign w:val="center"/>
          </w:tcPr>
          <w:p w14:paraId="2491560F">
            <w:pPr>
              <w:widowControl/>
              <w:jc w:val="left"/>
              <w:rPr>
                <w:rFonts w:hint="eastAsia" w:ascii="宋体" w:hAnsi="宋体" w:cs="宋体"/>
                <w:kern w:val="0"/>
                <w:szCs w:val="21"/>
              </w:rPr>
            </w:pPr>
          </w:p>
        </w:tc>
        <w:tc>
          <w:tcPr>
            <w:tcW w:w="876" w:type="dxa"/>
            <w:vMerge w:val="restart"/>
            <w:noWrap w:val="0"/>
            <w:vAlign w:val="center"/>
          </w:tcPr>
          <w:p w14:paraId="101AEF02">
            <w:pPr>
              <w:widowControl/>
              <w:jc w:val="center"/>
              <w:rPr>
                <w:rFonts w:hint="eastAsia" w:ascii="宋体" w:hAnsi="宋体" w:cs="宋体"/>
                <w:kern w:val="0"/>
                <w:szCs w:val="21"/>
              </w:rPr>
            </w:pPr>
            <w:r>
              <w:rPr>
                <w:rFonts w:hint="eastAsia" w:ascii="宋体" w:hAnsi="宋体" w:cs="宋体"/>
                <w:kern w:val="0"/>
                <w:szCs w:val="21"/>
              </w:rPr>
              <w:t>数据管理服务要求</w:t>
            </w:r>
          </w:p>
        </w:tc>
        <w:tc>
          <w:tcPr>
            <w:tcW w:w="7170" w:type="dxa"/>
            <w:noWrap w:val="0"/>
            <w:vAlign w:val="center"/>
          </w:tcPr>
          <w:p w14:paraId="13A2D9D5">
            <w:pPr>
              <w:widowControl/>
              <w:rPr>
                <w:rFonts w:hint="eastAsia" w:ascii="宋体" w:hAnsi="宋体" w:cs="宋体"/>
                <w:kern w:val="0"/>
                <w:szCs w:val="21"/>
              </w:rPr>
            </w:pPr>
            <w:r>
              <w:rPr>
                <w:rFonts w:hint="eastAsia" w:ascii="宋体" w:hAnsi="宋体" w:cs="宋体"/>
                <w:kern w:val="0"/>
                <w:szCs w:val="21"/>
              </w:rPr>
              <w:t>需要从数据管理视角，围绕业务部门应用需求驱动、数据共享业务流程优化、数据共享合规审核相关的各个方面，构建业务运营管理机制和管理体系，形成常态化运营管理服务。</w:t>
            </w:r>
          </w:p>
        </w:tc>
      </w:tr>
      <w:tr w14:paraId="403DD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8" w:hRule="atLeast"/>
        </w:trPr>
        <w:tc>
          <w:tcPr>
            <w:tcW w:w="741" w:type="dxa"/>
            <w:vMerge w:val="continue"/>
            <w:noWrap w:val="0"/>
            <w:vAlign w:val="center"/>
          </w:tcPr>
          <w:p w14:paraId="1EBDA1C0">
            <w:pPr>
              <w:widowControl/>
              <w:jc w:val="left"/>
              <w:rPr>
                <w:rFonts w:hint="eastAsia" w:ascii="宋体" w:hAnsi="宋体" w:cs="宋体"/>
                <w:kern w:val="0"/>
                <w:szCs w:val="21"/>
              </w:rPr>
            </w:pPr>
          </w:p>
        </w:tc>
        <w:tc>
          <w:tcPr>
            <w:tcW w:w="876" w:type="dxa"/>
            <w:vMerge w:val="continue"/>
            <w:noWrap w:val="0"/>
            <w:vAlign w:val="center"/>
          </w:tcPr>
          <w:p w14:paraId="1C9796CC">
            <w:pPr>
              <w:widowControl/>
              <w:jc w:val="center"/>
              <w:rPr>
                <w:rFonts w:hint="eastAsia" w:ascii="宋体" w:hAnsi="宋体" w:cs="宋体"/>
                <w:kern w:val="0"/>
                <w:szCs w:val="21"/>
              </w:rPr>
            </w:pPr>
          </w:p>
        </w:tc>
        <w:tc>
          <w:tcPr>
            <w:tcW w:w="7170" w:type="dxa"/>
            <w:noWrap w:val="0"/>
            <w:vAlign w:val="center"/>
          </w:tcPr>
          <w:p w14:paraId="748DFE95">
            <w:pPr>
              <w:widowControl/>
              <w:rPr>
                <w:rFonts w:hint="eastAsia" w:ascii="宋体" w:hAnsi="宋体" w:cs="宋体"/>
                <w:kern w:val="0"/>
                <w:szCs w:val="21"/>
              </w:rPr>
            </w:pPr>
            <w:r>
              <w:rPr>
                <w:rFonts w:hint="eastAsia" w:ascii="宋体" w:hAnsi="宋体" w:cs="宋体"/>
                <w:kern w:val="0"/>
                <w:szCs w:val="21"/>
              </w:rPr>
              <w:t>需要建立健全数据运营管理体系，提高数据需求精度及准确性，降低审核环节时间成本，提高数据共享效率，围绕员工账号及权限建立对应的数据目录管理、使用监管、授权机制等审核规范，进行日常和数据治理专项的需求管理。合规审核包括需求申请审核和服务提供审核。</w:t>
            </w:r>
          </w:p>
        </w:tc>
      </w:tr>
      <w:tr w14:paraId="2B29A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0" w:hRule="atLeast"/>
        </w:trPr>
        <w:tc>
          <w:tcPr>
            <w:tcW w:w="741" w:type="dxa"/>
            <w:vMerge w:val="continue"/>
            <w:noWrap w:val="0"/>
            <w:vAlign w:val="center"/>
          </w:tcPr>
          <w:p w14:paraId="73C9C9CB">
            <w:pPr>
              <w:widowControl/>
              <w:jc w:val="left"/>
              <w:rPr>
                <w:rFonts w:hint="eastAsia" w:ascii="宋体" w:hAnsi="宋体" w:cs="宋体"/>
                <w:kern w:val="0"/>
                <w:szCs w:val="21"/>
              </w:rPr>
            </w:pPr>
          </w:p>
        </w:tc>
        <w:tc>
          <w:tcPr>
            <w:tcW w:w="876" w:type="dxa"/>
            <w:vMerge w:val="continue"/>
            <w:noWrap w:val="0"/>
            <w:vAlign w:val="center"/>
          </w:tcPr>
          <w:p w14:paraId="1F437E5B">
            <w:pPr>
              <w:widowControl/>
              <w:jc w:val="center"/>
              <w:rPr>
                <w:rFonts w:hint="eastAsia" w:ascii="宋体" w:hAnsi="宋体" w:cs="宋体"/>
                <w:kern w:val="0"/>
                <w:szCs w:val="21"/>
              </w:rPr>
            </w:pPr>
          </w:p>
        </w:tc>
        <w:tc>
          <w:tcPr>
            <w:tcW w:w="7170" w:type="dxa"/>
            <w:noWrap w:val="0"/>
            <w:vAlign w:val="center"/>
          </w:tcPr>
          <w:p w14:paraId="33B629B2">
            <w:pPr>
              <w:widowControl/>
              <w:rPr>
                <w:rFonts w:hint="eastAsia" w:ascii="宋体" w:hAnsi="宋体" w:cs="宋体"/>
                <w:kern w:val="0"/>
                <w:szCs w:val="21"/>
              </w:rPr>
            </w:pPr>
            <w:r>
              <w:rPr>
                <w:rFonts w:hint="eastAsia" w:ascii="宋体" w:hAnsi="宋体" w:cs="宋体"/>
                <w:kern w:val="0"/>
                <w:szCs w:val="21"/>
              </w:rPr>
              <w:t>协助业务需求方对数据湖内数据质量构建统一评价指标体系。要求脱敏后数据重识别率不超过万分之五，运营管理方设定指标达标值，若未达标，则根据检测结果与达标值的差距，进行评价结果输出。</w:t>
            </w:r>
          </w:p>
        </w:tc>
      </w:tr>
      <w:tr w14:paraId="01613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9" w:hRule="atLeast"/>
        </w:trPr>
        <w:tc>
          <w:tcPr>
            <w:tcW w:w="741" w:type="dxa"/>
            <w:vMerge w:val="continue"/>
            <w:noWrap w:val="0"/>
            <w:vAlign w:val="center"/>
          </w:tcPr>
          <w:p w14:paraId="3F1FB003">
            <w:pPr>
              <w:widowControl/>
              <w:jc w:val="left"/>
              <w:rPr>
                <w:rFonts w:hint="eastAsia" w:ascii="宋体" w:hAnsi="宋体" w:cs="宋体"/>
                <w:kern w:val="0"/>
                <w:szCs w:val="21"/>
              </w:rPr>
            </w:pPr>
          </w:p>
        </w:tc>
        <w:tc>
          <w:tcPr>
            <w:tcW w:w="876" w:type="dxa"/>
            <w:vMerge w:val="continue"/>
            <w:noWrap w:val="0"/>
            <w:vAlign w:val="center"/>
          </w:tcPr>
          <w:p w14:paraId="48F9B1FE">
            <w:pPr>
              <w:widowControl/>
              <w:jc w:val="center"/>
              <w:rPr>
                <w:rFonts w:hint="eastAsia" w:ascii="宋体" w:hAnsi="宋体" w:cs="宋体"/>
                <w:kern w:val="0"/>
                <w:szCs w:val="21"/>
              </w:rPr>
            </w:pPr>
          </w:p>
        </w:tc>
        <w:tc>
          <w:tcPr>
            <w:tcW w:w="7170" w:type="dxa"/>
            <w:noWrap w:val="0"/>
            <w:vAlign w:val="center"/>
          </w:tcPr>
          <w:p w14:paraId="326B9177">
            <w:pPr>
              <w:widowControl/>
              <w:rPr>
                <w:rFonts w:hint="eastAsia" w:ascii="宋体" w:hAnsi="宋体" w:cs="宋体"/>
                <w:kern w:val="0"/>
                <w:szCs w:val="21"/>
              </w:rPr>
            </w:pPr>
            <w:r>
              <w:rPr>
                <w:rFonts w:hint="eastAsia" w:ascii="宋体" w:hAnsi="宋体" w:cs="宋体"/>
                <w:kern w:val="0"/>
                <w:szCs w:val="21"/>
              </w:rPr>
              <w:t>协助编制包括数据类编码规范、数据项编码规范、数据元编码规范、代码集编码规范、数据资源分类编码规范在内的安全规范；运营方需按每周、每月进行数据安全检查，并提供巡检报告。</w:t>
            </w:r>
          </w:p>
        </w:tc>
      </w:tr>
      <w:tr w14:paraId="4FA8D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1" w:hRule="atLeast"/>
        </w:trPr>
        <w:tc>
          <w:tcPr>
            <w:tcW w:w="741" w:type="dxa"/>
            <w:vMerge w:val="continue"/>
            <w:noWrap w:val="0"/>
            <w:vAlign w:val="center"/>
          </w:tcPr>
          <w:p w14:paraId="5B2F2056">
            <w:pPr>
              <w:widowControl/>
              <w:jc w:val="left"/>
              <w:rPr>
                <w:rFonts w:hint="eastAsia" w:ascii="宋体" w:hAnsi="宋体" w:cs="宋体"/>
                <w:kern w:val="0"/>
                <w:szCs w:val="21"/>
              </w:rPr>
            </w:pPr>
          </w:p>
        </w:tc>
        <w:tc>
          <w:tcPr>
            <w:tcW w:w="876" w:type="dxa"/>
            <w:noWrap w:val="0"/>
            <w:vAlign w:val="center"/>
          </w:tcPr>
          <w:p w14:paraId="003E765E">
            <w:pPr>
              <w:widowControl/>
              <w:jc w:val="center"/>
              <w:rPr>
                <w:rFonts w:hint="eastAsia" w:ascii="宋体" w:hAnsi="宋体" w:cs="宋体"/>
                <w:kern w:val="0"/>
                <w:szCs w:val="21"/>
              </w:rPr>
            </w:pPr>
            <w:r>
              <w:rPr>
                <w:rFonts w:hint="eastAsia" w:ascii="宋体" w:hAnsi="宋体" w:cs="宋体"/>
                <w:kern w:val="0"/>
                <w:szCs w:val="21"/>
              </w:rPr>
              <w:t>数据脱敏要求</w:t>
            </w:r>
          </w:p>
        </w:tc>
        <w:tc>
          <w:tcPr>
            <w:tcW w:w="7170" w:type="dxa"/>
            <w:noWrap w:val="0"/>
            <w:vAlign w:val="center"/>
          </w:tcPr>
          <w:p w14:paraId="2B9D24EC">
            <w:pPr>
              <w:widowControl/>
              <w:jc w:val="right"/>
              <w:rPr>
                <w:rFonts w:hint="eastAsia" w:ascii="宋体" w:hAnsi="宋体" w:cs="宋体"/>
                <w:kern w:val="0"/>
                <w:szCs w:val="21"/>
              </w:rPr>
            </w:pPr>
            <w:r>
              <w:rPr>
                <w:rFonts w:hint="eastAsia" w:ascii="宋体" w:hAnsi="宋体" w:cs="宋体"/>
                <w:kern w:val="0"/>
                <w:szCs w:val="21"/>
              </w:rPr>
              <w:t>开放查询权限的数据库须做敏感数据的不可逆脱敏，底层数据库敏感信息需做加密处理，防治被窃取。结合我国国情与法律法规，大数据平台须对以下信息进行脱敏处理:1.姓名；2.市以内的位置信息；3.精确的出生日期；4.电话号码；5.传真号码；6.电子邮箱；7.身份证号码；8.社会保险号码；9.医疗保险号码；10.银行账户；11.证书/执照号码；12.车牌号；13.IP地址；14.个人主页URL；15.生物学标识；16.全脸照片；17.其他唯一编码。采购方有权限指定大数据平台对哪些信息进行脱敏处理。</w:t>
            </w:r>
          </w:p>
          <w:p w14:paraId="0AA86265">
            <w:pPr>
              <w:widowControl/>
              <w:rPr>
                <w:rFonts w:hint="eastAsia" w:ascii="宋体" w:hAnsi="宋体" w:cs="宋体"/>
                <w:kern w:val="0"/>
                <w:szCs w:val="21"/>
              </w:rPr>
            </w:pPr>
            <w:r>
              <w:rPr>
                <w:rFonts w:hint="eastAsia" w:ascii="宋体" w:hAnsi="宋体" w:cs="宋体"/>
                <w:kern w:val="0"/>
                <w:szCs w:val="21"/>
              </w:rPr>
              <w:t>1.配置脱敏规则，对脱敏规则进行定义和管理；2.可对维护的脱敏规则进行启用、禁用及删除操作。</w:t>
            </w:r>
          </w:p>
        </w:tc>
      </w:tr>
      <w:tr w14:paraId="3FB2E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741" w:type="dxa"/>
            <w:vMerge w:val="restart"/>
            <w:noWrap w:val="0"/>
            <w:vAlign w:val="center"/>
          </w:tcPr>
          <w:p w14:paraId="13DC4B2E">
            <w:pPr>
              <w:widowControl/>
              <w:jc w:val="left"/>
              <w:rPr>
                <w:rFonts w:hint="eastAsia" w:ascii="宋体" w:hAnsi="宋体" w:cs="宋体"/>
                <w:kern w:val="0"/>
                <w:szCs w:val="21"/>
              </w:rPr>
            </w:pPr>
            <w:r>
              <w:rPr>
                <w:rFonts w:hint="eastAsia" w:ascii="宋体" w:hAnsi="宋体" w:cs="宋体"/>
                <w:kern w:val="0"/>
                <w:szCs w:val="21"/>
              </w:rPr>
              <w:t>15.配套基础设施</w:t>
            </w:r>
          </w:p>
        </w:tc>
        <w:tc>
          <w:tcPr>
            <w:tcW w:w="876" w:type="dxa"/>
            <w:noWrap w:val="0"/>
            <w:vAlign w:val="center"/>
          </w:tcPr>
          <w:p w14:paraId="05AEC50C">
            <w:pPr>
              <w:widowControl/>
              <w:jc w:val="center"/>
              <w:rPr>
                <w:rFonts w:hint="eastAsia" w:ascii="宋体" w:hAnsi="宋体" w:cs="宋体"/>
                <w:kern w:val="0"/>
                <w:szCs w:val="21"/>
              </w:rPr>
            </w:pPr>
            <w:r>
              <w:rPr>
                <w:rFonts w:hint="eastAsia" w:cs="Calibri"/>
                <w:color w:val="000000"/>
                <w:szCs w:val="21"/>
              </w:rPr>
              <w:t>计算资源服务器</w:t>
            </w:r>
          </w:p>
        </w:tc>
        <w:tc>
          <w:tcPr>
            <w:tcW w:w="7170" w:type="dxa"/>
            <w:noWrap w:val="0"/>
            <w:vAlign w:val="center"/>
          </w:tcPr>
          <w:p w14:paraId="2D0CC3E0">
            <w:pPr>
              <w:widowControl/>
              <w:ind w:firstLine="0"/>
              <w:jc w:val="left"/>
              <w:rPr>
                <w:rFonts w:ascii="宋体" w:hAnsi="宋体" w:cs="宋体"/>
                <w:color w:val="auto"/>
                <w:kern w:val="0"/>
                <w:szCs w:val="21"/>
              </w:rPr>
            </w:pPr>
            <w:r>
              <w:rPr>
                <w:rFonts w:hint="eastAsia" w:ascii="宋体" w:hAnsi="宋体" w:cs="宋体"/>
                <w:color w:val="auto"/>
                <w:kern w:val="0"/>
                <w:szCs w:val="21"/>
              </w:rPr>
              <w:t>云主机服务器：1台</w:t>
            </w:r>
          </w:p>
          <w:p w14:paraId="25EE4BAA">
            <w:pPr>
              <w:widowControl/>
              <w:ind w:firstLine="0"/>
              <w:jc w:val="left"/>
              <w:rPr>
                <w:rFonts w:ascii="宋体" w:hAnsi="宋体" w:cs="宋体"/>
                <w:color w:val="auto"/>
                <w:kern w:val="0"/>
                <w:szCs w:val="21"/>
              </w:rPr>
            </w:pPr>
            <w:r>
              <w:rPr>
                <w:rFonts w:hint="eastAsia" w:ascii="宋体" w:hAnsi="宋体" w:cs="宋体"/>
                <w:color w:val="auto"/>
                <w:kern w:val="0"/>
                <w:szCs w:val="21"/>
              </w:rPr>
              <w:t>CPU：*2、核数[64]*2、主频≥2.5 GHz</w:t>
            </w:r>
          </w:p>
          <w:p w14:paraId="4A4C0610">
            <w:pPr>
              <w:widowControl/>
              <w:ind w:firstLine="0"/>
              <w:jc w:val="left"/>
              <w:rPr>
                <w:rFonts w:ascii="宋体" w:hAnsi="宋体" w:cs="宋体"/>
                <w:color w:val="auto"/>
                <w:kern w:val="0"/>
                <w:szCs w:val="21"/>
              </w:rPr>
            </w:pPr>
            <w:r>
              <w:rPr>
                <w:rFonts w:hint="eastAsia" w:ascii="宋体" w:hAnsi="宋体" w:cs="宋体"/>
                <w:color w:val="auto"/>
                <w:kern w:val="0"/>
                <w:szCs w:val="21"/>
              </w:rPr>
              <w:t>内存(GB)：1152</w:t>
            </w:r>
          </w:p>
          <w:p w14:paraId="0054540F">
            <w:pPr>
              <w:widowControl/>
              <w:ind w:firstLine="0"/>
              <w:jc w:val="left"/>
              <w:rPr>
                <w:rFonts w:ascii="宋体" w:hAnsi="宋体" w:cs="宋体"/>
                <w:color w:val="auto"/>
                <w:kern w:val="0"/>
                <w:szCs w:val="21"/>
              </w:rPr>
            </w:pPr>
            <w:r>
              <w:rPr>
                <w:rFonts w:hint="eastAsia" w:ascii="宋体" w:hAnsi="宋体" w:cs="宋体"/>
                <w:color w:val="auto"/>
                <w:kern w:val="0"/>
                <w:szCs w:val="21"/>
              </w:rPr>
              <w:t>内存规格：ECC DDR5 RDIMM 速率≥4800MT/s</w:t>
            </w:r>
          </w:p>
          <w:p w14:paraId="55D0A8FE">
            <w:pPr>
              <w:widowControl/>
              <w:ind w:firstLine="0"/>
              <w:jc w:val="left"/>
              <w:rPr>
                <w:rFonts w:ascii="宋体" w:hAnsi="宋体" w:cs="宋体"/>
                <w:color w:val="auto"/>
                <w:kern w:val="0"/>
                <w:szCs w:val="21"/>
              </w:rPr>
            </w:pPr>
            <w:r>
              <w:rPr>
                <w:rFonts w:hint="eastAsia" w:ascii="宋体" w:hAnsi="宋体" w:cs="宋体"/>
                <w:color w:val="auto"/>
                <w:kern w:val="0"/>
                <w:szCs w:val="21"/>
              </w:rPr>
              <w:t>内置硬盘：480G[480G_sata_ssd]*1、3840G[3840G_nvme_ssd]*1</w:t>
            </w:r>
          </w:p>
          <w:p w14:paraId="4E33DB2F">
            <w:pPr>
              <w:widowControl/>
              <w:ind w:firstLine="0"/>
              <w:jc w:val="left"/>
              <w:rPr>
                <w:rFonts w:ascii="宋体" w:hAnsi="宋体" w:cs="宋体"/>
                <w:color w:val="auto"/>
                <w:kern w:val="0"/>
                <w:szCs w:val="21"/>
              </w:rPr>
            </w:pPr>
            <w:r>
              <w:rPr>
                <w:rFonts w:hint="eastAsia" w:ascii="宋体" w:hAnsi="宋体" w:cs="宋体"/>
                <w:color w:val="auto"/>
                <w:kern w:val="0"/>
                <w:szCs w:val="21"/>
              </w:rPr>
              <w:t>网口数量：10GE*2</w:t>
            </w:r>
          </w:p>
          <w:p w14:paraId="0A920376">
            <w:pPr>
              <w:widowControl/>
              <w:jc w:val="left"/>
              <w:rPr>
                <w:rFonts w:hint="eastAsia" w:ascii="宋体" w:hAnsi="宋体" w:cs="宋体"/>
                <w:kern w:val="0"/>
                <w:szCs w:val="21"/>
              </w:rPr>
            </w:pPr>
            <w:r>
              <w:rPr>
                <w:rFonts w:hint="eastAsia" w:ascii="宋体" w:hAnsi="宋体" w:cs="宋体"/>
                <w:color w:val="auto"/>
                <w:kern w:val="0"/>
                <w:szCs w:val="21"/>
              </w:rPr>
              <w:t>网卡要求：双端口10G光口独立网卡并满配兼容多模模块（SFP+），支持PXE，支持DPDK应用，支持SRIOV技术，支可用特定五元组（源IP地址、源端口、目的IP地址、目的端口和传输层协议）分流到SRIOV VF，支持UEFI模式下的PXE启动。</w:t>
            </w:r>
          </w:p>
        </w:tc>
      </w:tr>
      <w:tr w14:paraId="2D3E9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741" w:type="dxa"/>
            <w:vMerge w:val="continue"/>
            <w:noWrap w:val="0"/>
            <w:vAlign w:val="center"/>
          </w:tcPr>
          <w:p w14:paraId="78A854A3">
            <w:pPr>
              <w:widowControl/>
              <w:jc w:val="left"/>
              <w:rPr>
                <w:rFonts w:hint="eastAsia" w:ascii="宋体" w:hAnsi="宋体" w:cs="宋体"/>
                <w:kern w:val="0"/>
                <w:szCs w:val="21"/>
              </w:rPr>
            </w:pPr>
          </w:p>
        </w:tc>
        <w:tc>
          <w:tcPr>
            <w:tcW w:w="876" w:type="dxa"/>
            <w:vMerge w:val="restart"/>
            <w:noWrap w:val="0"/>
            <w:vAlign w:val="center"/>
          </w:tcPr>
          <w:p w14:paraId="48C62233">
            <w:pPr>
              <w:widowControl/>
              <w:jc w:val="center"/>
              <w:rPr>
                <w:rFonts w:hint="eastAsia"/>
                <w:color w:val="000000"/>
                <w:szCs w:val="21"/>
              </w:rPr>
            </w:pPr>
            <w:r>
              <w:rPr>
                <w:rFonts w:hint="eastAsia"/>
                <w:color w:val="000000"/>
                <w:szCs w:val="21"/>
              </w:rPr>
              <w:t>存储服务器</w:t>
            </w:r>
          </w:p>
          <w:p w14:paraId="33C1DA2B">
            <w:pPr>
              <w:widowControl/>
              <w:jc w:val="center"/>
              <w:rPr>
                <w:rFonts w:hint="eastAsia" w:cs="Calibri"/>
                <w:color w:val="000000"/>
                <w:szCs w:val="21"/>
              </w:rPr>
            </w:pPr>
          </w:p>
        </w:tc>
        <w:tc>
          <w:tcPr>
            <w:tcW w:w="7170" w:type="dxa"/>
            <w:noWrap w:val="0"/>
            <w:vAlign w:val="center"/>
          </w:tcPr>
          <w:p w14:paraId="69CEA01E">
            <w:pPr>
              <w:widowControl/>
              <w:ind w:firstLine="0"/>
              <w:jc w:val="left"/>
              <w:rPr>
                <w:rFonts w:ascii="宋体" w:hAnsi="宋体" w:cs="宋体"/>
                <w:color w:val="auto"/>
                <w:kern w:val="0"/>
                <w:szCs w:val="21"/>
              </w:rPr>
            </w:pPr>
            <w:r>
              <w:rPr>
                <w:rFonts w:hint="eastAsia" w:ascii="宋体" w:hAnsi="宋体" w:cs="宋体"/>
                <w:color w:val="auto"/>
                <w:kern w:val="0"/>
                <w:szCs w:val="21"/>
              </w:rPr>
              <w:t>块存储服务器：1台</w:t>
            </w:r>
          </w:p>
          <w:p w14:paraId="7E36AFD2">
            <w:pPr>
              <w:widowControl/>
              <w:ind w:firstLine="0"/>
              <w:jc w:val="left"/>
              <w:rPr>
                <w:rFonts w:ascii="宋体" w:hAnsi="宋体" w:cs="宋体"/>
                <w:color w:val="auto"/>
                <w:kern w:val="0"/>
                <w:szCs w:val="21"/>
              </w:rPr>
            </w:pPr>
            <w:r>
              <w:rPr>
                <w:rFonts w:hint="eastAsia" w:ascii="宋体" w:hAnsi="宋体" w:cs="宋体"/>
                <w:color w:val="auto"/>
                <w:kern w:val="0"/>
                <w:szCs w:val="21"/>
              </w:rPr>
              <w:t>CPU：*2、核数[32]*2、主频≥2.5 GHz</w:t>
            </w:r>
          </w:p>
          <w:p w14:paraId="78437E27">
            <w:pPr>
              <w:widowControl/>
              <w:ind w:firstLine="0"/>
              <w:jc w:val="left"/>
              <w:rPr>
                <w:rFonts w:ascii="宋体" w:hAnsi="宋体" w:cs="宋体"/>
                <w:color w:val="auto"/>
                <w:kern w:val="0"/>
                <w:szCs w:val="21"/>
              </w:rPr>
            </w:pPr>
            <w:r>
              <w:rPr>
                <w:rFonts w:hint="eastAsia" w:ascii="宋体" w:hAnsi="宋体" w:cs="宋体"/>
                <w:color w:val="auto"/>
                <w:kern w:val="0"/>
                <w:szCs w:val="21"/>
              </w:rPr>
              <w:t>内存(GB)：256</w:t>
            </w:r>
          </w:p>
          <w:p w14:paraId="2A8B172F">
            <w:pPr>
              <w:widowControl/>
              <w:ind w:firstLine="0"/>
              <w:jc w:val="left"/>
              <w:rPr>
                <w:rFonts w:ascii="宋体" w:hAnsi="宋体" w:cs="宋体"/>
                <w:color w:val="auto"/>
                <w:kern w:val="0"/>
                <w:szCs w:val="21"/>
              </w:rPr>
            </w:pPr>
            <w:r>
              <w:rPr>
                <w:rFonts w:hint="eastAsia" w:ascii="宋体" w:hAnsi="宋体" w:cs="宋体"/>
                <w:color w:val="auto"/>
                <w:kern w:val="0"/>
                <w:szCs w:val="21"/>
              </w:rPr>
              <w:t>内存规格：ECC DDR5 RDIMM 速率≥5200MT/s</w:t>
            </w:r>
          </w:p>
          <w:p w14:paraId="55387726">
            <w:pPr>
              <w:widowControl/>
              <w:ind w:firstLine="0"/>
              <w:jc w:val="left"/>
              <w:rPr>
                <w:rFonts w:ascii="宋体" w:hAnsi="宋体" w:cs="宋体"/>
                <w:color w:val="auto"/>
                <w:kern w:val="0"/>
                <w:szCs w:val="21"/>
              </w:rPr>
            </w:pPr>
            <w:r>
              <w:rPr>
                <w:rFonts w:hint="eastAsia" w:ascii="宋体" w:hAnsi="宋体" w:cs="宋体"/>
                <w:color w:val="auto"/>
                <w:kern w:val="0"/>
                <w:szCs w:val="21"/>
              </w:rPr>
              <w:t>内置硬盘：480G[480G_sata_ssd]*2、12000G[12T_sata_hdd]*12、3840G[3840G_nvme_ssd]*2</w:t>
            </w:r>
          </w:p>
          <w:p w14:paraId="181C6BE1">
            <w:pPr>
              <w:widowControl/>
              <w:ind w:firstLine="0"/>
              <w:jc w:val="left"/>
              <w:rPr>
                <w:rFonts w:ascii="宋体" w:hAnsi="宋体" w:cs="宋体"/>
                <w:color w:val="auto"/>
                <w:kern w:val="0"/>
                <w:szCs w:val="21"/>
              </w:rPr>
            </w:pPr>
            <w:r>
              <w:rPr>
                <w:rFonts w:hint="eastAsia" w:ascii="宋体" w:hAnsi="宋体" w:cs="宋体"/>
                <w:color w:val="auto"/>
                <w:kern w:val="0"/>
                <w:szCs w:val="21"/>
              </w:rPr>
              <w:t>网口数量：10GE*2</w:t>
            </w:r>
          </w:p>
          <w:p w14:paraId="0B5189CD">
            <w:pPr>
              <w:widowControl/>
              <w:jc w:val="left"/>
              <w:rPr>
                <w:rFonts w:hint="eastAsia" w:ascii="宋体" w:hAnsi="宋体" w:cs="宋体"/>
                <w:color w:val="auto"/>
                <w:kern w:val="0"/>
                <w:szCs w:val="21"/>
              </w:rPr>
            </w:pPr>
            <w:r>
              <w:rPr>
                <w:rFonts w:hint="eastAsia" w:ascii="宋体" w:hAnsi="宋体" w:cs="宋体"/>
                <w:color w:val="auto"/>
                <w:kern w:val="0"/>
                <w:szCs w:val="21"/>
              </w:rPr>
              <w:t>网卡要求：双端口10G光口独立网卡并满配兼容多模模块（SFP+），支持PXE，支持DPDK应用（兼容2.2版本），支持SRIOV技术，支持特定五元组（源IP地址、源端口、目的IP地址、目的端口和传输层协议）分流到SRIOV VF。</w:t>
            </w:r>
          </w:p>
        </w:tc>
      </w:tr>
      <w:tr w14:paraId="79908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741" w:type="dxa"/>
            <w:vMerge w:val="continue"/>
            <w:noWrap w:val="0"/>
            <w:vAlign w:val="center"/>
          </w:tcPr>
          <w:p w14:paraId="63C97B11">
            <w:pPr>
              <w:widowControl/>
              <w:jc w:val="left"/>
              <w:rPr>
                <w:rFonts w:hint="eastAsia" w:ascii="宋体" w:hAnsi="宋体" w:cs="宋体"/>
                <w:kern w:val="0"/>
                <w:szCs w:val="21"/>
              </w:rPr>
            </w:pPr>
          </w:p>
        </w:tc>
        <w:tc>
          <w:tcPr>
            <w:tcW w:w="876" w:type="dxa"/>
            <w:vMerge w:val="continue"/>
            <w:noWrap w:val="0"/>
            <w:vAlign w:val="center"/>
          </w:tcPr>
          <w:p w14:paraId="4FAB1189">
            <w:pPr>
              <w:widowControl/>
              <w:jc w:val="center"/>
              <w:rPr>
                <w:rFonts w:hint="eastAsia" w:cs="Calibri"/>
                <w:color w:val="000000"/>
                <w:szCs w:val="21"/>
              </w:rPr>
            </w:pPr>
          </w:p>
        </w:tc>
        <w:tc>
          <w:tcPr>
            <w:tcW w:w="7170" w:type="dxa"/>
            <w:noWrap w:val="0"/>
            <w:vAlign w:val="center"/>
          </w:tcPr>
          <w:p w14:paraId="109E49FC">
            <w:pPr>
              <w:widowControl/>
              <w:ind w:firstLine="0"/>
              <w:jc w:val="left"/>
              <w:rPr>
                <w:rFonts w:ascii="宋体" w:hAnsi="宋体" w:cs="宋体"/>
                <w:color w:val="auto"/>
                <w:kern w:val="0"/>
                <w:szCs w:val="21"/>
              </w:rPr>
            </w:pPr>
            <w:r>
              <w:rPr>
                <w:rFonts w:hint="eastAsia" w:ascii="宋体" w:hAnsi="宋体" w:cs="宋体"/>
                <w:color w:val="auto"/>
                <w:kern w:val="0"/>
                <w:szCs w:val="21"/>
              </w:rPr>
              <w:t>对象存储服务器：1台</w:t>
            </w:r>
          </w:p>
          <w:p w14:paraId="39040817">
            <w:pPr>
              <w:widowControl/>
              <w:ind w:firstLine="0"/>
              <w:jc w:val="left"/>
              <w:rPr>
                <w:rFonts w:ascii="宋体" w:hAnsi="宋体" w:cs="宋体"/>
                <w:color w:val="auto"/>
                <w:kern w:val="0"/>
                <w:szCs w:val="21"/>
              </w:rPr>
            </w:pPr>
            <w:r>
              <w:rPr>
                <w:rFonts w:hint="eastAsia" w:ascii="宋体" w:hAnsi="宋体" w:cs="宋体"/>
                <w:color w:val="auto"/>
                <w:kern w:val="0"/>
                <w:szCs w:val="21"/>
              </w:rPr>
              <w:t>CPU：*2、核数[32]*2、主频≥2.5 GHz</w:t>
            </w:r>
          </w:p>
          <w:p w14:paraId="3EB110EA">
            <w:pPr>
              <w:widowControl/>
              <w:ind w:firstLine="0"/>
              <w:jc w:val="left"/>
              <w:rPr>
                <w:rFonts w:ascii="宋体" w:hAnsi="宋体" w:cs="宋体"/>
                <w:color w:val="auto"/>
                <w:kern w:val="0"/>
                <w:szCs w:val="21"/>
              </w:rPr>
            </w:pPr>
            <w:r>
              <w:rPr>
                <w:rFonts w:hint="eastAsia" w:ascii="宋体" w:hAnsi="宋体" w:cs="宋体"/>
                <w:color w:val="auto"/>
                <w:kern w:val="0"/>
                <w:szCs w:val="21"/>
              </w:rPr>
              <w:t>内存(GB)：256</w:t>
            </w:r>
          </w:p>
          <w:p w14:paraId="2BF4D381">
            <w:pPr>
              <w:widowControl/>
              <w:ind w:firstLine="0"/>
              <w:jc w:val="left"/>
              <w:rPr>
                <w:rFonts w:ascii="宋体" w:hAnsi="宋体" w:cs="宋体"/>
                <w:color w:val="auto"/>
                <w:kern w:val="0"/>
                <w:szCs w:val="21"/>
              </w:rPr>
            </w:pPr>
            <w:r>
              <w:rPr>
                <w:rFonts w:hint="eastAsia" w:ascii="宋体" w:hAnsi="宋体" w:cs="宋体"/>
                <w:color w:val="auto"/>
                <w:kern w:val="0"/>
                <w:szCs w:val="21"/>
              </w:rPr>
              <w:t>内存规格：ECC DDR5 RDIMM 速率≥5200MT/s</w:t>
            </w:r>
          </w:p>
          <w:p w14:paraId="0BB78A78">
            <w:pPr>
              <w:widowControl/>
              <w:ind w:firstLine="0"/>
              <w:jc w:val="left"/>
              <w:rPr>
                <w:rFonts w:ascii="宋体" w:hAnsi="宋体" w:cs="宋体"/>
                <w:color w:val="auto"/>
                <w:kern w:val="0"/>
                <w:szCs w:val="21"/>
              </w:rPr>
            </w:pPr>
            <w:r>
              <w:rPr>
                <w:rFonts w:hint="eastAsia" w:ascii="宋体" w:hAnsi="宋体" w:cs="宋体"/>
                <w:color w:val="auto"/>
                <w:kern w:val="0"/>
                <w:szCs w:val="21"/>
              </w:rPr>
              <w:t>内置硬盘：480G[480G_sata_ssd]*2、12000G[12T_sata_hdd]*12、3840G[3840G_nvme_ssd]*2</w:t>
            </w:r>
          </w:p>
          <w:p w14:paraId="1F66B0E1">
            <w:pPr>
              <w:widowControl/>
              <w:ind w:firstLine="0"/>
              <w:jc w:val="left"/>
              <w:rPr>
                <w:rFonts w:ascii="宋体" w:hAnsi="宋体" w:cs="宋体"/>
                <w:color w:val="auto"/>
                <w:kern w:val="0"/>
                <w:szCs w:val="21"/>
              </w:rPr>
            </w:pPr>
            <w:r>
              <w:rPr>
                <w:rFonts w:hint="eastAsia" w:ascii="宋体" w:hAnsi="宋体" w:cs="宋体"/>
                <w:color w:val="auto"/>
                <w:kern w:val="0"/>
                <w:szCs w:val="21"/>
              </w:rPr>
              <w:t>网口数量：10GE*2</w:t>
            </w:r>
          </w:p>
          <w:p w14:paraId="68EC7222">
            <w:pPr>
              <w:widowControl/>
              <w:jc w:val="left"/>
              <w:rPr>
                <w:rFonts w:hint="eastAsia" w:ascii="宋体" w:hAnsi="宋体" w:cs="宋体"/>
                <w:color w:val="auto"/>
                <w:kern w:val="0"/>
                <w:szCs w:val="21"/>
              </w:rPr>
            </w:pPr>
            <w:r>
              <w:rPr>
                <w:rFonts w:hint="eastAsia" w:ascii="宋体" w:hAnsi="宋体" w:cs="宋体"/>
                <w:color w:val="auto"/>
                <w:kern w:val="0"/>
                <w:szCs w:val="21"/>
              </w:rPr>
              <w:t>网卡要求：双端口10G光口独立网卡并满配兼容多模模块（SFP+），支持PXE，支持DPDK应用（兼容2.2版本），支持SRIOV技术，支持特定五元组（源IP地址、源端口、目的IP地址、目的端口和传输层协议）分流到SRIOV VF。</w:t>
            </w:r>
          </w:p>
        </w:tc>
      </w:tr>
      <w:tr w14:paraId="72C4B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741" w:type="dxa"/>
            <w:vMerge w:val="continue"/>
            <w:noWrap w:val="0"/>
            <w:vAlign w:val="center"/>
          </w:tcPr>
          <w:p w14:paraId="5B7448F4">
            <w:pPr>
              <w:widowControl/>
              <w:jc w:val="left"/>
              <w:rPr>
                <w:rFonts w:hint="eastAsia" w:ascii="宋体" w:hAnsi="宋体" w:cs="宋体"/>
                <w:kern w:val="0"/>
                <w:szCs w:val="21"/>
              </w:rPr>
            </w:pPr>
          </w:p>
        </w:tc>
        <w:tc>
          <w:tcPr>
            <w:tcW w:w="876" w:type="dxa"/>
            <w:noWrap w:val="0"/>
            <w:vAlign w:val="center"/>
          </w:tcPr>
          <w:p w14:paraId="1FB7012C">
            <w:pPr>
              <w:widowControl/>
              <w:jc w:val="center"/>
              <w:rPr>
                <w:rFonts w:hint="eastAsia" w:cs="Calibri"/>
                <w:color w:val="000000"/>
                <w:szCs w:val="21"/>
              </w:rPr>
            </w:pPr>
            <w:r>
              <w:rPr>
                <w:rFonts w:hint="eastAsia"/>
                <w:color w:val="000000"/>
                <w:szCs w:val="21"/>
              </w:rPr>
              <w:t>数据库服务器</w:t>
            </w:r>
          </w:p>
        </w:tc>
        <w:tc>
          <w:tcPr>
            <w:tcW w:w="7170" w:type="dxa"/>
            <w:noWrap w:val="0"/>
            <w:vAlign w:val="center"/>
          </w:tcPr>
          <w:p w14:paraId="603E6191">
            <w:pPr>
              <w:widowControl/>
              <w:ind w:firstLine="0"/>
              <w:jc w:val="left"/>
              <w:rPr>
                <w:rFonts w:ascii="宋体" w:hAnsi="宋体" w:cs="宋体"/>
                <w:color w:val="auto"/>
                <w:kern w:val="0"/>
                <w:szCs w:val="21"/>
              </w:rPr>
            </w:pPr>
            <w:r>
              <w:rPr>
                <w:rFonts w:hint="eastAsia" w:ascii="宋体" w:hAnsi="宋体" w:cs="宋体"/>
                <w:color w:val="auto"/>
                <w:kern w:val="0"/>
                <w:szCs w:val="21"/>
              </w:rPr>
              <w:t>数据库服务器：4台</w:t>
            </w:r>
          </w:p>
          <w:p w14:paraId="3E8142A2">
            <w:pPr>
              <w:widowControl/>
              <w:ind w:firstLine="0"/>
              <w:jc w:val="left"/>
              <w:rPr>
                <w:rFonts w:ascii="宋体" w:hAnsi="宋体" w:cs="宋体"/>
                <w:color w:val="auto"/>
                <w:kern w:val="0"/>
                <w:szCs w:val="21"/>
              </w:rPr>
            </w:pPr>
            <w:r>
              <w:rPr>
                <w:rFonts w:hint="eastAsia" w:ascii="宋体" w:hAnsi="宋体" w:cs="宋体"/>
                <w:color w:val="auto"/>
                <w:kern w:val="0"/>
                <w:szCs w:val="21"/>
              </w:rPr>
              <w:t>CPU：*2、核数[32]*2、主频≥2.5 GHz</w:t>
            </w:r>
          </w:p>
          <w:p w14:paraId="59A95211">
            <w:pPr>
              <w:widowControl/>
              <w:ind w:firstLine="0"/>
              <w:jc w:val="left"/>
              <w:rPr>
                <w:rFonts w:ascii="宋体" w:hAnsi="宋体" w:cs="宋体"/>
                <w:color w:val="auto"/>
                <w:kern w:val="0"/>
                <w:szCs w:val="21"/>
              </w:rPr>
            </w:pPr>
            <w:r>
              <w:rPr>
                <w:rFonts w:hint="eastAsia" w:ascii="宋体" w:hAnsi="宋体" w:cs="宋体"/>
                <w:color w:val="auto"/>
                <w:kern w:val="0"/>
                <w:szCs w:val="21"/>
              </w:rPr>
              <w:t>内存(GB)：1024</w:t>
            </w:r>
          </w:p>
          <w:p w14:paraId="14132C9A">
            <w:pPr>
              <w:widowControl/>
              <w:ind w:firstLine="0"/>
              <w:jc w:val="left"/>
              <w:rPr>
                <w:rFonts w:ascii="宋体" w:hAnsi="宋体" w:cs="宋体"/>
                <w:color w:val="auto"/>
                <w:kern w:val="0"/>
                <w:szCs w:val="21"/>
              </w:rPr>
            </w:pPr>
            <w:r>
              <w:rPr>
                <w:rFonts w:hint="eastAsia" w:ascii="宋体" w:hAnsi="宋体" w:cs="宋体"/>
                <w:color w:val="auto"/>
                <w:kern w:val="0"/>
                <w:szCs w:val="21"/>
              </w:rPr>
              <w:t>内容规格：ECC DDR5 RDIMM 速率≥5200MT/s</w:t>
            </w:r>
          </w:p>
          <w:p w14:paraId="71938DA7">
            <w:pPr>
              <w:widowControl/>
              <w:ind w:firstLine="0"/>
              <w:jc w:val="left"/>
              <w:rPr>
                <w:rFonts w:ascii="宋体" w:hAnsi="宋体" w:cs="宋体"/>
                <w:color w:val="auto"/>
                <w:kern w:val="0"/>
                <w:szCs w:val="21"/>
              </w:rPr>
            </w:pPr>
            <w:r>
              <w:rPr>
                <w:rFonts w:hint="eastAsia" w:ascii="宋体" w:hAnsi="宋体" w:cs="宋体"/>
                <w:color w:val="auto"/>
                <w:kern w:val="0"/>
                <w:szCs w:val="21"/>
              </w:rPr>
              <w:t>内置硬盘：480G[480G_sata_ssd]*1、3840G[3840G_nvme_ssd]*4</w:t>
            </w:r>
          </w:p>
          <w:p w14:paraId="1DDE455D">
            <w:pPr>
              <w:widowControl/>
              <w:ind w:firstLine="0"/>
              <w:jc w:val="left"/>
              <w:rPr>
                <w:rFonts w:ascii="宋体" w:hAnsi="宋体" w:cs="宋体"/>
                <w:color w:val="auto"/>
                <w:kern w:val="0"/>
                <w:szCs w:val="21"/>
              </w:rPr>
            </w:pPr>
            <w:r>
              <w:rPr>
                <w:rFonts w:hint="eastAsia" w:ascii="宋体" w:hAnsi="宋体" w:cs="宋体"/>
                <w:color w:val="auto"/>
                <w:kern w:val="0"/>
                <w:szCs w:val="21"/>
              </w:rPr>
              <w:t>网口数量：10GE*2</w:t>
            </w:r>
          </w:p>
          <w:p w14:paraId="451D2978">
            <w:pPr>
              <w:widowControl/>
              <w:jc w:val="left"/>
              <w:rPr>
                <w:rFonts w:hint="eastAsia" w:ascii="宋体" w:hAnsi="宋体" w:cs="宋体"/>
                <w:color w:val="auto"/>
                <w:kern w:val="0"/>
                <w:szCs w:val="21"/>
              </w:rPr>
            </w:pPr>
            <w:r>
              <w:rPr>
                <w:rFonts w:hint="eastAsia" w:ascii="宋体" w:hAnsi="宋体" w:cs="宋体"/>
                <w:color w:val="auto"/>
                <w:kern w:val="0"/>
                <w:szCs w:val="21"/>
              </w:rPr>
              <w:t>网卡要求：双端口10G光口独立网卡并满配兼容多模模块（SFP+），支持PXE，支持DPDK应用，支持SRIOV技术，支可用特定五元组（源IP地址、源端口、目的IP地址、目的端口和传输层协议）分流到SRIOV VF，支持UEFI模式下的PXE启动。</w:t>
            </w:r>
          </w:p>
        </w:tc>
      </w:tr>
      <w:tr w14:paraId="17046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741" w:type="dxa"/>
            <w:vMerge w:val="continue"/>
            <w:noWrap w:val="0"/>
            <w:vAlign w:val="center"/>
          </w:tcPr>
          <w:p w14:paraId="109537A4">
            <w:pPr>
              <w:widowControl/>
              <w:jc w:val="left"/>
              <w:rPr>
                <w:rFonts w:hint="eastAsia" w:ascii="宋体" w:hAnsi="宋体" w:cs="宋体"/>
                <w:kern w:val="0"/>
                <w:szCs w:val="21"/>
              </w:rPr>
            </w:pPr>
          </w:p>
        </w:tc>
        <w:tc>
          <w:tcPr>
            <w:tcW w:w="876" w:type="dxa"/>
            <w:noWrap w:val="0"/>
            <w:vAlign w:val="center"/>
          </w:tcPr>
          <w:p w14:paraId="1F6EDFA5">
            <w:pPr>
              <w:widowControl/>
              <w:jc w:val="center"/>
              <w:rPr>
                <w:rFonts w:hint="eastAsia"/>
                <w:color w:val="000000"/>
                <w:szCs w:val="21"/>
              </w:rPr>
            </w:pPr>
            <w:r>
              <w:rPr>
                <w:rFonts w:hint="eastAsia"/>
                <w:color w:val="000000"/>
                <w:szCs w:val="21"/>
              </w:rPr>
              <w:t>平台管理节点</w:t>
            </w:r>
          </w:p>
        </w:tc>
        <w:tc>
          <w:tcPr>
            <w:tcW w:w="7170" w:type="dxa"/>
            <w:noWrap w:val="0"/>
            <w:vAlign w:val="center"/>
          </w:tcPr>
          <w:p w14:paraId="4661726A">
            <w:pPr>
              <w:widowControl/>
              <w:ind w:firstLine="0"/>
              <w:jc w:val="left"/>
              <w:rPr>
                <w:rFonts w:ascii="宋体" w:hAnsi="宋体" w:cs="宋体"/>
                <w:color w:val="auto"/>
                <w:kern w:val="0"/>
                <w:szCs w:val="21"/>
              </w:rPr>
            </w:pPr>
            <w:r>
              <w:rPr>
                <w:rFonts w:hint="eastAsia" w:ascii="宋体" w:hAnsi="宋体" w:cs="宋体"/>
                <w:color w:val="auto"/>
                <w:kern w:val="0"/>
                <w:szCs w:val="21"/>
              </w:rPr>
              <w:t>基础组件服务器：1台</w:t>
            </w:r>
          </w:p>
          <w:p w14:paraId="4853A839">
            <w:pPr>
              <w:widowControl/>
              <w:ind w:firstLine="0"/>
              <w:jc w:val="left"/>
              <w:rPr>
                <w:rFonts w:ascii="宋体" w:hAnsi="宋体" w:cs="宋体"/>
                <w:color w:val="auto"/>
                <w:kern w:val="0"/>
                <w:szCs w:val="21"/>
              </w:rPr>
            </w:pPr>
            <w:r>
              <w:rPr>
                <w:rFonts w:hint="eastAsia" w:ascii="宋体" w:hAnsi="宋体" w:cs="宋体"/>
                <w:color w:val="auto"/>
                <w:kern w:val="0"/>
                <w:szCs w:val="21"/>
              </w:rPr>
              <w:t>CPU：*2、核数[64]*2、主频≥2.5 GHz</w:t>
            </w:r>
          </w:p>
          <w:p w14:paraId="1E5E922A">
            <w:pPr>
              <w:widowControl/>
              <w:ind w:firstLine="0"/>
              <w:jc w:val="left"/>
              <w:rPr>
                <w:rFonts w:ascii="宋体" w:hAnsi="宋体" w:cs="宋体"/>
                <w:color w:val="auto"/>
                <w:kern w:val="0"/>
                <w:szCs w:val="21"/>
              </w:rPr>
            </w:pPr>
            <w:r>
              <w:rPr>
                <w:rFonts w:hint="eastAsia" w:ascii="宋体" w:hAnsi="宋体" w:cs="宋体"/>
                <w:color w:val="auto"/>
                <w:kern w:val="0"/>
                <w:szCs w:val="21"/>
              </w:rPr>
              <w:t>内存(GB)：1536</w:t>
            </w:r>
          </w:p>
          <w:p w14:paraId="118888C9">
            <w:pPr>
              <w:widowControl/>
              <w:ind w:firstLine="0"/>
              <w:jc w:val="left"/>
              <w:rPr>
                <w:rFonts w:ascii="宋体" w:hAnsi="宋体" w:cs="宋体"/>
                <w:color w:val="auto"/>
                <w:kern w:val="0"/>
                <w:szCs w:val="21"/>
              </w:rPr>
            </w:pPr>
            <w:r>
              <w:rPr>
                <w:rFonts w:hint="eastAsia" w:ascii="宋体" w:hAnsi="宋体" w:cs="宋体"/>
                <w:color w:val="auto"/>
                <w:kern w:val="0"/>
                <w:szCs w:val="21"/>
              </w:rPr>
              <w:t>内存规格：ECC DDR5 RDIMM 速率≥4800MT/s</w:t>
            </w:r>
          </w:p>
          <w:p w14:paraId="1541808F">
            <w:pPr>
              <w:widowControl/>
              <w:ind w:firstLine="0"/>
              <w:jc w:val="left"/>
              <w:rPr>
                <w:rFonts w:ascii="宋体" w:hAnsi="宋体" w:cs="宋体"/>
                <w:color w:val="auto"/>
                <w:kern w:val="0"/>
                <w:szCs w:val="21"/>
              </w:rPr>
            </w:pPr>
            <w:r>
              <w:rPr>
                <w:rFonts w:hint="eastAsia" w:ascii="宋体" w:hAnsi="宋体" w:cs="宋体"/>
                <w:color w:val="auto"/>
                <w:kern w:val="0"/>
                <w:szCs w:val="21"/>
              </w:rPr>
              <w:t>内置硬盘：480G[480G_sata_ssd]*1、3840G[3840G_nvme_ssd]*2</w:t>
            </w:r>
          </w:p>
          <w:p w14:paraId="204293C9">
            <w:pPr>
              <w:widowControl/>
              <w:ind w:firstLine="0"/>
              <w:jc w:val="left"/>
              <w:rPr>
                <w:rFonts w:ascii="宋体" w:hAnsi="宋体" w:cs="宋体"/>
                <w:color w:val="auto"/>
                <w:kern w:val="0"/>
                <w:szCs w:val="21"/>
              </w:rPr>
            </w:pPr>
            <w:r>
              <w:rPr>
                <w:rFonts w:hint="eastAsia" w:ascii="宋体" w:hAnsi="宋体" w:cs="宋体"/>
                <w:color w:val="auto"/>
                <w:kern w:val="0"/>
                <w:szCs w:val="21"/>
              </w:rPr>
              <w:t>网口数量：10GE*2</w:t>
            </w:r>
          </w:p>
          <w:p w14:paraId="34CC7B1C">
            <w:pPr>
              <w:widowControl/>
              <w:jc w:val="left"/>
              <w:rPr>
                <w:rFonts w:hint="eastAsia" w:ascii="宋体" w:hAnsi="宋体" w:cs="宋体"/>
                <w:color w:val="auto"/>
                <w:kern w:val="0"/>
                <w:szCs w:val="21"/>
              </w:rPr>
            </w:pPr>
            <w:r>
              <w:rPr>
                <w:rFonts w:hint="eastAsia" w:ascii="宋体" w:hAnsi="宋体" w:cs="宋体"/>
                <w:color w:val="auto"/>
                <w:kern w:val="0"/>
                <w:szCs w:val="21"/>
              </w:rPr>
              <w:t>网卡要求：双端口10G光口独立网卡并满配兼容多模模块（SFP+），支持PXE，支持DPDK应用，支持SRIOV技术，支可用特定五元组（源IP地址、源端口、目的IP地址、目的端口和传输层协议）分流到SRIOV VF，支持UEFI模式下的PXE启动。</w:t>
            </w:r>
          </w:p>
        </w:tc>
      </w:tr>
      <w:tr w14:paraId="259B9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741" w:type="dxa"/>
            <w:vMerge w:val="continue"/>
            <w:noWrap w:val="0"/>
            <w:vAlign w:val="center"/>
          </w:tcPr>
          <w:p w14:paraId="57374020">
            <w:pPr>
              <w:widowControl/>
              <w:jc w:val="left"/>
              <w:rPr>
                <w:rFonts w:hint="eastAsia" w:ascii="宋体" w:hAnsi="宋体" w:cs="宋体"/>
                <w:kern w:val="0"/>
                <w:szCs w:val="21"/>
              </w:rPr>
            </w:pPr>
          </w:p>
        </w:tc>
        <w:tc>
          <w:tcPr>
            <w:tcW w:w="876" w:type="dxa"/>
            <w:vMerge w:val="restart"/>
            <w:noWrap w:val="0"/>
            <w:vAlign w:val="center"/>
          </w:tcPr>
          <w:p w14:paraId="37D72FD7">
            <w:pPr>
              <w:widowControl/>
              <w:jc w:val="center"/>
              <w:rPr>
                <w:color w:val="000000"/>
                <w:szCs w:val="21"/>
              </w:rPr>
            </w:pPr>
            <w:r>
              <w:rPr>
                <w:rFonts w:hint="eastAsia"/>
                <w:color w:val="000000"/>
                <w:szCs w:val="21"/>
              </w:rPr>
              <w:t>计算支撑平台资源扩容清单</w:t>
            </w:r>
          </w:p>
          <w:p w14:paraId="3C6D86D9">
            <w:pPr>
              <w:jc w:val="center"/>
              <w:rPr>
                <w:rFonts w:hint="eastAsia"/>
                <w:color w:val="000000"/>
                <w:szCs w:val="21"/>
              </w:rPr>
            </w:pPr>
          </w:p>
        </w:tc>
        <w:tc>
          <w:tcPr>
            <w:tcW w:w="7170" w:type="dxa"/>
            <w:noWrap w:val="0"/>
            <w:vAlign w:val="center"/>
          </w:tcPr>
          <w:p w14:paraId="5F730266">
            <w:pPr>
              <w:widowControl/>
              <w:ind w:firstLine="0"/>
              <w:jc w:val="left"/>
              <w:rPr>
                <w:rFonts w:ascii="宋体" w:hAnsi="宋体" w:cs="宋体"/>
                <w:color w:val="auto"/>
                <w:kern w:val="0"/>
                <w:szCs w:val="21"/>
              </w:rPr>
            </w:pPr>
            <w:r>
              <w:rPr>
                <w:rFonts w:hint="eastAsia" w:ascii="宋体" w:hAnsi="宋体" w:cs="宋体"/>
                <w:color w:val="auto"/>
                <w:kern w:val="0"/>
                <w:szCs w:val="21"/>
              </w:rPr>
              <w:t>云平台服务授权：</w:t>
            </w:r>
          </w:p>
          <w:p w14:paraId="326508AF">
            <w:pPr>
              <w:widowControl/>
              <w:ind w:firstLine="0"/>
              <w:jc w:val="left"/>
              <w:rPr>
                <w:rFonts w:ascii="宋体" w:hAnsi="宋体" w:cs="宋体"/>
                <w:color w:val="auto"/>
                <w:kern w:val="0"/>
                <w:szCs w:val="21"/>
              </w:rPr>
            </w:pPr>
            <w:r>
              <w:rPr>
                <w:rFonts w:hint="eastAsia" w:ascii="宋体" w:hAnsi="宋体" w:cs="宋体"/>
                <w:color w:val="auto"/>
                <w:kern w:val="0"/>
                <w:szCs w:val="21"/>
              </w:rPr>
              <w:t xml:space="preserve">云管理平台授权 8 台 </w:t>
            </w:r>
          </w:p>
          <w:p w14:paraId="3CA014E7">
            <w:pPr>
              <w:widowControl/>
              <w:jc w:val="left"/>
              <w:rPr>
                <w:rFonts w:hint="eastAsia" w:ascii="宋体" w:hAnsi="宋体" w:cs="宋体"/>
                <w:color w:val="auto"/>
                <w:kern w:val="0"/>
                <w:szCs w:val="21"/>
              </w:rPr>
            </w:pPr>
            <w:r>
              <w:rPr>
                <w:rFonts w:hint="eastAsia" w:ascii="宋体" w:hAnsi="宋体" w:cs="宋体"/>
                <w:color w:val="auto"/>
                <w:kern w:val="0"/>
                <w:szCs w:val="21"/>
              </w:rPr>
              <w:t>运维管理平台授权 8台</w:t>
            </w:r>
          </w:p>
        </w:tc>
      </w:tr>
      <w:tr w14:paraId="57339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741" w:type="dxa"/>
            <w:vMerge w:val="continue"/>
            <w:noWrap w:val="0"/>
            <w:vAlign w:val="center"/>
          </w:tcPr>
          <w:p w14:paraId="17429F3C">
            <w:pPr>
              <w:widowControl/>
              <w:jc w:val="left"/>
              <w:rPr>
                <w:rFonts w:hint="eastAsia" w:ascii="宋体" w:hAnsi="宋体" w:cs="宋体"/>
                <w:kern w:val="0"/>
                <w:szCs w:val="21"/>
              </w:rPr>
            </w:pPr>
          </w:p>
        </w:tc>
        <w:tc>
          <w:tcPr>
            <w:tcW w:w="876" w:type="dxa"/>
            <w:vMerge w:val="continue"/>
            <w:noWrap w:val="0"/>
            <w:vAlign w:val="center"/>
          </w:tcPr>
          <w:p w14:paraId="7635891D">
            <w:pPr>
              <w:jc w:val="center"/>
              <w:rPr>
                <w:rFonts w:hint="eastAsia"/>
                <w:color w:val="000000"/>
                <w:szCs w:val="21"/>
              </w:rPr>
            </w:pPr>
          </w:p>
        </w:tc>
        <w:tc>
          <w:tcPr>
            <w:tcW w:w="7170" w:type="dxa"/>
            <w:noWrap w:val="0"/>
            <w:vAlign w:val="center"/>
          </w:tcPr>
          <w:p w14:paraId="745B2CAF">
            <w:pPr>
              <w:widowControl/>
              <w:ind w:firstLine="0"/>
              <w:jc w:val="left"/>
              <w:rPr>
                <w:rFonts w:ascii="宋体" w:hAnsi="宋体" w:cs="宋体"/>
                <w:color w:val="auto"/>
                <w:kern w:val="0"/>
                <w:szCs w:val="21"/>
              </w:rPr>
            </w:pPr>
            <w:r>
              <w:rPr>
                <w:rFonts w:hint="eastAsia" w:ascii="宋体" w:hAnsi="宋体" w:cs="宋体"/>
                <w:color w:val="auto"/>
                <w:kern w:val="0"/>
                <w:szCs w:val="21"/>
              </w:rPr>
              <w:t>存储服务授权：</w:t>
            </w:r>
          </w:p>
          <w:p w14:paraId="2356BBBD">
            <w:pPr>
              <w:widowControl/>
              <w:ind w:firstLine="0"/>
              <w:jc w:val="left"/>
              <w:rPr>
                <w:rFonts w:ascii="宋体" w:hAnsi="宋体" w:cs="宋体"/>
                <w:color w:val="auto"/>
                <w:kern w:val="0"/>
                <w:szCs w:val="21"/>
              </w:rPr>
            </w:pPr>
            <w:r>
              <w:rPr>
                <w:rFonts w:hint="eastAsia" w:ascii="宋体" w:hAnsi="宋体" w:cs="宋体"/>
                <w:color w:val="auto"/>
                <w:kern w:val="0"/>
                <w:szCs w:val="21"/>
              </w:rPr>
              <w:t>块存储授权 144T</w:t>
            </w:r>
          </w:p>
          <w:p w14:paraId="77C8C0A4">
            <w:pPr>
              <w:widowControl/>
              <w:jc w:val="left"/>
              <w:rPr>
                <w:rFonts w:hint="eastAsia" w:ascii="宋体" w:hAnsi="宋体" w:cs="宋体"/>
                <w:color w:val="auto"/>
                <w:kern w:val="0"/>
                <w:szCs w:val="21"/>
              </w:rPr>
            </w:pPr>
            <w:r>
              <w:rPr>
                <w:rFonts w:hint="eastAsia" w:ascii="宋体" w:hAnsi="宋体" w:cs="宋体"/>
                <w:color w:val="auto"/>
                <w:kern w:val="0"/>
                <w:szCs w:val="21"/>
              </w:rPr>
              <w:t>对象存储授权 144T</w:t>
            </w:r>
          </w:p>
        </w:tc>
      </w:tr>
      <w:tr w14:paraId="3139B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741" w:type="dxa"/>
            <w:vMerge w:val="continue"/>
            <w:noWrap w:val="0"/>
            <w:vAlign w:val="center"/>
          </w:tcPr>
          <w:p w14:paraId="60D6F14C">
            <w:pPr>
              <w:widowControl/>
              <w:jc w:val="left"/>
              <w:rPr>
                <w:rFonts w:hint="eastAsia" w:ascii="宋体" w:hAnsi="宋体" w:cs="宋体"/>
                <w:kern w:val="0"/>
                <w:szCs w:val="21"/>
              </w:rPr>
            </w:pPr>
          </w:p>
        </w:tc>
        <w:tc>
          <w:tcPr>
            <w:tcW w:w="876" w:type="dxa"/>
            <w:vMerge w:val="continue"/>
            <w:noWrap w:val="0"/>
            <w:vAlign w:val="center"/>
          </w:tcPr>
          <w:p w14:paraId="60E054D6">
            <w:pPr>
              <w:jc w:val="center"/>
              <w:rPr>
                <w:rFonts w:hint="eastAsia"/>
                <w:color w:val="000000"/>
                <w:szCs w:val="21"/>
              </w:rPr>
            </w:pPr>
          </w:p>
        </w:tc>
        <w:tc>
          <w:tcPr>
            <w:tcW w:w="7170" w:type="dxa"/>
            <w:noWrap w:val="0"/>
            <w:vAlign w:val="center"/>
          </w:tcPr>
          <w:p w14:paraId="63EFAC11">
            <w:pPr>
              <w:widowControl/>
              <w:ind w:firstLine="0"/>
              <w:jc w:val="left"/>
              <w:rPr>
                <w:rFonts w:ascii="宋体" w:hAnsi="宋体" w:cs="宋体"/>
                <w:color w:val="auto"/>
                <w:kern w:val="0"/>
                <w:szCs w:val="21"/>
              </w:rPr>
            </w:pPr>
            <w:r>
              <w:rPr>
                <w:rFonts w:hint="eastAsia" w:ascii="宋体" w:hAnsi="宋体" w:cs="宋体"/>
                <w:color w:val="auto"/>
                <w:kern w:val="0"/>
                <w:szCs w:val="21"/>
              </w:rPr>
              <w:t>安全服务授权：</w:t>
            </w:r>
          </w:p>
          <w:p w14:paraId="2CE56738">
            <w:pPr>
              <w:widowControl/>
              <w:ind w:firstLine="0"/>
              <w:jc w:val="left"/>
              <w:rPr>
                <w:rFonts w:ascii="宋体" w:hAnsi="宋体" w:cs="宋体"/>
                <w:color w:val="auto"/>
                <w:kern w:val="0"/>
                <w:szCs w:val="21"/>
              </w:rPr>
            </w:pPr>
            <w:r>
              <w:rPr>
                <w:rFonts w:hint="eastAsia" w:ascii="宋体" w:hAnsi="宋体" w:cs="宋体"/>
                <w:color w:val="auto"/>
                <w:kern w:val="0"/>
                <w:szCs w:val="21"/>
              </w:rPr>
              <w:t>主机入侵防护服务授权 8节点</w:t>
            </w:r>
          </w:p>
          <w:p w14:paraId="68BF26A7">
            <w:pPr>
              <w:widowControl/>
              <w:ind w:firstLine="0"/>
              <w:jc w:val="left"/>
              <w:rPr>
                <w:rFonts w:ascii="宋体" w:hAnsi="宋体" w:cs="宋体"/>
                <w:color w:val="auto"/>
                <w:kern w:val="0"/>
                <w:szCs w:val="21"/>
              </w:rPr>
            </w:pPr>
            <w:r>
              <w:rPr>
                <w:rFonts w:hint="eastAsia" w:ascii="宋体" w:hAnsi="宋体" w:cs="宋体"/>
                <w:color w:val="auto"/>
                <w:kern w:val="0"/>
                <w:szCs w:val="21"/>
              </w:rPr>
              <w:t>主机入侵防护增强服务 8节点</w:t>
            </w:r>
          </w:p>
          <w:p w14:paraId="37C53EB3">
            <w:pPr>
              <w:widowControl/>
              <w:ind w:firstLine="0"/>
              <w:jc w:val="left"/>
              <w:rPr>
                <w:rFonts w:ascii="宋体" w:hAnsi="宋体" w:cs="宋体"/>
                <w:color w:val="auto"/>
                <w:kern w:val="0"/>
                <w:szCs w:val="21"/>
              </w:rPr>
            </w:pPr>
            <w:r>
              <w:rPr>
                <w:rFonts w:hint="eastAsia" w:ascii="宋体" w:hAnsi="宋体" w:cs="宋体"/>
                <w:color w:val="auto"/>
                <w:kern w:val="0"/>
                <w:szCs w:val="21"/>
              </w:rPr>
              <w:t>云安全管理中心授权 8台</w:t>
            </w:r>
          </w:p>
          <w:p w14:paraId="526299ED">
            <w:pPr>
              <w:widowControl/>
              <w:ind w:firstLine="0"/>
              <w:jc w:val="left"/>
              <w:rPr>
                <w:rFonts w:ascii="宋体" w:hAnsi="宋体" w:cs="宋体"/>
                <w:color w:val="auto"/>
                <w:kern w:val="0"/>
                <w:szCs w:val="21"/>
              </w:rPr>
            </w:pPr>
            <w:r>
              <w:rPr>
                <w:rFonts w:hint="eastAsia" w:ascii="宋体" w:hAnsi="宋体" w:cs="宋体"/>
                <w:color w:val="auto"/>
                <w:kern w:val="0"/>
                <w:szCs w:val="21"/>
              </w:rPr>
              <w:t>漏洞扫描服务 授权 1台</w:t>
            </w:r>
          </w:p>
          <w:p w14:paraId="0E03F7B2">
            <w:pPr>
              <w:widowControl/>
              <w:jc w:val="left"/>
              <w:rPr>
                <w:rFonts w:hint="eastAsia" w:ascii="宋体" w:hAnsi="宋体" w:cs="宋体"/>
                <w:color w:val="auto"/>
                <w:kern w:val="0"/>
                <w:szCs w:val="21"/>
              </w:rPr>
            </w:pPr>
            <w:r>
              <w:rPr>
                <w:rFonts w:hint="eastAsia" w:ascii="宋体" w:hAnsi="宋体" w:cs="宋体"/>
                <w:color w:val="auto"/>
                <w:kern w:val="0"/>
                <w:szCs w:val="21"/>
              </w:rPr>
              <w:t>网络检测与响应授权 8台</w:t>
            </w:r>
          </w:p>
        </w:tc>
      </w:tr>
      <w:tr w14:paraId="48DAB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741" w:type="dxa"/>
            <w:vMerge w:val="continue"/>
            <w:noWrap w:val="0"/>
            <w:vAlign w:val="center"/>
          </w:tcPr>
          <w:p w14:paraId="3F7EEAE9">
            <w:pPr>
              <w:widowControl/>
              <w:jc w:val="left"/>
              <w:rPr>
                <w:rFonts w:hint="eastAsia" w:ascii="宋体" w:hAnsi="宋体" w:cs="宋体"/>
                <w:kern w:val="0"/>
                <w:szCs w:val="21"/>
              </w:rPr>
            </w:pPr>
          </w:p>
        </w:tc>
        <w:tc>
          <w:tcPr>
            <w:tcW w:w="876" w:type="dxa"/>
            <w:vMerge w:val="continue"/>
            <w:noWrap w:val="0"/>
            <w:vAlign w:val="center"/>
          </w:tcPr>
          <w:p w14:paraId="4EE92CA6">
            <w:pPr>
              <w:jc w:val="center"/>
              <w:rPr>
                <w:rFonts w:hint="eastAsia"/>
                <w:color w:val="000000"/>
                <w:szCs w:val="21"/>
              </w:rPr>
            </w:pPr>
          </w:p>
        </w:tc>
        <w:tc>
          <w:tcPr>
            <w:tcW w:w="7170" w:type="dxa"/>
            <w:noWrap w:val="0"/>
            <w:vAlign w:val="center"/>
          </w:tcPr>
          <w:p w14:paraId="2DB0B358">
            <w:pPr>
              <w:widowControl/>
              <w:ind w:firstLine="0"/>
              <w:jc w:val="left"/>
              <w:rPr>
                <w:rFonts w:ascii="宋体" w:hAnsi="宋体" w:cs="宋体"/>
                <w:color w:val="auto"/>
                <w:kern w:val="0"/>
                <w:szCs w:val="21"/>
              </w:rPr>
            </w:pPr>
            <w:r>
              <w:rPr>
                <w:rFonts w:hint="eastAsia" w:ascii="宋体" w:hAnsi="宋体" w:cs="宋体"/>
                <w:color w:val="auto"/>
                <w:kern w:val="0"/>
                <w:szCs w:val="21"/>
              </w:rPr>
              <w:t>网络服务授权：</w:t>
            </w:r>
          </w:p>
          <w:p w14:paraId="40D9E64C">
            <w:pPr>
              <w:widowControl/>
              <w:jc w:val="left"/>
              <w:rPr>
                <w:rFonts w:hint="eastAsia" w:ascii="宋体" w:hAnsi="宋体" w:cs="宋体"/>
                <w:color w:val="auto"/>
                <w:kern w:val="0"/>
                <w:szCs w:val="21"/>
              </w:rPr>
            </w:pPr>
            <w:r>
              <w:rPr>
                <w:rFonts w:hint="eastAsia" w:ascii="宋体" w:hAnsi="宋体" w:cs="宋体"/>
                <w:color w:val="auto"/>
                <w:kern w:val="0"/>
                <w:szCs w:val="21"/>
              </w:rPr>
              <w:t xml:space="preserve">专有网络VPC服务授权 </w:t>
            </w:r>
            <w:r>
              <w:rPr>
                <w:rFonts w:ascii="宋体" w:hAnsi="宋体" w:cs="宋体"/>
                <w:color w:val="auto"/>
                <w:kern w:val="0"/>
                <w:szCs w:val="21"/>
              </w:rPr>
              <w:t>128</w:t>
            </w:r>
            <w:r>
              <w:rPr>
                <w:rFonts w:hint="eastAsia" w:ascii="宋体" w:hAnsi="宋体" w:cs="宋体"/>
                <w:color w:val="auto"/>
                <w:kern w:val="0"/>
                <w:szCs w:val="21"/>
              </w:rPr>
              <w:t>core</w:t>
            </w:r>
          </w:p>
        </w:tc>
      </w:tr>
      <w:tr w14:paraId="68579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8787" w:type="dxa"/>
            <w:gridSpan w:val="3"/>
            <w:noWrap w:val="0"/>
            <w:vAlign w:val="center"/>
          </w:tcPr>
          <w:p w14:paraId="7235C365">
            <w:pPr>
              <w:widowControl/>
              <w:rPr>
                <w:rFonts w:hint="eastAsia" w:ascii="宋体" w:hAnsi="宋体" w:cs="宋体"/>
                <w:kern w:val="0"/>
                <w:szCs w:val="21"/>
              </w:rPr>
            </w:pPr>
            <w:r>
              <w:rPr>
                <w:rFonts w:hint="eastAsia" w:ascii="宋体" w:hAnsi="宋体" w:cs="宋体"/>
                <w:kern w:val="0"/>
                <w:szCs w:val="21"/>
              </w:rPr>
              <w:t>其他技术需求</w:t>
            </w:r>
          </w:p>
        </w:tc>
      </w:tr>
      <w:tr w14:paraId="2CF5F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741" w:type="dxa"/>
            <w:noWrap w:val="0"/>
            <w:vAlign w:val="center"/>
          </w:tcPr>
          <w:p w14:paraId="524162F1">
            <w:pPr>
              <w:widowControl/>
              <w:jc w:val="center"/>
              <w:rPr>
                <w:rFonts w:hint="eastAsia" w:ascii="宋体" w:hAnsi="宋体" w:cs="宋体"/>
                <w:kern w:val="0"/>
                <w:szCs w:val="21"/>
              </w:rPr>
            </w:pPr>
            <w:r>
              <w:rPr>
                <w:rFonts w:hint="eastAsia" w:ascii="宋体" w:hAnsi="宋体" w:cs="宋体"/>
                <w:kern w:val="0"/>
                <w:szCs w:val="21"/>
              </w:rPr>
              <w:t>16.对接需求</w:t>
            </w:r>
            <w:bookmarkStart w:id="6" w:name="_GoBack"/>
            <w:bookmarkEnd w:id="6"/>
          </w:p>
        </w:tc>
        <w:tc>
          <w:tcPr>
            <w:tcW w:w="876" w:type="dxa"/>
            <w:noWrap w:val="0"/>
            <w:vAlign w:val="center"/>
          </w:tcPr>
          <w:p w14:paraId="3C759825">
            <w:pPr>
              <w:widowControl/>
              <w:jc w:val="center"/>
              <w:rPr>
                <w:rFonts w:hint="eastAsia" w:ascii="宋体" w:hAnsi="宋体" w:cs="宋体"/>
                <w:kern w:val="0"/>
                <w:szCs w:val="21"/>
              </w:rPr>
            </w:pPr>
            <w:r>
              <w:rPr>
                <w:rFonts w:hint="eastAsia" w:ascii="宋体" w:hAnsi="宋体" w:cs="宋体"/>
                <w:kern w:val="0"/>
                <w:szCs w:val="21"/>
              </w:rPr>
              <w:t>对接需求</w:t>
            </w:r>
          </w:p>
        </w:tc>
        <w:tc>
          <w:tcPr>
            <w:tcW w:w="7170" w:type="dxa"/>
            <w:noWrap w:val="0"/>
            <w:vAlign w:val="center"/>
          </w:tcPr>
          <w:p w14:paraId="67B49BF3">
            <w:pPr>
              <w:pStyle w:val="82"/>
              <w:ind w:firstLine="0" w:firstLineChars="0"/>
              <w:rPr>
                <w:rFonts w:hint="eastAsia" w:ascii="宋体" w:hAnsi="宋体" w:cs="宋体"/>
              </w:rPr>
            </w:pPr>
            <w:r>
              <w:rPr>
                <w:rFonts w:hint="eastAsia" w:ascii="宋体" w:hAnsi="宋体" w:cs="宋体"/>
              </w:rPr>
              <w:t>中标人需承担与院内现有业务系统对接需求的梳理和与配合现有业务厂商对接工作协调。本次项目接入系统包括但不限于以下系统:</w:t>
            </w:r>
          </w:p>
          <w:p w14:paraId="4841D386">
            <w:pPr>
              <w:pStyle w:val="82"/>
              <w:ind w:firstLine="0" w:firstLineChars="0"/>
              <w:rPr>
                <w:rFonts w:hint="eastAsia" w:ascii="宋体" w:hAnsi="宋体" w:cs="宋体"/>
              </w:rPr>
            </w:pPr>
            <w:r>
              <w:rPr>
                <w:rFonts w:hint="eastAsia" w:ascii="宋体" w:hAnsi="宋体" w:cs="宋体"/>
                <w:b/>
                <w:bCs/>
              </w:rPr>
              <w:t>HIS核心业务系统：</w:t>
            </w:r>
            <w:r>
              <w:rPr>
                <w:rFonts w:hint="eastAsia" w:ascii="宋体" w:hAnsi="宋体" w:cs="宋体"/>
              </w:rPr>
              <w:t>门诊医生站（含门诊病历）、住院医生站、住院电子病历、住院护士工作站、护理文书、预存扣款系统、门诊预约分诊系统、财务收费系统（门诊、住院）、公众号（含移动支付）、门诊输液系统 、</w:t>
            </w:r>
            <w:r>
              <w:rPr>
                <w:rFonts w:ascii="宋体" w:hAnsi="宋体" w:cs="宋体"/>
              </w:rPr>
              <w:t xml:space="preserve">移动护理 PDA </w:t>
            </w:r>
            <w:r>
              <w:rPr>
                <w:rFonts w:hint="eastAsia" w:ascii="宋体" w:hAnsi="宋体" w:cs="宋体"/>
              </w:rPr>
              <w:t>、</w:t>
            </w:r>
            <w:r>
              <w:rPr>
                <w:rFonts w:ascii="宋体" w:hAnsi="宋体" w:cs="宋体"/>
              </w:rPr>
              <w:t>智慧病房结算信息系统</w:t>
            </w:r>
            <w:r>
              <w:rPr>
                <w:rFonts w:hint="eastAsia" w:ascii="宋体" w:hAnsi="宋体" w:cs="宋体"/>
              </w:rPr>
              <w:t>、MDT系统（多学科及远程会诊系统）、互联网医、随访管理系统</w:t>
            </w:r>
          </w:p>
          <w:p w14:paraId="4707EE76">
            <w:pPr>
              <w:pStyle w:val="82"/>
              <w:ind w:firstLine="0" w:firstLineChars="0"/>
              <w:rPr>
                <w:rFonts w:hint="eastAsia" w:ascii="宋体" w:hAnsi="宋体" w:cs="宋体"/>
              </w:rPr>
            </w:pPr>
            <w:r>
              <w:rPr>
                <w:rFonts w:hint="eastAsia" w:ascii="宋体" w:hAnsi="宋体" w:cs="宋体"/>
                <w:b/>
                <w:bCs/>
              </w:rPr>
              <w:t>检验检查系统：</w:t>
            </w:r>
            <w:r>
              <w:rPr>
                <w:rFonts w:hint="eastAsia" w:ascii="宋体" w:hAnsi="宋体" w:cs="宋体"/>
              </w:rPr>
              <w:t>检验系统、检验采集系统、智能采血管理系统、放射系统、</w:t>
            </w:r>
            <w:r>
              <w:rPr>
                <w:rFonts w:ascii="宋体" w:hAnsi="宋体" w:cs="宋体"/>
              </w:rPr>
              <w:t>放射登记系统</w:t>
            </w:r>
            <w:r>
              <w:rPr>
                <w:rFonts w:hint="eastAsia" w:ascii="宋体" w:hAnsi="宋体" w:cs="宋体"/>
              </w:rPr>
              <w:t>、内镜报告系统、</w:t>
            </w:r>
            <w:r>
              <w:rPr>
                <w:rFonts w:ascii="宋体" w:hAnsi="宋体" w:cs="宋体"/>
              </w:rPr>
              <w:t>超声工作站（超声报告系统）、超声叫号系统</w:t>
            </w:r>
            <w:r>
              <w:rPr>
                <w:rFonts w:hint="eastAsia" w:ascii="宋体" w:hAnsi="宋体" w:cs="宋体"/>
              </w:rPr>
              <w:t>、心电图报告系统、心电血压信息系统、病理送检系统、病理报告系统、核医学报告系统、全院影像一体化系统</w:t>
            </w:r>
          </w:p>
          <w:p w14:paraId="7A40F9F6">
            <w:pPr>
              <w:pStyle w:val="82"/>
              <w:ind w:firstLine="0" w:firstLineChars="0"/>
              <w:rPr>
                <w:rFonts w:ascii="宋体" w:hAnsi="宋体" w:cs="宋体"/>
              </w:rPr>
            </w:pPr>
            <w:r>
              <w:rPr>
                <w:rFonts w:hint="eastAsia" w:ascii="宋体" w:hAnsi="宋体" w:cs="宋体"/>
                <w:b/>
                <w:bCs/>
              </w:rPr>
              <w:t>治疗系统：</w:t>
            </w:r>
            <w:r>
              <w:rPr>
                <w:rFonts w:hint="eastAsia" w:ascii="宋体" w:hAnsi="宋体" w:cs="宋体"/>
                <w:b w:val="0"/>
                <w:bCs w:val="0"/>
              </w:rPr>
              <w:t>治疗工作站、康复诊疗管理系统、</w:t>
            </w:r>
            <w:r>
              <w:rPr>
                <w:rFonts w:hint="eastAsia" w:ascii="宋体" w:hAnsi="宋体" w:cs="宋体"/>
              </w:rPr>
              <w:t>血透临床信息系统、输血系统、合理用血系统（输血管理系统）</w:t>
            </w:r>
          </w:p>
          <w:p w14:paraId="228F9014">
            <w:pPr>
              <w:pStyle w:val="82"/>
              <w:ind w:firstLine="0" w:firstLineChars="0"/>
              <w:rPr>
                <w:rFonts w:ascii="宋体" w:hAnsi="宋体" w:cs="宋体"/>
              </w:rPr>
            </w:pPr>
            <w:r>
              <w:rPr>
                <w:rFonts w:hint="eastAsia" w:ascii="宋体" w:hAnsi="宋体" w:cs="宋体"/>
                <w:b/>
                <w:bCs/>
              </w:rPr>
              <w:t>药品相关系统：</w:t>
            </w:r>
            <w:r>
              <w:rPr>
                <w:rFonts w:hint="eastAsia" w:ascii="宋体" w:hAnsi="宋体" w:cs="宋体"/>
              </w:rPr>
              <w:t>静配系统、药房管理系统（门诊、住院）、药库管理系统、合理用药系统（含处方点评）</w:t>
            </w:r>
          </w:p>
          <w:p w14:paraId="73913E6F">
            <w:pPr>
              <w:pStyle w:val="82"/>
              <w:ind w:firstLine="0" w:firstLineChars="0"/>
              <w:rPr>
                <w:rFonts w:hint="eastAsia" w:ascii="宋体" w:hAnsi="宋体" w:cs="宋体"/>
              </w:rPr>
            </w:pPr>
            <w:r>
              <w:rPr>
                <w:rFonts w:hint="eastAsia" w:ascii="宋体" w:hAnsi="宋体" w:cs="宋体"/>
                <w:b/>
                <w:bCs/>
              </w:rPr>
              <w:t>手术相关系统：</w:t>
            </w:r>
            <w:r>
              <w:rPr>
                <w:rFonts w:ascii="宋体" w:hAnsi="宋体" w:cs="宋体"/>
              </w:rPr>
              <w:t>手术麻醉管理系统</w:t>
            </w:r>
            <w:r>
              <w:rPr>
                <w:rFonts w:hint="eastAsia" w:ascii="宋体" w:hAnsi="宋体" w:cs="宋体"/>
              </w:rPr>
              <w:t>、手术室管理系统、器械供应系统、</w:t>
            </w:r>
          </w:p>
          <w:p w14:paraId="77369B1F">
            <w:pPr>
              <w:pStyle w:val="82"/>
              <w:ind w:firstLine="0" w:firstLineChars="0"/>
              <w:rPr>
                <w:rFonts w:hint="eastAsia" w:ascii="宋体" w:hAnsi="宋体" w:cs="宋体"/>
              </w:rPr>
            </w:pPr>
            <w:r>
              <w:rPr>
                <w:rFonts w:hint="eastAsia" w:ascii="宋体" w:hAnsi="宋体" w:cs="宋体"/>
                <w:b/>
                <w:bCs/>
              </w:rPr>
              <w:t>急诊相关系统</w:t>
            </w:r>
            <w:r>
              <w:rPr>
                <w:rFonts w:hint="eastAsia" w:ascii="宋体" w:hAnsi="宋体" w:cs="宋体"/>
              </w:rPr>
              <w:t>：急诊预处理、急诊系统（星际云典）</w:t>
            </w:r>
          </w:p>
          <w:p w14:paraId="28D5DB75">
            <w:pPr>
              <w:pStyle w:val="82"/>
              <w:ind w:firstLine="0" w:firstLineChars="0"/>
              <w:rPr>
                <w:rFonts w:ascii="宋体" w:hAnsi="宋体" w:cs="宋体"/>
              </w:rPr>
            </w:pPr>
            <w:r>
              <w:rPr>
                <w:rFonts w:hint="eastAsia" w:ascii="宋体" w:hAnsi="宋体" w:cs="宋体"/>
                <w:b/>
                <w:bCs/>
              </w:rPr>
              <w:t>重症相关系统：</w:t>
            </w:r>
            <w:r>
              <w:rPr>
                <w:rFonts w:hint="eastAsia" w:ascii="宋体" w:hAnsi="宋体" w:cs="宋体"/>
              </w:rPr>
              <w:t>重症系统</w:t>
            </w:r>
          </w:p>
          <w:p w14:paraId="246362B8">
            <w:pPr>
              <w:pStyle w:val="82"/>
              <w:ind w:firstLine="0" w:firstLineChars="0"/>
              <w:rPr>
                <w:rFonts w:ascii="宋体" w:hAnsi="宋体" w:cs="宋体"/>
              </w:rPr>
            </w:pPr>
            <w:r>
              <w:rPr>
                <w:rFonts w:hint="eastAsia" w:ascii="宋体" w:hAnsi="宋体" w:cs="宋体"/>
                <w:b/>
                <w:bCs/>
              </w:rPr>
              <w:t>运营管理相关系统：</w:t>
            </w:r>
            <w:r>
              <w:rPr>
                <w:rFonts w:hint="eastAsia" w:ascii="宋体" w:hAnsi="宋体" w:cs="宋体"/>
              </w:rPr>
              <w:t>杏林医院感染实时监控系统、物价精细化系统-&gt;医疗收费智能审核管理系统项目、社保审批系统、感染管理系统、医保智能控费系统、SPD系统（医用耗材）、医疗安全（不良）事件上报管理系统、病案统计系统、DRGs综合评价管理系统、单病种系统、智慧医疗管理系统、档案管理系统、资产盘点系统、人力资源管理系统、OA系统、医院运营管理系统（HRP）</w:t>
            </w:r>
          </w:p>
          <w:p w14:paraId="0EF23FB4">
            <w:pPr>
              <w:pStyle w:val="82"/>
              <w:ind w:firstLine="0" w:firstLineChars="0"/>
              <w:rPr>
                <w:rFonts w:hint="eastAsia" w:ascii="宋体" w:hAnsi="宋体" w:cs="宋体"/>
              </w:rPr>
            </w:pPr>
            <w:r>
              <w:rPr>
                <w:rFonts w:hint="eastAsia" w:ascii="宋体" w:hAnsi="宋体" w:cs="宋体"/>
                <w:b/>
                <w:bCs/>
              </w:rPr>
              <w:t>已有的平台系统：</w:t>
            </w:r>
            <w:r>
              <w:rPr>
                <w:rFonts w:hint="eastAsia" w:ascii="宋体" w:hAnsi="宋体" w:cs="宋体"/>
              </w:rPr>
              <w:t>集成平台、患者360、CDA文档、患者主索引、临床数据中心、主数据管理系统、单点登录系统、数据字典管理系统</w:t>
            </w:r>
          </w:p>
        </w:tc>
      </w:tr>
      <w:tr w14:paraId="1C9D3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741" w:type="dxa"/>
            <w:vMerge w:val="restart"/>
            <w:noWrap w:val="0"/>
            <w:vAlign w:val="center"/>
          </w:tcPr>
          <w:p w14:paraId="084BE9D9">
            <w:pPr>
              <w:widowControl/>
              <w:jc w:val="center"/>
              <w:rPr>
                <w:rFonts w:hint="eastAsia" w:ascii="宋体" w:hAnsi="宋体" w:cs="宋体"/>
                <w:kern w:val="0"/>
                <w:szCs w:val="21"/>
              </w:rPr>
            </w:pPr>
            <w:r>
              <w:rPr>
                <w:rFonts w:hint="eastAsia"/>
                <w:color w:val="000000"/>
                <w:szCs w:val="21"/>
              </w:rPr>
              <w:t>其他集成服务需求</w:t>
            </w:r>
          </w:p>
        </w:tc>
        <w:tc>
          <w:tcPr>
            <w:tcW w:w="876" w:type="dxa"/>
            <w:noWrap w:val="0"/>
            <w:vAlign w:val="center"/>
          </w:tcPr>
          <w:p w14:paraId="19FD435C">
            <w:pPr>
              <w:widowControl/>
              <w:jc w:val="center"/>
              <w:rPr>
                <w:rFonts w:hint="eastAsia" w:ascii="宋体" w:hAnsi="宋体" w:cs="宋体"/>
                <w:kern w:val="0"/>
                <w:szCs w:val="21"/>
              </w:rPr>
            </w:pPr>
            <w:r>
              <w:rPr>
                <w:rFonts w:hint="eastAsia"/>
                <w:color w:val="000000"/>
                <w:szCs w:val="21"/>
              </w:rPr>
              <w:t>其他集成服务需求</w:t>
            </w:r>
          </w:p>
        </w:tc>
        <w:tc>
          <w:tcPr>
            <w:tcW w:w="7170" w:type="dxa"/>
            <w:noWrap w:val="0"/>
            <w:vAlign w:val="center"/>
          </w:tcPr>
          <w:p w14:paraId="7134C899">
            <w:pPr>
              <w:pStyle w:val="82"/>
              <w:ind w:firstLine="0" w:firstLineChars="0"/>
              <w:rPr>
                <w:rFonts w:hint="eastAsia" w:ascii="宋体" w:hAnsi="宋体" w:cs="宋体"/>
              </w:rPr>
            </w:pPr>
            <w:r>
              <w:rPr>
                <w:rFonts w:hint="eastAsia"/>
                <w:color w:val="000000"/>
                <w:szCs w:val="21"/>
              </w:rPr>
              <w:t>投标方所投的所有硬件设备（包括但不限于计算服务器、存储设备），必须能够无缝接入招标方现有私有云平台，实现统一纳管、资源池化及统一调度。</w:t>
            </w:r>
          </w:p>
        </w:tc>
      </w:tr>
      <w:tr w14:paraId="32AE6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741" w:type="dxa"/>
            <w:vMerge w:val="continue"/>
            <w:noWrap w:val="0"/>
            <w:vAlign w:val="center"/>
          </w:tcPr>
          <w:p w14:paraId="1D052855">
            <w:pPr>
              <w:widowControl/>
              <w:jc w:val="center"/>
              <w:rPr>
                <w:rFonts w:hint="eastAsia"/>
                <w:color w:val="000000"/>
                <w:szCs w:val="21"/>
              </w:rPr>
            </w:pPr>
          </w:p>
        </w:tc>
        <w:tc>
          <w:tcPr>
            <w:tcW w:w="876" w:type="dxa"/>
            <w:noWrap w:val="0"/>
            <w:vAlign w:val="center"/>
          </w:tcPr>
          <w:p w14:paraId="75FFEAAA">
            <w:pPr>
              <w:widowControl/>
              <w:jc w:val="center"/>
              <w:rPr>
                <w:rFonts w:hint="eastAsia"/>
                <w:color w:val="000000"/>
                <w:szCs w:val="21"/>
              </w:rPr>
            </w:pPr>
            <w:r>
              <w:rPr>
                <w:rFonts w:hint="eastAsia"/>
                <w:color w:val="000000"/>
                <w:szCs w:val="21"/>
              </w:rPr>
              <w:t>其他集成服务需求</w:t>
            </w:r>
          </w:p>
        </w:tc>
        <w:tc>
          <w:tcPr>
            <w:tcW w:w="7170" w:type="dxa"/>
            <w:noWrap w:val="0"/>
            <w:vAlign w:val="center"/>
          </w:tcPr>
          <w:p w14:paraId="0D978A69">
            <w:pPr>
              <w:jc w:val="left"/>
              <w:rPr>
                <w:rFonts w:hint="eastAsia"/>
                <w:color w:val="000000"/>
                <w:szCs w:val="21"/>
              </w:rPr>
            </w:pPr>
            <w:r>
              <w:rPr>
                <w:rFonts w:hint="eastAsia"/>
                <w:color w:val="000000"/>
                <w:szCs w:val="21"/>
              </w:rPr>
              <w:t>所投基础设施的相关实施交付运维服务包含：</w:t>
            </w:r>
          </w:p>
          <w:p w14:paraId="7E3B3908">
            <w:pPr>
              <w:jc w:val="left"/>
              <w:rPr>
                <w:rFonts w:hint="eastAsia"/>
                <w:color w:val="000000"/>
                <w:szCs w:val="21"/>
              </w:rPr>
            </w:pPr>
            <w:r>
              <w:rPr>
                <w:rFonts w:hint="eastAsia"/>
                <w:color w:val="000000"/>
                <w:szCs w:val="21"/>
              </w:rPr>
              <w:t>提供本项目所需共勘、布线规划、硬件上架、系统调试等实施相关服务1套，辅助私有云相关资源配置、运维等相关工作，包含耗材、布线施工和软件交付实施费用；</w:t>
            </w:r>
          </w:p>
          <w:p w14:paraId="4D652853">
            <w:pPr>
              <w:jc w:val="left"/>
              <w:rPr>
                <w:rFonts w:hint="eastAsia"/>
                <w:color w:val="000000"/>
                <w:szCs w:val="21"/>
              </w:rPr>
            </w:pPr>
            <w:r>
              <w:rPr>
                <w:rFonts w:hint="eastAsia"/>
                <w:color w:val="000000"/>
                <w:szCs w:val="21"/>
              </w:rPr>
              <w:t>提供所投云产品原厂支持服务1套；</w:t>
            </w:r>
          </w:p>
          <w:p w14:paraId="5F9BAAF9">
            <w:pPr>
              <w:pStyle w:val="82"/>
              <w:ind w:firstLine="0" w:firstLineChars="0"/>
              <w:rPr>
                <w:rFonts w:hint="eastAsia"/>
                <w:color w:val="000000"/>
                <w:szCs w:val="21"/>
              </w:rPr>
            </w:pPr>
            <w:r>
              <w:rPr>
                <w:rFonts w:hint="eastAsia"/>
                <w:color w:val="000000"/>
                <w:szCs w:val="21"/>
              </w:rPr>
              <w:t>提供本项目所需要的项目管理服务1套。</w:t>
            </w:r>
          </w:p>
        </w:tc>
      </w:tr>
    </w:tbl>
    <w:p w14:paraId="7BC82930"/>
    <w:p w14:paraId="11B1B9DD"/>
    <w:p w14:paraId="51C5BFED"/>
    <w:p w14:paraId="2FE23484"/>
    <w:p w14:paraId="612CD1D3">
      <w:pPr>
        <w:rPr>
          <w:rFonts w:hint="eastAsia" w:ascii="宋体" w:hAnsi="宋体"/>
          <w:b/>
          <w:bCs/>
          <w:sz w:val="24"/>
        </w:rPr>
      </w:pPr>
    </w:p>
    <w:sectPr>
      <w:headerReference r:id="rId3" w:type="first"/>
      <w:footerReference r:id="rId4" w:type="default"/>
      <w:footerReference r:id="rId5" w:type="even"/>
      <w:pgSz w:w="11907" w:h="16840"/>
      <w:pgMar w:top="1440" w:right="1797" w:bottom="1440" w:left="1797" w:header="851" w:footer="992" w:gutter="0"/>
      <w:cols w:space="720" w:num="1"/>
      <w:titlePg/>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panose1 w:val="020B0604020202020204"/>
    <w:charset w:val="86"/>
    <w:family w:val="swiss"/>
    <w:pitch w:val="default"/>
    <w:sig w:usb0="FFFFFFFF" w:usb1="E9FFFFFF" w:usb2="0000003F" w:usb3="00000000" w:csb0="603F01FF" w:csb1="FFFF0000"/>
  </w:font>
  <w:font w:name="隶书">
    <w:panose1 w:val="02010509060101010101"/>
    <w:charset w:val="86"/>
    <w:family w:val="modern"/>
    <w:pitch w:val="default"/>
    <w:sig w:usb0="00000001" w:usb1="080E0000" w:usb2="00000000" w:usb3="00000000" w:csb0="00040000" w:csb1="00000000"/>
  </w:font>
  <w:font w:name="长城仿宋">
    <w:altName w:val="仿宋"/>
    <w:panose1 w:val="00000000000000000000"/>
    <w:charset w:val="86"/>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H Yb 2gj">
    <w:altName w:val="宋体"/>
    <w:panose1 w:val="00000000000000000000"/>
    <w:charset w:val="86"/>
    <w:family w:val="auto"/>
    <w:pitch w:val="default"/>
    <w:sig w:usb0="00000000" w:usb1="00000000" w:usb2="00000010" w:usb3="00000000" w:csb0="00040000"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ˎ̥">
    <w:altName w:val="华康Sc黑体W4-A(P)"/>
    <w:panose1 w:val="00000000000000000000"/>
    <w:charset w:val="00"/>
    <w:family w:val="roman"/>
    <w:pitch w:val="default"/>
    <w:sig w:usb0="00000000" w:usb1="00000000" w:usb2="00000000" w:usb3="00000000" w:csb0="00040001" w:csb1="00000000"/>
  </w:font>
  <w:font w:name="华康Sc黑体W4-A(P)">
    <w:panose1 w:val="020B0500000000000000"/>
    <w:charset w:val="86"/>
    <w:family w:val="auto"/>
    <w:pitch w:val="default"/>
    <w:sig w:usb0="80000287" w:usb1="28477CF8" w:usb2="00000010" w:usb3="00000000" w:csb0="001E0001" w:csb1="00000000"/>
  </w:font>
  <w:font w:name="??">
    <w:altName w:val="Segoe Print"/>
    <w:panose1 w:val="00000000000000000000"/>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Verdana">
    <w:panose1 w:val="020B0604030504040204"/>
    <w:charset w:val="00"/>
    <w:family w:val="swiss"/>
    <w:pitch w:val="default"/>
    <w:sig w:usb0="A10006FF" w:usb1="4000205B" w:usb2="00000010" w:usb3="00000000" w:csb0="2000019F" w:csb1="00000000"/>
  </w:font>
  <w:font w:name="Arial (W1)">
    <w:altName w:val="Arial"/>
    <w:panose1 w:val="00000000000000000000"/>
    <w:charset w:val="00"/>
    <w:family w:val="swiss"/>
    <w:pitch w:val="default"/>
    <w:sig w:usb0="00000000" w:usb1="00000000" w:usb2="00000008" w:usb3="00000000" w:csb0="000001FF" w:csb1="00000000"/>
  </w:font>
  <w:font w:name="Tahoma">
    <w:panose1 w:val="020B0604030504040204"/>
    <w:charset w:val="00"/>
    <w:family w:val="swiss"/>
    <w:pitch w:val="default"/>
    <w:sig w:usb0="E1002EFF" w:usb1="C000605B" w:usb2="00000029" w:usb3="00000000" w:csb0="200101FF" w:csb1="20280000"/>
  </w:font>
  <w:font w:name="幼圆">
    <w:panose1 w:val="02010509060101010101"/>
    <w:charset w:val="86"/>
    <w:family w:val="modern"/>
    <w:pitch w:val="default"/>
    <w:sig w:usb0="00000001" w:usb1="080E0000" w:usb2="00000000" w:usb3="00000000" w:csb0="00040000" w:csb1="00000000"/>
  </w:font>
  <w:font w:name="Helvetica">
    <w:altName w:val="Arial"/>
    <w:panose1 w:val="020B0604020202020204"/>
    <w:charset w:val="00"/>
    <w:family w:val="swiss"/>
    <w:pitch w:val="default"/>
    <w:sig w:usb0="00000000" w:usb1="00000000" w:usb2="00000000" w:usb3="00000000" w:csb0="00000001" w:csb1="00000000"/>
  </w:font>
  <w:font w:name="文鼎粗黑">
    <w:altName w:val="黑体"/>
    <w:panose1 w:val="00000000000000000000"/>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汉仪细等线简">
    <w:altName w:val="宋体"/>
    <w:panose1 w:val="00000000000000000000"/>
    <w:charset w:val="86"/>
    <w:family w:val="modern"/>
    <w:pitch w:val="default"/>
    <w:sig w:usb0="00000000" w:usb1="00000000" w:usb2="00000012" w:usb3="00000000" w:csb0="00040000" w:csb1="00000000"/>
  </w:font>
  <w:font w:name="华文仿宋">
    <w:panose1 w:val="02010600040101010101"/>
    <w:charset w:val="86"/>
    <w:family w:val="auto"/>
    <w:pitch w:val="default"/>
    <w:sig w:usb0="00000287" w:usb1="080F0000" w:usb2="00000000" w:usb3="00000000" w:csb0="0004009F" w:csb1="DFD70000"/>
  </w:font>
  <w:font w:name="Segoe UI">
    <w:panose1 w:val="020B0502040204020203"/>
    <w:charset w:val="00"/>
    <w:family w:val="auto"/>
    <w:pitch w:val="default"/>
    <w:sig w:usb0="E10022FF" w:usb1="C000E47F" w:usb2="00000029" w:usb3="00000000" w:csb0="200001DF" w:csb1="2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684932">
    <w:pPr>
      <w:pStyle w:val="2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F954F60">
                          <w:pPr>
                            <w:pStyle w:val="27"/>
                            <w:rPr>
                              <w:rStyle w:val="47"/>
                            </w:rPr>
                          </w:pPr>
                          <w:r>
                            <w:t xml:space="preserve">- </w:t>
                          </w:r>
                          <w:r>
                            <w:fldChar w:fldCharType="begin"/>
                          </w:r>
                          <w:r>
                            <w:instrText xml:space="preserve"> PAGE </w:instrText>
                          </w:r>
                          <w:r>
                            <w:fldChar w:fldCharType="separate"/>
                          </w:r>
                          <w:r>
                            <w:t>2</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Iz1eoxAgAAZA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iM9XqMQIAAGQEAAAOAAAAAAAAAAEAIAAAAB8BAABkcnMvZTJvRG9jLnhtbFBLBQYA&#10;AAAABgAGAFkBAADCBQAAAAA=&#10;">
              <v:fill on="f" focussize="0,0"/>
              <v:stroke on="f" weight="0.5pt"/>
              <v:imagedata o:title=""/>
              <o:lock v:ext="edit" aspectratio="f"/>
              <v:textbox inset="0mm,0mm,0mm,0mm" style="mso-fit-shape-to-text:t;">
                <w:txbxContent>
                  <w:p w14:paraId="3F954F60">
                    <w:pPr>
                      <w:pStyle w:val="27"/>
                      <w:rPr>
                        <w:rStyle w:val="47"/>
                      </w:rPr>
                    </w:pPr>
                    <w:r>
                      <w:t xml:space="preserve">- </w:t>
                    </w:r>
                    <w:r>
                      <w:fldChar w:fldCharType="begin"/>
                    </w:r>
                    <w:r>
                      <w:instrText xml:space="preserve"> PAGE </w:instrText>
                    </w:r>
                    <w:r>
                      <w:fldChar w:fldCharType="separate"/>
                    </w:r>
                    <w:r>
                      <w:t>2</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76FA3F">
    <w:pPr>
      <w:pStyle w:val="27"/>
      <w:framePr w:wrap="around" w:vAnchor="text" w:hAnchor="margin" w:xAlign="center" w:y="1"/>
      <w:rPr>
        <w:rStyle w:val="47"/>
      </w:rPr>
    </w:pPr>
    <w:r>
      <w:fldChar w:fldCharType="begin"/>
    </w:r>
    <w:r>
      <w:rPr>
        <w:rStyle w:val="47"/>
      </w:rPr>
      <w:instrText xml:space="preserve">PAGE  </w:instrText>
    </w:r>
    <w:r>
      <w:fldChar w:fldCharType="end"/>
    </w:r>
  </w:p>
  <w:p w14:paraId="5D72A1E9">
    <w:pPr>
      <w:pStyle w:val="2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062E9F">
    <w:pPr>
      <w:pStyle w:val="28"/>
      <w:pBdr>
        <w:bottom w:val="none" w:color="auto" w:sz="0" w:space="0"/>
      </w:pBdr>
      <w:jc w:val="both"/>
      <w:rPr>
        <w:rFonts w:ascii="宋体" w:hAnsi="宋体" w:cs="宋体"/>
        <w:bCs/>
        <w:sz w:val="13"/>
        <w:szCs w:val="13"/>
      </w:rPr>
    </w:pPr>
    <w:r>
      <w:rPr>
        <w:rFonts w:hint="eastAsia" w:ascii="宋体" w:hAnsi="宋体" w:cs="宋体"/>
        <w:bCs/>
        <w:sz w:val="13"/>
        <w:szCs w:val="13"/>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5FFCFB"/>
    <w:multiLevelType w:val="singleLevel"/>
    <w:tmpl w:val="8E5FFCFB"/>
    <w:lvl w:ilvl="0" w:tentative="0">
      <w:start w:val="1"/>
      <w:numFmt w:val="decimal"/>
      <w:suff w:val="space"/>
      <w:lvlText w:val="%1."/>
      <w:lvlJc w:val="left"/>
    </w:lvl>
  </w:abstractNum>
  <w:abstractNum w:abstractNumId="1">
    <w:nsid w:val="BB47AEEC"/>
    <w:multiLevelType w:val="singleLevel"/>
    <w:tmpl w:val="BB47AEEC"/>
    <w:lvl w:ilvl="0" w:tentative="0">
      <w:start w:val="1"/>
      <w:numFmt w:val="chineseCounting"/>
      <w:suff w:val="nothing"/>
      <w:lvlText w:val="%1、"/>
      <w:lvlJc w:val="left"/>
      <w:rPr>
        <w:rFonts w:hint="eastAsia"/>
      </w:rPr>
    </w:lvl>
  </w:abstractNum>
  <w:abstractNum w:abstractNumId="2">
    <w:nsid w:val="CD43CAF9"/>
    <w:multiLevelType w:val="singleLevel"/>
    <w:tmpl w:val="CD43CAF9"/>
    <w:lvl w:ilvl="0" w:tentative="0">
      <w:start w:val="1"/>
      <w:numFmt w:val="decimal"/>
      <w:suff w:val="nothing"/>
      <w:lvlText w:val="%1、"/>
      <w:lvlJc w:val="left"/>
    </w:lvl>
  </w:abstractNum>
  <w:abstractNum w:abstractNumId="3">
    <w:nsid w:val="F8909AF1"/>
    <w:multiLevelType w:val="singleLevel"/>
    <w:tmpl w:val="F8909AF1"/>
    <w:lvl w:ilvl="0" w:tentative="0">
      <w:start w:val="1"/>
      <w:numFmt w:val="chineseCounting"/>
      <w:suff w:val="nothing"/>
      <w:lvlText w:val="%1、"/>
      <w:lvlJc w:val="left"/>
      <w:rPr>
        <w:rFonts w:hint="eastAsia"/>
      </w:rPr>
    </w:lvl>
  </w:abstractNum>
  <w:abstractNum w:abstractNumId="4">
    <w:nsid w:val="FAF9F292"/>
    <w:multiLevelType w:val="singleLevel"/>
    <w:tmpl w:val="FAF9F292"/>
    <w:lvl w:ilvl="0" w:tentative="0">
      <w:start w:val="1"/>
      <w:numFmt w:val="chineseCounting"/>
      <w:suff w:val="nothing"/>
      <w:lvlText w:val="%1、"/>
      <w:lvlJc w:val="left"/>
      <w:rPr>
        <w:rFonts w:hint="eastAsia"/>
      </w:rPr>
    </w:lvl>
  </w:abstractNum>
  <w:abstractNum w:abstractNumId="5">
    <w:nsid w:val="FFFFFF7C"/>
    <w:multiLevelType w:val="singleLevel"/>
    <w:tmpl w:val="FFFFFF7C"/>
    <w:lvl w:ilvl="0" w:tentative="0">
      <w:start w:val="1"/>
      <w:numFmt w:val="decimal"/>
      <w:pStyle w:val="183"/>
      <w:lvlText w:val="%1."/>
      <w:lvlJc w:val="left"/>
      <w:pPr>
        <w:tabs>
          <w:tab w:val="left" w:pos="2040"/>
        </w:tabs>
        <w:ind w:left="2040" w:hanging="360"/>
      </w:pPr>
    </w:lvl>
  </w:abstractNum>
  <w:abstractNum w:abstractNumId="6">
    <w:nsid w:val="FFFFFF89"/>
    <w:multiLevelType w:val="singleLevel"/>
    <w:tmpl w:val="FFFFFF89"/>
    <w:lvl w:ilvl="0" w:tentative="0">
      <w:start w:val="1"/>
      <w:numFmt w:val="bullet"/>
      <w:pStyle w:val="14"/>
      <w:lvlText w:val=""/>
      <w:lvlJc w:val="left"/>
      <w:pPr>
        <w:tabs>
          <w:tab w:val="left" w:pos="360"/>
        </w:tabs>
        <w:ind w:left="360" w:hanging="360"/>
      </w:pPr>
      <w:rPr>
        <w:rFonts w:hint="default" w:ascii="Wingdings" w:hAnsi="Wingdings"/>
      </w:rPr>
    </w:lvl>
  </w:abstractNum>
  <w:abstractNum w:abstractNumId="7">
    <w:nsid w:val="12503483"/>
    <w:multiLevelType w:val="multilevel"/>
    <w:tmpl w:val="12503483"/>
    <w:lvl w:ilvl="0" w:tentative="0">
      <w:start w:val="1"/>
      <w:numFmt w:val="bullet"/>
      <w:pStyle w:val="188"/>
      <w:lvlText w:val=""/>
      <w:lvlJc w:val="left"/>
      <w:pPr>
        <w:tabs>
          <w:tab w:val="left" w:pos="420"/>
        </w:tabs>
        <w:ind w:left="420" w:hanging="420"/>
      </w:pPr>
      <w:rPr>
        <w:rFonts w:hint="default" w:ascii="Wingdings" w:hAnsi="Wingdings"/>
      </w:rPr>
    </w:lvl>
    <w:lvl w:ilvl="1" w:tentative="0">
      <w:start w:val="1"/>
      <w:numFmt w:val="bullet"/>
      <w:pStyle w:val="148"/>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8">
    <w:nsid w:val="145AC615"/>
    <w:multiLevelType w:val="singleLevel"/>
    <w:tmpl w:val="145AC615"/>
    <w:lvl w:ilvl="0" w:tentative="0">
      <w:start w:val="1"/>
      <w:numFmt w:val="chineseCounting"/>
      <w:suff w:val="nothing"/>
      <w:lvlText w:val="%1、"/>
      <w:lvlJc w:val="left"/>
      <w:rPr>
        <w:rFonts w:hint="eastAsia"/>
      </w:rPr>
    </w:lvl>
  </w:abstractNum>
  <w:abstractNum w:abstractNumId="9">
    <w:nsid w:val="15939BA2"/>
    <w:multiLevelType w:val="singleLevel"/>
    <w:tmpl w:val="15939BA2"/>
    <w:lvl w:ilvl="0" w:tentative="0">
      <w:start w:val="1"/>
      <w:numFmt w:val="chineseCounting"/>
      <w:suff w:val="nothing"/>
      <w:lvlText w:val="%1、"/>
      <w:lvlJc w:val="left"/>
      <w:rPr>
        <w:rFonts w:hint="eastAsia"/>
      </w:rPr>
    </w:lvl>
  </w:abstractNum>
  <w:abstractNum w:abstractNumId="10">
    <w:nsid w:val="160D20D0"/>
    <w:multiLevelType w:val="multilevel"/>
    <w:tmpl w:val="160D20D0"/>
    <w:lvl w:ilvl="0" w:tentative="0">
      <w:start w:val="1"/>
      <w:numFmt w:val="bullet"/>
      <w:pStyle w:val="162"/>
      <w:lvlText w:val=""/>
      <w:lvlJc w:val="left"/>
      <w:pPr>
        <w:tabs>
          <w:tab w:val="left" w:pos="840"/>
        </w:tabs>
        <w:ind w:left="840" w:hanging="420"/>
      </w:pPr>
      <w:rPr>
        <w:rFonts w:hint="default" w:ascii="Wingdings" w:hAnsi="Wingdings"/>
      </w:rPr>
    </w:lvl>
    <w:lvl w:ilvl="1" w:tentative="0">
      <w:start w:val="1"/>
      <w:numFmt w:val="bullet"/>
      <w:pStyle w:val="209"/>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11">
    <w:nsid w:val="18666ED3"/>
    <w:multiLevelType w:val="singleLevel"/>
    <w:tmpl w:val="18666ED3"/>
    <w:lvl w:ilvl="0" w:tentative="0">
      <w:start w:val="1"/>
      <w:numFmt w:val="chineseCounting"/>
      <w:suff w:val="nothing"/>
      <w:lvlText w:val="%1、"/>
      <w:lvlJc w:val="left"/>
      <w:rPr>
        <w:rFonts w:hint="eastAsia"/>
      </w:rPr>
    </w:lvl>
  </w:abstractNum>
  <w:abstractNum w:abstractNumId="12">
    <w:nsid w:val="2D4EB309"/>
    <w:multiLevelType w:val="singleLevel"/>
    <w:tmpl w:val="2D4EB309"/>
    <w:lvl w:ilvl="0" w:tentative="0">
      <w:start w:val="1"/>
      <w:numFmt w:val="decimal"/>
      <w:suff w:val="nothing"/>
      <w:lvlText w:val="%1、"/>
      <w:lvlJc w:val="left"/>
    </w:lvl>
  </w:abstractNum>
  <w:abstractNum w:abstractNumId="13">
    <w:nsid w:val="2F395B7B"/>
    <w:multiLevelType w:val="multilevel"/>
    <w:tmpl w:val="2F395B7B"/>
    <w:lvl w:ilvl="0" w:tentative="0">
      <w:start w:val="1"/>
      <w:numFmt w:val="bullet"/>
      <w:pStyle w:val="157"/>
      <w:lvlText w:val=""/>
      <w:lvlJc w:val="left"/>
      <w:pPr>
        <w:tabs>
          <w:tab w:val="left" w:pos="360"/>
        </w:tabs>
        <w:ind w:left="360" w:hanging="360"/>
      </w:pPr>
      <w:rPr>
        <w:rFonts w:hint="default" w:ascii="Symbol" w:hAnsi="Symbol"/>
      </w:rPr>
    </w:lvl>
    <w:lvl w:ilvl="1" w:tentative="0">
      <w:start w:val="1"/>
      <w:numFmt w:val="bullet"/>
      <w:lvlText w:val=""/>
      <w:lvlJc w:val="left"/>
      <w:pPr>
        <w:tabs>
          <w:tab w:val="left" w:pos="1140"/>
        </w:tabs>
        <w:ind w:left="1140" w:hanging="420"/>
      </w:pPr>
      <w:rPr>
        <w:rFonts w:hint="default" w:ascii="Wingdings" w:hAnsi="Wingdings"/>
      </w:rPr>
    </w:lvl>
    <w:lvl w:ilvl="2" w:tentative="0">
      <w:start w:val="1"/>
      <w:numFmt w:val="bullet"/>
      <w:lvlText w:val=""/>
      <w:lvlJc w:val="left"/>
      <w:pPr>
        <w:tabs>
          <w:tab w:val="left" w:pos="1800"/>
        </w:tabs>
        <w:ind w:left="1800" w:hanging="360"/>
      </w:pPr>
      <w:rPr>
        <w:rFonts w:hint="default" w:ascii="Wingdings" w:hAnsi="Wingdings"/>
      </w:rPr>
    </w:lvl>
    <w:lvl w:ilvl="3" w:tentative="0">
      <w:start w:val="1"/>
      <w:numFmt w:val="bullet"/>
      <w:lvlText w:val=""/>
      <w:lvlJc w:val="left"/>
      <w:pPr>
        <w:tabs>
          <w:tab w:val="left" w:pos="2520"/>
        </w:tabs>
        <w:ind w:left="2520" w:hanging="360"/>
      </w:pPr>
      <w:rPr>
        <w:rFonts w:hint="default" w:ascii="Symbol" w:hAnsi="Symbol"/>
      </w:rPr>
    </w:lvl>
    <w:lvl w:ilvl="4" w:tentative="0">
      <w:start w:val="1"/>
      <w:numFmt w:val="bullet"/>
      <w:lvlText w:val="o"/>
      <w:lvlJc w:val="left"/>
      <w:pPr>
        <w:tabs>
          <w:tab w:val="left" w:pos="3240"/>
        </w:tabs>
        <w:ind w:left="3240" w:hanging="360"/>
      </w:pPr>
      <w:rPr>
        <w:rFonts w:hint="default" w:ascii="Courier New" w:hAnsi="Courier New" w:cs="Courier New"/>
      </w:rPr>
    </w:lvl>
    <w:lvl w:ilvl="5" w:tentative="0">
      <w:start w:val="1"/>
      <w:numFmt w:val="bullet"/>
      <w:lvlText w:val=""/>
      <w:lvlJc w:val="left"/>
      <w:pPr>
        <w:tabs>
          <w:tab w:val="left" w:pos="3960"/>
        </w:tabs>
        <w:ind w:left="3960" w:hanging="360"/>
      </w:pPr>
      <w:rPr>
        <w:rFonts w:hint="default" w:ascii="Wingdings" w:hAnsi="Wingdings"/>
      </w:rPr>
    </w:lvl>
    <w:lvl w:ilvl="6" w:tentative="0">
      <w:start w:val="1"/>
      <w:numFmt w:val="bullet"/>
      <w:lvlText w:val=""/>
      <w:lvlJc w:val="left"/>
      <w:pPr>
        <w:tabs>
          <w:tab w:val="left" w:pos="4680"/>
        </w:tabs>
        <w:ind w:left="4680" w:hanging="360"/>
      </w:pPr>
      <w:rPr>
        <w:rFonts w:hint="default" w:ascii="Symbol" w:hAnsi="Symbol"/>
      </w:rPr>
    </w:lvl>
    <w:lvl w:ilvl="7" w:tentative="0">
      <w:start w:val="1"/>
      <w:numFmt w:val="bullet"/>
      <w:lvlText w:val="o"/>
      <w:lvlJc w:val="left"/>
      <w:pPr>
        <w:tabs>
          <w:tab w:val="left" w:pos="5400"/>
        </w:tabs>
        <w:ind w:left="5400" w:hanging="360"/>
      </w:pPr>
      <w:rPr>
        <w:rFonts w:hint="default" w:ascii="Courier New" w:hAnsi="Courier New" w:cs="Courier New"/>
      </w:rPr>
    </w:lvl>
    <w:lvl w:ilvl="8" w:tentative="0">
      <w:start w:val="1"/>
      <w:numFmt w:val="bullet"/>
      <w:lvlText w:val=""/>
      <w:lvlJc w:val="left"/>
      <w:pPr>
        <w:tabs>
          <w:tab w:val="left" w:pos="6120"/>
        </w:tabs>
        <w:ind w:left="6120" w:hanging="360"/>
      </w:pPr>
      <w:rPr>
        <w:rFonts w:hint="default" w:ascii="Wingdings" w:hAnsi="Wingdings"/>
      </w:rPr>
    </w:lvl>
  </w:abstractNum>
  <w:abstractNum w:abstractNumId="14">
    <w:nsid w:val="32B0EAA3"/>
    <w:multiLevelType w:val="singleLevel"/>
    <w:tmpl w:val="32B0EAA3"/>
    <w:lvl w:ilvl="0" w:tentative="0">
      <w:start w:val="11"/>
      <w:numFmt w:val="chineseCounting"/>
      <w:suff w:val="nothing"/>
      <w:lvlText w:val="%1、"/>
      <w:lvlJc w:val="left"/>
      <w:rPr>
        <w:rFonts w:hint="eastAsia"/>
      </w:rPr>
    </w:lvl>
  </w:abstractNum>
  <w:abstractNum w:abstractNumId="15">
    <w:nsid w:val="384D1EE6"/>
    <w:multiLevelType w:val="singleLevel"/>
    <w:tmpl w:val="384D1EE6"/>
    <w:lvl w:ilvl="0" w:tentative="0">
      <w:start w:val="1"/>
      <w:numFmt w:val="chineseCounting"/>
      <w:suff w:val="nothing"/>
      <w:lvlText w:val="%1、"/>
      <w:lvlJc w:val="left"/>
      <w:rPr>
        <w:rFonts w:hint="eastAsia"/>
      </w:rPr>
    </w:lvl>
  </w:abstractNum>
  <w:abstractNum w:abstractNumId="16">
    <w:nsid w:val="4678BC42"/>
    <w:multiLevelType w:val="singleLevel"/>
    <w:tmpl w:val="4678BC42"/>
    <w:lvl w:ilvl="0" w:tentative="0">
      <w:start w:val="1"/>
      <w:numFmt w:val="decimal"/>
      <w:lvlText w:val="%1."/>
      <w:lvlJc w:val="left"/>
      <w:pPr>
        <w:ind w:left="425" w:hanging="425"/>
      </w:pPr>
      <w:rPr>
        <w:rFonts w:hint="default"/>
      </w:rPr>
    </w:lvl>
  </w:abstractNum>
  <w:abstractNum w:abstractNumId="17">
    <w:nsid w:val="50365EA0"/>
    <w:multiLevelType w:val="multilevel"/>
    <w:tmpl w:val="50365EA0"/>
    <w:lvl w:ilvl="0" w:tentative="0">
      <w:start w:val="1"/>
      <w:numFmt w:val="decimal"/>
      <w:pStyle w:val="133"/>
      <w:lvlText w:val="%1."/>
      <w:lvlJc w:val="left"/>
      <w:pPr>
        <w:tabs>
          <w:tab w:val="left" w:pos="0"/>
        </w:tabs>
        <w:ind w:left="420" w:hanging="420"/>
      </w:pPr>
      <w:rPr>
        <w:rFonts w:hint="eastAsia"/>
      </w:rPr>
    </w:lvl>
    <w:lvl w:ilvl="1" w:tentative="0">
      <w:start w:val="1"/>
      <w:numFmt w:val="decimal"/>
      <w:lvlText w:val="%1.%2"/>
      <w:lvlJc w:val="left"/>
      <w:pPr>
        <w:tabs>
          <w:tab w:val="left" w:pos="700"/>
        </w:tabs>
        <w:ind w:left="700" w:hanging="700"/>
      </w:pPr>
      <w:rPr>
        <w:rFonts w:hint="eastAsia"/>
      </w:rPr>
    </w:lvl>
    <w:lvl w:ilvl="2" w:tentative="0">
      <w:start w:val="1"/>
      <w:numFmt w:val="decimal"/>
      <w:lvlText w:val="%1.%2.%3"/>
      <w:lvlJc w:val="left"/>
      <w:pPr>
        <w:tabs>
          <w:tab w:val="left" w:pos="0"/>
        </w:tabs>
        <w:ind w:left="1418" w:hanging="1418"/>
      </w:pPr>
      <w:rPr>
        <w:rFonts w:hint="eastAsia"/>
      </w:rPr>
    </w:lvl>
    <w:lvl w:ilvl="3" w:tentative="0">
      <w:start w:val="1"/>
      <w:numFmt w:val="decimal"/>
      <w:lvlText w:val="%1.%2.%3.%4"/>
      <w:lvlJc w:val="left"/>
      <w:pPr>
        <w:tabs>
          <w:tab w:val="left" w:pos="0"/>
        </w:tabs>
        <w:ind w:left="1984" w:hanging="1984"/>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8">
    <w:nsid w:val="791D1D6C"/>
    <w:multiLevelType w:val="singleLevel"/>
    <w:tmpl w:val="791D1D6C"/>
    <w:lvl w:ilvl="0" w:tentative="0">
      <w:start w:val="1"/>
      <w:numFmt w:val="chineseCounting"/>
      <w:suff w:val="nothing"/>
      <w:lvlText w:val="%1、"/>
      <w:lvlJc w:val="left"/>
      <w:rPr>
        <w:rFonts w:hint="eastAsia"/>
      </w:rPr>
    </w:lvl>
  </w:abstractNum>
  <w:abstractNum w:abstractNumId="19">
    <w:nsid w:val="7AEF7716"/>
    <w:multiLevelType w:val="multilevel"/>
    <w:tmpl w:val="7AEF7716"/>
    <w:lvl w:ilvl="0" w:tentative="0">
      <w:start w:val="1"/>
      <w:numFmt w:val="chineseCountingThousand"/>
      <w:pStyle w:val="177"/>
      <w:lvlText w:val="%1"/>
      <w:lvlJc w:val="left"/>
      <w:pPr>
        <w:tabs>
          <w:tab w:val="left" w:pos="1290"/>
        </w:tabs>
        <w:ind w:left="630" w:hanging="420"/>
      </w:pPr>
      <w:rPr>
        <w:rFonts w:hint="eastAsia"/>
        <w:sz w:val="32"/>
        <w:szCs w:val="32"/>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6"/>
  </w:num>
  <w:num w:numId="2">
    <w:abstractNumId w:val="17"/>
  </w:num>
  <w:num w:numId="3">
    <w:abstractNumId w:val="7"/>
  </w:num>
  <w:num w:numId="4">
    <w:abstractNumId w:val="13"/>
  </w:num>
  <w:num w:numId="5">
    <w:abstractNumId w:val="10"/>
  </w:num>
  <w:num w:numId="6">
    <w:abstractNumId w:val="19"/>
  </w:num>
  <w:num w:numId="7">
    <w:abstractNumId w:val="5"/>
  </w:num>
  <w:num w:numId="8">
    <w:abstractNumId w:val="12"/>
  </w:num>
  <w:num w:numId="9">
    <w:abstractNumId w:val="0"/>
  </w:num>
  <w:num w:numId="10">
    <w:abstractNumId w:val="8"/>
  </w:num>
  <w:num w:numId="11">
    <w:abstractNumId w:val="2"/>
  </w:num>
  <w:num w:numId="12">
    <w:abstractNumId w:val="9"/>
  </w:num>
  <w:num w:numId="13">
    <w:abstractNumId w:val="11"/>
  </w:num>
  <w:num w:numId="14">
    <w:abstractNumId w:val="1"/>
  </w:num>
  <w:num w:numId="15">
    <w:abstractNumId w:val="3"/>
  </w:num>
  <w:num w:numId="16">
    <w:abstractNumId w:val="4"/>
  </w:num>
  <w:num w:numId="17">
    <w:abstractNumId w:val="18"/>
  </w:num>
  <w:num w:numId="18">
    <w:abstractNumId w:val="15"/>
  </w:num>
  <w:num w:numId="19">
    <w:abstractNumId w:val="14"/>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FkNGJhZWYyYmZmMTgwMjU4NGZjNTljODIwYjVjN2UifQ=="/>
  </w:docVars>
  <w:rsids>
    <w:rsidRoot w:val="00862751"/>
    <w:rsid w:val="0001767E"/>
    <w:rsid w:val="00067131"/>
    <w:rsid w:val="00071E00"/>
    <w:rsid w:val="00082B3A"/>
    <w:rsid w:val="000D2296"/>
    <w:rsid w:val="000D526F"/>
    <w:rsid w:val="000D7A09"/>
    <w:rsid w:val="000E4201"/>
    <w:rsid w:val="000F4D81"/>
    <w:rsid w:val="00107E07"/>
    <w:rsid w:val="0013572C"/>
    <w:rsid w:val="00137467"/>
    <w:rsid w:val="0017282A"/>
    <w:rsid w:val="00173B36"/>
    <w:rsid w:val="0017699C"/>
    <w:rsid w:val="001816E8"/>
    <w:rsid w:val="001B1EA6"/>
    <w:rsid w:val="001D48C5"/>
    <w:rsid w:val="00206B2B"/>
    <w:rsid w:val="002155DD"/>
    <w:rsid w:val="002277B3"/>
    <w:rsid w:val="002C6976"/>
    <w:rsid w:val="00316AB1"/>
    <w:rsid w:val="00336A9B"/>
    <w:rsid w:val="003411A8"/>
    <w:rsid w:val="00351966"/>
    <w:rsid w:val="003A7461"/>
    <w:rsid w:val="00463036"/>
    <w:rsid w:val="00465840"/>
    <w:rsid w:val="004B30DC"/>
    <w:rsid w:val="00517FDD"/>
    <w:rsid w:val="0052390E"/>
    <w:rsid w:val="0059677C"/>
    <w:rsid w:val="005C59F5"/>
    <w:rsid w:val="005D6169"/>
    <w:rsid w:val="005D790F"/>
    <w:rsid w:val="005D7BAF"/>
    <w:rsid w:val="005E6D50"/>
    <w:rsid w:val="005F2C0C"/>
    <w:rsid w:val="006043F8"/>
    <w:rsid w:val="00613175"/>
    <w:rsid w:val="00624FA1"/>
    <w:rsid w:val="00637EB6"/>
    <w:rsid w:val="006649E0"/>
    <w:rsid w:val="006810FB"/>
    <w:rsid w:val="00692299"/>
    <w:rsid w:val="006C0496"/>
    <w:rsid w:val="006C0635"/>
    <w:rsid w:val="006C5DCD"/>
    <w:rsid w:val="0070179F"/>
    <w:rsid w:val="00730B2F"/>
    <w:rsid w:val="007336F7"/>
    <w:rsid w:val="00737297"/>
    <w:rsid w:val="00741DB1"/>
    <w:rsid w:val="00750AA0"/>
    <w:rsid w:val="0075210D"/>
    <w:rsid w:val="00752A30"/>
    <w:rsid w:val="00767A03"/>
    <w:rsid w:val="00787DAC"/>
    <w:rsid w:val="007E738A"/>
    <w:rsid w:val="007F47D8"/>
    <w:rsid w:val="007F55DF"/>
    <w:rsid w:val="00812023"/>
    <w:rsid w:val="00840B2F"/>
    <w:rsid w:val="00840E67"/>
    <w:rsid w:val="008428FA"/>
    <w:rsid w:val="00843572"/>
    <w:rsid w:val="00862751"/>
    <w:rsid w:val="00890CCB"/>
    <w:rsid w:val="008A7F06"/>
    <w:rsid w:val="008D2928"/>
    <w:rsid w:val="009225ED"/>
    <w:rsid w:val="00945E90"/>
    <w:rsid w:val="009660C8"/>
    <w:rsid w:val="009A1EB7"/>
    <w:rsid w:val="009C59BD"/>
    <w:rsid w:val="00A51428"/>
    <w:rsid w:val="00A519A0"/>
    <w:rsid w:val="00A62E5E"/>
    <w:rsid w:val="00A84221"/>
    <w:rsid w:val="00A86475"/>
    <w:rsid w:val="00A87410"/>
    <w:rsid w:val="00AA2BA8"/>
    <w:rsid w:val="00AA402E"/>
    <w:rsid w:val="00AB1985"/>
    <w:rsid w:val="00AB25A0"/>
    <w:rsid w:val="00B14717"/>
    <w:rsid w:val="00B6181B"/>
    <w:rsid w:val="00B70028"/>
    <w:rsid w:val="00BB1023"/>
    <w:rsid w:val="00BB2709"/>
    <w:rsid w:val="00BB276D"/>
    <w:rsid w:val="00BB5237"/>
    <w:rsid w:val="00BD5EB5"/>
    <w:rsid w:val="00BE0C69"/>
    <w:rsid w:val="00BE5B21"/>
    <w:rsid w:val="00C21A9B"/>
    <w:rsid w:val="00C279B1"/>
    <w:rsid w:val="00C3603D"/>
    <w:rsid w:val="00C816D1"/>
    <w:rsid w:val="00C95C7B"/>
    <w:rsid w:val="00CF3BDF"/>
    <w:rsid w:val="00D32A75"/>
    <w:rsid w:val="00D504A0"/>
    <w:rsid w:val="00D74DE0"/>
    <w:rsid w:val="00D87BC7"/>
    <w:rsid w:val="00D9119A"/>
    <w:rsid w:val="00DA23B3"/>
    <w:rsid w:val="00DE7F64"/>
    <w:rsid w:val="00E17D1E"/>
    <w:rsid w:val="00E6671F"/>
    <w:rsid w:val="00EA19D4"/>
    <w:rsid w:val="00EB6661"/>
    <w:rsid w:val="00EC3957"/>
    <w:rsid w:val="00EC68A6"/>
    <w:rsid w:val="00F11E83"/>
    <w:rsid w:val="00F204E8"/>
    <w:rsid w:val="00F30B63"/>
    <w:rsid w:val="00F456EA"/>
    <w:rsid w:val="00F50B0D"/>
    <w:rsid w:val="00FB4DC5"/>
    <w:rsid w:val="00FD10A3"/>
    <w:rsid w:val="03DE3CAC"/>
    <w:rsid w:val="046B5540"/>
    <w:rsid w:val="06CA05D3"/>
    <w:rsid w:val="07C5140B"/>
    <w:rsid w:val="08D3111E"/>
    <w:rsid w:val="0A530F50"/>
    <w:rsid w:val="0AD55E09"/>
    <w:rsid w:val="10D25671"/>
    <w:rsid w:val="162924BF"/>
    <w:rsid w:val="1780774B"/>
    <w:rsid w:val="19543955"/>
    <w:rsid w:val="1D2C1019"/>
    <w:rsid w:val="22237A13"/>
    <w:rsid w:val="23952182"/>
    <w:rsid w:val="25C84D0C"/>
    <w:rsid w:val="276F2ABE"/>
    <w:rsid w:val="2842411B"/>
    <w:rsid w:val="290A766E"/>
    <w:rsid w:val="297E0FC2"/>
    <w:rsid w:val="2C7E7C57"/>
    <w:rsid w:val="30191779"/>
    <w:rsid w:val="334B460B"/>
    <w:rsid w:val="34433534"/>
    <w:rsid w:val="347D0DD3"/>
    <w:rsid w:val="35F2279A"/>
    <w:rsid w:val="385E093C"/>
    <w:rsid w:val="38C22C79"/>
    <w:rsid w:val="39110DBB"/>
    <w:rsid w:val="3A890E8D"/>
    <w:rsid w:val="3AA901EA"/>
    <w:rsid w:val="3DF673F3"/>
    <w:rsid w:val="3E725142"/>
    <w:rsid w:val="3F9343B1"/>
    <w:rsid w:val="42CC5625"/>
    <w:rsid w:val="43781DA6"/>
    <w:rsid w:val="439703E8"/>
    <w:rsid w:val="48410295"/>
    <w:rsid w:val="4A062BE2"/>
    <w:rsid w:val="4B644064"/>
    <w:rsid w:val="4BCF3BD3"/>
    <w:rsid w:val="4D8E5C28"/>
    <w:rsid w:val="50262A39"/>
    <w:rsid w:val="51443562"/>
    <w:rsid w:val="53591EF8"/>
    <w:rsid w:val="55DA4489"/>
    <w:rsid w:val="57D40FB7"/>
    <w:rsid w:val="59B461B6"/>
    <w:rsid w:val="5D6D5BF4"/>
    <w:rsid w:val="5F9538B9"/>
    <w:rsid w:val="63516A1D"/>
    <w:rsid w:val="64517626"/>
    <w:rsid w:val="649F08C2"/>
    <w:rsid w:val="66125AC8"/>
    <w:rsid w:val="676B40B3"/>
    <w:rsid w:val="67E45EB9"/>
    <w:rsid w:val="69DF06CB"/>
    <w:rsid w:val="6E091490"/>
    <w:rsid w:val="6E2C2368"/>
    <w:rsid w:val="70AA71F8"/>
    <w:rsid w:val="736A13C4"/>
    <w:rsid w:val="74547841"/>
    <w:rsid w:val="746A617F"/>
    <w:rsid w:val="751721A7"/>
    <w:rsid w:val="75705230"/>
    <w:rsid w:val="75FF8BC0"/>
    <w:rsid w:val="786F7A21"/>
    <w:rsid w:val="793A36FD"/>
    <w:rsid w:val="FBEFFEF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iPriority="99" w:name="footnote text"/>
    <w:lsdException w:qFormat="1" w:unhideWhenUsed="0" w:uiPriority="99" w:name="annotation text"/>
    <w:lsdException w:qFormat="1" w:uiPriority="99" w:semiHidden="0" w:name="header"/>
    <w:lsdException w:qFormat="1"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80"/>
    <w:qFormat/>
    <w:uiPriority w:val="0"/>
    <w:pPr>
      <w:spacing w:before="340" w:after="330" w:line="360" w:lineRule="auto"/>
      <w:jc w:val="center"/>
      <w:outlineLvl w:val="0"/>
    </w:pPr>
    <w:rPr>
      <w:rFonts w:eastAsia="黑体"/>
      <w:kern w:val="44"/>
      <w:szCs w:val="44"/>
    </w:rPr>
  </w:style>
  <w:style w:type="paragraph" w:styleId="3">
    <w:name w:val="heading 2"/>
    <w:basedOn w:val="1"/>
    <w:next w:val="1"/>
    <w:link w:val="53"/>
    <w:qFormat/>
    <w:uiPriority w:val="0"/>
    <w:pPr>
      <w:adjustRightInd w:val="0"/>
      <w:jc w:val="center"/>
      <w:textAlignment w:val="baseline"/>
      <w:outlineLvl w:val="1"/>
    </w:pPr>
    <w:rPr>
      <w:kern w:val="0"/>
      <w:sz w:val="24"/>
      <w:szCs w:val="20"/>
    </w:rPr>
  </w:style>
  <w:style w:type="paragraph" w:styleId="4">
    <w:name w:val="heading 3"/>
    <w:basedOn w:val="5"/>
    <w:next w:val="1"/>
    <w:link w:val="81"/>
    <w:qFormat/>
    <w:uiPriority w:val="0"/>
    <w:pPr>
      <w:spacing w:before="260" w:after="260"/>
      <w:outlineLvl w:val="2"/>
    </w:pPr>
    <w:rPr>
      <w:rFonts w:ascii="宋体" w:hAnsi="宋体"/>
      <w:kern w:val="0"/>
      <w:szCs w:val="32"/>
    </w:rPr>
  </w:style>
  <w:style w:type="paragraph" w:styleId="5">
    <w:name w:val="heading 4"/>
    <w:basedOn w:val="1"/>
    <w:next w:val="1"/>
    <w:link w:val="54"/>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7"/>
    <w:link w:val="56"/>
    <w:qFormat/>
    <w:uiPriority w:val="0"/>
    <w:pPr>
      <w:keepNext/>
      <w:keepLines/>
      <w:spacing w:before="280" w:after="290" w:line="376" w:lineRule="auto"/>
      <w:outlineLvl w:val="4"/>
    </w:pPr>
    <w:rPr>
      <w:b/>
      <w:sz w:val="28"/>
      <w:szCs w:val="20"/>
    </w:rPr>
  </w:style>
  <w:style w:type="paragraph" w:styleId="8">
    <w:name w:val="heading 6"/>
    <w:basedOn w:val="1"/>
    <w:next w:val="7"/>
    <w:link w:val="58"/>
    <w:qFormat/>
    <w:uiPriority w:val="0"/>
    <w:pPr>
      <w:keepNext/>
      <w:keepLines/>
      <w:spacing w:before="240" w:after="64" w:line="320" w:lineRule="auto"/>
      <w:outlineLvl w:val="5"/>
    </w:pPr>
    <w:rPr>
      <w:rFonts w:ascii="Arial" w:hAnsi="Arial" w:eastAsia="黑体"/>
      <w:b/>
      <w:sz w:val="24"/>
      <w:szCs w:val="20"/>
    </w:rPr>
  </w:style>
  <w:style w:type="paragraph" w:styleId="9">
    <w:name w:val="heading 7"/>
    <w:basedOn w:val="1"/>
    <w:next w:val="7"/>
    <w:link w:val="59"/>
    <w:qFormat/>
    <w:uiPriority w:val="0"/>
    <w:pPr>
      <w:keepNext/>
      <w:keepLines/>
      <w:spacing w:before="240" w:after="64" w:line="320" w:lineRule="auto"/>
      <w:outlineLvl w:val="6"/>
    </w:pPr>
    <w:rPr>
      <w:b/>
      <w:sz w:val="24"/>
      <w:szCs w:val="20"/>
    </w:rPr>
  </w:style>
  <w:style w:type="paragraph" w:styleId="10">
    <w:name w:val="heading 8"/>
    <w:basedOn w:val="1"/>
    <w:next w:val="7"/>
    <w:link w:val="60"/>
    <w:qFormat/>
    <w:uiPriority w:val="0"/>
    <w:pPr>
      <w:keepNext/>
      <w:keepLines/>
      <w:spacing w:before="240" w:after="64" w:line="320" w:lineRule="auto"/>
      <w:outlineLvl w:val="7"/>
    </w:pPr>
    <w:rPr>
      <w:rFonts w:ascii="Arial" w:hAnsi="Arial" w:eastAsia="黑体"/>
      <w:sz w:val="24"/>
      <w:szCs w:val="20"/>
    </w:rPr>
  </w:style>
  <w:style w:type="paragraph" w:styleId="11">
    <w:name w:val="heading 9"/>
    <w:basedOn w:val="1"/>
    <w:next w:val="7"/>
    <w:link w:val="61"/>
    <w:qFormat/>
    <w:uiPriority w:val="0"/>
    <w:pPr>
      <w:keepNext/>
      <w:keepLines/>
      <w:spacing w:before="240" w:after="64" w:line="320" w:lineRule="auto"/>
      <w:outlineLvl w:val="8"/>
    </w:pPr>
    <w:rPr>
      <w:rFonts w:ascii="Arial" w:hAnsi="Arial" w:eastAsia="黑体"/>
      <w:szCs w:val="20"/>
    </w:rPr>
  </w:style>
  <w:style w:type="character" w:default="1" w:styleId="45">
    <w:name w:val="Default Paragraph Font"/>
    <w:unhideWhenUsed/>
    <w:uiPriority w:val="1"/>
  </w:style>
  <w:style w:type="table" w:default="1" w:styleId="43">
    <w:name w:val="Normal Table"/>
    <w:unhideWhenUsed/>
    <w:qFormat/>
    <w:uiPriority w:val="99"/>
    <w:tblPr>
      <w:tblCellMar>
        <w:top w:w="0" w:type="dxa"/>
        <w:left w:w="108" w:type="dxa"/>
        <w:bottom w:w="0" w:type="dxa"/>
        <w:right w:w="108" w:type="dxa"/>
      </w:tblCellMar>
    </w:tblPr>
  </w:style>
  <w:style w:type="paragraph" w:styleId="7">
    <w:name w:val="Normal Indent"/>
    <w:basedOn w:val="1"/>
    <w:next w:val="1"/>
    <w:link w:val="57"/>
    <w:qFormat/>
    <w:uiPriority w:val="0"/>
    <w:pPr>
      <w:ind w:firstLine="420"/>
    </w:pPr>
    <w:rPr>
      <w:kern w:val="0"/>
      <w:sz w:val="20"/>
      <w:szCs w:val="20"/>
    </w:rPr>
  </w:style>
  <w:style w:type="paragraph" w:styleId="12">
    <w:name w:val="toc 7"/>
    <w:basedOn w:val="1"/>
    <w:next w:val="1"/>
    <w:semiHidden/>
    <w:qFormat/>
    <w:uiPriority w:val="0"/>
    <w:pPr>
      <w:ind w:left="1260"/>
      <w:jc w:val="left"/>
    </w:pPr>
    <w:rPr>
      <w:szCs w:val="21"/>
    </w:rPr>
  </w:style>
  <w:style w:type="paragraph" w:styleId="13">
    <w:name w:val="caption"/>
    <w:basedOn w:val="1"/>
    <w:next w:val="1"/>
    <w:qFormat/>
    <w:uiPriority w:val="0"/>
    <w:pPr>
      <w:widowControl/>
      <w:spacing w:line="360" w:lineRule="auto"/>
      <w:ind w:firstLine="1940" w:firstLineChars="920"/>
      <w:jc w:val="left"/>
    </w:pPr>
    <w:rPr>
      <w:rFonts w:ascii="宋体" w:hAnsi="宋体"/>
      <w:b/>
      <w:bCs/>
      <w:kern w:val="0"/>
      <w:sz w:val="20"/>
      <w:szCs w:val="20"/>
    </w:rPr>
  </w:style>
  <w:style w:type="paragraph" w:styleId="14">
    <w:name w:val="List Bullet"/>
    <w:basedOn w:val="1"/>
    <w:qFormat/>
    <w:uiPriority w:val="0"/>
    <w:pPr>
      <w:numPr>
        <w:ilvl w:val="0"/>
        <w:numId w:val="1"/>
      </w:numPr>
    </w:pPr>
    <w:rPr>
      <w:szCs w:val="20"/>
    </w:rPr>
  </w:style>
  <w:style w:type="paragraph" w:styleId="15">
    <w:name w:val="Document Map"/>
    <w:basedOn w:val="1"/>
    <w:link w:val="62"/>
    <w:semiHidden/>
    <w:qFormat/>
    <w:uiPriority w:val="0"/>
    <w:pPr>
      <w:shd w:val="clear" w:color="auto" w:fill="000080"/>
    </w:pPr>
  </w:style>
  <w:style w:type="paragraph" w:styleId="16">
    <w:name w:val="annotation text"/>
    <w:basedOn w:val="1"/>
    <w:link w:val="63"/>
    <w:semiHidden/>
    <w:qFormat/>
    <w:uiPriority w:val="99"/>
    <w:pPr>
      <w:autoSpaceDE w:val="0"/>
      <w:autoSpaceDN w:val="0"/>
      <w:adjustRightInd w:val="0"/>
      <w:jc w:val="left"/>
      <w:textAlignment w:val="baseline"/>
    </w:pPr>
    <w:rPr>
      <w:rFonts w:ascii="宋体"/>
      <w:kern w:val="0"/>
      <w:sz w:val="34"/>
      <w:szCs w:val="20"/>
    </w:rPr>
  </w:style>
  <w:style w:type="paragraph" w:styleId="17">
    <w:name w:val="Body Text 3"/>
    <w:basedOn w:val="1"/>
    <w:link w:val="64"/>
    <w:qFormat/>
    <w:uiPriority w:val="0"/>
    <w:pPr>
      <w:spacing w:after="120"/>
    </w:pPr>
    <w:rPr>
      <w:sz w:val="16"/>
      <w:szCs w:val="16"/>
    </w:rPr>
  </w:style>
  <w:style w:type="paragraph" w:styleId="18">
    <w:name w:val="Body Text"/>
    <w:basedOn w:val="1"/>
    <w:next w:val="1"/>
    <w:link w:val="65"/>
    <w:qFormat/>
    <w:uiPriority w:val="0"/>
    <w:pPr>
      <w:spacing w:line="360" w:lineRule="auto"/>
    </w:pPr>
    <w:rPr>
      <w:b/>
      <w:bCs/>
      <w:sz w:val="24"/>
    </w:rPr>
  </w:style>
  <w:style w:type="paragraph" w:styleId="19">
    <w:name w:val="Body Text Indent"/>
    <w:basedOn w:val="1"/>
    <w:link w:val="66"/>
    <w:qFormat/>
    <w:uiPriority w:val="0"/>
    <w:pPr>
      <w:spacing w:line="360" w:lineRule="auto"/>
      <w:ind w:firstLine="420" w:firstLineChars="200"/>
    </w:pPr>
  </w:style>
  <w:style w:type="paragraph" w:styleId="20">
    <w:name w:val="toc 5"/>
    <w:basedOn w:val="1"/>
    <w:next w:val="1"/>
    <w:semiHidden/>
    <w:qFormat/>
    <w:uiPriority w:val="0"/>
    <w:pPr>
      <w:ind w:left="840"/>
      <w:jc w:val="left"/>
    </w:pPr>
    <w:rPr>
      <w:szCs w:val="21"/>
    </w:rPr>
  </w:style>
  <w:style w:type="paragraph" w:styleId="21">
    <w:name w:val="toc 3"/>
    <w:basedOn w:val="1"/>
    <w:next w:val="1"/>
    <w:semiHidden/>
    <w:qFormat/>
    <w:uiPriority w:val="0"/>
    <w:pPr>
      <w:ind w:left="420"/>
      <w:jc w:val="left"/>
    </w:pPr>
    <w:rPr>
      <w:i/>
      <w:iCs/>
    </w:rPr>
  </w:style>
  <w:style w:type="paragraph" w:styleId="22">
    <w:name w:val="Plain Text"/>
    <w:basedOn w:val="1"/>
    <w:link w:val="67"/>
    <w:qFormat/>
    <w:uiPriority w:val="0"/>
    <w:rPr>
      <w:rFonts w:ascii="宋体" w:hAnsi="Courier New"/>
      <w:szCs w:val="20"/>
    </w:rPr>
  </w:style>
  <w:style w:type="paragraph" w:styleId="23">
    <w:name w:val="toc 8"/>
    <w:basedOn w:val="1"/>
    <w:next w:val="1"/>
    <w:semiHidden/>
    <w:qFormat/>
    <w:uiPriority w:val="0"/>
    <w:pPr>
      <w:ind w:left="1470"/>
      <w:jc w:val="left"/>
    </w:pPr>
    <w:rPr>
      <w:szCs w:val="21"/>
    </w:rPr>
  </w:style>
  <w:style w:type="paragraph" w:styleId="24">
    <w:name w:val="Date"/>
    <w:basedOn w:val="1"/>
    <w:next w:val="1"/>
    <w:link w:val="68"/>
    <w:qFormat/>
    <w:uiPriority w:val="0"/>
    <w:rPr>
      <w:rFonts w:ascii="宋体" w:hAnsi="Courier New"/>
      <w:sz w:val="32"/>
      <w:szCs w:val="20"/>
    </w:rPr>
  </w:style>
  <w:style w:type="paragraph" w:styleId="25">
    <w:name w:val="Body Text Indent 2"/>
    <w:basedOn w:val="1"/>
    <w:link w:val="69"/>
    <w:qFormat/>
    <w:uiPriority w:val="0"/>
    <w:pPr>
      <w:spacing w:beforeLines="50" w:afterLines="50" w:line="120" w:lineRule="auto"/>
      <w:ind w:firstLine="840" w:firstLineChars="400"/>
      <w:jc w:val="left"/>
    </w:pPr>
    <w:rPr>
      <w:rFonts w:ascii="宋体" w:hAnsi="宋体"/>
    </w:rPr>
  </w:style>
  <w:style w:type="paragraph" w:styleId="26">
    <w:name w:val="Balloon Text"/>
    <w:basedOn w:val="1"/>
    <w:link w:val="70"/>
    <w:semiHidden/>
    <w:qFormat/>
    <w:uiPriority w:val="0"/>
    <w:rPr>
      <w:sz w:val="18"/>
      <w:szCs w:val="18"/>
    </w:rPr>
  </w:style>
  <w:style w:type="paragraph" w:styleId="27">
    <w:name w:val="footer"/>
    <w:basedOn w:val="1"/>
    <w:link w:val="71"/>
    <w:unhideWhenUsed/>
    <w:qFormat/>
    <w:uiPriority w:val="0"/>
    <w:pPr>
      <w:tabs>
        <w:tab w:val="center" w:pos="4153"/>
        <w:tab w:val="right" w:pos="8306"/>
      </w:tabs>
      <w:snapToGrid w:val="0"/>
      <w:jc w:val="left"/>
    </w:pPr>
    <w:rPr>
      <w:sz w:val="18"/>
      <w:szCs w:val="18"/>
    </w:rPr>
  </w:style>
  <w:style w:type="paragraph" w:styleId="28">
    <w:name w:val="header"/>
    <w:basedOn w:val="1"/>
    <w:link w:val="72"/>
    <w:unhideWhenUsed/>
    <w:qFormat/>
    <w:uiPriority w:val="99"/>
    <w:pPr>
      <w:pBdr>
        <w:bottom w:val="single" w:color="auto" w:sz="6" w:space="1"/>
      </w:pBdr>
      <w:tabs>
        <w:tab w:val="center" w:pos="4153"/>
        <w:tab w:val="right" w:pos="8306"/>
      </w:tabs>
      <w:snapToGrid w:val="0"/>
      <w:jc w:val="center"/>
    </w:pPr>
    <w:rPr>
      <w:sz w:val="18"/>
      <w:szCs w:val="18"/>
    </w:rPr>
  </w:style>
  <w:style w:type="paragraph" w:styleId="29">
    <w:name w:val="toc 1"/>
    <w:basedOn w:val="1"/>
    <w:next w:val="1"/>
    <w:semiHidden/>
    <w:qFormat/>
    <w:uiPriority w:val="0"/>
    <w:pPr>
      <w:spacing w:before="120" w:after="120"/>
      <w:jc w:val="left"/>
    </w:pPr>
    <w:rPr>
      <w:b/>
      <w:bCs/>
      <w:caps/>
    </w:rPr>
  </w:style>
  <w:style w:type="paragraph" w:styleId="30">
    <w:name w:val="toc 4"/>
    <w:basedOn w:val="1"/>
    <w:next w:val="1"/>
    <w:semiHidden/>
    <w:qFormat/>
    <w:uiPriority w:val="0"/>
    <w:pPr>
      <w:ind w:left="630"/>
      <w:jc w:val="left"/>
    </w:pPr>
    <w:rPr>
      <w:szCs w:val="21"/>
    </w:rPr>
  </w:style>
  <w:style w:type="paragraph" w:styleId="31">
    <w:name w:val="toc 6"/>
    <w:basedOn w:val="1"/>
    <w:next w:val="1"/>
    <w:semiHidden/>
    <w:qFormat/>
    <w:uiPriority w:val="0"/>
    <w:pPr>
      <w:ind w:left="1050"/>
      <w:jc w:val="left"/>
    </w:pPr>
    <w:rPr>
      <w:szCs w:val="21"/>
    </w:rPr>
  </w:style>
  <w:style w:type="paragraph" w:styleId="32">
    <w:name w:val="Body Text Indent 3"/>
    <w:basedOn w:val="1"/>
    <w:link w:val="73"/>
    <w:qFormat/>
    <w:uiPriority w:val="0"/>
    <w:pPr>
      <w:spacing w:line="360" w:lineRule="auto"/>
      <w:ind w:firstLine="482" w:firstLineChars="200"/>
    </w:pPr>
    <w:rPr>
      <w:rFonts w:ascii="宋体"/>
      <w:b/>
      <w:bCs/>
      <w:sz w:val="24"/>
    </w:rPr>
  </w:style>
  <w:style w:type="paragraph" w:styleId="33">
    <w:name w:val="toc 2"/>
    <w:basedOn w:val="1"/>
    <w:next w:val="1"/>
    <w:semiHidden/>
    <w:qFormat/>
    <w:uiPriority w:val="0"/>
    <w:pPr>
      <w:tabs>
        <w:tab w:val="right" w:leader="dot" w:pos="8296"/>
      </w:tabs>
      <w:ind w:left="210"/>
      <w:jc w:val="left"/>
    </w:pPr>
    <w:rPr>
      <w:smallCaps/>
    </w:rPr>
  </w:style>
  <w:style w:type="paragraph" w:styleId="34">
    <w:name w:val="toc 9"/>
    <w:basedOn w:val="1"/>
    <w:next w:val="1"/>
    <w:semiHidden/>
    <w:qFormat/>
    <w:uiPriority w:val="0"/>
    <w:pPr>
      <w:ind w:left="1680"/>
      <w:jc w:val="left"/>
    </w:pPr>
    <w:rPr>
      <w:szCs w:val="21"/>
    </w:rPr>
  </w:style>
  <w:style w:type="paragraph" w:styleId="35">
    <w:name w:val="Body Text 2"/>
    <w:basedOn w:val="1"/>
    <w:link w:val="74"/>
    <w:qFormat/>
    <w:uiPriority w:val="0"/>
    <w:pPr>
      <w:spacing w:line="360" w:lineRule="auto"/>
    </w:pPr>
    <w:rPr>
      <w:sz w:val="24"/>
    </w:rPr>
  </w:style>
  <w:style w:type="paragraph" w:styleId="36">
    <w:name w:val="HTML Preformatted"/>
    <w:basedOn w:val="1"/>
    <w:link w:val="75"/>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olor w:val="000000"/>
      <w:kern w:val="0"/>
      <w:sz w:val="20"/>
      <w:szCs w:val="20"/>
    </w:rPr>
  </w:style>
  <w:style w:type="paragraph" w:styleId="37">
    <w:name w:val="Normal (Web)"/>
    <w:basedOn w:val="1"/>
    <w:qFormat/>
    <w:uiPriority w:val="0"/>
    <w:pPr>
      <w:spacing w:beforeAutospacing="1" w:afterAutospacing="1"/>
      <w:jc w:val="left"/>
    </w:pPr>
    <w:rPr>
      <w:kern w:val="0"/>
      <w:sz w:val="24"/>
    </w:rPr>
  </w:style>
  <w:style w:type="paragraph" w:styleId="38">
    <w:name w:val="index 1"/>
    <w:basedOn w:val="1"/>
    <w:next w:val="1"/>
    <w:semiHidden/>
    <w:qFormat/>
    <w:uiPriority w:val="0"/>
    <w:pPr>
      <w:tabs>
        <w:tab w:val="left" w:pos="3360"/>
      </w:tabs>
      <w:spacing w:line="520" w:lineRule="exact"/>
      <w:ind w:left="419" w:leftChars="50" w:hanging="314" w:hangingChars="131"/>
      <w:jc w:val="center"/>
      <w:outlineLvl w:val="3"/>
    </w:pPr>
    <w:rPr>
      <w:rFonts w:ascii="宋体" w:hAnsi="宋体"/>
      <w:sz w:val="24"/>
    </w:rPr>
  </w:style>
  <w:style w:type="paragraph" w:styleId="39">
    <w:name w:val="Title"/>
    <w:basedOn w:val="1"/>
    <w:link w:val="76"/>
    <w:qFormat/>
    <w:uiPriority w:val="0"/>
    <w:pPr>
      <w:spacing w:before="240" w:after="60"/>
      <w:jc w:val="center"/>
      <w:outlineLvl w:val="0"/>
    </w:pPr>
    <w:rPr>
      <w:rFonts w:ascii="Arial" w:hAnsi="Arial" w:eastAsia="隶书"/>
      <w:b/>
      <w:bCs/>
      <w:kern w:val="0"/>
      <w:sz w:val="32"/>
      <w:szCs w:val="32"/>
    </w:rPr>
  </w:style>
  <w:style w:type="paragraph" w:styleId="40">
    <w:name w:val="annotation subject"/>
    <w:basedOn w:val="16"/>
    <w:next w:val="16"/>
    <w:link w:val="77"/>
    <w:qFormat/>
    <w:uiPriority w:val="0"/>
    <w:pPr>
      <w:autoSpaceDE/>
      <w:autoSpaceDN/>
      <w:adjustRightInd/>
      <w:textAlignment w:val="auto"/>
    </w:pPr>
  </w:style>
  <w:style w:type="paragraph" w:styleId="41">
    <w:name w:val="Body Text First Indent"/>
    <w:basedOn w:val="18"/>
    <w:link w:val="78"/>
    <w:qFormat/>
    <w:uiPriority w:val="0"/>
    <w:pPr>
      <w:spacing w:after="120" w:line="240" w:lineRule="auto"/>
      <w:ind w:firstLine="420" w:firstLineChars="100"/>
    </w:pPr>
    <w:rPr>
      <w:sz w:val="21"/>
    </w:rPr>
  </w:style>
  <w:style w:type="paragraph" w:styleId="42">
    <w:name w:val="Body Text First Indent 2"/>
    <w:basedOn w:val="19"/>
    <w:link w:val="79"/>
    <w:qFormat/>
    <w:uiPriority w:val="0"/>
    <w:pPr>
      <w:spacing w:line="240" w:lineRule="auto"/>
      <w:ind w:left="420" w:leftChars="200"/>
    </w:pPr>
    <w:rPr>
      <w:rFonts w:ascii="Times New Roman"/>
    </w:rPr>
  </w:style>
  <w:style w:type="table" w:styleId="44">
    <w:name w:val="Table Grid"/>
    <w:basedOn w:val="43"/>
    <w:qFormat/>
    <w:uiPriority w:val="5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6">
    <w:name w:val="Strong"/>
    <w:qFormat/>
    <w:uiPriority w:val="0"/>
    <w:rPr>
      <w:b/>
      <w:bCs/>
    </w:rPr>
  </w:style>
  <w:style w:type="character" w:styleId="47">
    <w:name w:val="page number"/>
    <w:qFormat/>
    <w:uiPriority w:val="0"/>
  </w:style>
  <w:style w:type="character" w:styleId="48">
    <w:name w:val="FollowedHyperlink"/>
    <w:qFormat/>
    <w:uiPriority w:val="0"/>
    <w:rPr>
      <w:rFonts w:hint="eastAsia" w:ascii="宋体" w:hAnsi="宋体" w:eastAsia="宋体" w:cs="宋体"/>
      <w:color w:val="0031C1"/>
      <w:sz w:val="18"/>
      <w:szCs w:val="18"/>
      <w:u w:val="none"/>
    </w:rPr>
  </w:style>
  <w:style w:type="character" w:styleId="49">
    <w:name w:val="Emphasis"/>
    <w:qFormat/>
    <w:uiPriority w:val="0"/>
  </w:style>
  <w:style w:type="character" w:styleId="50">
    <w:name w:val="Hyperlink"/>
    <w:qFormat/>
    <w:uiPriority w:val="0"/>
    <w:rPr>
      <w:rFonts w:hint="eastAsia" w:ascii="宋体" w:hAnsi="宋体" w:eastAsia="宋体" w:cs="宋体"/>
      <w:color w:val="0031C1"/>
      <w:sz w:val="18"/>
      <w:szCs w:val="18"/>
      <w:u w:val="none"/>
    </w:rPr>
  </w:style>
  <w:style w:type="character" w:styleId="51">
    <w:name w:val="annotation reference"/>
    <w:qFormat/>
    <w:uiPriority w:val="99"/>
    <w:rPr>
      <w:sz w:val="21"/>
      <w:szCs w:val="21"/>
    </w:rPr>
  </w:style>
  <w:style w:type="character" w:customStyle="1" w:styleId="52">
    <w:name w:val="标题 1 字符1"/>
    <w:link w:val="2"/>
    <w:qFormat/>
    <w:uiPriority w:val="0"/>
    <w:rPr>
      <w:rFonts w:ascii="Calibri" w:hAnsi="Calibri" w:eastAsia="黑体" w:cs="Times New Roman"/>
      <w:kern w:val="44"/>
      <w:szCs w:val="44"/>
    </w:rPr>
  </w:style>
  <w:style w:type="character" w:customStyle="1" w:styleId="53">
    <w:name w:val="标题 2 字符"/>
    <w:link w:val="3"/>
    <w:qFormat/>
    <w:uiPriority w:val="0"/>
    <w:rPr>
      <w:rFonts w:ascii="Calibri" w:hAnsi="Calibri" w:eastAsia="宋体" w:cs="Times New Roman"/>
      <w:kern w:val="0"/>
      <w:sz w:val="24"/>
      <w:szCs w:val="20"/>
    </w:rPr>
  </w:style>
  <w:style w:type="character" w:customStyle="1" w:styleId="54">
    <w:name w:val="标题 4 字符"/>
    <w:link w:val="5"/>
    <w:qFormat/>
    <w:uiPriority w:val="0"/>
    <w:rPr>
      <w:rFonts w:ascii="Arial" w:hAnsi="Arial" w:eastAsia="黑体" w:cs="Times New Roman"/>
      <w:b/>
      <w:bCs/>
      <w:sz w:val="28"/>
      <w:szCs w:val="28"/>
    </w:rPr>
  </w:style>
  <w:style w:type="character" w:customStyle="1" w:styleId="55">
    <w:name w:val="标题 3 Char"/>
    <w:link w:val="4"/>
    <w:qFormat/>
    <w:uiPriority w:val="0"/>
    <w:rPr>
      <w:rFonts w:ascii="Calibri" w:hAnsi="Calibri" w:eastAsia="宋体" w:cs="Times New Roman"/>
      <w:b/>
      <w:bCs/>
      <w:sz w:val="32"/>
      <w:szCs w:val="32"/>
    </w:rPr>
  </w:style>
  <w:style w:type="character" w:customStyle="1" w:styleId="56">
    <w:name w:val="标题 5 字符"/>
    <w:link w:val="6"/>
    <w:qFormat/>
    <w:uiPriority w:val="0"/>
    <w:rPr>
      <w:rFonts w:ascii="Calibri" w:hAnsi="Calibri" w:eastAsia="宋体" w:cs="Times New Roman"/>
      <w:b/>
      <w:sz w:val="28"/>
      <w:szCs w:val="20"/>
    </w:rPr>
  </w:style>
  <w:style w:type="character" w:customStyle="1" w:styleId="57">
    <w:name w:val="正文缩进 字符"/>
    <w:link w:val="7"/>
    <w:qFormat/>
    <w:uiPriority w:val="0"/>
    <w:rPr>
      <w:rFonts w:ascii="Calibri" w:hAnsi="Calibri" w:eastAsia="宋体" w:cs="Times New Roman"/>
      <w:szCs w:val="20"/>
    </w:rPr>
  </w:style>
  <w:style w:type="character" w:customStyle="1" w:styleId="58">
    <w:name w:val="标题 6 字符"/>
    <w:link w:val="8"/>
    <w:qFormat/>
    <w:uiPriority w:val="0"/>
    <w:rPr>
      <w:rFonts w:ascii="Arial" w:hAnsi="Arial" w:eastAsia="黑体" w:cs="Times New Roman"/>
      <w:b/>
      <w:sz w:val="24"/>
      <w:szCs w:val="20"/>
    </w:rPr>
  </w:style>
  <w:style w:type="character" w:customStyle="1" w:styleId="59">
    <w:name w:val="标题 7 字符"/>
    <w:link w:val="9"/>
    <w:qFormat/>
    <w:uiPriority w:val="0"/>
    <w:rPr>
      <w:rFonts w:ascii="Calibri" w:hAnsi="Calibri" w:eastAsia="宋体" w:cs="Times New Roman"/>
      <w:b/>
      <w:sz w:val="24"/>
      <w:szCs w:val="20"/>
    </w:rPr>
  </w:style>
  <w:style w:type="character" w:customStyle="1" w:styleId="60">
    <w:name w:val="标题 8 字符"/>
    <w:link w:val="10"/>
    <w:qFormat/>
    <w:uiPriority w:val="0"/>
    <w:rPr>
      <w:rFonts w:ascii="Arial" w:hAnsi="Arial" w:eastAsia="黑体" w:cs="Times New Roman"/>
      <w:sz w:val="24"/>
      <w:szCs w:val="20"/>
    </w:rPr>
  </w:style>
  <w:style w:type="character" w:customStyle="1" w:styleId="61">
    <w:name w:val="标题 9 字符"/>
    <w:link w:val="11"/>
    <w:qFormat/>
    <w:uiPriority w:val="0"/>
    <w:rPr>
      <w:rFonts w:ascii="Arial" w:hAnsi="Arial" w:eastAsia="黑体" w:cs="Times New Roman"/>
      <w:szCs w:val="20"/>
    </w:rPr>
  </w:style>
  <w:style w:type="character" w:customStyle="1" w:styleId="62">
    <w:name w:val="文档结构图 字符"/>
    <w:link w:val="15"/>
    <w:semiHidden/>
    <w:qFormat/>
    <w:uiPriority w:val="0"/>
    <w:rPr>
      <w:rFonts w:ascii="Calibri" w:hAnsi="Calibri" w:eastAsia="宋体" w:cs="Times New Roman"/>
      <w:szCs w:val="24"/>
      <w:shd w:val="clear" w:color="auto" w:fill="000080"/>
    </w:rPr>
  </w:style>
  <w:style w:type="character" w:customStyle="1" w:styleId="63">
    <w:name w:val="批注文字 字符"/>
    <w:link w:val="16"/>
    <w:semiHidden/>
    <w:qFormat/>
    <w:uiPriority w:val="99"/>
    <w:rPr>
      <w:rFonts w:ascii="宋体" w:hAnsi="Calibri" w:eastAsia="宋体" w:cs="Times New Roman"/>
      <w:kern w:val="0"/>
      <w:sz w:val="34"/>
      <w:szCs w:val="20"/>
    </w:rPr>
  </w:style>
  <w:style w:type="character" w:customStyle="1" w:styleId="64">
    <w:name w:val="正文文本 3 字符"/>
    <w:link w:val="17"/>
    <w:qFormat/>
    <w:uiPriority w:val="0"/>
    <w:rPr>
      <w:rFonts w:ascii="Calibri" w:hAnsi="Calibri" w:eastAsia="宋体" w:cs="Times New Roman"/>
      <w:sz w:val="16"/>
      <w:szCs w:val="16"/>
    </w:rPr>
  </w:style>
  <w:style w:type="character" w:customStyle="1" w:styleId="65">
    <w:name w:val="正文文本 字符"/>
    <w:link w:val="18"/>
    <w:qFormat/>
    <w:uiPriority w:val="0"/>
    <w:rPr>
      <w:rFonts w:ascii="Calibri" w:hAnsi="Calibri" w:eastAsia="宋体" w:cs="Times New Roman"/>
      <w:b/>
      <w:bCs/>
      <w:sz w:val="24"/>
      <w:szCs w:val="24"/>
    </w:rPr>
  </w:style>
  <w:style w:type="character" w:customStyle="1" w:styleId="66">
    <w:name w:val="正文文本缩进 字符"/>
    <w:link w:val="19"/>
    <w:qFormat/>
    <w:uiPriority w:val="0"/>
    <w:rPr>
      <w:rFonts w:ascii="Calibri" w:hAnsi="Calibri" w:eastAsia="宋体" w:cs="Times New Roman"/>
      <w:szCs w:val="24"/>
    </w:rPr>
  </w:style>
  <w:style w:type="character" w:customStyle="1" w:styleId="67">
    <w:name w:val="纯文本 字符"/>
    <w:link w:val="22"/>
    <w:qFormat/>
    <w:uiPriority w:val="0"/>
    <w:rPr>
      <w:rFonts w:ascii="宋体" w:hAnsi="Courier New" w:eastAsia="宋体" w:cs="Times New Roman"/>
      <w:szCs w:val="20"/>
    </w:rPr>
  </w:style>
  <w:style w:type="character" w:customStyle="1" w:styleId="68">
    <w:name w:val="日期 字符"/>
    <w:link w:val="24"/>
    <w:qFormat/>
    <w:uiPriority w:val="0"/>
    <w:rPr>
      <w:rFonts w:ascii="宋体" w:hAnsi="Courier New" w:eastAsia="宋体" w:cs="Times New Roman"/>
      <w:sz w:val="32"/>
      <w:szCs w:val="20"/>
    </w:rPr>
  </w:style>
  <w:style w:type="character" w:customStyle="1" w:styleId="69">
    <w:name w:val="正文文本缩进 2 字符"/>
    <w:link w:val="25"/>
    <w:qFormat/>
    <w:uiPriority w:val="0"/>
    <w:rPr>
      <w:rFonts w:ascii="宋体" w:hAnsi="宋体" w:eastAsia="宋体" w:cs="Times New Roman"/>
      <w:szCs w:val="24"/>
    </w:rPr>
  </w:style>
  <w:style w:type="character" w:customStyle="1" w:styleId="70">
    <w:name w:val="批注框文本 字符"/>
    <w:link w:val="26"/>
    <w:semiHidden/>
    <w:qFormat/>
    <w:uiPriority w:val="0"/>
    <w:rPr>
      <w:rFonts w:ascii="Calibri" w:hAnsi="Calibri" w:eastAsia="宋体" w:cs="Times New Roman"/>
      <w:sz w:val="18"/>
      <w:szCs w:val="18"/>
    </w:rPr>
  </w:style>
  <w:style w:type="character" w:customStyle="1" w:styleId="71">
    <w:name w:val="页脚 字符"/>
    <w:link w:val="27"/>
    <w:qFormat/>
    <w:uiPriority w:val="0"/>
    <w:rPr>
      <w:sz w:val="18"/>
      <w:szCs w:val="18"/>
    </w:rPr>
  </w:style>
  <w:style w:type="character" w:customStyle="1" w:styleId="72">
    <w:name w:val="页眉 字符"/>
    <w:link w:val="28"/>
    <w:qFormat/>
    <w:uiPriority w:val="99"/>
    <w:rPr>
      <w:sz w:val="18"/>
      <w:szCs w:val="18"/>
    </w:rPr>
  </w:style>
  <w:style w:type="character" w:customStyle="1" w:styleId="73">
    <w:name w:val="正文文本缩进 3 字符"/>
    <w:link w:val="32"/>
    <w:qFormat/>
    <w:uiPriority w:val="0"/>
    <w:rPr>
      <w:rFonts w:ascii="宋体" w:hAnsi="Calibri" w:eastAsia="宋体" w:cs="Times New Roman"/>
      <w:b/>
      <w:bCs/>
      <w:sz w:val="24"/>
      <w:szCs w:val="24"/>
    </w:rPr>
  </w:style>
  <w:style w:type="character" w:customStyle="1" w:styleId="74">
    <w:name w:val="正文文本 2 字符"/>
    <w:link w:val="35"/>
    <w:qFormat/>
    <w:uiPriority w:val="0"/>
    <w:rPr>
      <w:rFonts w:ascii="Calibri" w:hAnsi="Calibri" w:eastAsia="宋体" w:cs="Times New Roman"/>
      <w:sz w:val="24"/>
      <w:szCs w:val="24"/>
    </w:rPr>
  </w:style>
  <w:style w:type="character" w:customStyle="1" w:styleId="75">
    <w:name w:val="HTML 预设格式 字符"/>
    <w:link w:val="36"/>
    <w:qFormat/>
    <w:uiPriority w:val="0"/>
    <w:rPr>
      <w:rFonts w:ascii="Arial Unicode MS" w:hAnsi="Arial Unicode MS" w:eastAsia="Arial Unicode MS" w:cs="Times New Roman"/>
      <w:color w:val="000000"/>
      <w:kern w:val="0"/>
      <w:sz w:val="20"/>
      <w:szCs w:val="20"/>
    </w:rPr>
  </w:style>
  <w:style w:type="character" w:customStyle="1" w:styleId="76">
    <w:name w:val="标题 字符"/>
    <w:link w:val="39"/>
    <w:qFormat/>
    <w:uiPriority w:val="0"/>
    <w:rPr>
      <w:rFonts w:ascii="Arial" w:hAnsi="Arial" w:eastAsia="隶书" w:cs="Arial"/>
      <w:b/>
      <w:bCs/>
      <w:sz w:val="32"/>
      <w:szCs w:val="32"/>
    </w:rPr>
  </w:style>
  <w:style w:type="character" w:customStyle="1" w:styleId="77">
    <w:name w:val="批注主题 字符"/>
    <w:link w:val="40"/>
    <w:qFormat/>
    <w:uiPriority w:val="0"/>
  </w:style>
  <w:style w:type="character" w:customStyle="1" w:styleId="78">
    <w:name w:val="正文文本首行缩进 字符"/>
    <w:link w:val="41"/>
    <w:qFormat/>
    <w:uiPriority w:val="0"/>
  </w:style>
  <w:style w:type="character" w:customStyle="1" w:styleId="79">
    <w:name w:val="正文文本首行缩进 2 字符"/>
    <w:link w:val="42"/>
    <w:qFormat/>
    <w:uiPriority w:val="0"/>
    <w:rPr>
      <w:rFonts w:ascii="Times New Roman" w:hAnsi="Calibri" w:eastAsia="宋体" w:cs="Times New Roman"/>
      <w:szCs w:val="24"/>
    </w:rPr>
  </w:style>
  <w:style w:type="character" w:customStyle="1" w:styleId="80">
    <w:name w:val="标题 1 字符2"/>
    <w:link w:val="2"/>
    <w:qFormat/>
    <w:uiPriority w:val="0"/>
    <w:rPr>
      <w:rFonts w:ascii="Calibri" w:hAnsi="Calibri" w:eastAsia="宋体" w:cs="Times New Roman"/>
      <w:b/>
      <w:bCs/>
      <w:kern w:val="44"/>
      <w:sz w:val="44"/>
      <w:szCs w:val="44"/>
    </w:rPr>
  </w:style>
  <w:style w:type="character" w:customStyle="1" w:styleId="81">
    <w:name w:val="标题 3 字符"/>
    <w:link w:val="4"/>
    <w:qFormat/>
    <w:uiPriority w:val="0"/>
    <w:rPr>
      <w:rFonts w:ascii="宋体" w:hAnsi="宋体" w:eastAsia="黑体" w:cs="Times New Roman"/>
      <w:b/>
      <w:bCs/>
      <w:sz w:val="28"/>
      <w:szCs w:val="32"/>
    </w:rPr>
  </w:style>
  <w:style w:type="paragraph" w:customStyle="1" w:styleId="82">
    <w:name w:val="文档正文"/>
    <w:basedOn w:val="1"/>
    <w:qFormat/>
    <w:uiPriority w:val="0"/>
    <w:pPr>
      <w:adjustRightInd w:val="0"/>
      <w:spacing w:line="480" w:lineRule="atLeast"/>
      <w:ind w:firstLine="567" w:firstLineChars="200"/>
      <w:textAlignment w:val="baseline"/>
    </w:pPr>
    <w:rPr>
      <w:rFonts w:ascii="长城仿宋"/>
      <w:kern w:val="0"/>
      <w:szCs w:val="20"/>
    </w:rPr>
  </w:style>
  <w:style w:type="character" w:customStyle="1" w:styleId="83">
    <w:name w:val="hilite6"/>
    <w:qFormat/>
    <w:uiPriority w:val="0"/>
    <w:rPr>
      <w:color w:val="000000"/>
    </w:rPr>
  </w:style>
  <w:style w:type="character" w:customStyle="1" w:styleId="84">
    <w:name w:val="inline-help"/>
    <w:qFormat/>
    <w:uiPriority w:val="0"/>
  </w:style>
  <w:style w:type="character" w:customStyle="1" w:styleId="85">
    <w:name w:val="alt-edited1"/>
    <w:qFormat/>
    <w:uiPriority w:val="0"/>
    <w:rPr>
      <w:color w:val="4D90F0"/>
    </w:rPr>
  </w:style>
  <w:style w:type="character" w:customStyle="1" w:styleId="86">
    <w:name w:val="正文文字首行缩进 Char"/>
    <w:qFormat/>
    <w:uiPriority w:val="0"/>
    <w:rPr>
      <w:kern w:val="2"/>
      <w:sz w:val="21"/>
      <w:szCs w:val="24"/>
    </w:rPr>
  </w:style>
  <w:style w:type="character" w:customStyle="1" w:styleId="87">
    <w:name w:val="标题 1 Char1"/>
    <w:qFormat/>
    <w:uiPriority w:val="0"/>
    <w:rPr>
      <w:rFonts w:ascii="Times New Roman" w:hAnsi="Times New Roman" w:eastAsia="宋体"/>
      <w:b/>
      <w:bCs/>
      <w:kern w:val="44"/>
      <w:sz w:val="44"/>
      <w:szCs w:val="44"/>
      <w:lang w:val="en-US" w:eastAsia="zh-CN" w:bidi="ar-SA"/>
    </w:rPr>
  </w:style>
  <w:style w:type="character" w:customStyle="1" w:styleId="88">
    <w:name w:val="NormalCharacter"/>
    <w:qFormat/>
    <w:uiPriority w:val="0"/>
    <w:rPr>
      <w:rFonts w:ascii="Calibri" w:hAnsi="Calibri" w:eastAsia="宋体" w:cs="Times New Roman"/>
      <w:kern w:val="2"/>
      <w:sz w:val="21"/>
      <w:szCs w:val="24"/>
      <w:lang w:val="en-US" w:eastAsia="zh-CN" w:bidi="ar-SA"/>
    </w:rPr>
  </w:style>
  <w:style w:type="character" w:customStyle="1" w:styleId="89">
    <w:name w:val="hilite"/>
    <w:qFormat/>
    <w:uiPriority w:val="0"/>
    <w:rPr>
      <w:color w:val="000000"/>
    </w:rPr>
  </w:style>
  <w:style w:type="character" w:customStyle="1" w:styleId="90">
    <w:name w:val="Default Char"/>
    <w:link w:val="91"/>
    <w:qFormat/>
    <w:uiPriority w:val="0"/>
    <w:rPr>
      <w:rFonts w:ascii="H Yb 2gj" w:eastAsia="H Yb 2gj"/>
      <w:color w:val="000000"/>
      <w:sz w:val="24"/>
      <w:szCs w:val="24"/>
      <w:lang w:bidi="ar-SA"/>
    </w:rPr>
  </w:style>
  <w:style w:type="paragraph" w:customStyle="1" w:styleId="91">
    <w:name w:val="Default"/>
    <w:link w:val="90"/>
    <w:qFormat/>
    <w:uiPriority w:val="0"/>
    <w:pPr>
      <w:widowControl w:val="0"/>
      <w:autoSpaceDE w:val="0"/>
      <w:autoSpaceDN w:val="0"/>
      <w:adjustRightInd w:val="0"/>
    </w:pPr>
    <w:rPr>
      <w:rFonts w:ascii="H Yb 2gj" w:hAnsi="Times New Roman" w:eastAsia="H Yb 2gj" w:cs="Times New Roman"/>
      <w:color w:val="000000"/>
      <w:sz w:val="24"/>
      <w:szCs w:val="24"/>
      <w:lang w:val="en-US" w:eastAsia="zh-CN" w:bidi="ar-SA"/>
    </w:rPr>
  </w:style>
  <w:style w:type="character" w:customStyle="1" w:styleId="92">
    <w:name w:val="标题 Char"/>
    <w:qFormat/>
    <w:uiPriority w:val="0"/>
    <w:rPr>
      <w:rFonts w:ascii="Cambria" w:hAnsi="Cambria" w:eastAsia="宋体" w:cs="Times New Roman"/>
      <w:b/>
      <w:bCs/>
      <w:sz w:val="32"/>
      <w:szCs w:val="32"/>
    </w:rPr>
  </w:style>
  <w:style w:type="character" w:customStyle="1" w:styleId="93">
    <w:name w:val="active2"/>
    <w:qFormat/>
    <w:uiPriority w:val="0"/>
    <w:rPr>
      <w:color w:val="FFFFFF"/>
    </w:rPr>
  </w:style>
  <w:style w:type="character" w:customStyle="1" w:styleId="94">
    <w:name w:val="缩进正文 Char"/>
    <w:link w:val="95"/>
    <w:qFormat/>
    <w:uiPriority w:val="0"/>
    <w:rPr>
      <w:rFonts w:ascii="Calibri" w:hAnsi="Calibri" w:eastAsia="仿宋_GB2312" w:cs="宋体"/>
      <w:sz w:val="28"/>
      <w:szCs w:val="20"/>
    </w:rPr>
  </w:style>
  <w:style w:type="paragraph" w:customStyle="1" w:styleId="95">
    <w:name w:val="缩进正文"/>
    <w:basedOn w:val="1"/>
    <w:link w:val="94"/>
    <w:qFormat/>
    <w:uiPriority w:val="0"/>
    <w:pPr>
      <w:ind w:firstLine="560" w:firstLineChars="200"/>
    </w:pPr>
    <w:rPr>
      <w:rFonts w:eastAsia="仿宋_GB2312"/>
      <w:kern w:val="0"/>
      <w:sz w:val="28"/>
      <w:szCs w:val="20"/>
    </w:rPr>
  </w:style>
  <w:style w:type="character" w:customStyle="1" w:styleId="96">
    <w:name w:val="标题 3 Char Char"/>
    <w:qFormat/>
    <w:uiPriority w:val="0"/>
    <w:rPr>
      <w:rFonts w:eastAsia="宋体"/>
      <w:b/>
      <w:bCs/>
      <w:kern w:val="2"/>
      <w:sz w:val="32"/>
      <w:szCs w:val="32"/>
      <w:lang w:val="en-US" w:eastAsia="zh-CN" w:bidi="ar-SA"/>
    </w:rPr>
  </w:style>
  <w:style w:type="character" w:customStyle="1" w:styleId="97">
    <w:name w:val="layui-layer-tabnow"/>
    <w:qFormat/>
    <w:uiPriority w:val="0"/>
    <w:rPr>
      <w:bdr w:val="single" w:color="CCCCCC" w:sz="6" w:space="0"/>
      <w:shd w:val="clear" w:color="auto" w:fill="FFFFFF"/>
    </w:rPr>
  </w:style>
  <w:style w:type="character" w:customStyle="1" w:styleId="98">
    <w:name w:val="font21"/>
    <w:qFormat/>
    <w:uiPriority w:val="0"/>
    <w:rPr>
      <w:rFonts w:hint="eastAsia" w:ascii="宋体" w:hAnsi="宋体" w:eastAsia="宋体" w:cs="宋体"/>
      <w:color w:val="000000"/>
      <w:sz w:val="24"/>
      <w:szCs w:val="24"/>
      <w:u w:val="none"/>
    </w:rPr>
  </w:style>
  <w:style w:type="character" w:customStyle="1" w:styleId="99">
    <w:name w:val="--规划正文 Char Char"/>
    <w:qFormat/>
    <w:uiPriority w:val="0"/>
    <w:rPr>
      <w:rFonts w:eastAsia="宋体"/>
      <w:kern w:val="2"/>
      <w:sz w:val="24"/>
      <w:szCs w:val="24"/>
      <w:lang w:val="en-US" w:eastAsia="zh-CN" w:bidi="ar-SA"/>
    </w:rPr>
  </w:style>
  <w:style w:type="character" w:customStyle="1" w:styleId="100">
    <w:name w:val="unnamed3"/>
    <w:qFormat/>
    <w:uiPriority w:val="0"/>
  </w:style>
  <w:style w:type="character" w:customStyle="1" w:styleId="101">
    <w:name w:val="gray6"/>
    <w:qFormat/>
    <w:uiPriority w:val="0"/>
  </w:style>
  <w:style w:type="character" w:customStyle="1" w:styleId="102">
    <w:name w:val="fielderror"/>
    <w:qFormat/>
    <w:uiPriority w:val="0"/>
    <w:rPr>
      <w:color w:val="800000"/>
    </w:rPr>
  </w:style>
  <w:style w:type="character" w:customStyle="1" w:styleId="103">
    <w:name w:val="样式 小三 加粗"/>
    <w:qFormat/>
    <w:uiPriority w:val="0"/>
    <w:rPr>
      <w:rFonts w:eastAsia="宋体"/>
      <w:b/>
      <w:bCs/>
      <w:sz w:val="32"/>
    </w:rPr>
  </w:style>
  <w:style w:type="character" w:customStyle="1" w:styleId="104">
    <w:name w:val="active"/>
    <w:qFormat/>
    <w:uiPriority w:val="0"/>
    <w:rPr>
      <w:color w:val="FFFFFF"/>
    </w:rPr>
  </w:style>
  <w:style w:type="character" w:customStyle="1" w:styleId="105">
    <w:name w:val="font2"/>
    <w:qFormat/>
    <w:uiPriority w:val="0"/>
  </w:style>
  <w:style w:type="character" w:customStyle="1" w:styleId="106">
    <w:name w:val="font11"/>
    <w:qFormat/>
    <w:uiPriority w:val="0"/>
    <w:rPr>
      <w:rFonts w:hint="default" w:ascii="ˎ̥" w:hAnsi="ˎ̥"/>
    </w:rPr>
  </w:style>
  <w:style w:type="character" w:customStyle="1" w:styleId="107">
    <w:name w:val="二 Char"/>
    <w:link w:val="108"/>
    <w:qFormat/>
    <w:uiPriority w:val="0"/>
    <w:rPr>
      <w:rFonts w:ascii="宋体" w:hAnsi="宋体" w:cs="宋体"/>
      <w:b/>
      <w:color w:val="000000"/>
      <w:sz w:val="24"/>
      <w:szCs w:val="24"/>
    </w:rPr>
  </w:style>
  <w:style w:type="paragraph" w:customStyle="1" w:styleId="108">
    <w:name w:val="二"/>
    <w:basedOn w:val="1"/>
    <w:link w:val="107"/>
    <w:qFormat/>
    <w:uiPriority w:val="0"/>
    <w:pPr>
      <w:widowControl/>
      <w:tabs>
        <w:tab w:val="left" w:pos="360"/>
      </w:tabs>
      <w:spacing w:line="360" w:lineRule="auto"/>
      <w:ind w:left="360" w:hanging="360"/>
      <w:jc w:val="left"/>
      <w:outlineLvl w:val="0"/>
    </w:pPr>
    <w:rPr>
      <w:rFonts w:ascii="宋体" w:hAnsi="宋体"/>
      <w:b/>
      <w:color w:val="000000"/>
      <w:kern w:val="0"/>
      <w:sz w:val="24"/>
    </w:rPr>
  </w:style>
  <w:style w:type="character" w:customStyle="1" w:styleId="109">
    <w:name w:val="text"/>
    <w:qFormat/>
    <w:uiPriority w:val="0"/>
  </w:style>
  <w:style w:type="character" w:customStyle="1" w:styleId="110">
    <w:name w:val="unnamed4"/>
    <w:qFormat/>
    <w:uiPriority w:val="0"/>
  </w:style>
  <w:style w:type="character" w:customStyle="1" w:styleId="111">
    <w:name w:val="H4 Char2"/>
    <w:qFormat/>
    <w:uiPriority w:val="0"/>
    <w:rPr>
      <w:rFonts w:ascii="Arial" w:hAnsi="Arial" w:eastAsia="黑体"/>
      <w:b/>
      <w:bCs/>
      <w:kern w:val="2"/>
      <w:sz w:val="28"/>
      <w:szCs w:val="28"/>
      <w:lang w:val="en-US" w:eastAsia="zh-CN" w:bidi="ar-SA"/>
    </w:rPr>
  </w:style>
  <w:style w:type="character" w:customStyle="1" w:styleId="112">
    <w:name w:val="章标题1 Char"/>
    <w:qFormat/>
    <w:uiPriority w:val="0"/>
    <w:rPr>
      <w:rFonts w:eastAsia="宋体"/>
      <w:b/>
      <w:bCs/>
      <w:kern w:val="2"/>
      <w:sz w:val="32"/>
      <w:szCs w:val="32"/>
      <w:lang w:val="en-US" w:eastAsia="zh-CN" w:bidi="ar-SA"/>
    </w:rPr>
  </w:style>
  <w:style w:type="character" w:customStyle="1" w:styleId="113">
    <w:name w:val="proddescription"/>
    <w:qFormat/>
    <w:uiPriority w:val="0"/>
  </w:style>
  <w:style w:type="character" w:customStyle="1" w:styleId="114">
    <w:name w:val="--规划正文 Char1"/>
    <w:qFormat/>
    <w:uiPriority w:val="0"/>
    <w:rPr>
      <w:rFonts w:eastAsia="宋体"/>
      <w:kern w:val="2"/>
      <w:sz w:val="21"/>
      <w:lang w:val="en-US" w:eastAsia="zh-CN" w:bidi="ar-SA"/>
    </w:rPr>
  </w:style>
  <w:style w:type="character" w:customStyle="1" w:styleId="115">
    <w:name w:val="第*章 Char"/>
    <w:qFormat/>
    <w:uiPriority w:val="0"/>
    <w:rPr>
      <w:rFonts w:ascii="Arial" w:hAnsi="Arial" w:eastAsia="黑体"/>
      <w:b/>
      <w:bCs/>
      <w:kern w:val="2"/>
      <w:sz w:val="32"/>
      <w:szCs w:val="32"/>
    </w:rPr>
  </w:style>
  <w:style w:type="character" w:customStyle="1" w:styleId="116">
    <w:name w:val="_Style 192"/>
    <w:unhideWhenUsed/>
    <w:qFormat/>
    <w:uiPriority w:val="99"/>
    <w:rPr>
      <w:color w:val="605E5C"/>
      <w:shd w:val="clear" w:color="auto" w:fill="E1DFDD"/>
    </w:rPr>
  </w:style>
  <w:style w:type="character" w:customStyle="1" w:styleId="117">
    <w:name w:val="prodheadlines"/>
    <w:qFormat/>
    <w:uiPriority w:val="0"/>
  </w:style>
  <w:style w:type="character" w:customStyle="1" w:styleId="118">
    <w:name w:val="font"/>
    <w:qFormat/>
    <w:uiPriority w:val="0"/>
  </w:style>
  <w:style w:type="character" w:customStyle="1" w:styleId="119">
    <w:name w:val="grame"/>
    <w:qFormat/>
    <w:uiPriority w:val="0"/>
  </w:style>
  <w:style w:type="character" w:customStyle="1" w:styleId="120">
    <w:name w:val="mode"/>
    <w:qFormat/>
    <w:uiPriority w:val="0"/>
  </w:style>
  <w:style w:type="character" w:customStyle="1" w:styleId="121">
    <w:name w:val="first-child"/>
    <w:qFormat/>
    <w:uiPriority w:val="0"/>
  </w:style>
  <w:style w:type="character" w:customStyle="1" w:styleId="122">
    <w:name w:val="content1"/>
    <w:qFormat/>
    <w:uiPriority w:val="0"/>
    <w:rPr>
      <w:rFonts w:hint="default" w:ascii="??" w:hAnsi="??"/>
      <w:sz w:val="16"/>
      <w:szCs w:val="16"/>
      <w:u w:val="none"/>
    </w:rPr>
  </w:style>
  <w:style w:type="character" w:customStyle="1" w:styleId="123">
    <w:name w:val="标题 1 字符"/>
    <w:qFormat/>
    <w:uiPriority w:val="0"/>
    <w:rPr>
      <w:rFonts w:ascii="宋体" w:hAnsi="宋体" w:eastAsia="黑体"/>
      <w:b/>
      <w:bCs/>
      <w:kern w:val="44"/>
      <w:sz w:val="28"/>
      <w:szCs w:val="44"/>
      <w:lang w:val="en-US" w:eastAsia="zh-CN" w:bidi="ar-SA"/>
    </w:rPr>
  </w:style>
  <w:style w:type="character" w:customStyle="1" w:styleId="124">
    <w:name w:val="active6"/>
    <w:qFormat/>
    <w:uiPriority w:val="0"/>
    <w:rPr>
      <w:color w:val="FFFFFF"/>
    </w:rPr>
  </w:style>
  <w:style w:type="character" w:customStyle="1" w:styleId="125">
    <w:name w:val="info4"/>
    <w:qFormat/>
    <w:uiPriority w:val="0"/>
  </w:style>
  <w:style w:type="character" w:customStyle="1" w:styleId="126">
    <w:name w:val="font41"/>
    <w:qFormat/>
    <w:uiPriority w:val="0"/>
    <w:rPr>
      <w:color w:val="000000"/>
      <w:spacing w:val="260"/>
      <w:sz w:val="18"/>
      <w:szCs w:val="18"/>
      <w:u w:val="none"/>
    </w:rPr>
  </w:style>
  <w:style w:type="character" w:customStyle="1" w:styleId="127">
    <w:name w:val="blue"/>
    <w:qFormat/>
    <w:uiPriority w:val="0"/>
  </w:style>
  <w:style w:type="character" w:customStyle="1" w:styleId="128">
    <w:name w:val="style9"/>
    <w:qFormat/>
    <w:uiPriority w:val="0"/>
  </w:style>
  <w:style w:type="character" w:customStyle="1" w:styleId="129">
    <w:name w:val="layui-this"/>
    <w:qFormat/>
    <w:uiPriority w:val="0"/>
    <w:rPr>
      <w:bdr w:val="single" w:color="EEEEEE" w:sz="6" w:space="0"/>
      <w:shd w:val="clear" w:color="auto" w:fill="FFFFFF"/>
    </w:rPr>
  </w:style>
  <w:style w:type="paragraph" w:customStyle="1" w:styleId="130">
    <w:name w:val="font6"/>
    <w:basedOn w:val="1"/>
    <w:qFormat/>
    <w:uiPriority w:val="0"/>
    <w:pPr>
      <w:widowControl/>
      <w:spacing w:before="100" w:beforeAutospacing="1" w:after="100" w:afterAutospacing="1"/>
      <w:jc w:val="left"/>
    </w:pPr>
    <w:rPr>
      <w:kern w:val="0"/>
      <w:sz w:val="24"/>
    </w:rPr>
  </w:style>
  <w:style w:type="paragraph" w:customStyle="1" w:styleId="131">
    <w:name w:val="Char Char Char Char Char Char1 Char Char Char Char Char Char Char Char Char Char Char Char Char"/>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132">
    <w:name w:val="保留正文"/>
    <w:basedOn w:val="18"/>
    <w:qFormat/>
    <w:uiPriority w:val="0"/>
    <w:pPr>
      <w:keepNext/>
      <w:tabs>
        <w:tab w:val="left" w:pos="562"/>
        <w:tab w:val="left" w:pos="3372"/>
        <w:tab w:val="left" w:pos="3653"/>
      </w:tabs>
      <w:spacing w:after="160"/>
    </w:pPr>
    <w:rPr>
      <w:sz w:val="21"/>
    </w:rPr>
  </w:style>
  <w:style w:type="paragraph" w:customStyle="1" w:styleId="133">
    <w:name w:val="1111111111111"/>
    <w:basedOn w:val="1"/>
    <w:qFormat/>
    <w:uiPriority w:val="0"/>
    <w:pPr>
      <w:numPr>
        <w:ilvl w:val="0"/>
        <w:numId w:val="2"/>
      </w:numPr>
    </w:pPr>
  </w:style>
  <w:style w:type="paragraph" w:customStyle="1" w:styleId="134">
    <w:name w:val="列出段落1"/>
    <w:basedOn w:val="1"/>
    <w:qFormat/>
    <w:uiPriority w:val="0"/>
    <w:pPr>
      <w:ind w:firstLine="420" w:firstLineChars="200"/>
    </w:pPr>
    <w:rPr>
      <w:rFonts w:cs="Calibri"/>
      <w:szCs w:val="21"/>
    </w:rPr>
  </w:style>
  <w:style w:type="paragraph" w:customStyle="1" w:styleId="135">
    <w:name w:val="Table Paragraph"/>
    <w:basedOn w:val="1"/>
    <w:qFormat/>
    <w:uiPriority w:val="99"/>
    <w:pPr>
      <w:autoSpaceDE w:val="0"/>
      <w:autoSpaceDN w:val="0"/>
      <w:adjustRightInd w:val="0"/>
      <w:jc w:val="left"/>
    </w:pPr>
    <w:rPr>
      <w:rFonts w:ascii="宋体" w:hAnsi="宋体" w:cs="宋体"/>
      <w:kern w:val="0"/>
      <w:sz w:val="24"/>
    </w:rPr>
  </w:style>
  <w:style w:type="paragraph" w:customStyle="1" w:styleId="136">
    <w:name w:val="正文规范"/>
    <w:basedOn w:val="1"/>
    <w:qFormat/>
    <w:uiPriority w:val="0"/>
    <w:pPr>
      <w:spacing w:line="420" w:lineRule="auto"/>
      <w:ind w:firstLine="200" w:firstLineChars="200"/>
    </w:pPr>
    <w:rPr>
      <w:rFonts w:cs="Calibri"/>
      <w:kern w:val="0"/>
      <w:sz w:val="24"/>
      <w:szCs w:val="21"/>
    </w:rPr>
  </w:style>
  <w:style w:type="paragraph" w:customStyle="1" w:styleId="137">
    <w:name w:val="7"/>
    <w:basedOn w:val="1"/>
    <w:qFormat/>
    <w:uiPriority w:val="0"/>
    <w:pPr>
      <w:autoSpaceDE w:val="0"/>
      <w:autoSpaceDN w:val="0"/>
      <w:adjustRightInd w:val="0"/>
      <w:spacing w:line="270" w:lineRule="atLeast"/>
      <w:jc w:val="left"/>
    </w:pPr>
    <w:rPr>
      <w:rFonts w:ascii="宋体"/>
      <w:kern w:val="0"/>
      <w:sz w:val="18"/>
      <w:szCs w:val="18"/>
    </w:rPr>
  </w:style>
  <w:style w:type="paragraph" w:customStyle="1" w:styleId="138">
    <w:name w:val="--编号内缩进"/>
    <w:basedOn w:val="1"/>
    <w:qFormat/>
    <w:uiPriority w:val="0"/>
    <w:pPr>
      <w:spacing w:line="360" w:lineRule="auto"/>
      <w:ind w:left="420" w:firstLine="200" w:firstLineChars="200"/>
    </w:pPr>
    <w:rPr>
      <w:szCs w:val="21"/>
    </w:rPr>
  </w:style>
  <w:style w:type="paragraph" w:customStyle="1" w:styleId="139">
    <w:name w:val="font0"/>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140">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141">
    <w:name w:val="Char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42">
    <w:name w:val="表格文字"/>
    <w:basedOn w:val="143"/>
    <w:qFormat/>
    <w:uiPriority w:val="0"/>
    <w:pPr>
      <w:spacing w:before="25" w:after="25"/>
      <w:jc w:val="left"/>
    </w:pPr>
    <w:rPr>
      <w:bCs/>
      <w:spacing w:val="10"/>
      <w:kern w:val="0"/>
      <w:sz w:val="24"/>
    </w:rPr>
  </w:style>
  <w:style w:type="paragraph" w:customStyle="1" w:styleId="143">
    <w:name w:val="表格文字（两侧对齐）"/>
    <w:basedOn w:val="1"/>
    <w:qFormat/>
    <w:uiPriority w:val="0"/>
    <w:rPr>
      <w:rFonts w:ascii="Calibri" w:hAnsi="Calibri" w:cs="Times New Roman"/>
      <w:kern w:val="0"/>
      <w:sz w:val="20"/>
    </w:rPr>
  </w:style>
  <w:style w:type="paragraph" w:customStyle="1" w:styleId="144">
    <w:name w:val="a14"/>
    <w:basedOn w:val="1"/>
    <w:qFormat/>
    <w:uiPriority w:val="0"/>
    <w:pPr>
      <w:widowControl/>
      <w:spacing w:before="100" w:beforeAutospacing="1" w:after="100" w:afterAutospacing="1" w:line="300" w:lineRule="atLeast"/>
      <w:ind w:firstLine="375"/>
      <w:jc w:val="left"/>
    </w:pPr>
    <w:rPr>
      <w:rFonts w:ascii="宋体" w:hAnsi="宋体" w:cs="宋体"/>
      <w:kern w:val="0"/>
      <w:szCs w:val="21"/>
    </w:rPr>
  </w:style>
  <w:style w:type="paragraph" w:customStyle="1" w:styleId="145">
    <w:name w:val="xl72"/>
    <w:basedOn w:val="1"/>
    <w:qFormat/>
    <w:uiPriority w:val="0"/>
    <w:pPr>
      <w:widowControl/>
      <w:spacing w:before="100" w:beforeAutospacing="1" w:after="100" w:afterAutospacing="1"/>
      <w:jc w:val="left"/>
    </w:pPr>
    <w:rPr>
      <w:rFonts w:ascii="宋体" w:hAnsi="宋体"/>
      <w:b/>
      <w:bCs/>
      <w:kern w:val="0"/>
      <w:sz w:val="28"/>
      <w:szCs w:val="28"/>
    </w:rPr>
  </w:style>
  <w:style w:type="paragraph" w:customStyle="1" w:styleId="146">
    <w:name w:val=".."/>
    <w:basedOn w:val="1"/>
    <w:next w:val="1"/>
    <w:qFormat/>
    <w:uiPriority w:val="0"/>
    <w:pPr>
      <w:autoSpaceDE w:val="0"/>
      <w:autoSpaceDN w:val="0"/>
      <w:adjustRightInd w:val="0"/>
      <w:jc w:val="left"/>
    </w:pPr>
    <w:rPr>
      <w:rFonts w:ascii="Arial Unicode MS" w:hAnsi="Times New Roman" w:eastAsia="Arial Unicode MS"/>
      <w:kern w:val="0"/>
      <w:sz w:val="24"/>
    </w:rPr>
  </w:style>
  <w:style w:type="paragraph" w:customStyle="1" w:styleId="147">
    <w:name w:val="段落正文"/>
    <w:basedOn w:val="22"/>
    <w:qFormat/>
    <w:uiPriority w:val="0"/>
    <w:pPr>
      <w:ind w:firstLine="560" w:firstLineChars="200"/>
    </w:pPr>
    <w:rPr>
      <w:sz w:val="28"/>
    </w:rPr>
  </w:style>
  <w:style w:type="paragraph" w:customStyle="1" w:styleId="148">
    <w:name w:val="设计依据"/>
    <w:basedOn w:val="18"/>
    <w:qFormat/>
    <w:uiPriority w:val="0"/>
    <w:pPr>
      <w:numPr>
        <w:ilvl w:val="1"/>
        <w:numId w:val="3"/>
      </w:numPr>
      <w:tabs>
        <w:tab w:val="left" w:pos="1440"/>
        <w:tab w:val="clear" w:pos="840"/>
      </w:tabs>
      <w:adjustRightInd w:val="0"/>
      <w:ind w:left="1440"/>
      <w:textAlignment w:val="baseline"/>
    </w:pPr>
    <w:rPr>
      <w:rFonts w:ascii="宋体" w:hAnsi="宋体"/>
      <w:b w:val="0"/>
      <w:kern w:val="0"/>
      <w:sz w:val="28"/>
      <w:szCs w:val="18"/>
    </w:rPr>
  </w:style>
  <w:style w:type="paragraph" w:customStyle="1" w:styleId="149">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150">
    <w:name w:val="样式4"/>
    <w:basedOn w:val="1"/>
    <w:qFormat/>
    <w:uiPriority w:val="0"/>
    <w:pPr>
      <w:tabs>
        <w:tab w:val="left" w:pos="842"/>
      </w:tabs>
      <w:spacing w:line="360" w:lineRule="auto"/>
      <w:ind w:left="842" w:hanging="420"/>
    </w:pPr>
    <w:rPr>
      <w:sz w:val="24"/>
    </w:rPr>
  </w:style>
  <w:style w:type="paragraph" w:customStyle="1" w:styleId="151">
    <w:name w:val="--规划-小标题"/>
    <w:basedOn w:val="1"/>
    <w:next w:val="152"/>
    <w:qFormat/>
    <w:uiPriority w:val="0"/>
    <w:pPr>
      <w:keepNext/>
      <w:keepLines/>
      <w:spacing w:line="360" w:lineRule="auto"/>
      <w:outlineLvl w:val="4"/>
    </w:pPr>
    <w:rPr>
      <w:rFonts w:eastAsia="黑体"/>
    </w:rPr>
  </w:style>
  <w:style w:type="paragraph" w:customStyle="1" w:styleId="152">
    <w:name w:val="--规划正文"/>
    <w:basedOn w:val="1"/>
    <w:qFormat/>
    <w:uiPriority w:val="0"/>
    <w:pPr>
      <w:spacing w:line="360" w:lineRule="auto"/>
      <w:ind w:firstLine="200" w:firstLineChars="200"/>
    </w:pPr>
    <w:rPr>
      <w:szCs w:val="20"/>
    </w:rPr>
  </w:style>
  <w:style w:type="paragraph" w:customStyle="1" w:styleId="153">
    <w:name w:val="*正文"/>
    <w:basedOn w:val="1"/>
    <w:qFormat/>
    <w:uiPriority w:val="0"/>
    <w:pPr>
      <w:spacing w:line="360" w:lineRule="auto"/>
      <w:ind w:firstLine="200" w:firstLineChars="200"/>
    </w:pPr>
    <w:rPr>
      <w:rFonts w:ascii="宋体" w:hAnsi="宋体"/>
      <w:kern w:val="0"/>
      <w:sz w:val="24"/>
    </w:rPr>
  </w:style>
  <w:style w:type="paragraph" w:customStyle="1" w:styleId="154">
    <w:name w:val="正文(首行缩进)"/>
    <w:qFormat/>
    <w:uiPriority w:val="0"/>
    <w:pPr>
      <w:spacing w:line="360" w:lineRule="auto"/>
      <w:ind w:firstLine="488" w:firstLineChars="200"/>
      <w:jc w:val="both"/>
    </w:pPr>
    <w:rPr>
      <w:rFonts w:ascii="Times New Roman" w:hAnsi="Times New Roman" w:eastAsia="仿宋_GB2312" w:cs="Times New Roman"/>
      <w:spacing w:val="2"/>
      <w:sz w:val="24"/>
      <w:szCs w:val="24"/>
      <w:lang w:val="en-US" w:eastAsia="zh-CN" w:bidi="ar-SA"/>
    </w:rPr>
  </w:style>
  <w:style w:type="paragraph" w:customStyle="1" w:styleId="155">
    <w:name w:val="z-窗体底端1"/>
    <w:basedOn w:val="1"/>
    <w:next w:val="1"/>
    <w:qFormat/>
    <w:uiPriority w:val="0"/>
    <w:pPr>
      <w:widowControl/>
      <w:pBdr>
        <w:top w:val="single" w:color="auto" w:sz="6" w:space="1"/>
      </w:pBdr>
      <w:jc w:val="center"/>
    </w:pPr>
    <w:rPr>
      <w:rFonts w:ascii="Arial" w:hAnsi="Arial" w:cs="Arial"/>
      <w:vanish/>
      <w:kern w:val="0"/>
      <w:sz w:val="16"/>
      <w:szCs w:val="16"/>
    </w:rPr>
  </w:style>
  <w:style w:type="paragraph" w:customStyle="1" w:styleId="156">
    <w:name w:val="--规划-图和表"/>
    <w:next w:val="152"/>
    <w:qFormat/>
    <w:uiPriority w:val="0"/>
    <w:pPr>
      <w:jc w:val="center"/>
    </w:pPr>
    <w:rPr>
      <w:rFonts w:ascii="Times New Roman" w:hAnsi="Times New Roman" w:eastAsia="宋体" w:cs="Times New Roman"/>
      <w:kern w:val="2"/>
      <w:sz w:val="21"/>
      <w:lang w:val="en-US" w:eastAsia="zh-CN" w:bidi="ar-SA"/>
    </w:rPr>
  </w:style>
  <w:style w:type="paragraph" w:customStyle="1" w:styleId="157">
    <w:name w:val="编号1"/>
    <w:basedOn w:val="1"/>
    <w:qFormat/>
    <w:uiPriority w:val="0"/>
    <w:pPr>
      <w:numPr>
        <w:ilvl w:val="0"/>
        <w:numId w:val="4"/>
      </w:numPr>
      <w:adjustRightInd w:val="0"/>
      <w:spacing w:line="300" w:lineRule="auto"/>
      <w:ind w:right="210"/>
      <w:textAlignment w:val="center"/>
    </w:pPr>
    <w:rPr>
      <w:rFonts w:ascii="宋体" w:hAnsi="宋体"/>
      <w:snapToGrid w:val="0"/>
      <w:spacing w:val="10"/>
      <w:kern w:val="24"/>
    </w:rPr>
  </w:style>
  <w:style w:type="paragraph" w:customStyle="1" w:styleId="158">
    <w:name w:val="Char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59">
    <w:name w:val="8"/>
    <w:basedOn w:val="1"/>
    <w:next w:val="19"/>
    <w:qFormat/>
    <w:uiPriority w:val="0"/>
    <w:pPr>
      <w:spacing w:after="120"/>
      <w:ind w:left="420" w:leftChars="200"/>
    </w:pPr>
  </w:style>
  <w:style w:type="paragraph" w:customStyle="1" w:styleId="160">
    <w:name w:val="USE 1"/>
    <w:basedOn w:val="1"/>
    <w:qFormat/>
    <w:uiPriority w:val="0"/>
    <w:pPr>
      <w:spacing w:line="200" w:lineRule="atLeast"/>
      <w:jc w:val="left"/>
    </w:pPr>
    <w:rPr>
      <w:rFonts w:ascii="宋体" w:hAnsi="宋体"/>
      <w:b/>
      <w:sz w:val="24"/>
      <w:szCs w:val="28"/>
    </w:rPr>
  </w:style>
  <w:style w:type="paragraph" w:customStyle="1" w:styleId="161">
    <w:name w:val="5"/>
    <w:basedOn w:val="1"/>
    <w:qFormat/>
    <w:uiPriority w:val="0"/>
    <w:pPr>
      <w:autoSpaceDE w:val="0"/>
      <w:autoSpaceDN w:val="0"/>
      <w:adjustRightInd w:val="0"/>
      <w:jc w:val="left"/>
    </w:pPr>
    <w:rPr>
      <w:rFonts w:ascii="宋体"/>
      <w:b/>
      <w:bCs/>
      <w:kern w:val="0"/>
      <w:sz w:val="18"/>
      <w:szCs w:val="18"/>
    </w:rPr>
  </w:style>
  <w:style w:type="paragraph" w:customStyle="1" w:styleId="162">
    <w:name w:val="RFI text from 3rd Level"/>
    <w:basedOn w:val="1"/>
    <w:qFormat/>
    <w:uiPriority w:val="0"/>
    <w:pPr>
      <w:widowControl/>
      <w:numPr>
        <w:ilvl w:val="0"/>
        <w:numId w:val="5"/>
      </w:numPr>
      <w:tabs>
        <w:tab w:val="left" w:pos="1080"/>
        <w:tab w:val="clear" w:pos="840"/>
      </w:tabs>
      <w:spacing w:beforeLines="50" w:line="360" w:lineRule="auto"/>
      <w:ind w:left="0" w:firstLine="0"/>
    </w:pPr>
    <w:rPr>
      <w:rFonts w:ascii="Arial (W1)" w:hAnsi="Arial (W1)"/>
      <w:bCs/>
      <w:kern w:val="0"/>
      <w:sz w:val="24"/>
      <w:lang w:val="en-GB"/>
    </w:rPr>
  </w:style>
  <w:style w:type="paragraph" w:customStyle="1" w:styleId="163">
    <w:name w:val="_Style 1"/>
    <w:qFormat/>
    <w:uiPriority w:val="99"/>
    <w:pPr>
      <w:adjustRightInd w:val="0"/>
      <w:snapToGrid w:val="0"/>
    </w:pPr>
    <w:rPr>
      <w:rFonts w:ascii="Tahoma" w:hAnsi="Tahoma" w:eastAsia="宋体" w:cs="Times New Roman"/>
      <w:sz w:val="22"/>
      <w:szCs w:val="22"/>
      <w:lang w:val="en-US" w:eastAsia="zh-CN" w:bidi="ar-SA"/>
    </w:rPr>
  </w:style>
  <w:style w:type="paragraph" w:customStyle="1" w:styleId="164">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65">
    <w:name w:val="00"/>
    <w:basedOn w:val="1"/>
    <w:qFormat/>
    <w:uiPriority w:val="0"/>
    <w:pPr>
      <w:autoSpaceDE w:val="0"/>
      <w:autoSpaceDN w:val="0"/>
      <w:adjustRightInd w:val="0"/>
      <w:jc w:val="left"/>
    </w:pPr>
    <w:rPr>
      <w:rFonts w:ascii="黑体" w:eastAsia="黑体"/>
      <w:b/>
      <w:bCs/>
      <w:kern w:val="0"/>
      <w:sz w:val="20"/>
      <w:szCs w:val="20"/>
    </w:rPr>
  </w:style>
  <w:style w:type="paragraph" w:customStyle="1" w:styleId="166">
    <w:name w:val="xl34"/>
    <w:basedOn w:val="1"/>
    <w:qFormat/>
    <w:uiPriority w:val="0"/>
    <w:pPr>
      <w:widowControl/>
      <w:pBdr>
        <w:left w:val="single" w:color="auto" w:sz="4" w:space="0"/>
      </w:pBdr>
      <w:spacing w:before="100" w:beforeAutospacing="1" w:after="100" w:afterAutospacing="1"/>
      <w:jc w:val="center"/>
      <w:textAlignment w:val="center"/>
    </w:pPr>
    <w:rPr>
      <w:rFonts w:ascii="宋体" w:hAnsi="宋体"/>
      <w:kern w:val="0"/>
      <w:sz w:val="24"/>
    </w:rPr>
  </w:style>
  <w:style w:type="paragraph" w:customStyle="1" w:styleId="167">
    <w:name w:val="2册标题4"/>
    <w:basedOn w:val="1"/>
    <w:next w:val="1"/>
    <w:qFormat/>
    <w:uiPriority w:val="0"/>
    <w:pPr>
      <w:spacing w:beforeLines="50" w:afterLines="50" w:line="300" w:lineRule="auto"/>
      <w:ind w:left="420" w:leftChars="200"/>
      <w:outlineLvl w:val="3"/>
    </w:pPr>
    <w:rPr>
      <w:rFonts w:ascii="Arial" w:hAnsi="Arial" w:eastAsia="幼圆" w:cs="Arial"/>
      <w:b/>
      <w:sz w:val="24"/>
    </w:rPr>
  </w:style>
  <w:style w:type="paragraph" w:customStyle="1" w:styleId="168">
    <w:name w:val="Char1"/>
    <w:basedOn w:val="1"/>
    <w:qFormat/>
    <w:uiPriority w:val="0"/>
    <w:pPr>
      <w:jc w:val="left"/>
    </w:pPr>
    <w:rPr>
      <w:rFonts w:ascii="Tahoma" w:hAnsi="Tahoma"/>
      <w:sz w:val="24"/>
      <w:szCs w:val="20"/>
    </w:rPr>
  </w:style>
  <w:style w:type="paragraph" w:customStyle="1" w:styleId="169">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170">
    <w:name w:val="text1"/>
    <w:basedOn w:val="1"/>
    <w:qFormat/>
    <w:uiPriority w:val="0"/>
    <w:pPr>
      <w:widowControl/>
      <w:spacing w:before="100" w:beforeAutospacing="1" w:after="100" w:afterAutospacing="1"/>
      <w:jc w:val="left"/>
    </w:pPr>
    <w:rPr>
      <w:rFonts w:ascii="宋体" w:hAnsi="宋体" w:cs="宋体"/>
      <w:kern w:val="0"/>
      <w:sz w:val="24"/>
    </w:rPr>
  </w:style>
  <w:style w:type="paragraph" w:customStyle="1" w:styleId="171">
    <w:name w:val="Normal Paragraph"/>
    <w:basedOn w:val="1"/>
    <w:qFormat/>
    <w:uiPriority w:val="0"/>
    <w:pPr>
      <w:widowControl/>
      <w:spacing w:before="120" w:line="360" w:lineRule="auto"/>
      <w:ind w:firstLine="425"/>
    </w:pPr>
    <w:rPr>
      <w:kern w:val="0"/>
      <w:sz w:val="24"/>
    </w:rPr>
  </w:style>
  <w:style w:type="paragraph" w:customStyle="1" w:styleId="172">
    <w:name w:val="Char Char Char Char Char Char Char Char Char Char Char Char Char Char Char Char Char Char Char Char Char Char"/>
    <w:basedOn w:val="1"/>
    <w:qFormat/>
    <w:uiPriority w:val="0"/>
    <w:pPr>
      <w:widowControl/>
      <w:spacing w:line="400" w:lineRule="exact"/>
      <w:jc w:val="center"/>
    </w:pPr>
    <w:rPr>
      <w:rFonts w:ascii="Verdana" w:hAnsi="Verdana"/>
      <w:kern w:val="0"/>
      <w:szCs w:val="20"/>
      <w:lang w:eastAsia="en-US"/>
    </w:rPr>
  </w:style>
  <w:style w:type="paragraph" w:customStyle="1" w:styleId="173">
    <w:name w:val="--规划-表格-居中"/>
    <w:basedOn w:val="152"/>
    <w:qFormat/>
    <w:uiPriority w:val="0"/>
    <w:pPr>
      <w:spacing w:line="240" w:lineRule="auto"/>
      <w:ind w:firstLine="0" w:firstLineChars="0"/>
      <w:jc w:val="center"/>
    </w:pPr>
    <w:rPr>
      <w:sz w:val="20"/>
    </w:rPr>
  </w:style>
  <w:style w:type="paragraph" w:customStyle="1" w:styleId="174">
    <w:name w:val="Char Char"/>
    <w:basedOn w:val="1"/>
    <w:qFormat/>
    <w:uiPriority w:val="0"/>
    <w:rPr>
      <w:rFonts w:ascii="Tahoma" w:hAnsi="Tahoma"/>
      <w:sz w:val="24"/>
      <w:szCs w:val="20"/>
    </w:rPr>
  </w:style>
  <w:style w:type="paragraph" w:customStyle="1" w:styleId="175">
    <w:name w:val="自定义正文"/>
    <w:basedOn w:val="1"/>
    <w:qFormat/>
    <w:uiPriority w:val="0"/>
    <w:pPr>
      <w:spacing w:afterLines="50"/>
      <w:ind w:left="600" w:leftChars="600"/>
    </w:pPr>
  </w:style>
  <w:style w:type="paragraph" w:customStyle="1" w:styleId="176">
    <w:name w:val="产品描述"/>
    <w:qFormat/>
    <w:uiPriority w:val="0"/>
    <w:pPr>
      <w:widowControl w:val="0"/>
      <w:autoSpaceDE w:val="0"/>
      <w:autoSpaceDN w:val="0"/>
      <w:adjustRightInd w:val="0"/>
      <w:spacing w:line="270" w:lineRule="atLeast"/>
      <w:ind w:firstLine="397"/>
      <w:jc w:val="both"/>
    </w:pPr>
    <w:rPr>
      <w:rFonts w:ascii="宋体" w:hAnsi="Times New Roman" w:eastAsia="宋体" w:cs="Times New Roman"/>
      <w:sz w:val="18"/>
      <w:szCs w:val="18"/>
      <w:lang w:val="en-US" w:eastAsia="zh-CN" w:bidi="ar-SA"/>
    </w:rPr>
  </w:style>
  <w:style w:type="paragraph" w:customStyle="1" w:styleId="177">
    <w:name w:val="样式3"/>
    <w:basedOn w:val="2"/>
    <w:qFormat/>
    <w:uiPriority w:val="0"/>
    <w:pPr>
      <w:numPr>
        <w:ilvl w:val="0"/>
        <w:numId w:val="6"/>
      </w:numPr>
      <w:spacing w:before="240" w:after="240" w:line="480" w:lineRule="auto"/>
      <w:ind w:right="210" w:rightChars="100"/>
      <w:jc w:val="left"/>
    </w:pPr>
    <w:rPr>
      <w:sz w:val="32"/>
    </w:rPr>
  </w:style>
  <w:style w:type="paragraph" w:customStyle="1" w:styleId="178">
    <w:name w:val="列表项目"/>
    <w:basedOn w:val="1"/>
    <w:qFormat/>
    <w:uiPriority w:val="0"/>
    <w:pPr>
      <w:tabs>
        <w:tab w:val="left" w:pos="420"/>
        <w:tab w:val="left" w:pos="1080"/>
      </w:tabs>
      <w:spacing w:line="288" w:lineRule="auto"/>
      <w:ind w:left="1080" w:hanging="360"/>
    </w:pPr>
    <w:rPr>
      <w:sz w:val="24"/>
      <w:szCs w:val="20"/>
    </w:rPr>
  </w:style>
  <w:style w:type="paragraph" w:customStyle="1" w:styleId="179">
    <w:name w:val="--规划-表格-居左"/>
    <w:basedOn w:val="152"/>
    <w:qFormat/>
    <w:uiPriority w:val="0"/>
    <w:pPr>
      <w:spacing w:line="240" w:lineRule="auto"/>
      <w:ind w:firstLine="0" w:firstLineChars="0"/>
    </w:pPr>
    <w:rPr>
      <w:sz w:val="20"/>
    </w:rPr>
  </w:style>
  <w:style w:type="paragraph" w:customStyle="1" w:styleId="180">
    <w:name w:val="小标题 1"/>
    <w:basedOn w:val="1"/>
    <w:qFormat/>
    <w:uiPriority w:val="0"/>
    <w:pPr>
      <w:autoSpaceDE w:val="0"/>
      <w:autoSpaceDN w:val="0"/>
      <w:adjustRightInd w:val="0"/>
      <w:spacing w:line="360" w:lineRule="atLeast"/>
    </w:pPr>
    <w:rPr>
      <w:rFonts w:ascii="文鼎粗黑" w:eastAsia="文鼎粗黑"/>
      <w:kern w:val="0"/>
      <w:sz w:val="22"/>
      <w:szCs w:val="20"/>
    </w:rPr>
  </w:style>
  <w:style w:type="paragraph" w:customStyle="1" w:styleId="181">
    <w:name w:val="样式2"/>
    <w:basedOn w:val="39"/>
    <w:next w:val="182"/>
    <w:qFormat/>
    <w:uiPriority w:val="0"/>
    <w:pPr>
      <w:spacing w:before="120" w:after="120"/>
    </w:pPr>
    <w:rPr>
      <w:rFonts w:eastAsia="黑体"/>
      <w:b w:val="0"/>
      <w:sz w:val="30"/>
      <w:szCs w:val="30"/>
    </w:rPr>
  </w:style>
  <w:style w:type="paragraph" w:customStyle="1" w:styleId="182">
    <w:name w:val="样式1"/>
    <w:basedOn w:val="39"/>
    <w:qFormat/>
    <w:uiPriority w:val="0"/>
    <w:pPr>
      <w:spacing w:before="120" w:after="120"/>
    </w:pPr>
    <w:rPr>
      <w:rFonts w:eastAsia="黑体"/>
      <w:b w:val="0"/>
      <w:sz w:val="30"/>
      <w:szCs w:val="21"/>
    </w:rPr>
  </w:style>
  <w:style w:type="paragraph" w:customStyle="1" w:styleId="183">
    <w:name w:val="样式41"/>
    <w:basedOn w:val="1"/>
    <w:qFormat/>
    <w:uiPriority w:val="0"/>
    <w:pPr>
      <w:numPr>
        <w:ilvl w:val="0"/>
        <w:numId w:val="7"/>
      </w:numPr>
      <w:tabs>
        <w:tab w:val="left" w:pos="945"/>
      </w:tabs>
      <w:spacing w:line="360" w:lineRule="auto"/>
    </w:pPr>
    <w:rPr>
      <w:b/>
      <w:color w:val="000000"/>
      <w:sz w:val="24"/>
      <w:szCs w:val="20"/>
    </w:rPr>
  </w:style>
  <w:style w:type="paragraph" w:customStyle="1" w:styleId="184">
    <w:name w:val="表内容不缩进"/>
    <w:basedOn w:val="1"/>
    <w:qFormat/>
    <w:uiPriority w:val="0"/>
    <w:pPr>
      <w:spacing w:afterLines="25" w:line="560" w:lineRule="exact"/>
    </w:pPr>
    <w:rPr>
      <w:rFonts w:ascii="仿宋_GB2312" w:hAnsi="等线" w:eastAsia="仿宋_GB2312"/>
      <w:sz w:val="24"/>
      <w:szCs w:val="22"/>
    </w:rPr>
  </w:style>
  <w:style w:type="paragraph" w:customStyle="1" w:styleId="185">
    <w:name w:val="blue1"/>
    <w:basedOn w:val="1"/>
    <w:qFormat/>
    <w:uiPriority w:val="0"/>
    <w:pPr>
      <w:widowControl/>
      <w:spacing w:before="100" w:beforeAutospacing="1" w:after="100" w:afterAutospacing="1"/>
      <w:jc w:val="left"/>
    </w:pPr>
    <w:rPr>
      <w:rFonts w:ascii="宋体" w:hAnsi="宋体" w:cs="宋体"/>
      <w:kern w:val="0"/>
      <w:sz w:val="24"/>
    </w:rPr>
  </w:style>
  <w:style w:type="paragraph" w:customStyle="1" w:styleId="186">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87">
    <w:name w:val="正文1"/>
    <w:basedOn w:val="1"/>
    <w:qFormat/>
    <w:uiPriority w:val="0"/>
    <w:pPr>
      <w:spacing w:line="318" w:lineRule="atLeast"/>
      <w:ind w:left="369" w:firstLine="369"/>
    </w:pPr>
    <w:rPr>
      <w:rFonts w:ascii="宋体"/>
    </w:rPr>
  </w:style>
  <w:style w:type="paragraph" w:customStyle="1" w:styleId="188">
    <w:name w:val="方案要点"/>
    <w:basedOn w:val="1"/>
    <w:qFormat/>
    <w:uiPriority w:val="0"/>
    <w:pPr>
      <w:numPr>
        <w:ilvl w:val="0"/>
        <w:numId w:val="3"/>
      </w:numPr>
      <w:spacing w:line="360" w:lineRule="auto"/>
    </w:pPr>
    <w:rPr>
      <w:rFonts w:ascii="仿宋_GB2312" w:hAnsi="宋体" w:eastAsia="仿宋_GB2312"/>
      <w:color w:val="000000"/>
      <w:sz w:val="28"/>
      <w:szCs w:val="28"/>
    </w:rPr>
  </w:style>
  <w:style w:type="paragraph" w:customStyle="1" w:styleId="189">
    <w:name w:val="无间隔1"/>
    <w:qFormat/>
    <w:uiPriority w:val="0"/>
    <w:rPr>
      <w:rFonts w:ascii="Times New Roman" w:hAnsi="Times New Roman" w:eastAsia="宋体" w:cs="Times New Roman"/>
      <w:sz w:val="24"/>
      <w:szCs w:val="24"/>
      <w:lang w:val="en-US" w:eastAsia="zh-CN" w:bidi="ar-SA"/>
    </w:rPr>
  </w:style>
  <w:style w:type="paragraph" w:customStyle="1" w:styleId="190">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91">
    <w:name w:val="Char Char Char"/>
    <w:basedOn w:val="1"/>
    <w:qFormat/>
    <w:uiPriority w:val="0"/>
    <w:rPr>
      <w:rFonts w:ascii="Tahoma" w:hAnsi="Tahoma"/>
      <w:sz w:val="24"/>
      <w:szCs w:val="20"/>
    </w:rPr>
  </w:style>
  <w:style w:type="paragraph" w:customStyle="1" w:styleId="192">
    <w:name w:val="修订1"/>
    <w:semiHidden/>
    <w:qFormat/>
    <w:uiPriority w:val="99"/>
    <w:rPr>
      <w:rFonts w:ascii="Times New Roman" w:hAnsi="Times New Roman" w:eastAsia="宋体" w:cs="Times New Roman"/>
      <w:kern w:val="2"/>
      <w:sz w:val="21"/>
      <w:szCs w:val="24"/>
      <w:lang w:val="en-US" w:eastAsia="zh-CN" w:bidi="ar-SA"/>
    </w:rPr>
  </w:style>
  <w:style w:type="paragraph" w:customStyle="1" w:styleId="193">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94">
    <w:name w:val="--规划-题注"/>
    <w:basedOn w:val="1"/>
    <w:next w:val="152"/>
    <w:qFormat/>
    <w:uiPriority w:val="0"/>
    <w:pPr>
      <w:spacing w:line="360" w:lineRule="auto"/>
      <w:jc w:val="center"/>
    </w:pPr>
    <w:rPr>
      <w:rFonts w:eastAsia="黑体"/>
    </w:rPr>
  </w:style>
  <w:style w:type="paragraph" w:customStyle="1" w:styleId="195">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96">
    <w:name w:val="正文样式"/>
    <w:basedOn w:val="1"/>
    <w:qFormat/>
    <w:uiPriority w:val="0"/>
    <w:pPr>
      <w:adjustRightInd w:val="0"/>
      <w:spacing w:line="400" w:lineRule="atLeast"/>
      <w:ind w:firstLine="570" w:firstLineChars="203"/>
      <w:textAlignment w:val="baseline"/>
    </w:pPr>
    <w:rPr>
      <w:rFonts w:eastAsia="仿宋_GB2312"/>
      <w:kern w:val="0"/>
      <w:sz w:val="28"/>
      <w:szCs w:val="20"/>
    </w:rPr>
  </w:style>
  <w:style w:type="paragraph" w:customStyle="1" w:styleId="197">
    <w:name w:val="È±Ê¡ÎÄ±¾"/>
    <w:basedOn w:val="1"/>
    <w:qFormat/>
    <w:uiPriority w:val="0"/>
    <w:pPr>
      <w:widowControl/>
      <w:overflowPunct w:val="0"/>
      <w:autoSpaceDE w:val="0"/>
      <w:autoSpaceDN w:val="0"/>
      <w:adjustRightInd w:val="0"/>
      <w:jc w:val="left"/>
      <w:textAlignment w:val="baseline"/>
    </w:pPr>
    <w:rPr>
      <w:kern w:val="0"/>
      <w:sz w:val="24"/>
      <w:szCs w:val="20"/>
    </w:rPr>
  </w:style>
  <w:style w:type="paragraph" w:customStyle="1" w:styleId="198">
    <w:name w:val="首行缩进:  0.85 厘米"/>
    <w:basedOn w:val="1"/>
    <w:qFormat/>
    <w:uiPriority w:val="0"/>
    <w:pPr>
      <w:widowControl/>
      <w:spacing w:after="100" w:line="360" w:lineRule="auto"/>
      <w:ind w:firstLine="482"/>
      <w:jc w:val="left"/>
    </w:pPr>
    <w:rPr>
      <w:rFonts w:cs="宋体"/>
      <w:kern w:val="0"/>
      <w:sz w:val="24"/>
      <w:szCs w:val="20"/>
      <w:lang w:eastAsia="en-US" w:bidi="en-US"/>
    </w:rPr>
  </w:style>
  <w:style w:type="paragraph" w:customStyle="1" w:styleId="199">
    <w:name w:val="正文_0"/>
    <w:qFormat/>
    <w:uiPriority w:val="0"/>
    <w:rPr>
      <w:rFonts w:ascii="Times New Roman" w:hAnsi="Times New Roman" w:eastAsia="宋体" w:cs="Times New Roman"/>
      <w:sz w:val="21"/>
      <w:lang w:val="en-US" w:eastAsia="zh-CN" w:bidi="ar-SA"/>
    </w:rPr>
  </w:style>
  <w:style w:type="paragraph" w:customStyle="1" w:styleId="200">
    <w:name w:val="Char Char Char Char Char"/>
    <w:basedOn w:val="1"/>
    <w:qFormat/>
    <w:uiPriority w:val="0"/>
    <w:rPr>
      <w:rFonts w:ascii="Tahoma" w:hAnsi="Tahoma"/>
      <w:sz w:val="24"/>
      <w:szCs w:val="20"/>
    </w:rPr>
  </w:style>
  <w:style w:type="paragraph" w:customStyle="1" w:styleId="201">
    <w:name w:val="style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02">
    <w:name w:val="汉议细等线简8"/>
    <w:qFormat/>
    <w:uiPriority w:val="0"/>
    <w:pPr>
      <w:widowControl w:val="0"/>
      <w:autoSpaceDE w:val="0"/>
      <w:autoSpaceDN w:val="0"/>
      <w:adjustRightInd w:val="0"/>
      <w:spacing w:line="260" w:lineRule="atLeast"/>
      <w:jc w:val="both"/>
    </w:pPr>
    <w:rPr>
      <w:rFonts w:ascii="汉仪细等线简" w:hAnsi="Times New Roman" w:eastAsia="汉仪细等线简" w:cs="Times New Roman"/>
      <w:color w:val="000000"/>
      <w:sz w:val="16"/>
      <w:szCs w:val="16"/>
      <w:lang w:val="en-US" w:eastAsia="zh-CN" w:bidi="ar-SA"/>
    </w:rPr>
  </w:style>
  <w:style w:type="paragraph" w:customStyle="1" w:styleId="203">
    <w:name w:val="缺省文本"/>
    <w:basedOn w:val="1"/>
    <w:qFormat/>
    <w:uiPriority w:val="0"/>
    <w:pPr>
      <w:autoSpaceDE w:val="0"/>
      <w:autoSpaceDN w:val="0"/>
      <w:adjustRightInd w:val="0"/>
      <w:jc w:val="left"/>
    </w:pPr>
    <w:rPr>
      <w:kern w:val="0"/>
    </w:rPr>
  </w:style>
  <w:style w:type="paragraph" w:styleId="204">
    <w:name w:val="List Paragraph"/>
    <w:basedOn w:val="1"/>
    <w:qFormat/>
    <w:uiPriority w:val="0"/>
    <w:pPr>
      <w:ind w:firstLine="420" w:firstLineChars="200"/>
    </w:pPr>
    <w:rPr>
      <w:szCs w:val="22"/>
    </w:rPr>
  </w:style>
  <w:style w:type="paragraph" w:customStyle="1" w:styleId="205">
    <w:name w:val="正文(首行缩进) Char"/>
    <w:qFormat/>
    <w:uiPriority w:val="0"/>
    <w:pPr>
      <w:spacing w:before="120" w:after="60" w:line="360" w:lineRule="auto"/>
      <w:ind w:firstLine="200" w:firstLineChars="200"/>
    </w:pPr>
    <w:rPr>
      <w:rFonts w:ascii="Times New Roman" w:hAnsi="Times New Roman" w:eastAsia="仿宋_GB2312" w:cs="Times New Roman"/>
      <w:spacing w:val="2"/>
      <w:kern w:val="24"/>
      <w:sz w:val="24"/>
      <w:szCs w:val="24"/>
      <w:lang w:val="en-US" w:eastAsia="zh-CN" w:bidi="ar-SA"/>
    </w:rPr>
  </w:style>
  <w:style w:type="paragraph" w:customStyle="1" w:styleId="206">
    <w:name w:val="封面文档标题"/>
    <w:basedOn w:val="1"/>
    <w:qFormat/>
    <w:uiPriority w:val="0"/>
    <w:pPr>
      <w:autoSpaceDE w:val="0"/>
      <w:autoSpaceDN w:val="0"/>
      <w:adjustRightInd w:val="0"/>
      <w:spacing w:line="360" w:lineRule="auto"/>
      <w:jc w:val="center"/>
    </w:pPr>
    <w:rPr>
      <w:rFonts w:ascii="Arial" w:hAnsi="Arial"/>
      <w:b/>
      <w:kern w:val="0"/>
      <w:sz w:val="56"/>
    </w:rPr>
  </w:style>
  <w:style w:type="paragraph" w:customStyle="1" w:styleId="207">
    <w:name w:val="cont"/>
    <w:basedOn w:val="1"/>
    <w:qFormat/>
    <w:uiPriority w:val="0"/>
    <w:pPr>
      <w:adjustRightInd w:val="0"/>
      <w:spacing w:before="100" w:after="100" w:line="360" w:lineRule="auto"/>
      <w:ind w:firstLine="200" w:firstLineChars="200"/>
      <w:jc w:val="left"/>
      <w:textAlignment w:val="baseline"/>
    </w:pPr>
    <w:rPr>
      <w:rFonts w:ascii="Arial" w:hAnsi="Arial"/>
      <w:kern w:val="0"/>
      <w:sz w:val="24"/>
      <w:szCs w:val="20"/>
    </w:rPr>
  </w:style>
  <w:style w:type="paragraph" w:customStyle="1" w:styleId="208">
    <w:name w:val="表格字"/>
    <w:basedOn w:val="1"/>
    <w:qFormat/>
    <w:uiPriority w:val="0"/>
    <w:pPr>
      <w:adjustRightInd w:val="0"/>
      <w:jc w:val="center"/>
    </w:pPr>
    <w:rPr>
      <w:rFonts w:ascii="宋体"/>
      <w:sz w:val="24"/>
      <w:szCs w:val="20"/>
    </w:rPr>
  </w:style>
  <w:style w:type="paragraph" w:customStyle="1" w:styleId="209">
    <w:name w:val="正文文字缩进项目"/>
    <w:basedOn w:val="19"/>
    <w:qFormat/>
    <w:uiPriority w:val="0"/>
    <w:pPr>
      <w:numPr>
        <w:ilvl w:val="1"/>
        <w:numId w:val="5"/>
      </w:numPr>
      <w:tabs>
        <w:tab w:val="left" w:pos="840"/>
        <w:tab w:val="clear" w:pos="1260"/>
      </w:tabs>
      <w:spacing w:after="120" w:line="240" w:lineRule="auto"/>
      <w:ind w:left="840" w:firstLine="0" w:firstLineChars="0"/>
    </w:pPr>
    <w:rPr>
      <w:rFonts w:ascii="Tahoma" w:hAnsi="Tahoma"/>
      <w:sz w:val="22"/>
      <w:szCs w:val="20"/>
    </w:rPr>
  </w:style>
  <w:style w:type="paragraph" w:customStyle="1" w:styleId="210">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11">
    <w:name w:val=".正文"/>
    <w:basedOn w:val="1"/>
    <w:qFormat/>
    <w:uiPriority w:val="0"/>
    <w:pPr>
      <w:spacing w:beforeLines="50"/>
      <w:ind w:firstLine="200" w:firstLineChars="200"/>
    </w:pPr>
    <w:rPr>
      <w:rFonts w:eastAsia="华文仿宋"/>
      <w:szCs w:val="22"/>
    </w:rPr>
  </w:style>
  <w:style w:type="paragraph" w:customStyle="1" w:styleId="212">
    <w:name w:val="样式 标题 2 + 段前: 13 磅 段后: 13 磅 行距: 单倍行距"/>
    <w:basedOn w:val="3"/>
    <w:qFormat/>
    <w:uiPriority w:val="0"/>
    <w:pPr>
      <w:adjustRightInd/>
      <w:jc w:val="both"/>
      <w:textAlignment w:val="auto"/>
    </w:pPr>
    <w:rPr>
      <w:rFonts w:ascii="Cambria" w:hAnsi="Cambria" w:cs="宋体"/>
      <w:kern w:val="2"/>
      <w:sz w:val="32"/>
    </w:rPr>
  </w:style>
  <w:style w:type="paragraph" w:customStyle="1" w:styleId="213">
    <w:name w:val="--规划正文 Char"/>
    <w:basedOn w:val="1"/>
    <w:qFormat/>
    <w:uiPriority w:val="0"/>
    <w:pPr>
      <w:spacing w:line="360" w:lineRule="auto"/>
      <w:ind w:firstLine="200" w:firstLineChars="200"/>
    </w:pPr>
    <w:rPr>
      <w:sz w:val="24"/>
    </w:rPr>
  </w:style>
  <w:style w:type="paragraph" w:customStyle="1" w:styleId="214">
    <w:name w:val="姜文清定义的正文"/>
    <w:basedOn w:val="1"/>
    <w:qFormat/>
    <w:uiPriority w:val="0"/>
    <w:pPr>
      <w:spacing w:line="240" w:lineRule="atLeast"/>
      <w:ind w:firstLine="567"/>
    </w:pPr>
    <w:rPr>
      <w:szCs w:val="20"/>
    </w:rPr>
  </w:style>
  <w:style w:type="paragraph" w:customStyle="1" w:styleId="215">
    <w:name w:val="_Style 126"/>
    <w:basedOn w:val="1"/>
    <w:next w:val="204"/>
    <w:qFormat/>
    <w:uiPriority w:val="34"/>
    <w:pPr>
      <w:ind w:firstLine="420" w:firstLineChars="200"/>
    </w:pPr>
    <w:rPr>
      <w:szCs w:val="22"/>
    </w:rPr>
  </w:style>
  <w:style w:type="paragraph" w:customStyle="1" w:styleId="216">
    <w:name w:val="9"/>
    <w:basedOn w:val="1"/>
    <w:next w:val="7"/>
    <w:qFormat/>
    <w:uiPriority w:val="0"/>
    <w:pPr>
      <w:autoSpaceDE w:val="0"/>
      <w:autoSpaceDN w:val="0"/>
      <w:adjustRightInd w:val="0"/>
      <w:ind w:firstLine="420"/>
      <w:jc w:val="left"/>
      <w:textAlignment w:val="baseline"/>
    </w:pPr>
    <w:rPr>
      <w:rFonts w:ascii="宋体"/>
      <w:kern w:val="0"/>
      <w:sz w:val="34"/>
      <w:szCs w:val="20"/>
    </w:rPr>
  </w:style>
  <w:style w:type="paragraph" w:customStyle="1" w:styleId="217">
    <w:name w:val="汉仪细等线简9BOLD"/>
    <w:basedOn w:val="1"/>
    <w:qFormat/>
    <w:uiPriority w:val="0"/>
    <w:pPr>
      <w:autoSpaceDE w:val="0"/>
      <w:autoSpaceDN w:val="0"/>
      <w:adjustRightInd w:val="0"/>
      <w:spacing w:line="240" w:lineRule="atLeast"/>
    </w:pPr>
    <w:rPr>
      <w:rFonts w:ascii="汉仪细等线简" w:eastAsia="汉仪细等线简"/>
      <w:b/>
      <w:bCs/>
      <w:kern w:val="0"/>
      <w:sz w:val="18"/>
      <w:szCs w:val="18"/>
    </w:rPr>
  </w:style>
  <w:style w:type="paragraph" w:customStyle="1" w:styleId="218">
    <w:name w:val="z-窗体顶端1"/>
    <w:basedOn w:val="1"/>
    <w:next w:val="1"/>
    <w:qFormat/>
    <w:uiPriority w:val="0"/>
    <w:pPr>
      <w:widowControl/>
      <w:pBdr>
        <w:bottom w:val="single" w:color="auto" w:sz="6" w:space="1"/>
      </w:pBdr>
      <w:jc w:val="center"/>
    </w:pPr>
    <w:rPr>
      <w:rFonts w:ascii="Arial" w:hAnsi="Arial" w:cs="Arial"/>
      <w:vanish/>
      <w:kern w:val="0"/>
      <w:sz w:val="16"/>
      <w:szCs w:val="16"/>
    </w:rPr>
  </w:style>
  <w:style w:type="paragraph" w:customStyle="1" w:styleId="219">
    <w:name w:val="图"/>
    <w:basedOn w:val="1"/>
    <w:qFormat/>
    <w:uiPriority w:val="0"/>
    <w:pPr>
      <w:keepNext/>
      <w:adjustRightInd w:val="0"/>
      <w:snapToGrid w:val="0"/>
      <w:spacing w:before="60" w:after="60" w:line="300" w:lineRule="auto"/>
      <w:jc w:val="center"/>
    </w:pPr>
    <w:rPr>
      <w:spacing w:val="20"/>
      <w:kern w:val="0"/>
      <w:sz w:val="24"/>
      <w:szCs w:val="20"/>
    </w:rPr>
  </w:style>
  <w:style w:type="paragraph" w:customStyle="1" w:styleId="220">
    <w:name w:val="CM2"/>
    <w:basedOn w:val="91"/>
    <w:next w:val="91"/>
    <w:qFormat/>
    <w:uiPriority w:val="0"/>
    <w:pPr>
      <w:spacing w:line="200" w:lineRule="atLeast"/>
    </w:pPr>
    <w:rPr>
      <w:rFonts w:ascii="Arial" w:hAnsi="Arial" w:eastAsia="宋体" w:cs="Times New Roman"/>
      <w:color w:val="auto"/>
    </w:rPr>
  </w:style>
  <w:style w:type="paragraph" w:customStyle="1" w:styleId="221">
    <w:name w:val="word"/>
    <w:basedOn w:val="1"/>
    <w:qFormat/>
    <w:uiPriority w:val="0"/>
    <w:pPr>
      <w:widowControl/>
      <w:spacing w:before="100" w:beforeAutospacing="1" w:after="100" w:afterAutospacing="1" w:line="301" w:lineRule="atLeast"/>
      <w:jc w:val="left"/>
    </w:pPr>
    <w:rPr>
      <w:rFonts w:ascii="ˎ̥" w:hAnsi="ˎ̥"/>
      <w:color w:val="000000"/>
      <w:kern w:val="0"/>
      <w:sz w:val="20"/>
      <w:szCs w:val="20"/>
    </w:rPr>
  </w:style>
  <w:style w:type="paragraph" w:customStyle="1" w:styleId="222">
    <w:name w:val="文字"/>
    <w:basedOn w:val="1"/>
    <w:qFormat/>
    <w:uiPriority w:val="0"/>
    <w:pPr>
      <w:tabs>
        <w:tab w:val="left" w:pos="8520"/>
      </w:tabs>
      <w:spacing w:line="312" w:lineRule="auto"/>
      <w:ind w:right="-210" w:firstLine="556"/>
    </w:pPr>
    <w:rPr>
      <w:rFonts w:ascii="宋体"/>
      <w:sz w:val="28"/>
      <w:szCs w:val="20"/>
    </w:rPr>
  </w:style>
  <w:style w:type="paragraph" w:customStyle="1" w:styleId="223">
    <w:name w:val="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24">
    <w:name w:val="6"/>
    <w:basedOn w:val="161"/>
    <w:qFormat/>
    <w:uiPriority w:val="0"/>
    <w:pPr>
      <w:spacing w:line="270" w:lineRule="atLeast"/>
      <w:jc w:val="both"/>
    </w:pPr>
    <w:rPr>
      <w:b w:val="0"/>
      <w:bCs w:val="0"/>
    </w:rPr>
  </w:style>
  <w:style w:type="paragraph" w:customStyle="1" w:styleId="225">
    <w:name w:val="评价"/>
    <w:basedOn w:val="1"/>
    <w:qFormat/>
    <w:uiPriority w:val="0"/>
    <w:pPr>
      <w:spacing w:afterLines="20"/>
      <w:ind w:firstLine="1446" w:firstLineChars="200"/>
    </w:pPr>
    <w:rPr>
      <w:sz w:val="24"/>
    </w:rPr>
  </w:style>
  <w:style w:type="paragraph" w:customStyle="1" w:styleId="226">
    <w:name w:val="_Style 225"/>
    <w:unhideWhenUsed/>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34</Pages>
  <Words>16187</Words>
  <Characters>16566</Characters>
  <Lines>253</Lines>
  <Paragraphs>71</Paragraphs>
  <TotalTime>4</TotalTime>
  <ScaleCrop>false</ScaleCrop>
  <LinksUpToDate>false</LinksUpToDate>
  <CharactersWithSpaces>16629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2026-04-29T09:57:00Z</dcterms:created>
  <dc:creator>A</dc:creator>
  <cp:lastModifiedBy>梁海芳</cp:lastModifiedBy>
  <cp:lastPrinted>2022-08-26T10:51:00Z</cp:lastPrinted>
  <dcterms:modified xsi:type="dcterms:W3CDTF">2026-06-03T10:12:57Z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FF068CAD0D0F44E3B2C9DD569285720B_13</vt:lpwstr>
  </property>
  <property fmtid="{D5CDD505-2E9C-101B-9397-08002B2CF9AE}" pid="4" name="KSOTemplateDocerSaveRecord">
    <vt:lpwstr>eyJoZGlkIjoiNTdkNTRiZDRlNWY1MTQ3ZGNmNzljMmZiMDk0NWQ1YzkiLCJ1c2VySWQiOiIxNjgyNzQ2NDY3In0=</vt:lpwstr>
  </property>
</Properties>
</file>