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Theme="minorEastAsia" w:hAnsiTheme="minorEastAsia" w:eastAsiaTheme="minorEastAsia" w:cstheme="minorEastAsia"/>
          <w:b w:val="0"/>
          <w:bCs w:val="0"/>
          <w:szCs w:val="32"/>
        </w:rPr>
      </w:pPr>
      <w:r>
        <w:rPr>
          <w:rFonts w:hint="eastAsia" w:asciiTheme="minorEastAsia" w:hAnsiTheme="minorEastAsia" w:eastAsiaTheme="minorEastAsia" w:cstheme="minorEastAsia"/>
          <w:bCs w:val="0"/>
          <w:szCs w:val="32"/>
        </w:rPr>
        <w:t>中山大学附属第七医院智能自助终端维护服务项目需求书</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一、项目名称：</w:t>
      </w:r>
      <w:r>
        <w:rPr>
          <w:rFonts w:hint="eastAsia"/>
        </w:rPr>
        <w:t>中山大学附属第七医院智能自助终端维护服务项目</w:t>
      </w:r>
    </w:p>
    <w:p>
      <w:pPr>
        <w:tabs>
          <w:tab w:val="left" w:pos="0"/>
        </w:tabs>
        <w:spacing w:line="360" w:lineRule="auto"/>
        <w:ind w:firstLine="420" w:firstLineChars="200"/>
        <w:rPr>
          <w:rFonts w:hint="eastAsia" w:ascii="宋体" w:hAnsi="宋体"/>
          <w:szCs w:val="21"/>
        </w:rPr>
      </w:pPr>
      <w:r>
        <w:rPr>
          <w:rFonts w:hint="eastAsia" w:asciiTheme="minorEastAsia" w:hAnsiTheme="minorEastAsia" w:cstheme="minorEastAsia"/>
          <w:szCs w:val="21"/>
        </w:rPr>
        <w:t>二、</w:t>
      </w:r>
      <w:r>
        <w:rPr>
          <w:rFonts w:hint="eastAsia" w:asciiTheme="minorEastAsia" w:hAnsiTheme="minorEastAsia" w:cstheme="minorEastAsia"/>
          <w:szCs w:val="21"/>
          <w:lang w:val="en-US" w:eastAsia="zh-CN"/>
        </w:rPr>
        <w:t>项目背景</w:t>
      </w:r>
      <w:r>
        <w:rPr>
          <w:rFonts w:hint="eastAsia" w:asciiTheme="minorEastAsia" w:hAnsiTheme="minorEastAsia" w:cstheme="minorEastAsia"/>
          <w:szCs w:val="21"/>
        </w:rPr>
        <w:t>：</w:t>
      </w:r>
      <w:r>
        <w:rPr>
          <w:rFonts w:hint="eastAsia" w:ascii="宋体" w:hAnsi="宋体"/>
          <w:szCs w:val="21"/>
          <w:lang w:val="en-US" w:eastAsia="zh-CN"/>
        </w:rPr>
        <w:t>中山七</w:t>
      </w:r>
      <w:r>
        <w:rPr>
          <w:rFonts w:hint="eastAsia" w:ascii="宋体" w:hAnsi="宋体"/>
          <w:szCs w:val="21"/>
        </w:rPr>
        <w:t>院自开业</w:t>
      </w:r>
      <w:r>
        <w:rPr>
          <w:rFonts w:hint="eastAsia" w:ascii="宋体" w:hAnsi="宋体"/>
          <w:szCs w:val="21"/>
          <w:lang w:val="en-US" w:eastAsia="zh-CN"/>
        </w:rPr>
        <w:t>至今已3年有余，</w:t>
      </w:r>
      <w:r>
        <w:rPr>
          <w:rFonts w:hint="eastAsia" w:ascii="宋体" w:hAnsi="宋体"/>
          <w:szCs w:val="21"/>
        </w:rPr>
        <w:t>智能自助终端</w:t>
      </w:r>
      <w:r>
        <w:rPr>
          <w:rFonts w:hint="eastAsia" w:ascii="宋体" w:hAnsi="宋体"/>
          <w:szCs w:val="21"/>
          <w:lang w:val="en-US" w:eastAsia="zh-CN"/>
        </w:rPr>
        <w:t>也于同期投入使用</w:t>
      </w:r>
      <w:r>
        <w:rPr>
          <w:rFonts w:hint="eastAsia" w:ascii="宋体" w:hAnsi="宋体"/>
          <w:szCs w:val="21"/>
        </w:rPr>
        <w:t>。今年9月，本批智能自助终端设备的免费维保期将到期，为保证自助终端在医院运营期间能正常使用和维护，</w:t>
      </w:r>
      <w:r>
        <w:rPr>
          <w:rFonts w:hint="eastAsia" w:ascii="宋体" w:hAnsi="宋体"/>
          <w:szCs w:val="21"/>
          <w:lang w:val="en-US" w:eastAsia="zh-CN"/>
        </w:rPr>
        <w:t>特需</w:t>
      </w:r>
      <w:r>
        <w:rPr>
          <w:rFonts w:hint="eastAsia" w:ascii="宋体" w:hAnsi="宋体"/>
          <w:szCs w:val="21"/>
        </w:rPr>
        <w:t>采购下一合同期的智能自助终端维护服务。</w:t>
      </w:r>
    </w:p>
    <w:p>
      <w:pPr>
        <w:tabs>
          <w:tab w:val="left" w:pos="0"/>
        </w:tabs>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三、合同服务期限：2021年9月16日-2022年9月15日。</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四、</w:t>
      </w:r>
      <w:r>
        <w:rPr>
          <w:rFonts w:hint="eastAsia" w:asciiTheme="minorEastAsia" w:hAnsiTheme="minorEastAsia" w:cstheme="minorEastAsia"/>
          <w:szCs w:val="21"/>
          <w:lang w:val="en-US" w:eastAsia="zh-CN"/>
        </w:rPr>
        <w:t>项目内容</w:t>
      </w:r>
    </w:p>
    <w:p>
      <w:pPr>
        <w:widowControl/>
        <w:spacing w:line="560" w:lineRule="exact"/>
        <w:ind w:firstLine="422" w:firstLineChars="200"/>
        <w:rPr>
          <w:rFonts w:hint="default" w:ascii="宋体" w:hAnsi="宋体" w:eastAsiaTheme="minorEastAsia"/>
          <w:b/>
          <w:szCs w:val="21"/>
          <w:lang w:val="en-US" w:eastAsia="zh-CN"/>
        </w:rPr>
      </w:pPr>
      <w:bookmarkStart w:id="0" w:name="_Toc363145068"/>
      <w:bookmarkStart w:id="1" w:name="_Toc296006335"/>
      <w:bookmarkStart w:id="2" w:name="_Toc296006405"/>
      <w:bookmarkStart w:id="3" w:name="_Toc363145530"/>
      <w:bookmarkStart w:id="4" w:name="_Toc363145647"/>
      <w:bookmarkStart w:id="5" w:name="_Toc296003023"/>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lang w:val="en-US" w:eastAsia="zh-CN"/>
        </w:rPr>
        <w:t>维护设备（医院在用设备）</w:t>
      </w:r>
    </w:p>
    <w:tbl>
      <w:tblPr>
        <w:tblStyle w:val="6"/>
        <w:tblW w:w="8520" w:type="dxa"/>
        <w:jc w:val="center"/>
        <w:tblLayout w:type="autofit"/>
        <w:tblCellMar>
          <w:top w:w="0" w:type="dxa"/>
          <w:left w:w="108" w:type="dxa"/>
          <w:bottom w:w="0" w:type="dxa"/>
          <w:right w:w="108" w:type="dxa"/>
        </w:tblCellMar>
      </w:tblPr>
      <w:tblGrid>
        <w:gridCol w:w="1049"/>
        <w:gridCol w:w="857"/>
        <w:gridCol w:w="1484"/>
        <w:gridCol w:w="5130"/>
      </w:tblGrid>
      <w:tr>
        <w:tblPrEx>
          <w:tblCellMar>
            <w:top w:w="0" w:type="dxa"/>
            <w:left w:w="108" w:type="dxa"/>
            <w:bottom w:w="0" w:type="dxa"/>
            <w:right w:w="108" w:type="dxa"/>
          </w:tblCellMar>
        </w:tblPrEx>
        <w:trPr>
          <w:trHeight w:val="480" w:hRule="atLeast"/>
          <w:jc w:val="center"/>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kern w:val="0"/>
                <w:sz w:val="22"/>
                <w:szCs w:val="20"/>
              </w:rPr>
            </w:pPr>
            <w:r>
              <w:rPr>
                <w:rFonts w:ascii="宋体" w:hAnsi="宋体" w:eastAsia="宋体" w:cs="宋体"/>
                <w:b/>
                <w:kern w:val="0"/>
                <w:sz w:val="22"/>
                <w:szCs w:val="20"/>
              </w:rPr>
              <w:t>设备名称</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kern w:val="0"/>
                <w:sz w:val="22"/>
                <w:szCs w:val="20"/>
              </w:rPr>
            </w:pPr>
            <w:r>
              <w:rPr>
                <w:rFonts w:hint="eastAsia" w:ascii="宋体" w:hAnsi="宋体" w:eastAsia="宋体" w:cs="宋体"/>
                <w:b/>
                <w:kern w:val="0"/>
                <w:sz w:val="22"/>
                <w:szCs w:val="20"/>
              </w:rPr>
              <w:t>设备型号</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2"/>
                <w:szCs w:val="20"/>
              </w:rPr>
            </w:pPr>
            <w:r>
              <w:rPr>
                <w:rFonts w:ascii="Times New Roman" w:hAnsi="Times New Roman" w:eastAsia="宋体" w:cs="Times New Roman"/>
                <w:b/>
                <w:kern w:val="0"/>
                <w:sz w:val="22"/>
                <w:szCs w:val="20"/>
              </w:rPr>
              <w:t>设备数量</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kern w:val="0"/>
                <w:sz w:val="22"/>
                <w:szCs w:val="20"/>
                <w:lang w:val="en-US" w:eastAsia="zh-CN"/>
              </w:rPr>
            </w:pPr>
            <w:r>
              <w:rPr>
                <w:rFonts w:hint="eastAsia" w:ascii="Times New Roman" w:hAnsi="Times New Roman" w:eastAsia="宋体" w:cs="Times New Roman"/>
                <w:b/>
                <w:kern w:val="0"/>
                <w:sz w:val="22"/>
                <w:szCs w:val="20"/>
                <w:lang w:val="en-US" w:eastAsia="zh-CN"/>
              </w:rPr>
              <w:t>说明</w:t>
            </w:r>
          </w:p>
        </w:tc>
      </w:tr>
      <w:tr>
        <w:tblPrEx>
          <w:tblCellMar>
            <w:top w:w="0" w:type="dxa"/>
            <w:left w:w="108" w:type="dxa"/>
            <w:bottom w:w="0" w:type="dxa"/>
            <w:right w:w="108" w:type="dxa"/>
          </w:tblCellMar>
        </w:tblPrEx>
        <w:trPr>
          <w:trHeight w:val="480" w:hRule="atLeast"/>
          <w:jc w:val="center"/>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0"/>
              </w:rPr>
            </w:pPr>
            <w:r>
              <w:rPr>
                <w:rFonts w:hint="eastAsia" w:ascii="宋体" w:hAnsi="宋体" w:eastAsia="宋体" w:cs="宋体"/>
                <w:kern w:val="0"/>
                <w:szCs w:val="20"/>
              </w:rPr>
              <w:t>银医专用设备</w:t>
            </w:r>
          </w:p>
        </w:tc>
        <w:tc>
          <w:tcPr>
            <w:tcW w:w="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0"/>
              </w:rPr>
            </w:pPr>
            <w:r>
              <w:rPr>
                <w:rFonts w:hint="eastAsia" w:ascii="宋体" w:hAnsi="宋体" w:eastAsia="宋体" w:cs="宋体"/>
                <w:kern w:val="0"/>
                <w:szCs w:val="20"/>
              </w:rPr>
              <w:t>机型一</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Cs w:val="20"/>
              </w:rPr>
            </w:pPr>
            <w:r>
              <w:rPr>
                <w:rFonts w:hint="eastAsia" w:ascii="Times New Roman" w:hAnsi="Times New Roman" w:eastAsia="宋体" w:cs="Times New Roman"/>
                <w:kern w:val="0"/>
                <w:szCs w:val="20"/>
              </w:rPr>
              <w:t>3</w:t>
            </w:r>
            <w:r>
              <w:rPr>
                <w:rFonts w:ascii="Times New Roman" w:hAnsi="Times New Roman" w:eastAsia="宋体" w:cs="Times New Roman"/>
                <w:kern w:val="0"/>
                <w:szCs w:val="20"/>
              </w:rPr>
              <w:t>3</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本机主要具备触控一体机、广告显示、二代身份证读卡器、银行卡读卡器、凭条打印机、证卡打印机、检验检查结果发放打印模块、立式定制机柜、UPS电源等功能</w:t>
            </w:r>
          </w:p>
        </w:tc>
      </w:tr>
      <w:tr>
        <w:tblPrEx>
          <w:tblCellMar>
            <w:top w:w="0" w:type="dxa"/>
            <w:left w:w="108" w:type="dxa"/>
            <w:bottom w:w="0" w:type="dxa"/>
            <w:right w:w="108" w:type="dxa"/>
          </w:tblCellMar>
        </w:tblPrEx>
        <w:trPr>
          <w:trHeight w:val="480" w:hRule="atLeast"/>
          <w:jc w:val="center"/>
        </w:trPr>
        <w:tc>
          <w:tcPr>
            <w:tcW w:w="1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0"/>
              </w:rPr>
            </w:pPr>
            <w:r>
              <w:rPr>
                <w:rFonts w:hint="eastAsia" w:ascii="宋体" w:hAnsi="宋体" w:eastAsia="宋体" w:cs="宋体"/>
                <w:kern w:val="0"/>
                <w:szCs w:val="20"/>
              </w:rPr>
              <w:t>银医专用设备</w:t>
            </w:r>
          </w:p>
        </w:tc>
        <w:tc>
          <w:tcPr>
            <w:tcW w:w="85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0"/>
              </w:rPr>
            </w:pPr>
            <w:r>
              <w:rPr>
                <w:rFonts w:hint="eastAsia" w:ascii="宋体" w:hAnsi="宋体" w:eastAsia="宋体" w:cs="宋体"/>
                <w:kern w:val="0"/>
                <w:szCs w:val="20"/>
              </w:rPr>
              <w:t>机型二</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Cs w:val="20"/>
              </w:rPr>
            </w:pPr>
            <w:r>
              <w:rPr>
                <w:rFonts w:hint="eastAsia" w:ascii="Times New Roman" w:hAnsi="Times New Roman" w:eastAsia="宋体" w:cs="Times New Roman"/>
                <w:kern w:val="0"/>
                <w:szCs w:val="20"/>
              </w:rPr>
              <w:t>1</w:t>
            </w:r>
            <w:r>
              <w:rPr>
                <w:rFonts w:ascii="Times New Roman" w:hAnsi="Times New Roman" w:eastAsia="宋体" w:cs="Times New Roman"/>
                <w:kern w:val="0"/>
                <w:szCs w:val="20"/>
              </w:rPr>
              <w:t>6</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rPr>
              <w:t>本机主要具备触控一体机</w:t>
            </w:r>
            <w:r>
              <w:rPr>
                <w:rFonts w:hint="eastAsia" w:ascii="Times New Roman" w:hAnsi="Times New Roman" w:eastAsia="宋体" w:cs="Times New Roman"/>
                <w:kern w:val="0"/>
                <w:szCs w:val="20"/>
                <w:lang w:eastAsia="zh-CN"/>
              </w:rPr>
              <w:t>（</w:t>
            </w:r>
            <w:r>
              <w:rPr>
                <w:rFonts w:hint="eastAsia" w:ascii="Times New Roman" w:hAnsi="Times New Roman" w:eastAsia="宋体" w:cs="Times New Roman"/>
                <w:kern w:val="0"/>
                <w:szCs w:val="20"/>
                <w:lang w:val="en-US" w:eastAsia="zh-CN"/>
              </w:rPr>
              <w:t>双主机、双屏显示</w:t>
            </w:r>
            <w:r>
              <w:rPr>
                <w:rFonts w:hint="eastAsia" w:ascii="Times New Roman" w:hAnsi="Times New Roman" w:eastAsia="宋体" w:cs="Times New Roman"/>
                <w:kern w:val="0"/>
                <w:szCs w:val="20"/>
                <w:lang w:eastAsia="zh-CN"/>
              </w:rPr>
              <w:t>）</w:t>
            </w:r>
            <w:r>
              <w:rPr>
                <w:rFonts w:hint="eastAsia" w:ascii="Times New Roman" w:hAnsi="Times New Roman" w:eastAsia="宋体" w:cs="Times New Roman"/>
                <w:kern w:val="0"/>
                <w:szCs w:val="20"/>
              </w:rPr>
              <w:t>、广告显示、二代身份证读卡器、银行卡读卡器、凭条打印机、证卡打印机、检验检查结果发放</w:t>
            </w:r>
            <w:r>
              <w:rPr>
                <w:rFonts w:hint="eastAsia" w:ascii="Times New Roman" w:hAnsi="Times New Roman" w:eastAsia="宋体" w:cs="Times New Roman"/>
                <w:kern w:val="0"/>
                <w:szCs w:val="20"/>
                <w:lang w:val="en-US" w:eastAsia="zh-CN"/>
              </w:rPr>
              <w:t>打印</w:t>
            </w:r>
            <w:r>
              <w:rPr>
                <w:rFonts w:hint="eastAsia" w:ascii="Times New Roman" w:hAnsi="Times New Roman" w:eastAsia="宋体" w:cs="Times New Roman"/>
                <w:kern w:val="0"/>
                <w:szCs w:val="20"/>
              </w:rPr>
              <w:t>模块、立式定制机柜、UPS电源</w:t>
            </w:r>
            <w:r>
              <w:rPr>
                <w:rFonts w:hint="eastAsia" w:ascii="Times New Roman" w:hAnsi="Times New Roman" w:eastAsia="宋体" w:cs="Times New Roman"/>
                <w:kern w:val="0"/>
                <w:szCs w:val="20"/>
                <w:lang w:val="en-US" w:eastAsia="zh-CN"/>
              </w:rPr>
              <w:t>等功能</w:t>
            </w:r>
            <w:bookmarkStart w:id="6" w:name="_GoBack"/>
            <w:bookmarkEnd w:id="6"/>
          </w:p>
        </w:tc>
      </w:tr>
    </w:tbl>
    <w:p>
      <w:pPr>
        <w:widowControl/>
        <w:numPr>
          <w:ilvl w:val="0"/>
          <w:numId w:val="2"/>
        </w:numPr>
        <w:spacing w:line="560" w:lineRule="exact"/>
        <w:ind w:firstLine="422" w:firstLineChars="200"/>
        <w:rPr>
          <w:rFonts w:hint="eastAsia" w:ascii="宋体" w:hAnsi="宋体"/>
          <w:b/>
          <w:szCs w:val="21"/>
          <w:lang w:val="en-US" w:eastAsia="zh-CN"/>
        </w:rPr>
      </w:pPr>
      <w:r>
        <w:rPr>
          <w:rFonts w:hint="eastAsia" w:ascii="宋体" w:hAnsi="宋体"/>
          <w:b/>
          <w:szCs w:val="21"/>
          <w:lang w:val="en-US" w:eastAsia="zh-CN"/>
        </w:rPr>
        <w:t>维护系统（在用系统）</w:t>
      </w:r>
    </w:p>
    <w:tbl>
      <w:tblPr>
        <w:tblStyle w:val="6"/>
        <w:tblW w:w="7724" w:type="dxa"/>
        <w:jc w:val="center"/>
        <w:tblLayout w:type="fixed"/>
        <w:tblCellMar>
          <w:top w:w="0" w:type="dxa"/>
          <w:left w:w="108" w:type="dxa"/>
          <w:bottom w:w="0" w:type="dxa"/>
          <w:right w:w="108" w:type="dxa"/>
        </w:tblCellMar>
      </w:tblPr>
      <w:tblGrid>
        <w:gridCol w:w="693"/>
        <w:gridCol w:w="2163"/>
        <w:gridCol w:w="521"/>
        <w:gridCol w:w="10"/>
        <w:gridCol w:w="841"/>
        <w:gridCol w:w="1747"/>
        <w:gridCol w:w="1749"/>
      </w:tblGrid>
      <w:tr>
        <w:tblPrEx>
          <w:tblCellMar>
            <w:top w:w="0" w:type="dxa"/>
            <w:left w:w="108" w:type="dxa"/>
            <w:bottom w:w="0" w:type="dxa"/>
            <w:right w:w="108" w:type="dxa"/>
          </w:tblCellMar>
        </w:tblPrEx>
        <w:trPr>
          <w:trHeight w:val="855"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设备/服务名称</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7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型号/服务要求</w:t>
            </w:r>
          </w:p>
        </w:tc>
      </w:tr>
      <w:tr>
        <w:tblPrEx>
          <w:tblCellMar>
            <w:top w:w="0" w:type="dxa"/>
            <w:left w:w="108" w:type="dxa"/>
            <w:bottom w:w="0" w:type="dxa"/>
            <w:right w:w="108" w:type="dxa"/>
          </w:tblCellMar>
        </w:tblPrEx>
        <w:trPr>
          <w:trHeight w:val="285"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多功能银医自助软件</w:t>
            </w:r>
          </w:p>
        </w:tc>
        <w:tc>
          <w:tcPr>
            <w:tcW w:w="5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Theme="minorEastAsia" w:hAnsiTheme="minorEastAsia"/>
                <w:kern w:val="0"/>
                <w:szCs w:val="21"/>
              </w:rPr>
              <w:t>项</w:t>
            </w:r>
          </w:p>
        </w:tc>
        <w:tc>
          <w:tcPr>
            <w:tcW w:w="1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Theme="minorEastAsia" w:hAnsiTheme="minorEastAsia"/>
                <w:kern w:val="0"/>
                <w:szCs w:val="21"/>
              </w:rPr>
              <w:t>神思旭辉医疗信息技术有限责任公司</w:t>
            </w:r>
          </w:p>
        </w:tc>
        <w:tc>
          <w:tcPr>
            <w:tcW w:w="1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原厂或原厂授权</w:t>
            </w:r>
          </w:p>
        </w:tc>
      </w:tr>
    </w:tbl>
    <w:p>
      <w:pPr>
        <w:widowControl/>
        <w:numPr>
          <w:ilvl w:val="0"/>
          <w:numId w:val="0"/>
        </w:numPr>
        <w:spacing w:line="560" w:lineRule="exact"/>
        <w:rPr>
          <w:rFonts w:hint="default" w:ascii="宋体" w:hAnsi="宋体"/>
          <w:b/>
          <w:szCs w:val="21"/>
          <w:lang w:val="en-US" w:eastAsia="zh-CN"/>
        </w:rPr>
      </w:pPr>
    </w:p>
    <w:p>
      <w:pPr>
        <w:widowControl/>
        <w:spacing w:line="560" w:lineRule="exact"/>
        <w:ind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服务要求</w:t>
      </w:r>
    </w:p>
    <w:p>
      <w:pPr>
        <w:widowControl/>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提供原厂商售后终身维护承诺，原厂维护服务要求：</w:t>
      </w:r>
    </w:p>
    <w:p>
      <w:pPr>
        <w:widowControl/>
        <w:spacing w:line="360" w:lineRule="auto"/>
        <w:ind w:firstLine="420" w:firstLineChars="200"/>
        <w:rPr>
          <w:rFonts w:hint="eastAsia" w:ascii="宋体" w:hAnsi="宋体"/>
          <w:szCs w:val="21"/>
        </w:rPr>
      </w:pPr>
      <w:r>
        <w:rPr>
          <w:rFonts w:hint="eastAsia" w:ascii="宋体" w:hAnsi="宋体"/>
          <w:szCs w:val="21"/>
        </w:rPr>
        <w:t>①智能自助设备每月定期巡检一次，每三个月进行一次彻底检查服务，一年大修并检查一次，现场检查系统，消除潜在问题，保证设备正常运行。</w:t>
      </w:r>
    </w:p>
    <w:p>
      <w:pPr>
        <w:widowControl/>
        <w:spacing w:line="360" w:lineRule="auto"/>
        <w:ind w:firstLine="420" w:firstLineChars="200"/>
        <w:rPr>
          <w:rFonts w:hint="eastAsia" w:ascii="宋体" w:hAnsi="宋体"/>
          <w:szCs w:val="21"/>
        </w:rPr>
      </w:pPr>
      <w:r>
        <w:rPr>
          <w:rFonts w:hint="eastAsia" w:ascii="宋体" w:hAnsi="宋体"/>
          <w:szCs w:val="21"/>
        </w:rPr>
        <w:t>②提供驻点服务，7×24小时全面响应。选派1名专业工程师驻点项目现场，提供7*24小时技术支持服务，接到故障报修后，半小时内予以响应、硬件故障小修2小时内解决，大修2日内解决。小修是指日常软件调试，耗材类维护。大修是指部件类故障造成的设备运行异常等硬性故障。根据合同及技术协议的要求，保修期内，因产品的制造，装配及材料等质量问题造成各类故障或零件损坏，免费为用户现场维修或更换相应零配件。对保修期外的产品，通过销售负责人报价（包括零配件，人员差旅等）费用，由用户确认费用后，售后服务部经理及时妥善的安排服务工程师到现场服务。售后服务人员服务完成后，必须以电话或微信、QQ等形式告知售后经理/助理处理结果，并将《上门服务单》拍照发送助理备档。</w:t>
      </w:r>
    </w:p>
    <w:p>
      <w:pPr>
        <w:widowControl/>
        <w:spacing w:line="360" w:lineRule="auto"/>
        <w:ind w:firstLine="420" w:firstLineChars="200"/>
        <w:rPr>
          <w:rFonts w:hint="eastAsia" w:ascii="宋体" w:hAnsi="宋体"/>
          <w:szCs w:val="21"/>
        </w:rPr>
      </w:pPr>
      <w:r>
        <w:rPr>
          <w:rFonts w:hint="eastAsia" w:ascii="宋体" w:hAnsi="宋体"/>
          <w:szCs w:val="21"/>
        </w:rPr>
        <w:t>③维护期内无偿更换由于原材料缺陷及制造工艺等问题而发生故障的部件。</w:t>
      </w:r>
    </w:p>
    <w:p>
      <w:pPr>
        <w:widowControl/>
        <w:spacing w:line="360" w:lineRule="auto"/>
        <w:ind w:firstLine="420" w:firstLineChars="200"/>
        <w:rPr>
          <w:rFonts w:ascii="宋体" w:hAnsi="宋体"/>
          <w:szCs w:val="21"/>
        </w:rPr>
      </w:pPr>
      <w:r>
        <w:rPr>
          <w:rFonts w:hint="eastAsia" w:ascii="宋体" w:hAnsi="宋体"/>
          <w:szCs w:val="21"/>
        </w:rPr>
        <w:t>④设立400服务热线，协调各方资源解决用户问题。免费远程支持与技术咨询服务：开通热线服务，提供7*24小时全天候远程服务；全国统一服务热线昼夜专人值守，全天候受理客户咨询；远程技术支持接到热线后，一般性问题当场解决；需要现场解决的，远程技术支持将于20分钟内响应，通过服务派单安排现场技术支持提供上门服务；400热线开通了客户评价功能与投诉专线，客户诉求和权益得到充分保障。</w:t>
      </w:r>
    </w:p>
    <w:p>
      <w:pPr>
        <w:widowControl/>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⑤</w:t>
      </w:r>
      <w:r>
        <w:rPr>
          <w:rFonts w:hint="eastAsia" w:ascii="宋体" w:hAnsi="宋体"/>
          <w:szCs w:val="21"/>
        </w:rPr>
        <w:t>软、硬件升级服务: 产品中的软件或系统发布了任何更新、补丁、版本升级等，售后服务中心经过评估，提供可行的升级计划方案与客户进行技术交流，征得客户同意后免费组织实施升级工作；客户在设备使用过程中，若主动提出程序升级或改造需求时，客服中心本部将会同公司内部其他部门经过评估，给予升级支持。</w:t>
      </w:r>
      <w:bookmarkEnd w:id="0"/>
      <w:bookmarkEnd w:id="1"/>
      <w:bookmarkEnd w:id="2"/>
      <w:bookmarkEnd w:id="3"/>
      <w:bookmarkEnd w:id="4"/>
      <w:bookmarkEnd w:id="5"/>
    </w:p>
    <w:sectPr>
      <w:footerReference r:id="rId3" w:type="default"/>
      <w:pgSz w:w="11906" w:h="16838"/>
      <w:pgMar w:top="1247" w:right="1247" w:bottom="124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kern w:val="0"/>
        <w:szCs w:val="21"/>
      </w:rPr>
    </w:pPr>
    <w:r>
      <w:rPr>
        <w:rFonts w:hint="eastAsia" w:hAnsi="宋体"/>
        <w:kern w:val="0"/>
        <w:szCs w:val="21"/>
      </w:rPr>
      <w:t>第</w:t>
    </w:r>
    <w:r>
      <w:rPr>
        <w:rFonts w:hAnsi="宋体"/>
        <w:kern w:val="0"/>
        <w:szCs w:val="21"/>
      </w:rPr>
      <w:fldChar w:fldCharType="begin"/>
    </w:r>
    <w:r>
      <w:rPr>
        <w:rFonts w:hAnsi="宋体"/>
        <w:kern w:val="0"/>
        <w:szCs w:val="21"/>
      </w:rPr>
      <w:instrText xml:space="preserve"> PAGE </w:instrText>
    </w:r>
    <w:r>
      <w:rPr>
        <w:rFonts w:hAnsi="宋体"/>
        <w:kern w:val="0"/>
        <w:szCs w:val="21"/>
      </w:rPr>
      <w:fldChar w:fldCharType="separate"/>
    </w:r>
    <w:r>
      <w:rPr>
        <w:rFonts w:hAnsi="宋体"/>
        <w:kern w:val="0"/>
        <w:szCs w:val="21"/>
      </w:rPr>
      <w:t>21</w:t>
    </w:r>
    <w:r>
      <w:rPr>
        <w:rFonts w:hAnsi="宋体"/>
        <w:kern w:val="0"/>
        <w:szCs w:val="21"/>
      </w:rPr>
      <w:fldChar w:fldCharType="end"/>
    </w:r>
    <w:r>
      <w:rPr>
        <w:rFonts w:hint="eastAsia" w:hAnsi="宋体"/>
        <w:kern w:val="0"/>
        <w:szCs w:val="21"/>
      </w:rPr>
      <w:t>页共</w:t>
    </w:r>
    <w:r>
      <w:rPr>
        <w:rFonts w:hAnsi="宋体"/>
        <w:kern w:val="0"/>
        <w:szCs w:val="21"/>
      </w:rPr>
      <w:fldChar w:fldCharType="begin"/>
    </w:r>
    <w:r>
      <w:rPr>
        <w:rFonts w:hAnsi="宋体"/>
        <w:kern w:val="0"/>
        <w:szCs w:val="21"/>
      </w:rPr>
      <w:instrText xml:space="preserve"> NUMPAGES </w:instrText>
    </w:r>
    <w:r>
      <w:rPr>
        <w:rFonts w:hAnsi="宋体"/>
        <w:kern w:val="0"/>
        <w:szCs w:val="21"/>
      </w:rPr>
      <w:fldChar w:fldCharType="separate"/>
    </w:r>
    <w:r>
      <w:rPr>
        <w:rFonts w:hAnsi="宋体"/>
        <w:kern w:val="0"/>
        <w:szCs w:val="21"/>
      </w:rPr>
      <w:t>23</w:t>
    </w:r>
    <w:r>
      <w:rPr>
        <w:rFonts w:hAnsi="宋体"/>
        <w:kern w:val="0"/>
        <w:szCs w:val="21"/>
      </w:rPr>
      <w:fldChar w:fldCharType="end"/>
    </w:r>
    <w:r>
      <w:rPr>
        <w:rFonts w:hint="eastAsia" w:hAnsi="宋体"/>
        <w:kern w:val="0"/>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C020B"/>
    <w:multiLevelType w:val="singleLevel"/>
    <w:tmpl w:val="160C020B"/>
    <w:lvl w:ilvl="0" w:tentative="0">
      <w:start w:val="2"/>
      <w:numFmt w:val="chineseCounting"/>
      <w:suff w:val="nothing"/>
      <w:lvlText w:val="（%1）"/>
      <w:lvlJc w:val="left"/>
      <w:rPr>
        <w:rFonts w:hint="eastAsia"/>
      </w:rPr>
    </w:lvl>
  </w:abstractNum>
  <w:abstractNum w:abstractNumId="1">
    <w:nsid w:val="4917347F"/>
    <w:multiLevelType w:val="multilevel"/>
    <w:tmpl w:val="4917347F"/>
    <w:lvl w:ilvl="0" w:tentative="0">
      <w:start w:val="1"/>
      <w:numFmt w:val="japaneseCounting"/>
      <w:pStyle w:val="20"/>
      <w:lvlText w:val="（%1）"/>
      <w:lvlJc w:val="left"/>
      <w:pPr>
        <w:tabs>
          <w:tab w:val="left" w:pos="720"/>
        </w:tabs>
        <w:ind w:left="720" w:hanging="720"/>
      </w:pPr>
      <w:rPr>
        <w:rFonts w:hint="default"/>
      </w:rPr>
    </w:lvl>
    <w:lvl w:ilvl="1" w:tentative="0">
      <w:start w:val="1"/>
      <w:numFmt w:val="lowerLetter"/>
      <w:pStyle w:val="15"/>
      <w:lvlText w:val="%2)"/>
      <w:lvlJc w:val="left"/>
      <w:pPr>
        <w:tabs>
          <w:tab w:val="left" w:pos="840"/>
        </w:tabs>
        <w:ind w:left="840" w:hanging="420"/>
      </w:pPr>
    </w:lvl>
    <w:lvl w:ilvl="2" w:tentative="0">
      <w:start w:val="1"/>
      <w:numFmt w:val="lowerRoman"/>
      <w:pStyle w:val="17"/>
      <w:lvlText w:val="%3."/>
      <w:lvlJc w:val="right"/>
      <w:pPr>
        <w:tabs>
          <w:tab w:val="left" w:pos="1260"/>
        </w:tabs>
        <w:ind w:left="1260" w:hanging="420"/>
      </w:pPr>
    </w:lvl>
    <w:lvl w:ilvl="3" w:tentative="0">
      <w:start w:val="1"/>
      <w:numFmt w:val="decimal"/>
      <w:pStyle w:val="18"/>
      <w:lvlText w:val="%4."/>
      <w:lvlJc w:val="left"/>
      <w:pPr>
        <w:tabs>
          <w:tab w:val="left" w:pos="1680"/>
        </w:tabs>
        <w:ind w:left="1680" w:hanging="420"/>
      </w:pPr>
    </w:lvl>
    <w:lvl w:ilvl="4" w:tentative="0">
      <w:start w:val="1"/>
      <w:numFmt w:val="lowerLetter"/>
      <w:pStyle w:val="19"/>
      <w:lvlText w:val="%5)"/>
      <w:lvlJc w:val="left"/>
      <w:pPr>
        <w:tabs>
          <w:tab w:val="left" w:pos="2100"/>
        </w:tabs>
        <w:ind w:left="2100" w:hanging="420"/>
      </w:pPr>
    </w:lvl>
    <w:lvl w:ilvl="5" w:tentative="0">
      <w:start w:val="1"/>
      <w:numFmt w:val="lowerRoman"/>
      <w:pStyle w:val="16"/>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1B"/>
    <w:rsid w:val="003529F1"/>
    <w:rsid w:val="0050121B"/>
    <w:rsid w:val="0082562D"/>
    <w:rsid w:val="008F05FD"/>
    <w:rsid w:val="00B601AA"/>
    <w:rsid w:val="00B74181"/>
    <w:rsid w:val="00EC4971"/>
    <w:rsid w:val="00FE712B"/>
    <w:rsid w:val="347555E6"/>
    <w:rsid w:val="3BA847AE"/>
    <w:rsid w:val="7749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napToGrid w:val="0"/>
      <w:jc w:val="center"/>
      <w:outlineLvl w:val="0"/>
    </w:pPr>
    <w:rPr>
      <w:rFonts w:ascii="宋体" w:hAnsi="宋体" w:eastAsia="宋体" w:cs="Times New Roman"/>
      <w:b/>
      <w:bCs/>
      <w:kern w:val="44"/>
      <w:sz w:val="32"/>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Arial" w:hAnsi="Arial" w:eastAsia="宋体" w:cs="Times New Roman"/>
      <w:color w:val="000000"/>
      <w:szCs w:val="2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qFormat/>
    <w:uiPriority w:val="9"/>
    <w:rPr>
      <w:b/>
      <w:bCs/>
      <w:kern w:val="44"/>
      <w:sz w:val="44"/>
      <w:szCs w:val="44"/>
    </w:rPr>
  </w:style>
  <w:style w:type="character" w:customStyle="1" w:styleId="12">
    <w:name w:val="标题 1 Char1"/>
    <w:link w:val="2"/>
    <w:qFormat/>
    <w:uiPriority w:val="0"/>
    <w:rPr>
      <w:rFonts w:ascii="宋体" w:hAnsi="宋体" w:eastAsia="宋体" w:cs="Times New Roman"/>
      <w:b/>
      <w:bCs/>
      <w:kern w:val="44"/>
      <w:sz w:val="32"/>
      <w:szCs w:val="20"/>
    </w:rPr>
  </w:style>
  <w:style w:type="character" w:customStyle="1" w:styleId="13">
    <w:name w:val="正文文本 Char"/>
    <w:basedOn w:val="7"/>
    <w:link w:val="3"/>
    <w:qFormat/>
    <w:uiPriority w:val="0"/>
    <w:rPr>
      <w:rFonts w:ascii="Arial" w:hAnsi="Arial" w:eastAsia="宋体" w:cs="Times New Roman"/>
      <w:color w:val="000000"/>
      <w:szCs w:val="24"/>
    </w:rPr>
  </w:style>
  <w:style w:type="paragraph" w:styleId="14">
    <w:name w:val="List Paragraph"/>
    <w:basedOn w:val="1"/>
    <w:unhideWhenUsed/>
    <w:qFormat/>
    <w:uiPriority w:val="99"/>
    <w:pPr>
      <w:ind w:firstLine="420" w:firstLineChars="200"/>
    </w:pPr>
    <w:rPr>
      <w:rFonts w:ascii="Times New Roman" w:hAnsi="Times New Roman" w:eastAsia="宋体" w:cs="Times New Roman"/>
      <w:szCs w:val="24"/>
    </w:rPr>
  </w:style>
  <w:style w:type="paragraph" w:customStyle="1" w:styleId="15">
    <w:name w:val="CN Appendix Purpose"/>
    <w:basedOn w:val="1"/>
    <w:next w:val="1"/>
    <w:qFormat/>
    <w:uiPriority w:val="0"/>
    <w:pPr>
      <w:keepNext/>
      <w:keepLines/>
      <w:widowControl/>
      <w:numPr>
        <w:ilvl w:val="1"/>
        <w:numId w:val="1"/>
      </w:numPr>
      <w:tabs>
        <w:tab w:val="left" w:pos="360"/>
        <w:tab w:val="left" w:pos="480"/>
        <w:tab w:val="clear" w:pos="840"/>
      </w:tabs>
      <w:spacing w:before="28" w:after="28"/>
      <w:ind w:left="720"/>
      <w:jc w:val="left"/>
    </w:pPr>
    <w:rPr>
      <w:rFonts w:ascii="Arial" w:hAnsi="Arial" w:eastAsia="宋体" w:cs="Times New Roman"/>
      <w:szCs w:val="18"/>
      <w:lang w:eastAsia="en-US"/>
    </w:rPr>
  </w:style>
  <w:style w:type="paragraph" w:customStyle="1" w:styleId="16">
    <w:name w:val="CN Level 3 Bullet"/>
    <w:basedOn w:val="1"/>
    <w:qFormat/>
    <w:uiPriority w:val="0"/>
    <w:pPr>
      <w:widowControl/>
      <w:numPr>
        <w:ilvl w:val="5"/>
        <w:numId w:val="1"/>
      </w:numPr>
      <w:tabs>
        <w:tab w:val="left" w:pos="360"/>
        <w:tab w:val="left" w:pos="2160"/>
        <w:tab w:val="left" w:pos="3680"/>
      </w:tabs>
      <w:spacing w:before="28" w:after="28"/>
      <w:ind w:left="720"/>
      <w:jc w:val="left"/>
    </w:pPr>
    <w:rPr>
      <w:rFonts w:ascii="Arial" w:hAnsi="Arial" w:eastAsia="宋体" w:cs="Times New Roman"/>
      <w:szCs w:val="18"/>
      <w:lang w:eastAsia="en-US"/>
    </w:rPr>
  </w:style>
  <w:style w:type="paragraph" w:customStyle="1" w:styleId="17">
    <w:name w:val="CN Assumptions Header"/>
    <w:basedOn w:val="1"/>
    <w:next w:val="1"/>
    <w:qFormat/>
    <w:uiPriority w:val="0"/>
    <w:pPr>
      <w:keepNext/>
      <w:keepLines/>
      <w:widowControl/>
      <w:numPr>
        <w:ilvl w:val="2"/>
        <w:numId w:val="1"/>
      </w:numPr>
      <w:tabs>
        <w:tab w:val="left" w:pos="360"/>
        <w:tab w:val="left" w:pos="720"/>
        <w:tab w:val="left" w:pos="900"/>
        <w:tab w:val="left" w:pos="1838"/>
      </w:tabs>
      <w:spacing w:before="28" w:after="28"/>
      <w:ind w:left="720"/>
      <w:jc w:val="left"/>
    </w:pPr>
    <w:rPr>
      <w:rFonts w:ascii="Arial" w:hAnsi="Arial" w:eastAsia="宋体" w:cs="Times New Roman"/>
      <w:szCs w:val="18"/>
      <w:lang w:eastAsia="en-US"/>
    </w:rPr>
  </w:style>
  <w:style w:type="paragraph" w:customStyle="1" w:styleId="18">
    <w:name w:val="CN Level 1 Bullet"/>
    <w:basedOn w:val="1"/>
    <w:qFormat/>
    <w:uiPriority w:val="0"/>
    <w:pPr>
      <w:widowControl/>
      <w:numPr>
        <w:ilvl w:val="3"/>
        <w:numId w:val="1"/>
      </w:numPr>
      <w:tabs>
        <w:tab w:val="left" w:pos="360"/>
        <w:tab w:val="left" w:pos="1320"/>
        <w:tab w:val="left" w:pos="2404"/>
      </w:tabs>
      <w:spacing w:before="28" w:after="28"/>
      <w:ind w:left="0" w:firstLine="0"/>
      <w:jc w:val="left"/>
    </w:pPr>
    <w:rPr>
      <w:rFonts w:ascii="Arial" w:hAnsi="Arial" w:eastAsia="宋体" w:cs="Times New Roman"/>
      <w:szCs w:val="18"/>
      <w:lang w:eastAsia="en-US"/>
    </w:rPr>
  </w:style>
  <w:style w:type="paragraph" w:customStyle="1" w:styleId="19">
    <w:name w:val="CN Level 2 Bullet"/>
    <w:basedOn w:val="1"/>
    <w:qFormat/>
    <w:uiPriority w:val="0"/>
    <w:pPr>
      <w:widowControl/>
      <w:numPr>
        <w:ilvl w:val="4"/>
        <w:numId w:val="1"/>
      </w:numPr>
      <w:tabs>
        <w:tab w:val="left" w:pos="360"/>
        <w:tab w:val="left" w:pos="1740"/>
        <w:tab w:val="left" w:pos="2971"/>
      </w:tabs>
      <w:spacing w:before="28" w:after="28"/>
      <w:ind w:left="360"/>
      <w:jc w:val="left"/>
    </w:pPr>
    <w:rPr>
      <w:rFonts w:ascii="Arial" w:hAnsi="Arial" w:eastAsia="宋体" w:cs="Times New Roman"/>
      <w:szCs w:val="18"/>
      <w:lang w:eastAsia="en-US"/>
    </w:rPr>
  </w:style>
  <w:style w:type="paragraph" w:customStyle="1" w:styleId="20">
    <w:name w:val="CN Appendix Delivery"/>
    <w:basedOn w:val="1"/>
    <w:next w:val="1"/>
    <w:qFormat/>
    <w:uiPriority w:val="0"/>
    <w:pPr>
      <w:keepNext/>
      <w:keepLines/>
      <w:widowControl/>
      <w:numPr>
        <w:ilvl w:val="0"/>
        <w:numId w:val="1"/>
      </w:numPr>
      <w:tabs>
        <w:tab w:val="left" w:pos="360"/>
        <w:tab w:val="left" w:pos="420"/>
        <w:tab w:val="left" w:pos="510"/>
        <w:tab w:val="left" w:pos="780"/>
        <w:tab w:val="left" w:pos="900"/>
      </w:tabs>
      <w:spacing w:before="28" w:after="28"/>
      <w:ind w:left="0" w:firstLine="0"/>
      <w:jc w:val="left"/>
    </w:pPr>
    <w:rPr>
      <w:rFonts w:ascii="Arial" w:hAnsi="Arial" w:eastAsia="宋体" w:cs="Times New Roman"/>
      <w:szCs w:val="18"/>
      <w:lang w:eastAsia="en-US"/>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 New"/>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2184</Words>
  <Characters>12454</Characters>
  <Lines>103</Lines>
  <Paragraphs>29</Paragraphs>
  <TotalTime>16</TotalTime>
  <ScaleCrop>false</ScaleCrop>
  <LinksUpToDate>false</LinksUpToDate>
  <CharactersWithSpaces>14609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2021-06-17T01:46:00Z</dcterms:created>
  <dc:creator>SsN</dc:creator>
  <cp:lastModifiedBy>WPS_1607888001</cp:lastModifiedBy>
  <dcterms:modified xsi:type="dcterms:W3CDTF">2021-07-01T14:13:29Z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4BFF0C6F317F4AC6A3E3182C1E8782EF</vt:lpwstr>
  </property>
</Properties>
</file>