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620" w:lineRule="exact"/>
        <w:jc w:val="center"/>
        <w:rPr>
          <w:b w:val="0"/>
          <w:bCs/>
          <w:sz w:val="44"/>
          <w:szCs w:val="44"/>
        </w:rPr>
      </w:pPr>
      <w:r>
        <w:rPr>
          <w:rFonts w:hint="eastAsia"/>
          <w:b w:val="0"/>
          <w:bCs/>
          <w:sz w:val="44"/>
          <w:szCs w:val="44"/>
          <w:u w:val="none"/>
          <w:lang w:val="en-US" w:eastAsia="zh-CN"/>
        </w:rPr>
        <w:t>中山七院</w:t>
      </w:r>
      <w:r>
        <w:rPr>
          <w:rFonts w:hint="eastAsia"/>
          <w:b w:val="0"/>
          <w:bCs/>
          <w:sz w:val="44"/>
          <w:szCs w:val="44"/>
          <w:u w:val="single"/>
          <w:lang w:val="en-US" w:eastAsia="zh-CN"/>
        </w:rPr>
        <w:t xml:space="preserve">  显微镜采购 </w:t>
      </w:r>
      <w:r>
        <w:rPr>
          <w:rFonts w:hint="eastAsia"/>
          <w:b w:val="0"/>
          <w:bCs/>
          <w:sz w:val="44"/>
          <w:szCs w:val="44"/>
        </w:rPr>
        <w:t>项目采购需求</w:t>
      </w:r>
    </w:p>
    <w:p>
      <w:pPr>
        <w:pStyle w:val="4"/>
        <w:spacing w:before="0" w:after="0" w:line="360" w:lineRule="auto"/>
        <w:rPr>
          <w:rFonts w:hint="eastAsia" w:ascii="仿宋_GB2312" w:eastAsia="仿宋_GB2312"/>
          <w:b w:val="0"/>
          <w:bCs/>
          <w:sz w:val="32"/>
          <w:szCs w:val="32"/>
        </w:rPr>
      </w:pPr>
      <w:r>
        <w:rPr>
          <w:rFonts w:hint="eastAsia" w:ascii="仿宋_GB2312" w:eastAsia="仿宋_GB2312"/>
          <w:b w:val="0"/>
          <w:bCs/>
          <w:sz w:val="32"/>
          <w:szCs w:val="32"/>
        </w:rPr>
        <w:t>（项目编号：</w:t>
      </w:r>
      <w:r>
        <w:rPr>
          <w:rFonts w:hint="eastAsia" w:ascii="仿宋_GB2312" w:eastAsia="仿宋_GB2312"/>
          <w:b w:val="0"/>
          <w:bCs/>
          <w:sz w:val="32"/>
          <w:szCs w:val="32"/>
          <w:u w:val="single"/>
        </w:rPr>
        <w:t xml:space="preserve">  2022SBK0</w:t>
      </w:r>
      <w:r>
        <w:rPr>
          <w:rFonts w:hint="eastAsia" w:ascii="仿宋_GB2312" w:eastAsia="仿宋_GB2312"/>
          <w:b w:val="0"/>
          <w:bCs/>
          <w:sz w:val="32"/>
          <w:szCs w:val="32"/>
          <w:u w:val="single"/>
          <w:lang w:val="en-US" w:eastAsia="zh-CN"/>
        </w:rPr>
        <w:t>80</w:t>
      </w:r>
      <w:r>
        <w:rPr>
          <w:rFonts w:hint="eastAsia" w:ascii="仿宋_GB2312" w:eastAsia="仿宋_GB2312"/>
          <w:b w:val="0"/>
          <w:bCs/>
          <w:sz w:val="32"/>
          <w:szCs w:val="32"/>
          <w:u w:val="single"/>
        </w:rPr>
        <w:t xml:space="preserve">  </w:t>
      </w:r>
      <w:r>
        <w:rPr>
          <w:rFonts w:hint="eastAsia" w:ascii="仿宋_GB2312" w:eastAsia="仿宋_GB2312"/>
          <w:b w:val="0"/>
          <w:bCs/>
          <w:sz w:val="32"/>
          <w:szCs w:val="32"/>
        </w:rPr>
        <w:t>）</w:t>
      </w:r>
    </w:p>
    <w:p>
      <w:pPr>
        <w:pStyle w:val="4"/>
        <w:spacing w:before="0" w:after="0" w:line="360" w:lineRule="auto"/>
        <w:ind w:firstLine="480" w:firstLineChars="200"/>
        <w:jc w:val="both"/>
        <w:rPr>
          <w:rFonts w:ascii="仿宋_GB2312" w:eastAsia="仿宋_GB2312"/>
          <w:b w:val="0"/>
          <w:bCs/>
          <w:sz w:val="32"/>
          <w:szCs w:val="32"/>
        </w:rPr>
      </w:pPr>
      <w:r>
        <w:rPr>
          <w:rFonts w:hint="eastAsia" w:cs="宋体"/>
          <w:b w:val="0"/>
          <w:color w:val="333333"/>
          <w:szCs w:val="24"/>
        </w:rPr>
        <w:t>我院拟采用</w:t>
      </w:r>
      <w:r>
        <w:rPr>
          <w:rFonts w:hint="eastAsia" w:cs="宋体"/>
          <w:b w:val="0"/>
          <w:color w:val="333333"/>
          <w:szCs w:val="24"/>
          <w:lang w:val="en-US" w:eastAsia="zh-CN"/>
        </w:rPr>
        <w:t>公开竞价</w:t>
      </w:r>
      <w:r>
        <w:rPr>
          <w:rFonts w:hint="eastAsia" w:cs="宋体"/>
          <w:b w:val="0"/>
          <w:color w:val="333333"/>
          <w:szCs w:val="24"/>
        </w:rPr>
        <w:t>的方式采购</w:t>
      </w:r>
      <w:r>
        <w:rPr>
          <w:rFonts w:hint="eastAsia" w:cs="宋体"/>
          <w:b w:val="0"/>
          <w:color w:val="333333"/>
          <w:szCs w:val="24"/>
          <w:u w:val="single"/>
        </w:rPr>
        <w:t xml:space="preserve"> </w:t>
      </w:r>
      <w:r>
        <w:rPr>
          <w:rFonts w:hint="eastAsia" w:cs="宋体"/>
          <w:b w:val="0"/>
          <w:color w:val="333333"/>
          <w:szCs w:val="24"/>
          <w:u w:val="single"/>
          <w:lang w:val="en-US" w:eastAsia="zh-CN"/>
        </w:rPr>
        <w:t>显微镜采购</w:t>
      </w:r>
      <w:r>
        <w:rPr>
          <w:rFonts w:hint="eastAsia" w:cs="宋体"/>
          <w:b w:val="0"/>
          <w:color w:val="333333"/>
          <w:szCs w:val="24"/>
          <w:u w:val="single"/>
        </w:rPr>
        <w:t xml:space="preserve"> </w:t>
      </w:r>
      <w:r>
        <w:rPr>
          <w:rFonts w:hint="eastAsia" w:cs="宋体"/>
          <w:b w:val="0"/>
          <w:color w:val="333333"/>
          <w:szCs w:val="24"/>
        </w:rPr>
        <w:t>，本着“公平、公开、公正”的原则，现公开采购信息，欢迎符合法律法规规定的知名品牌公司（包括生产厂商和代理商）参与本项目投标。现将有关事项公告如下：</w:t>
      </w:r>
    </w:p>
    <w:p>
      <w:pPr>
        <w:pStyle w:val="4"/>
        <w:spacing w:before="0" w:after="0" w:line="360" w:lineRule="auto"/>
        <w:ind w:firstLine="640" w:firstLineChars="200"/>
        <w:jc w:val="both"/>
        <w:rPr>
          <w:rFonts w:ascii="黑体" w:hAnsi="黑体" w:eastAsia="黑体" w:cs="黑体"/>
          <w:b w:val="0"/>
          <w:sz w:val="28"/>
          <w:szCs w:val="28"/>
        </w:rPr>
      </w:pPr>
      <w:r>
        <w:rPr>
          <w:rFonts w:hint="eastAsia" w:ascii="黑体" w:hAnsi="黑体" w:eastAsia="黑体" w:cs="黑体"/>
          <w:b w:val="0"/>
          <w:sz w:val="32"/>
          <w:szCs w:val="32"/>
        </w:rPr>
        <w:t>一、货物清单</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2344"/>
        <w:gridCol w:w="1127"/>
        <w:gridCol w:w="1207"/>
        <w:gridCol w:w="2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vAlign w:val="center"/>
          </w:tcPr>
          <w:p>
            <w:pPr>
              <w:spacing w:line="360" w:lineRule="auto"/>
              <w:jc w:val="center"/>
              <w:rPr>
                <w:rFonts w:ascii="仿宋" w:hAnsi="仿宋" w:eastAsia="仿宋" w:cs="仿宋"/>
                <w:bCs/>
                <w:sz w:val="24"/>
                <w:szCs w:val="24"/>
              </w:rPr>
            </w:pPr>
            <w:r>
              <w:rPr>
                <w:rFonts w:hint="eastAsia" w:ascii="仿宋" w:hAnsi="仿宋" w:eastAsia="仿宋" w:cs="仿宋"/>
                <w:bCs/>
                <w:sz w:val="24"/>
                <w:szCs w:val="24"/>
              </w:rPr>
              <w:t>序号</w:t>
            </w:r>
          </w:p>
        </w:tc>
        <w:tc>
          <w:tcPr>
            <w:tcW w:w="1375" w:type="pct"/>
            <w:vAlign w:val="center"/>
          </w:tcPr>
          <w:p>
            <w:pPr>
              <w:spacing w:line="360" w:lineRule="auto"/>
              <w:jc w:val="center"/>
              <w:rPr>
                <w:rFonts w:ascii="仿宋" w:hAnsi="仿宋" w:eastAsia="仿宋" w:cs="仿宋"/>
                <w:bCs/>
                <w:sz w:val="24"/>
                <w:szCs w:val="24"/>
              </w:rPr>
            </w:pPr>
            <w:r>
              <w:rPr>
                <w:rFonts w:hint="eastAsia" w:ascii="仿宋" w:hAnsi="仿宋" w:eastAsia="仿宋" w:cs="仿宋"/>
                <w:bCs/>
                <w:sz w:val="24"/>
                <w:szCs w:val="24"/>
              </w:rPr>
              <w:t>货物名称</w:t>
            </w:r>
          </w:p>
        </w:tc>
        <w:tc>
          <w:tcPr>
            <w:tcW w:w="661" w:type="pct"/>
            <w:vAlign w:val="center"/>
          </w:tcPr>
          <w:p>
            <w:pPr>
              <w:spacing w:line="360" w:lineRule="auto"/>
              <w:jc w:val="center"/>
              <w:rPr>
                <w:rFonts w:ascii="仿宋" w:hAnsi="仿宋" w:eastAsia="仿宋" w:cs="仿宋"/>
                <w:bCs/>
                <w:sz w:val="24"/>
                <w:szCs w:val="24"/>
              </w:rPr>
            </w:pPr>
            <w:r>
              <w:rPr>
                <w:rFonts w:hint="eastAsia" w:ascii="仿宋" w:hAnsi="仿宋" w:eastAsia="仿宋" w:cs="仿宋"/>
                <w:bCs/>
                <w:sz w:val="24"/>
                <w:szCs w:val="24"/>
              </w:rPr>
              <w:t>数量</w:t>
            </w:r>
          </w:p>
        </w:tc>
        <w:tc>
          <w:tcPr>
            <w:tcW w:w="708" w:type="pct"/>
            <w:vAlign w:val="center"/>
          </w:tcPr>
          <w:p>
            <w:pPr>
              <w:spacing w:line="360" w:lineRule="auto"/>
              <w:jc w:val="center"/>
              <w:rPr>
                <w:rFonts w:ascii="仿宋" w:hAnsi="仿宋" w:eastAsia="仿宋" w:cs="仿宋"/>
                <w:bCs/>
                <w:sz w:val="24"/>
                <w:szCs w:val="24"/>
              </w:rPr>
            </w:pPr>
            <w:r>
              <w:rPr>
                <w:rFonts w:hint="eastAsia" w:ascii="仿宋" w:hAnsi="仿宋" w:eastAsia="仿宋" w:cs="仿宋"/>
                <w:bCs/>
                <w:sz w:val="24"/>
                <w:szCs w:val="24"/>
              </w:rPr>
              <w:t>单位</w:t>
            </w:r>
          </w:p>
        </w:tc>
        <w:tc>
          <w:tcPr>
            <w:tcW w:w="1643" w:type="pct"/>
            <w:vAlign w:val="center"/>
          </w:tcPr>
          <w:p>
            <w:pPr>
              <w:spacing w:line="360" w:lineRule="auto"/>
              <w:jc w:val="center"/>
              <w:rPr>
                <w:rFonts w:ascii="仿宋" w:hAnsi="仿宋" w:eastAsia="仿宋" w:cs="仿宋"/>
                <w:bCs/>
                <w:sz w:val="24"/>
                <w:szCs w:val="24"/>
              </w:rPr>
            </w:pPr>
            <w:r>
              <w:rPr>
                <w:rFonts w:hint="eastAsia" w:ascii="仿宋" w:hAnsi="仿宋" w:eastAsia="仿宋" w:cs="仿宋"/>
                <w:bCs/>
                <w:sz w:val="24"/>
                <w:szCs w:val="24"/>
              </w:rPr>
              <w:t>项目</w:t>
            </w:r>
            <w:r>
              <w:rPr>
                <w:rFonts w:hint="eastAsia" w:ascii="仿宋" w:hAnsi="仿宋" w:eastAsia="仿宋" w:cs="仿宋"/>
                <w:bCs/>
                <w:sz w:val="24"/>
                <w:szCs w:val="24"/>
                <w:lang w:eastAsia="zh-CN"/>
              </w:rPr>
              <w:t>总</w:t>
            </w:r>
            <w:r>
              <w:rPr>
                <w:rFonts w:hint="eastAsia" w:ascii="仿宋" w:hAnsi="仿宋" w:eastAsia="仿宋" w:cs="仿宋"/>
                <w:bCs/>
                <w:sz w:val="24"/>
                <w:szCs w:val="24"/>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tcPr>
          <w:p>
            <w:pPr>
              <w:spacing w:line="360" w:lineRule="auto"/>
              <w:jc w:val="center"/>
              <w:rPr>
                <w:rFonts w:ascii="仿宋" w:hAnsi="仿宋" w:eastAsia="仿宋" w:cs="仿宋"/>
                <w:bCs/>
                <w:sz w:val="24"/>
                <w:szCs w:val="24"/>
              </w:rPr>
            </w:pPr>
            <w:r>
              <w:rPr>
                <w:rFonts w:hint="eastAsia" w:ascii="仿宋" w:hAnsi="仿宋" w:eastAsia="仿宋" w:cs="仿宋"/>
                <w:bCs/>
                <w:sz w:val="24"/>
                <w:szCs w:val="24"/>
              </w:rPr>
              <w:t>1</w:t>
            </w:r>
          </w:p>
        </w:tc>
        <w:tc>
          <w:tcPr>
            <w:tcW w:w="2344" w:type="dxa"/>
            <w:vAlign w:val="center"/>
          </w:tcPr>
          <w:p>
            <w:pPr>
              <w:spacing w:line="360" w:lineRule="auto"/>
              <w:jc w:val="center"/>
              <w:rPr>
                <w:rFonts w:hint="default" w:ascii="仿宋" w:hAnsi="仿宋" w:eastAsia="仿宋" w:cs="仿宋"/>
                <w:bCs/>
                <w:sz w:val="24"/>
                <w:szCs w:val="24"/>
                <w:lang w:val="en-US" w:eastAsia="zh-CN"/>
              </w:rPr>
            </w:pPr>
            <w:r>
              <w:rPr>
                <w:rFonts w:hint="eastAsia" w:ascii="宋体" w:hAnsi="宋体"/>
                <w:szCs w:val="21"/>
              </w:rPr>
              <w:t>正置相差显微镜</w:t>
            </w:r>
          </w:p>
        </w:tc>
        <w:tc>
          <w:tcPr>
            <w:tcW w:w="1127" w:type="dxa"/>
            <w:vAlign w:val="center"/>
          </w:tcPr>
          <w:p>
            <w:pPr>
              <w:spacing w:line="360" w:lineRule="auto"/>
              <w:jc w:val="center"/>
              <w:rPr>
                <w:rFonts w:hint="default" w:ascii="仿宋" w:hAnsi="仿宋" w:eastAsia="仿宋" w:cs="仿宋"/>
                <w:bCs/>
                <w:sz w:val="24"/>
                <w:szCs w:val="24"/>
                <w:lang w:val="en-US" w:eastAsia="zh-CN"/>
              </w:rPr>
            </w:pPr>
            <w:r>
              <w:rPr>
                <w:rFonts w:hint="eastAsia" w:ascii="宋体" w:hAnsi="宋体"/>
                <w:szCs w:val="21"/>
                <w:lang w:val="en-US" w:eastAsia="zh-CN"/>
              </w:rPr>
              <w:t>1</w:t>
            </w:r>
          </w:p>
        </w:tc>
        <w:tc>
          <w:tcPr>
            <w:tcW w:w="1207" w:type="dxa"/>
            <w:vAlign w:val="center"/>
          </w:tcPr>
          <w:p>
            <w:pPr>
              <w:spacing w:line="360" w:lineRule="auto"/>
              <w:jc w:val="center"/>
              <w:rPr>
                <w:rFonts w:hint="default" w:ascii="仿宋" w:hAnsi="仿宋" w:eastAsia="仿宋" w:cs="仿宋"/>
                <w:bCs/>
                <w:sz w:val="24"/>
                <w:szCs w:val="24"/>
                <w:lang w:val="en-US" w:eastAsia="zh-CN"/>
              </w:rPr>
            </w:pPr>
            <w:r>
              <w:rPr>
                <w:rFonts w:hint="eastAsia" w:ascii="宋体" w:hAnsi="宋体"/>
                <w:szCs w:val="21"/>
                <w:lang w:val="en-US" w:eastAsia="zh-CN"/>
              </w:rPr>
              <w:t>台</w:t>
            </w:r>
          </w:p>
        </w:tc>
        <w:tc>
          <w:tcPr>
            <w:tcW w:w="2802" w:type="dxa"/>
            <w:vAlign w:val="center"/>
          </w:tcPr>
          <w:p>
            <w:pPr>
              <w:spacing w:line="360" w:lineRule="auto"/>
              <w:jc w:val="center"/>
              <w:rPr>
                <w:rFonts w:hint="default" w:ascii="仿宋" w:hAnsi="仿宋" w:eastAsia="仿宋" w:cs="仿宋"/>
                <w:bCs/>
                <w:sz w:val="24"/>
                <w:szCs w:val="24"/>
                <w:lang w:val="en-US" w:eastAsia="zh-CN"/>
              </w:rPr>
            </w:pPr>
            <w:r>
              <w:rPr>
                <w:rFonts w:hint="eastAsia" w:ascii="宋体" w:hAnsi="宋体"/>
                <w:szCs w:val="21"/>
                <w:lang w:val="en-US" w:eastAsia="zh-CN"/>
              </w:rPr>
              <w:t>38000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tcPr>
          <w:p>
            <w:pPr>
              <w:spacing w:line="360" w:lineRule="auto"/>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w:t>
            </w:r>
          </w:p>
        </w:tc>
        <w:tc>
          <w:tcPr>
            <w:tcW w:w="2344" w:type="dxa"/>
            <w:vAlign w:val="center"/>
          </w:tcPr>
          <w:p>
            <w:pPr>
              <w:spacing w:line="360" w:lineRule="auto"/>
              <w:jc w:val="center"/>
              <w:rPr>
                <w:rFonts w:hint="eastAsia" w:ascii="仿宋" w:hAnsi="仿宋" w:eastAsia="仿宋" w:cs="仿宋"/>
                <w:bCs/>
                <w:sz w:val="24"/>
                <w:szCs w:val="24"/>
                <w:lang w:val="en-US" w:eastAsia="zh-CN"/>
              </w:rPr>
            </w:pPr>
            <w:r>
              <w:rPr>
                <w:rFonts w:hint="eastAsia" w:asciiTheme="minorEastAsia" w:hAnsiTheme="minorEastAsia" w:eastAsiaTheme="minorEastAsia"/>
                <w:sz w:val="20"/>
                <w:szCs w:val="20"/>
                <w:lang w:eastAsia="zh-CN"/>
              </w:rPr>
              <w:t>倒置显微镜</w:t>
            </w:r>
          </w:p>
        </w:tc>
        <w:tc>
          <w:tcPr>
            <w:tcW w:w="1127" w:type="dxa"/>
            <w:vAlign w:val="center"/>
          </w:tcPr>
          <w:p>
            <w:pPr>
              <w:spacing w:line="360" w:lineRule="auto"/>
              <w:jc w:val="center"/>
              <w:rPr>
                <w:rFonts w:hint="eastAsia" w:ascii="仿宋" w:hAnsi="仿宋" w:eastAsia="仿宋" w:cs="仿宋"/>
                <w:bCs/>
                <w:sz w:val="24"/>
                <w:szCs w:val="24"/>
                <w:lang w:val="en-US" w:eastAsia="zh-CN"/>
              </w:rPr>
            </w:pPr>
            <w:r>
              <w:rPr>
                <w:rFonts w:hint="eastAsia" w:ascii="宋体" w:hAnsi="宋体"/>
                <w:szCs w:val="21"/>
                <w:lang w:val="en-US" w:eastAsia="zh-CN"/>
              </w:rPr>
              <w:t>1</w:t>
            </w:r>
          </w:p>
        </w:tc>
        <w:tc>
          <w:tcPr>
            <w:tcW w:w="1207" w:type="dxa"/>
            <w:vAlign w:val="center"/>
          </w:tcPr>
          <w:p>
            <w:pPr>
              <w:spacing w:line="360" w:lineRule="auto"/>
              <w:jc w:val="center"/>
              <w:rPr>
                <w:rFonts w:hint="eastAsia" w:ascii="仿宋" w:hAnsi="仿宋" w:eastAsia="仿宋" w:cs="仿宋"/>
                <w:bCs/>
                <w:sz w:val="24"/>
                <w:szCs w:val="24"/>
                <w:lang w:val="en-US" w:eastAsia="zh-CN"/>
              </w:rPr>
            </w:pPr>
            <w:r>
              <w:rPr>
                <w:rFonts w:hint="eastAsia" w:ascii="宋体" w:hAnsi="宋体"/>
                <w:szCs w:val="21"/>
                <w:lang w:val="en-US" w:eastAsia="zh-CN"/>
              </w:rPr>
              <w:t>台</w:t>
            </w:r>
          </w:p>
        </w:tc>
        <w:tc>
          <w:tcPr>
            <w:tcW w:w="2802" w:type="dxa"/>
            <w:vAlign w:val="center"/>
          </w:tcPr>
          <w:p>
            <w:pPr>
              <w:spacing w:line="360" w:lineRule="auto"/>
              <w:jc w:val="center"/>
              <w:rPr>
                <w:rFonts w:hint="eastAsia"/>
                <w:lang w:val="en-US" w:eastAsia="zh-CN"/>
              </w:rPr>
            </w:pPr>
            <w:r>
              <w:rPr>
                <w:rFonts w:hint="eastAsia" w:ascii="宋体" w:hAnsi="宋体"/>
                <w:szCs w:val="21"/>
                <w:lang w:val="en-US" w:eastAsia="zh-CN"/>
              </w:rPr>
              <w:t>45000</w:t>
            </w:r>
          </w:p>
        </w:tc>
      </w:tr>
    </w:tbl>
    <w:p>
      <w:pPr>
        <w:spacing w:line="360" w:lineRule="auto"/>
        <w:rPr>
          <w:rFonts w:hint="default" w:cs="仿宋" w:asciiTheme="minorEastAsia" w:hAnsiTheme="minorEastAsia" w:eastAsiaTheme="minorEastAsia"/>
          <w:bCs/>
          <w:sz w:val="24"/>
          <w:szCs w:val="24"/>
          <w:lang w:val="en-US" w:eastAsia="zh-CN"/>
        </w:rPr>
      </w:pPr>
    </w:p>
    <w:p>
      <w:pPr>
        <w:spacing w:line="360" w:lineRule="auto"/>
        <w:ind w:firstLine="480" w:firstLineChars="200"/>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注：以上请各投标人按货物清单报价，并统计出合计总价（少报、多报或未按顺序报价的，视为未实质性响应，作废标处理）。</w:t>
      </w:r>
    </w:p>
    <w:p>
      <w:pPr>
        <w:pStyle w:val="4"/>
        <w:spacing w:before="0" w:after="0" w:line="360" w:lineRule="auto"/>
        <w:ind w:firstLine="640" w:firstLineChars="200"/>
        <w:jc w:val="both"/>
        <w:rPr>
          <w:rFonts w:hint="eastAsia" w:cs="仿宋" w:asciiTheme="minorEastAsia" w:hAnsiTheme="minorEastAsia" w:eastAsiaTheme="minorEastAsia"/>
          <w:color w:val="FF0000"/>
          <w:sz w:val="24"/>
          <w:szCs w:val="24"/>
          <w:lang w:val="en-US" w:eastAsia="zh-CN"/>
        </w:rPr>
      </w:pPr>
      <w:r>
        <w:rPr>
          <w:rFonts w:hint="eastAsia" w:ascii="黑体" w:hAnsi="黑体" w:eastAsia="黑体" w:cs="黑体"/>
          <w:b w:val="0"/>
          <w:sz w:val="32"/>
          <w:szCs w:val="32"/>
        </w:rPr>
        <w:t>二、技术需求</w:t>
      </w:r>
      <w:r>
        <w:rPr>
          <w:rFonts w:hint="eastAsia" w:cs="仿宋" w:asciiTheme="minorEastAsia" w:hAnsiTheme="minorEastAsia" w:eastAsiaTheme="minorEastAsia"/>
          <w:color w:val="FF0000"/>
          <w:sz w:val="24"/>
          <w:szCs w:val="24"/>
          <w:lang w:val="en-US" w:eastAsia="zh-CN"/>
        </w:rPr>
        <w:t>（技术需求需要全部响应，有一项未能响应或不满足要求，将按投标无效处理，即视为废标）</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58"/>
        <w:gridCol w:w="5670"/>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rPr>
                <w:rFonts w:ascii="宋体" w:hAnsi="宋体"/>
              </w:rPr>
            </w:pPr>
            <w:r>
              <w:rPr>
                <w:rFonts w:hint="eastAsia" w:ascii="宋体" w:hAnsi="宋体"/>
              </w:rPr>
              <w:t>序号</w:t>
            </w:r>
          </w:p>
        </w:tc>
        <w:tc>
          <w:tcPr>
            <w:tcW w:w="958" w:type="dxa"/>
            <w:vAlign w:val="center"/>
          </w:tcPr>
          <w:p>
            <w:pPr>
              <w:rPr>
                <w:rFonts w:ascii="宋体" w:hAnsi="宋体"/>
              </w:rPr>
            </w:pPr>
            <w:r>
              <w:rPr>
                <w:rFonts w:hint="eastAsia" w:ascii="宋体" w:hAnsi="宋体"/>
              </w:rPr>
              <w:t>货物名称</w:t>
            </w:r>
          </w:p>
        </w:tc>
        <w:tc>
          <w:tcPr>
            <w:tcW w:w="7138" w:type="dxa"/>
            <w:gridSpan w:val="2"/>
            <w:vAlign w:val="center"/>
          </w:tcPr>
          <w:p>
            <w:pPr>
              <w:rPr>
                <w:rFonts w:ascii="宋体" w:hAnsi="宋体"/>
              </w:rPr>
            </w:pPr>
            <w:r>
              <w:rPr>
                <w:rFonts w:hint="eastAsia" w:ascii="宋体" w:hAnsi="宋体"/>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 w:type="dxa"/>
            <w:vMerge w:val="restart"/>
            <w:vAlign w:val="center"/>
          </w:tcPr>
          <w:p>
            <w:pPr>
              <w:rPr>
                <w:rFonts w:ascii="宋体" w:hAnsi="宋体"/>
              </w:rPr>
            </w:pPr>
            <w:r>
              <w:rPr>
                <w:rFonts w:hint="eastAsia" w:ascii="宋体" w:hAnsi="宋体"/>
              </w:rPr>
              <w:t>1</w:t>
            </w:r>
          </w:p>
        </w:tc>
        <w:tc>
          <w:tcPr>
            <w:tcW w:w="958" w:type="dxa"/>
            <w:vMerge w:val="restart"/>
            <w:vAlign w:val="center"/>
          </w:tcPr>
          <w:p>
            <w:pPr>
              <w:rPr>
                <w:rFonts w:ascii="宋体" w:hAnsi="宋体"/>
              </w:rPr>
            </w:pPr>
            <w:r>
              <w:rPr>
                <w:rFonts w:hint="eastAsia"/>
                <w:color w:val="000000"/>
              </w:rPr>
              <w:t>正置相差显微镜</w:t>
            </w:r>
          </w:p>
        </w:tc>
        <w:tc>
          <w:tcPr>
            <w:tcW w:w="7138" w:type="dxa"/>
            <w:gridSpan w:val="2"/>
            <w:vAlign w:val="center"/>
          </w:tcPr>
          <w:p>
            <w:pPr>
              <w:numPr>
                <w:ilvl w:val="1"/>
                <w:numId w:val="1"/>
              </w:numPr>
              <w:ind w:left="360" w:leftChars="0" w:hanging="360" w:firstLineChars="0"/>
              <w:rPr>
                <w:rFonts w:ascii="宋体" w:hAnsi="宋体"/>
                <w:b/>
              </w:rPr>
            </w:pPr>
            <w:r>
              <w:rPr>
                <w:rFonts w:hint="eastAsia" w:ascii="宋体" w:hAnsi="宋体"/>
                <w:b/>
              </w:rPr>
              <w:t>正置相差显微镜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rPr>
                <w:rFonts w:ascii="宋体" w:hAnsi="宋体"/>
              </w:rPr>
            </w:pPr>
          </w:p>
        </w:tc>
        <w:tc>
          <w:tcPr>
            <w:tcW w:w="958" w:type="dxa"/>
            <w:vMerge w:val="continue"/>
            <w:vAlign w:val="center"/>
          </w:tcPr>
          <w:p>
            <w:pPr>
              <w:rPr>
                <w:rFonts w:ascii="宋体" w:hAnsi="宋体"/>
              </w:rPr>
            </w:pPr>
          </w:p>
        </w:tc>
        <w:tc>
          <w:tcPr>
            <w:tcW w:w="7138" w:type="dxa"/>
            <w:gridSpan w:val="2"/>
            <w:tcBorders>
              <w:bottom w:val="single" w:color="auto" w:sz="4" w:space="0"/>
            </w:tcBorders>
            <w:vAlign w:val="center"/>
          </w:tcPr>
          <w:p>
            <w:pPr>
              <w:numPr>
                <w:ilvl w:val="2"/>
                <w:numId w:val="2"/>
              </w:numPr>
              <w:ind w:left="709" w:leftChars="0" w:hanging="709" w:firstLineChars="0"/>
              <w:rPr>
                <w:rFonts w:ascii="宋体" w:hAnsi="宋体"/>
                <w:b/>
              </w:rPr>
            </w:pPr>
            <w:r>
              <w:rPr>
                <w:rFonts w:hint="eastAsia" w:ascii="宋体" w:hAnsi="宋体"/>
                <w:b/>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7138" w:type="dxa"/>
            <w:gridSpan w:val="2"/>
            <w:vAlign w:val="top"/>
          </w:tcPr>
          <w:p>
            <w:pPr>
              <w:pStyle w:val="21"/>
              <w:numPr>
                <w:ilvl w:val="0"/>
                <w:numId w:val="3"/>
              </w:numPr>
              <w:ind w:left="425" w:leftChars="0" w:hanging="425" w:firstLineChars="0"/>
            </w:pPr>
            <w:r>
              <w:rPr>
                <w:rFonts w:hint="eastAsia"/>
              </w:rPr>
              <w:t>光学系统</w:t>
            </w:r>
            <w:r>
              <w:rPr>
                <w:rFonts w:hint="eastAsia"/>
                <w:lang w:eastAsia="zh-CN"/>
              </w:rPr>
              <w:t>：</w:t>
            </w:r>
            <w:r>
              <w:rPr>
                <w:rFonts w:hint="eastAsia"/>
              </w:rPr>
              <w:t>无限远光学系统，45mm国际标准物镜齐焦距离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7138" w:type="dxa"/>
            <w:gridSpan w:val="2"/>
            <w:vAlign w:val="top"/>
          </w:tcPr>
          <w:p>
            <w:pPr>
              <w:pStyle w:val="21"/>
              <w:numPr>
                <w:ilvl w:val="0"/>
                <w:numId w:val="3"/>
              </w:numPr>
              <w:ind w:left="425" w:leftChars="0" w:hanging="425" w:firstLineChars="0"/>
            </w:pPr>
            <w:r>
              <w:rPr>
                <w:rFonts w:hint="eastAsia"/>
              </w:rPr>
              <w:t>调焦：带扭矩调节装置,调焦行程</w:t>
            </w:r>
            <w:r>
              <w:rPr>
                <w:rFonts w:hint="eastAsia"/>
                <w:lang w:val="en-US" w:eastAsia="zh-CN"/>
              </w:rPr>
              <w:t>≥</w:t>
            </w:r>
            <w:r>
              <w:rPr>
                <w:rFonts w:hint="eastAsia"/>
              </w:rPr>
              <w:t>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7138" w:type="dxa"/>
            <w:gridSpan w:val="2"/>
            <w:vAlign w:val="top"/>
          </w:tcPr>
          <w:p>
            <w:pPr>
              <w:pStyle w:val="21"/>
              <w:numPr>
                <w:ilvl w:val="0"/>
                <w:numId w:val="3"/>
              </w:numPr>
              <w:ind w:left="425" w:leftChars="0" w:hanging="425" w:firstLineChars="0"/>
            </w:pPr>
            <w:r>
              <w:rPr>
                <w:rFonts w:hint="eastAsia"/>
              </w:rPr>
              <w:t>明场照明装置：内置透射光科勒照明器，配备卤素灯光源。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7138" w:type="dxa"/>
            <w:gridSpan w:val="2"/>
            <w:vAlign w:val="top"/>
          </w:tcPr>
          <w:p>
            <w:pPr>
              <w:pStyle w:val="21"/>
              <w:numPr>
                <w:ilvl w:val="0"/>
                <w:numId w:val="3"/>
              </w:numPr>
              <w:ind w:left="425" w:leftChars="0" w:hanging="425" w:firstLineChars="0"/>
            </w:pPr>
            <w:r>
              <w:rPr>
                <w:rFonts w:hint="eastAsia"/>
              </w:rPr>
              <w:t>载物台：高抗磨损性圆角无槽载物台，带控制手柄。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7138" w:type="dxa"/>
            <w:gridSpan w:val="2"/>
            <w:vAlign w:val="top"/>
          </w:tcPr>
          <w:p>
            <w:pPr>
              <w:pStyle w:val="21"/>
              <w:numPr>
                <w:ilvl w:val="0"/>
                <w:numId w:val="3"/>
              </w:numPr>
              <w:ind w:left="425" w:leftChars="0" w:hanging="425" w:firstLineChars="0"/>
            </w:pPr>
            <w:r>
              <w:rPr>
                <w:rFonts w:hint="eastAsia"/>
              </w:rPr>
              <w:t>观察镜筒：双目镜筒，视场数≥18，倾角30度。高眼点设计，目镜筒360度自由旋转，实现40mm观察高度调节，瞳距48-75mm可调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7138" w:type="dxa"/>
            <w:gridSpan w:val="2"/>
            <w:vAlign w:val="top"/>
          </w:tcPr>
          <w:p>
            <w:pPr>
              <w:pStyle w:val="21"/>
              <w:numPr>
                <w:ilvl w:val="0"/>
                <w:numId w:val="3"/>
              </w:numPr>
              <w:ind w:left="425" w:leftChars="0" w:hanging="425" w:firstLineChars="0"/>
            </w:pPr>
            <w:r>
              <w:rPr>
                <w:rFonts w:hint="eastAsia"/>
              </w:rPr>
              <w:t>目镜： 10倍目镜，视场数≥18，两个目镜均具有屈光度校正功能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7138" w:type="dxa"/>
            <w:gridSpan w:val="2"/>
            <w:vAlign w:val="center"/>
          </w:tcPr>
          <w:p>
            <w:pPr>
              <w:pStyle w:val="21"/>
              <w:numPr>
                <w:ilvl w:val="0"/>
                <w:numId w:val="3"/>
              </w:numPr>
              <w:ind w:left="425" w:leftChars="0" w:hanging="425" w:firstLineChars="0"/>
              <w:jc w:val="both"/>
            </w:pPr>
            <w:r>
              <w:rPr>
                <w:rFonts w:hint="eastAsia"/>
                <w:lang w:val="en-US" w:eastAsia="zh-CN"/>
              </w:rPr>
              <w:t xml:space="preserve"> 物镜：针对正置显微镜应用优化的高分辨率、高透过率物镜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7138" w:type="dxa"/>
            <w:gridSpan w:val="2"/>
            <w:vAlign w:val="top"/>
          </w:tcPr>
          <w:p>
            <w:pPr>
              <w:pStyle w:val="21"/>
              <w:numPr>
                <w:ilvl w:val="0"/>
                <w:numId w:val="3"/>
              </w:numPr>
              <w:ind w:left="425" w:leftChars="0" w:hanging="425" w:firstLineChars="0"/>
            </w:pPr>
            <w:r>
              <w:rPr>
                <w:rFonts w:hint="eastAsia"/>
              </w:rPr>
              <w:t xml:space="preserve">平场消色差相差物镜 10×，NA≥0.25 </w:t>
            </w:r>
            <w:r>
              <w:rPr>
                <w:rFonts w:hint="eastAsia"/>
                <w:lang w:eastAsia="zh-CN"/>
              </w:rPr>
              <w:t>，</w:t>
            </w:r>
            <w:r>
              <w:rPr>
                <w:rFonts w:hint="eastAsia"/>
                <w:lang w:val="en-US" w:eastAsia="zh-CN"/>
              </w:rPr>
              <w:t>WD≤4.6mm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7138" w:type="dxa"/>
            <w:gridSpan w:val="2"/>
            <w:vAlign w:val="top"/>
          </w:tcPr>
          <w:p>
            <w:pPr>
              <w:pStyle w:val="21"/>
              <w:numPr>
                <w:ilvl w:val="0"/>
                <w:numId w:val="3"/>
              </w:numPr>
              <w:ind w:left="425" w:leftChars="0" w:hanging="425" w:firstLineChars="0"/>
            </w:pPr>
            <w:r>
              <w:rPr>
                <w:rFonts w:hint="eastAsia"/>
              </w:rPr>
              <w:t>平场消色差相差物镜 20×，NA≥0.40</w:t>
            </w:r>
            <w:r>
              <w:rPr>
                <w:rFonts w:hint="eastAsia"/>
                <w:lang w:eastAsia="zh-CN"/>
              </w:rPr>
              <w:t>，</w:t>
            </w:r>
            <w:r>
              <w:rPr>
                <w:rFonts w:hint="eastAsia"/>
                <w:lang w:val="en-US" w:eastAsia="zh-CN"/>
              </w:rPr>
              <w:t>WD≤0.9mm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7138" w:type="dxa"/>
            <w:gridSpan w:val="2"/>
            <w:vAlign w:val="top"/>
          </w:tcPr>
          <w:p>
            <w:pPr>
              <w:pStyle w:val="21"/>
              <w:numPr>
                <w:ilvl w:val="0"/>
                <w:numId w:val="3"/>
              </w:numPr>
              <w:ind w:left="425" w:leftChars="0" w:hanging="425" w:firstLineChars="0"/>
            </w:pPr>
            <w:r>
              <w:rPr>
                <w:rFonts w:hint="eastAsia"/>
              </w:rPr>
              <w:t>平场消色差相差物镜 40×，NA≥0.65</w:t>
            </w:r>
            <w:r>
              <w:rPr>
                <w:rFonts w:hint="eastAsia"/>
                <w:lang w:eastAsia="zh-CN"/>
              </w:rPr>
              <w:t>，</w:t>
            </w:r>
            <w:r>
              <w:rPr>
                <w:rFonts w:hint="eastAsia"/>
                <w:lang w:val="en-US" w:eastAsia="zh-CN"/>
              </w:rPr>
              <w:t>WD≤0.61mm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7138" w:type="dxa"/>
            <w:gridSpan w:val="2"/>
            <w:vAlign w:val="top"/>
          </w:tcPr>
          <w:p>
            <w:pPr>
              <w:pStyle w:val="21"/>
              <w:numPr>
                <w:ilvl w:val="0"/>
                <w:numId w:val="3"/>
              </w:numPr>
              <w:ind w:left="425" w:leftChars="0" w:hanging="425" w:firstLineChars="0"/>
            </w:pPr>
            <w:r>
              <w:rPr>
                <w:rFonts w:hint="eastAsia"/>
              </w:rPr>
              <w:t>平场消色差相差物镜 100×（油镜），NA≥1.25</w:t>
            </w:r>
            <w:r>
              <w:rPr>
                <w:rFonts w:hint="eastAsia"/>
                <w:lang w:eastAsia="zh-CN"/>
              </w:rPr>
              <w:t>，</w:t>
            </w:r>
            <w:r>
              <w:rPr>
                <w:rFonts w:hint="eastAsia"/>
                <w:lang w:val="en-US" w:eastAsia="zh-CN"/>
              </w:rPr>
              <w:t>WD≤0.21mm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7138" w:type="dxa"/>
            <w:gridSpan w:val="2"/>
            <w:vAlign w:val="top"/>
          </w:tcPr>
          <w:p>
            <w:pPr>
              <w:pStyle w:val="21"/>
              <w:numPr>
                <w:ilvl w:val="0"/>
                <w:numId w:val="3"/>
              </w:numPr>
              <w:ind w:left="425" w:leftChars="0" w:hanging="425" w:firstLineChars="0"/>
            </w:pPr>
            <w:r>
              <w:rPr>
                <w:rFonts w:hint="eastAsia"/>
                <w:lang w:val="en-US" w:eastAsia="zh-CN"/>
              </w:rPr>
              <w:t xml:space="preserve"> 物镜转换器：物镜转盘4位，一体化设计，增强光路稳定。国际标准的M27物镜接口，具有齐焦功能。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7138" w:type="dxa"/>
            <w:gridSpan w:val="2"/>
            <w:vAlign w:val="top"/>
          </w:tcPr>
          <w:p>
            <w:pPr>
              <w:pStyle w:val="21"/>
              <w:numPr>
                <w:ilvl w:val="0"/>
                <w:numId w:val="3"/>
              </w:numPr>
              <w:ind w:left="425" w:leftChars="0" w:hanging="425" w:firstLineChars="0"/>
            </w:pPr>
            <w:r>
              <w:rPr>
                <w:rFonts w:hint="eastAsia"/>
              </w:rPr>
              <w:t>聚光镜：非摆动式高分辨率多功能聚光镜：NA≥0.9/1.25。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7138" w:type="dxa"/>
            <w:gridSpan w:val="2"/>
            <w:vAlign w:val="center"/>
          </w:tcPr>
          <w:p>
            <w:pPr>
              <w:numPr>
                <w:ilvl w:val="2"/>
                <w:numId w:val="2"/>
              </w:numPr>
              <w:ind w:left="709" w:leftChars="0" w:hanging="709" w:firstLineChars="0"/>
              <w:rPr>
                <w:rFonts w:ascii="宋体" w:hAnsi="宋体"/>
              </w:rPr>
            </w:pPr>
            <w:r>
              <w:rPr>
                <w:rFonts w:hint="eastAsia" w:ascii="宋体" w:hAnsi="宋体"/>
                <w:b/>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5670" w:type="dxa"/>
            <w:vAlign w:val="center"/>
          </w:tcPr>
          <w:p>
            <w:pPr>
              <w:ind w:firstLine="826" w:firstLineChars="392"/>
              <w:rPr>
                <w:rFonts w:ascii="宋体" w:hAnsi="宋体"/>
              </w:rPr>
            </w:pPr>
            <w:r>
              <w:rPr>
                <w:rFonts w:hint="eastAsia" w:ascii="宋体" w:hAnsi="宋体"/>
                <w:b/>
              </w:rPr>
              <w:t>类别</w:t>
            </w:r>
          </w:p>
        </w:tc>
        <w:tc>
          <w:tcPr>
            <w:tcW w:w="1468" w:type="dxa"/>
            <w:vAlign w:val="center"/>
          </w:tcPr>
          <w:p>
            <w:pPr>
              <w:rPr>
                <w:rFonts w:ascii="宋体" w:hAnsi="宋体"/>
              </w:rPr>
            </w:pPr>
            <w:r>
              <w:rPr>
                <w:rFonts w:hint="eastAsia" w:ascii="宋体" w:hAnsi="宋体"/>
                <w:b/>
              </w:rPr>
              <w:t>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5670" w:type="dxa"/>
            <w:vAlign w:val="center"/>
          </w:tcPr>
          <w:p>
            <w:pPr>
              <w:pStyle w:val="21"/>
              <w:numPr>
                <w:ilvl w:val="0"/>
                <w:numId w:val="4"/>
              </w:numPr>
              <w:spacing w:line="400" w:lineRule="exact"/>
              <w:ind w:left="425" w:leftChars="0" w:hanging="425" w:firstLineChars="0"/>
              <w:jc w:val="left"/>
            </w:pPr>
            <w:r>
              <w:rPr>
                <w:rFonts w:hint="eastAsia"/>
                <w:lang w:val="en-US" w:eastAsia="zh-CN"/>
              </w:rPr>
              <w:t>相差显微镜主机</w:t>
            </w:r>
          </w:p>
        </w:tc>
        <w:tc>
          <w:tcPr>
            <w:tcW w:w="1468" w:type="dxa"/>
            <w:vAlign w:val="center"/>
          </w:tcPr>
          <w:p>
            <w:pPr>
              <w:spacing w:line="400" w:lineRule="exact"/>
              <w:jc w:val="center"/>
              <w:rPr>
                <w:rFonts w:ascii="Times New Roman" w:hAnsi="Times New Roman"/>
              </w:rPr>
            </w:pPr>
            <w:r>
              <w:rPr>
                <w:rFonts w:hint="eastAsia" w:ascii="Times New Roman" w:hAnsi="Times New Roma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5670" w:type="dxa"/>
            <w:vAlign w:val="center"/>
          </w:tcPr>
          <w:p>
            <w:pPr>
              <w:pStyle w:val="21"/>
              <w:numPr>
                <w:ilvl w:val="0"/>
                <w:numId w:val="4"/>
              </w:numPr>
              <w:spacing w:line="400" w:lineRule="exact"/>
              <w:ind w:left="425" w:leftChars="0" w:hanging="425" w:firstLineChars="0"/>
              <w:jc w:val="left"/>
            </w:pPr>
            <w:r>
              <w:rPr>
                <w:rFonts w:hint="eastAsia"/>
                <w:lang w:val="en-US" w:eastAsia="zh-CN"/>
              </w:rPr>
              <w:t>双目镜筒</w:t>
            </w:r>
          </w:p>
        </w:tc>
        <w:tc>
          <w:tcPr>
            <w:tcW w:w="1468" w:type="dxa"/>
            <w:vAlign w:val="center"/>
          </w:tcPr>
          <w:p>
            <w:pPr>
              <w:spacing w:line="400" w:lineRule="exact"/>
              <w:jc w:val="center"/>
              <w:rPr>
                <w:rFonts w:ascii="Times New Roman" w:hAnsi="Times New Roman"/>
              </w:rPr>
            </w:pPr>
            <w:r>
              <w:rPr>
                <w:rFonts w:hint="eastAsia" w:ascii="Times New Roman" w:hAnsi="Times New Roma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5670" w:type="dxa"/>
            <w:vAlign w:val="center"/>
          </w:tcPr>
          <w:p>
            <w:pPr>
              <w:pStyle w:val="21"/>
              <w:numPr>
                <w:ilvl w:val="0"/>
                <w:numId w:val="4"/>
              </w:numPr>
              <w:spacing w:line="400" w:lineRule="exact"/>
              <w:ind w:left="425" w:leftChars="0" w:hanging="425" w:firstLineChars="0"/>
              <w:jc w:val="left"/>
            </w:pPr>
            <w:r>
              <w:rPr>
                <w:rFonts w:hint="eastAsia"/>
                <w:lang w:val="en-US" w:eastAsia="zh-CN"/>
              </w:rPr>
              <w:t>10X目镜</w:t>
            </w:r>
          </w:p>
        </w:tc>
        <w:tc>
          <w:tcPr>
            <w:tcW w:w="1468" w:type="dxa"/>
            <w:vAlign w:val="center"/>
          </w:tcPr>
          <w:p>
            <w:pPr>
              <w:spacing w:line="400" w:lineRule="exact"/>
              <w:jc w:val="center"/>
              <w:rPr>
                <w:rFonts w:ascii="Times New Roman" w:hAnsi="Times New Roman"/>
              </w:rPr>
            </w:pPr>
            <w:r>
              <w:rPr>
                <w:rFonts w:hint="eastAsia" w:ascii="Times New Roman" w:hAnsi="Times New Roman"/>
                <w:lang w:val="en-US" w:eastAsia="zh-CN"/>
              </w:rPr>
              <w:t>2</w:t>
            </w:r>
            <w:r>
              <w:rPr>
                <w:rFonts w:hint="eastAsia" w:ascii="Times New Roman" w:hAnsi="Times New Roma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5670" w:type="dxa"/>
            <w:vAlign w:val="center"/>
          </w:tcPr>
          <w:p>
            <w:pPr>
              <w:pStyle w:val="21"/>
              <w:numPr>
                <w:ilvl w:val="0"/>
                <w:numId w:val="4"/>
              </w:numPr>
              <w:spacing w:line="400" w:lineRule="exact"/>
              <w:ind w:left="425" w:leftChars="0" w:hanging="425" w:firstLineChars="0"/>
              <w:jc w:val="left"/>
            </w:pPr>
            <w:r>
              <w:rPr>
                <w:rFonts w:hint="eastAsia"/>
                <w:lang w:val="en-US" w:eastAsia="zh-CN"/>
              </w:rPr>
              <w:t>10x相差物镜</w:t>
            </w:r>
          </w:p>
        </w:tc>
        <w:tc>
          <w:tcPr>
            <w:tcW w:w="1468" w:type="dxa"/>
            <w:vAlign w:val="center"/>
          </w:tcPr>
          <w:p>
            <w:pPr>
              <w:spacing w:line="400" w:lineRule="exact"/>
              <w:jc w:val="center"/>
              <w:rPr>
                <w:rFonts w:ascii="Times New Roman" w:hAnsi="Times New Roman"/>
              </w:rPr>
            </w:pPr>
            <w:r>
              <w:rPr>
                <w:rFonts w:hint="eastAsia" w:ascii="Times New Roman" w:hAnsi="Times New Roman"/>
                <w:lang w:val="en-US" w:eastAsia="zh-CN"/>
              </w:rPr>
              <w:t>1</w:t>
            </w:r>
            <w:r>
              <w:rPr>
                <w:rFonts w:hint="eastAsia" w:ascii="Times New Roman" w:hAnsi="Times New Roma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5670" w:type="dxa"/>
            <w:vAlign w:val="center"/>
          </w:tcPr>
          <w:p>
            <w:pPr>
              <w:pStyle w:val="21"/>
              <w:numPr>
                <w:ilvl w:val="0"/>
                <w:numId w:val="4"/>
              </w:numPr>
              <w:spacing w:line="400" w:lineRule="exact"/>
              <w:ind w:left="425" w:leftChars="0" w:hanging="425" w:firstLineChars="0"/>
              <w:jc w:val="left"/>
            </w:pPr>
            <w:r>
              <w:rPr>
                <w:rFonts w:hint="eastAsia"/>
                <w:lang w:val="en-US" w:eastAsia="zh-CN"/>
              </w:rPr>
              <w:t>20x相差物镜</w:t>
            </w:r>
          </w:p>
        </w:tc>
        <w:tc>
          <w:tcPr>
            <w:tcW w:w="1468" w:type="dxa"/>
            <w:vAlign w:val="center"/>
          </w:tcPr>
          <w:p>
            <w:pPr>
              <w:spacing w:line="400" w:lineRule="exact"/>
              <w:jc w:val="center"/>
              <w:rPr>
                <w:rFonts w:ascii="Times New Roman" w:hAnsi="Times New Roman"/>
              </w:rPr>
            </w:pPr>
            <w:r>
              <w:rPr>
                <w:rFonts w:hint="eastAsia" w:ascii="Times New Roman" w:hAnsi="Times New Roman"/>
                <w:lang w:val="en-US" w:eastAsia="zh-CN"/>
              </w:rPr>
              <w:t>1</w:t>
            </w:r>
            <w:r>
              <w:rPr>
                <w:rFonts w:hint="eastAsia" w:ascii="Times New Roman" w:hAnsi="Times New Roma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5670" w:type="dxa"/>
            <w:vAlign w:val="center"/>
          </w:tcPr>
          <w:p>
            <w:pPr>
              <w:pStyle w:val="21"/>
              <w:numPr>
                <w:ilvl w:val="0"/>
                <w:numId w:val="4"/>
              </w:numPr>
              <w:spacing w:line="400" w:lineRule="exact"/>
              <w:ind w:left="425" w:leftChars="0" w:hanging="425" w:firstLineChars="0"/>
              <w:jc w:val="left"/>
            </w:pPr>
            <w:r>
              <w:rPr>
                <w:rFonts w:hint="eastAsia"/>
                <w:lang w:val="en-US" w:eastAsia="zh-CN"/>
              </w:rPr>
              <w:t>40x相差物镜</w:t>
            </w:r>
          </w:p>
        </w:tc>
        <w:tc>
          <w:tcPr>
            <w:tcW w:w="1468" w:type="dxa"/>
            <w:vAlign w:val="center"/>
          </w:tcPr>
          <w:p>
            <w:pPr>
              <w:spacing w:line="400" w:lineRule="exact"/>
              <w:jc w:val="center"/>
              <w:rPr>
                <w:rFonts w:ascii="Times New Roman" w:hAnsi="Times New Roman"/>
              </w:rPr>
            </w:pPr>
            <w:r>
              <w:rPr>
                <w:rFonts w:hint="eastAsia" w:ascii="Times New Roman" w:hAnsi="Times New Roman"/>
                <w:lang w:val="en-US" w:eastAsia="zh-CN"/>
              </w:rPr>
              <w:t>1</w:t>
            </w:r>
            <w:r>
              <w:rPr>
                <w:rFonts w:hint="eastAsia" w:ascii="Times New Roman" w:hAnsi="Times New Roma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5670" w:type="dxa"/>
            <w:vAlign w:val="center"/>
          </w:tcPr>
          <w:p>
            <w:pPr>
              <w:pStyle w:val="21"/>
              <w:numPr>
                <w:ilvl w:val="0"/>
                <w:numId w:val="4"/>
              </w:numPr>
              <w:spacing w:line="400" w:lineRule="exact"/>
              <w:ind w:left="425" w:leftChars="0" w:hanging="425" w:firstLineChars="0"/>
              <w:jc w:val="left"/>
            </w:pPr>
            <w:r>
              <w:rPr>
                <w:rFonts w:hint="eastAsia"/>
                <w:lang w:val="en-US" w:eastAsia="zh-CN"/>
              </w:rPr>
              <w:t>100x相差物镜</w:t>
            </w:r>
          </w:p>
        </w:tc>
        <w:tc>
          <w:tcPr>
            <w:tcW w:w="1468" w:type="dxa"/>
            <w:vAlign w:val="center"/>
          </w:tcPr>
          <w:p>
            <w:pPr>
              <w:spacing w:line="400" w:lineRule="exact"/>
              <w:jc w:val="center"/>
              <w:rPr>
                <w:rFonts w:ascii="Times New Roman" w:hAnsi="Times New Roman"/>
              </w:rPr>
            </w:pPr>
            <w:r>
              <w:rPr>
                <w:rFonts w:hint="eastAsia" w:ascii="Times New Roman" w:hAnsi="Times New Roman"/>
                <w:lang w:val="en-US" w:eastAsia="zh-CN"/>
              </w:rPr>
              <w:t>1</w:t>
            </w:r>
            <w:r>
              <w:rPr>
                <w:rFonts w:hint="eastAsia" w:ascii="Times New Roman" w:hAnsi="Times New Roma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5670" w:type="dxa"/>
            <w:vAlign w:val="center"/>
          </w:tcPr>
          <w:p>
            <w:pPr>
              <w:pStyle w:val="21"/>
              <w:numPr>
                <w:ilvl w:val="0"/>
                <w:numId w:val="4"/>
              </w:numPr>
              <w:spacing w:line="400" w:lineRule="exact"/>
              <w:ind w:left="425" w:leftChars="0" w:hanging="425" w:firstLineChars="0"/>
              <w:jc w:val="left"/>
            </w:pPr>
            <w:r>
              <w:rPr>
                <w:rFonts w:hint="eastAsia"/>
                <w:lang w:val="en-US" w:eastAsia="zh-CN"/>
              </w:rPr>
              <w:t>多功能聚光镜</w:t>
            </w:r>
          </w:p>
        </w:tc>
        <w:tc>
          <w:tcPr>
            <w:tcW w:w="1468" w:type="dxa"/>
            <w:vAlign w:val="center"/>
          </w:tcPr>
          <w:p>
            <w:pPr>
              <w:spacing w:line="400" w:lineRule="exact"/>
              <w:jc w:val="center"/>
              <w:rPr>
                <w:rFonts w:ascii="Times New Roman" w:hAnsi="Times New Roman"/>
              </w:rPr>
            </w:pPr>
            <w:r>
              <w:rPr>
                <w:rFonts w:hint="eastAsia" w:ascii="Times New Roman" w:hAnsi="Times New Roma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5670" w:type="dxa"/>
            <w:vAlign w:val="center"/>
          </w:tcPr>
          <w:p>
            <w:pPr>
              <w:pStyle w:val="21"/>
              <w:numPr>
                <w:ilvl w:val="0"/>
                <w:numId w:val="4"/>
              </w:numPr>
              <w:spacing w:line="400" w:lineRule="exact"/>
              <w:ind w:left="425" w:leftChars="0" w:hanging="425" w:firstLineChars="0"/>
              <w:jc w:val="left"/>
              <w:rPr>
                <w:rFonts w:hint="eastAsia"/>
              </w:rPr>
            </w:pPr>
            <w:r>
              <w:rPr>
                <w:rFonts w:hint="eastAsia"/>
                <w:lang w:val="en-US" w:eastAsia="zh-CN"/>
              </w:rPr>
              <w:t>相差组件</w:t>
            </w:r>
          </w:p>
        </w:tc>
        <w:tc>
          <w:tcPr>
            <w:tcW w:w="1468" w:type="dxa"/>
            <w:vAlign w:val="center"/>
          </w:tcPr>
          <w:p>
            <w:pPr>
              <w:spacing w:line="400" w:lineRule="exact"/>
              <w:jc w:val="center"/>
              <w:rPr>
                <w:rFonts w:hint="eastAsia" w:ascii="Times New Roman" w:hAnsi="Times New Roman"/>
              </w:rPr>
            </w:pPr>
            <w:r>
              <w:rPr>
                <w:rFonts w:hint="eastAsia" w:ascii="Times New Roman" w:hAnsi="Times New Roma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5670" w:type="dxa"/>
            <w:vAlign w:val="center"/>
          </w:tcPr>
          <w:p>
            <w:pPr>
              <w:pStyle w:val="21"/>
              <w:numPr>
                <w:ilvl w:val="0"/>
                <w:numId w:val="4"/>
              </w:numPr>
              <w:spacing w:line="400" w:lineRule="exact"/>
              <w:ind w:left="425" w:leftChars="0" w:hanging="425" w:firstLineChars="0"/>
              <w:jc w:val="left"/>
              <w:rPr>
                <w:rFonts w:hint="eastAsia"/>
              </w:rPr>
            </w:pPr>
            <w:r>
              <w:rPr>
                <w:rFonts w:hint="eastAsia"/>
                <w:lang w:val="en-US" w:eastAsia="zh-CN"/>
              </w:rPr>
              <w:t>防尘罩</w:t>
            </w:r>
          </w:p>
        </w:tc>
        <w:tc>
          <w:tcPr>
            <w:tcW w:w="1468" w:type="dxa"/>
            <w:vAlign w:val="center"/>
          </w:tcPr>
          <w:p>
            <w:pPr>
              <w:spacing w:line="400" w:lineRule="exact"/>
              <w:jc w:val="center"/>
              <w:rPr>
                <w:rFonts w:hint="eastAsia" w:ascii="Times New Roman" w:hAnsi="Times New Roman"/>
              </w:rPr>
            </w:pPr>
            <w:r>
              <w:rPr>
                <w:rFonts w:hint="eastAsia" w:ascii="Times New Roman" w:hAnsi="Times New Roma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5670" w:type="dxa"/>
            <w:vAlign w:val="center"/>
          </w:tcPr>
          <w:p>
            <w:pPr>
              <w:pStyle w:val="21"/>
              <w:numPr>
                <w:ilvl w:val="0"/>
                <w:numId w:val="4"/>
              </w:numPr>
              <w:spacing w:line="400" w:lineRule="exact"/>
              <w:ind w:left="425" w:leftChars="0" w:hanging="425" w:firstLineChars="0"/>
              <w:jc w:val="left"/>
            </w:pPr>
            <w:r>
              <w:rPr>
                <w:rFonts w:hint="eastAsia"/>
                <w:lang w:val="en-US" w:eastAsia="zh-CN"/>
              </w:rPr>
              <w:t>说明书</w:t>
            </w:r>
          </w:p>
        </w:tc>
        <w:tc>
          <w:tcPr>
            <w:tcW w:w="1468" w:type="dxa"/>
            <w:vAlign w:val="center"/>
          </w:tcPr>
          <w:p>
            <w:pPr>
              <w:spacing w:line="400" w:lineRule="exact"/>
              <w:jc w:val="center"/>
              <w:rPr>
                <w:rFonts w:ascii="Times New Roman" w:hAnsi="Times New Roman"/>
              </w:rPr>
            </w:pPr>
            <w:r>
              <w:rPr>
                <w:rFonts w:hint="eastAsia" w:ascii="Times New Roman" w:hAnsi="Times New Roman"/>
                <w:lang w:val="en-US" w:eastAsia="zh-CN"/>
              </w:rPr>
              <w:t>1</w:t>
            </w:r>
            <w:r>
              <w:rPr>
                <w:rFonts w:hint="eastAsia" w:ascii="Times New Roman" w:hAnsi="Times New Roma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vAlign w:val="center"/>
          </w:tcPr>
          <w:p>
            <w:pPr>
              <w:jc w:val="center"/>
              <w:rPr>
                <w:rFonts w:hint="eastAsia" w:ascii="宋体" w:hAnsi="宋体" w:eastAsia="宋体"/>
                <w:lang w:val="en-US" w:eastAsia="zh-CN"/>
              </w:rPr>
            </w:pPr>
            <w:r>
              <w:rPr>
                <w:rFonts w:hint="eastAsia" w:ascii="宋体" w:hAnsi="宋体"/>
                <w:lang w:val="en-US" w:eastAsia="zh-CN"/>
              </w:rPr>
              <w:t>2</w:t>
            </w:r>
          </w:p>
        </w:tc>
        <w:tc>
          <w:tcPr>
            <w:tcW w:w="958" w:type="dxa"/>
            <w:vMerge w:val="restart"/>
            <w:vAlign w:val="center"/>
          </w:tcPr>
          <w:p>
            <w:pPr>
              <w:jc w:val="center"/>
              <w:rPr>
                <w:rFonts w:ascii="宋体" w:hAnsi="宋体"/>
              </w:rPr>
            </w:pPr>
            <w:r>
              <w:rPr>
                <w:rFonts w:hint="eastAsia" w:ascii="宋体" w:hAnsi="宋体"/>
                <w:b/>
              </w:rPr>
              <w:t>倒置显微镜</w:t>
            </w:r>
          </w:p>
        </w:tc>
        <w:tc>
          <w:tcPr>
            <w:tcW w:w="7138" w:type="dxa"/>
            <w:gridSpan w:val="2"/>
            <w:vAlign w:val="center"/>
          </w:tcPr>
          <w:p>
            <w:pPr>
              <w:numPr>
                <w:ilvl w:val="0"/>
                <w:numId w:val="0"/>
              </w:numPr>
              <w:ind w:leftChars="0"/>
              <w:rPr>
                <w:rFonts w:hint="eastAsia" w:ascii="Times New Roman" w:hAnsi="Times New Roman"/>
              </w:rPr>
            </w:pPr>
            <w:r>
              <w:rPr>
                <w:rFonts w:hint="eastAsia" w:ascii="宋体" w:hAnsi="宋体"/>
                <w:b/>
                <w:lang w:val="en-US" w:eastAsia="zh-CN"/>
              </w:rPr>
              <w:t>2.1</w:t>
            </w:r>
            <w:r>
              <w:rPr>
                <w:rFonts w:hint="eastAsia" w:ascii="宋体" w:hAnsi="宋体"/>
                <w:b/>
              </w:rPr>
              <w:t>倒置显微镜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7138" w:type="dxa"/>
            <w:gridSpan w:val="2"/>
            <w:vAlign w:val="center"/>
          </w:tcPr>
          <w:p>
            <w:pPr>
              <w:numPr>
                <w:ilvl w:val="0"/>
                <w:numId w:val="0"/>
              </w:numPr>
              <w:ind w:leftChars="0"/>
              <w:rPr>
                <w:rFonts w:hint="eastAsia" w:ascii="Times New Roman" w:hAnsi="Times New Roman"/>
              </w:rPr>
            </w:pPr>
            <w:r>
              <w:rPr>
                <w:rFonts w:hint="eastAsia" w:ascii="宋体" w:hAnsi="宋体"/>
                <w:b/>
                <w:lang w:val="en-US" w:eastAsia="zh-CN"/>
              </w:rPr>
              <w:t>2.1.1.</w:t>
            </w:r>
            <w:r>
              <w:rPr>
                <w:rFonts w:hint="eastAsia" w:ascii="宋体" w:hAnsi="宋体"/>
                <w:b/>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7138" w:type="dxa"/>
            <w:gridSpan w:val="2"/>
            <w:vAlign w:val="top"/>
          </w:tcPr>
          <w:p>
            <w:pPr>
              <w:pStyle w:val="21"/>
              <w:numPr>
                <w:ilvl w:val="0"/>
                <w:numId w:val="5"/>
              </w:numPr>
              <w:ind w:left="425" w:leftChars="0" w:hanging="425" w:firstLineChars="0"/>
              <w:rPr>
                <w:rFonts w:hint="eastAsia" w:ascii="Times New Roman" w:hAnsi="Times New Roman"/>
              </w:rPr>
            </w:pPr>
            <w:r>
              <w:rPr>
                <w:rFonts w:hint="eastAsia"/>
              </w:rPr>
              <w:t>采用无限远光学系统，45mm国际标准物镜齐焦距离。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7138" w:type="dxa"/>
            <w:gridSpan w:val="2"/>
            <w:vAlign w:val="top"/>
          </w:tcPr>
          <w:p>
            <w:pPr>
              <w:pStyle w:val="21"/>
              <w:numPr>
                <w:ilvl w:val="0"/>
                <w:numId w:val="5"/>
              </w:numPr>
              <w:ind w:left="425" w:leftChars="0" w:hanging="425" w:firstLineChars="0"/>
              <w:rPr>
                <w:rFonts w:hint="eastAsia" w:ascii="Times New Roman" w:hAnsi="Times New Roman"/>
              </w:rPr>
            </w:pPr>
            <w:r>
              <w:rPr>
                <w:rFonts w:hint="eastAsia"/>
              </w:rPr>
              <w:t>调焦：带扭矩调节装置,调焦行程15mm。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7138" w:type="dxa"/>
            <w:gridSpan w:val="2"/>
            <w:vAlign w:val="top"/>
          </w:tcPr>
          <w:p>
            <w:pPr>
              <w:pStyle w:val="21"/>
              <w:numPr>
                <w:ilvl w:val="0"/>
                <w:numId w:val="5"/>
              </w:numPr>
              <w:ind w:left="425" w:leftChars="0" w:hanging="425" w:firstLineChars="0"/>
              <w:rPr>
                <w:rFonts w:hint="eastAsia" w:ascii="Times New Roman" w:hAnsi="Times New Roman"/>
              </w:rPr>
            </w:pPr>
            <w:r>
              <w:rPr>
                <w:rFonts w:hint="eastAsia"/>
                <w:highlight w:val="none"/>
              </w:rPr>
              <w:t>▲内置透射光科勒照明器，LED长寿命冷光源，可随意更换光源；带人机学电源开关，超过15分钟不使用自动进入待机状态；通过双侧一键唤醒开关即可打开光源。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7138" w:type="dxa"/>
            <w:gridSpan w:val="2"/>
            <w:vAlign w:val="top"/>
          </w:tcPr>
          <w:p>
            <w:pPr>
              <w:pStyle w:val="21"/>
              <w:numPr>
                <w:ilvl w:val="0"/>
                <w:numId w:val="5"/>
              </w:numPr>
              <w:ind w:left="425" w:leftChars="0" w:hanging="425" w:firstLineChars="0"/>
              <w:rPr>
                <w:rFonts w:hint="eastAsia" w:ascii="Times New Roman" w:hAnsi="Times New Roman"/>
              </w:rPr>
            </w:pPr>
            <w:r>
              <w:rPr>
                <w:rFonts w:hint="eastAsia"/>
                <w:highlight w:val="none"/>
              </w:rPr>
              <w:t>高抗磨损性圆角、无槽设计台面载物台；面积</w:t>
            </w:r>
            <w:r>
              <w:rPr>
                <w:rFonts w:hint="eastAsia"/>
                <w:highlight w:val="none"/>
                <w:lang w:val="en-US" w:eastAsia="zh-CN"/>
              </w:rPr>
              <w:t>≥</w:t>
            </w:r>
            <w:r>
              <w:rPr>
                <w:rFonts w:hint="eastAsia"/>
                <w:highlight w:val="none"/>
              </w:rPr>
              <w:t>200*239mm；带控制手柄，行程</w:t>
            </w:r>
            <w:r>
              <w:rPr>
                <w:rFonts w:hint="eastAsia"/>
                <w:highlight w:val="none"/>
                <w:lang w:val="en-US" w:eastAsia="zh-CN"/>
              </w:rPr>
              <w:t>≥</w:t>
            </w:r>
            <w:r>
              <w:rPr>
                <w:rFonts w:hint="eastAsia"/>
                <w:highlight w:val="none"/>
              </w:rPr>
              <w:t>108*72mm。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7138" w:type="dxa"/>
            <w:gridSpan w:val="2"/>
            <w:vAlign w:val="top"/>
          </w:tcPr>
          <w:p>
            <w:pPr>
              <w:pStyle w:val="21"/>
              <w:numPr>
                <w:ilvl w:val="0"/>
                <w:numId w:val="5"/>
              </w:numPr>
              <w:ind w:left="425" w:leftChars="0" w:hanging="425" w:firstLineChars="0"/>
              <w:rPr>
                <w:rFonts w:hint="eastAsia" w:ascii="Times New Roman" w:hAnsi="Times New Roman"/>
              </w:rPr>
            </w:pPr>
            <w:r>
              <w:rPr>
                <w:rFonts w:hint="eastAsia"/>
                <w:highlight w:val="none"/>
                <w:lang w:val="en-US" w:eastAsia="zh-CN"/>
              </w:rPr>
              <w:t>▲</w:t>
            </w:r>
            <w:r>
              <w:rPr>
                <w:rFonts w:hint="default"/>
                <w:highlight w:val="none"/>
                <w:lang w:val="en-US" w:eastAsia="zh-CN"/>
              </w:rPr>
              <w:t>配备</w:t>
            </w:r>
            <w:r>
              <w:rPr>
                <w:rFonts w:hint="eastAsia"/>
                <w:highlight w:val="none"/>
                <w:lang w:val="en-US" w:eastAsia="zh-CN"/>
              </w:rPr>
              <w:t>三</w:t>
            </w:r>
            <w:r>
              <w:rPr>
                <w:rFonts w:hint="default"/>
                <w:highlight w:val="none"/>
                <w:lang w:val="en-US" w:eastAsia="zh-CN"/>
              </w:rPr>
              <w:t>目镜筒，视场数≥20mm，倾角45度。高眼点设计，目镜筒360度自由旋转，实现35mm观察高度调节，瞳距48-75mm可调。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6" w:type="dxa"/>
            <w:vMerge w:val="continue"/>
          </w:tcPr>
          <w:p>
            <w:pPr>
              <w:rPr>
                <w:rFonts w:ascii="宋体" w:hAnsi="宋体"/>
              </w:rPr>
            </w:pPr>
          </w:p>
        </w:tc>
        <w:tc>
          <w:tcPr>
            <w:tcW w:w="958" w:type="dxa"/>
            <w:vMerge w:val="continue"/>
          </w:tcPr>
          <w:p>
            <w:pPr>
              <w:rPr>
                <w:rFonts w:ascii="宋体" w:hAnsi="宋体"/>
              </w:rPr>
            </w:pPr>
          </w:p>
        </w:tc>
        <w:tc>
          <w:tcPr>
            <w:tcW w:w="7138" w:type="dxa"/>
            <w:gridSpan w:val="2"/>
            <w:vAlign w:val="top"/>
          </w:tcPr>
          <w:p>
            <w:pPr>
              <w:pStyle w:val="21"/>
              <w:numPr>
                <w:ilvl w:val="0"/>
                <w:numId w:val="5"/>
              </w:numPr>
              <w:ind w:left="425" w:leftChars="0" w:hanging="425" w:firstLineChars="0"/>
              <w:rPr>
                <w:rFonts w:hint="eastAsia" w:ascii="Times New Roman" w:hAnsi="Times New Roman"/>
              </w:rPr>
            </w:pPr>
            <w:r>
              <w:rPr>
                <w:rFonts w:hint="default"/>
                <w:highlight w:val="none"/>
                <w:lang w:val="en-US" w:eastAsia="zh-CN"/>
              </w:rPr>
              <w:t>配备10倍目镜，视场数≥20mm，两个目镜均具有屈光度校正功能。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6" w:type="dxa"/>
            <w:vMerge w:val="continue"/>
          </w:tcPr>
          <w:p>
            <w:pPr>
              <w:rPr>
                <w:rFonts w:ascii="宋体" w:hAnsi="宋体"/>
              </w:rPr>
            </w:pPr>
          </w:p>
        </w:tc>
        <w:tc>
          <w:tcPr>
            <w:tcW w:w="958" w:type="dxa"/>
            <w:vMerge w:val="continue"/>
          </w:tcPr>
          <w:p>
            <w:pPr>
              <w:rPr>
                <w:rFonts w:ascii="宋体" w:hAnsi="宋体"/>
              </w:rPr>
            </w:pPr>
          </w:p>
        </w:tc>
        <w:tc>
          <w:tcPr>
            <w:tcW w:w="7138" w:type="dxa"/>
            <w:gridSpan w:val="2"/>
            <w:vAlign w:val="center"/>
          </w:tcPr>
          <w:p>
            <w:pPr>
              <w:pStyle w:val="21"/>
              <w:numPr>
                <w:ilvl w:val="0"/>
                <w:numId w:val="5"/>
              </w:numPr>
              <w:ind w:left="425" w:leftChars="0" w:hanging="425" w:firstLineChars="0"/>
              <w:jc w:val="both"/>
            </w:pPr>
            <w:r>
              <w:rPr>
                <w:rFonts w:hint="eastAsia"/>
                <w:highlight w:val="none"/>
                <w:lang w:val="en-US" w:eastAsia="zh-CN"/>
              </w:rPr>
              <w:t>物镜：针对倒置显微镜应用优化的相差物镜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6" w:type="dxa"/>
            <w:vMerge w:val="continue"/>
          </w:tcPr>
          <w:p>
            <w:pPr>
              <w:rPr>
                <w:rFonts w:ascii="宋体" w:hAnsi="宋体"/>
              </w:rPr>
            </w:pPr>
          </w:p>
        </w:tc>
        <w:tc>
          <w:tcPr>
            <w:tcW w:w="958" w:type="dxa"/>
            <w:vMerge w:val="continue"/>
          </w:tcPr>
          <w:p>
            <w:pPr>
              <w:rPr>
                <w:rFonts w:ascii="宋体" w:hAnsi="宋体"/>
              </w:rPr>
            </w:pPr>
          </w:p>
        </w:tc>
        <w:tc>
          <w:tcPr>
            <w:tcW w:w="7138" w:type="dxa"/>
            <w:gridSpan w:val="2"/>
            <w:vAlign w:val="top"/>
          </w:tcPr>
          <w:p>
            <w:pPr>
              <w:pStyle w:val="21"/>
              <w:numPr>
                <w:ilvl w:val="0"/>
                <w:numId w:val="5"/>
              </w:numPr>
              <w:ind w:left="425" w:leftChars="0" w:hanging="425" w:firstLineChars="0"/>
            </w:pPr>
            <w:r>
              <w:rPr>
                <w:rFonts w:hint="eastAsia"/>
                <w:highlight w:val="none"/>
              </w:rPr>
              <w:t>4×平场消色差物镜，数值孔径≥0.10</w:t>
            </w:r>
            <w:r>
              <w:rPr>
                <w:rFonts w:hint="eastAsia"/>
                <w:highlight w:val="none"/>
                <w:lang w:eastAsia="zh-CN"/>
              </w:rPr>
              <w:t>，</w:t>
            </w:r>
            <w:r>
              <w:rPr>
                <w:rFonts w:hint="eastAsia"/>
                <w:highlight w:val="none"/>
                <w:lang w:val="en-US" w:eastAsia="zh-CN"/>
              </w:rPr>
              <w:t>WD≥12mm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7138" w:type="dxa"/>
            <w:gridSpan w:val="2"/>
            <w:vAlign w:val="top"/>
          </w:tcPr>
          <w:p>
            <w:pPr>
              <w:pStyle w:val="21"/>
              <w:numPr>
                <w:ilvl w:val="0"/>
                <w:numId w:val="5"/>
              </w:numPr>
              <w:ind w:left="425" w:leftChars="0" w:hanging="425" w:firstLineChars="0"/>
              <w:rPr>
                <w:rFonts w:hint="eastAsia" w:ascii="Times New Roman" w:hAnsi="Times New Roman"/>
              </w:rPr>
            </w:pPr>
            <w:r>
              <w:rPr>
                <w:rFonts w:hint="eastAsia"/>
                <w:highlight w:val="none"/>
              </w:rPr>
              <w:t>10×平场消色差相差物镜，数值孔径≥0.25</w:t>
            </w:r>
            <w:r>
              <w:rPr>
                <w:rFonts w:hint="eastAsia"/>
                <w:highlight w:val="none"/>
                <w:lang w:eastAsia="zh-CN"/>
              </w:rPr>
              <w:t>，</w:t>
            </w:r>
            <w:r>
              <w:rPr>
                <w:rFonts w:hint="eastAsia"/>
                <w:highlight w:val="none"/>
                <w:lang w:val="en-US" w:eastAsia="zh-CN"/>
              </w:rPr>
              <w:t>WD≥4.6mm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7138" w:type="dxa"/>
            <w:gridSpan w:val="2"/>
            <w:vAlign w:val="top"/>
          </w:tcPr>
          <w:p>
            <w:pPr>
              <w:pStyle w:val="21"/>
              <w:numPr>
                <w:ilvl w:val="0"/>
                <w:numId w:val="5"/>
              </w:numPr>
              <w:ind w:left="425" w:leftChars="0" w:hanging="425" w:firstLineChars="0"/>
              <w:rPr>
                <w:rFonts w:hint="eastAsia" w:ascii="Times New Roman" w:hAnsi="Times New Roman"/>
              </w:rPr>
            </w:pPr>
            <w:r>
              <w:rPr>
                <w:rFonts w:hint="eastAsia"/>
                <w:highlight w:val="none"/>
              </w:rPr>
              <w:t>20×长工作距离平场消色差相差物镜，数值孔径≥0.30</w:t>
            </w:r>
            <w:r>
              <w:rPr>
                <w:rFonts w:hint="eastAsia"/>
                <w:highlight w:val="none"/>
                <w:lang w:eastAsia="zh-CN"/>
              </w:rPr>
              <w:t>，</w:t>
            </w:r>
            <w:r>
              <w:rPr>
                <w:rFonts w:hint="eastAsia"/>
                <w:highlight w:val="none"/>
                <w:lang w:val="en-US" w:eastAsia="zh-CN"/>
              </w:rPr>
              <w:t>WD≥4.6mm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7138" w:type="dxa"/>
            <w:gridSpan w:val="2"/>
            <w:vAlign w:val="top"/>
          </w:tcPr>
          <w:p>
            <w:pPr>
              <w:pStyle w:val="21"/>
              <w:numPr>
                <w:ilvl w:val="0"/>
                <w:numId w:val="5"/>
              </w:numPr>
              <w:ind w:left="425" w:leftChars="0" w:hanging="425" w:firstLineChars="0"/>
              <w:rPr>
                <w:rFonts w:hint="eastAsia" w:ascii="Times New Roman" w:hAnsi="Times New Roman"/>
              </w:rPr>
            </w:pPr>
            <w:r>
              <w:rPr>
                <w:rFonts w:hint="eastAsia"/>
                <w:highlight w:val="none"/>
                <w:lang w:val="en-US" w:eastAsia="zh-CN"/>
              </w:rPr>
              <w:t>40×长工作距离平场消色差相差物镜 ，数值孔径≥0.50，WD≥2.7mm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7138" w:type="dxa"/>
            <w:gridSpan w:val="2"/>
            <w:vAlign w:val="top"/>
          </w:tcPr>
          <w:p>
            <w:pPr>
              <w:pStyle w:val="21"/>
              <w:numPr>
                <w:ilvl w:val="0"/>
                <w:numId w:val="5"/>
              </w:numPr>
              <w:ind w:left="425" w:leftChars="0" w:hanging="425" w:firstLineChars="0"/>
              <w:rPr>
                <w:rFonts w:hint="eastAsia" w:ascii="Times New Roman" w:hAnsi="Times New Roman"/>
              </w:rPr>
            </w:pPr>
            <w:r>
              <w:rPr>
                <w:rFonts w:hint="eastAsia"/>
                <w:highlight w:val="none"/>
                <w:lang w:val="en-US" w:eastAsia="zh-CN"/>
              </w:rPr>
              <w:t>配备4位物镜转盘，一体化设计，增强光路稳定。物镜转盘带人机学物镜识别设计。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7138" w:type="dxa"/>
            <w:gridSpan w:val="2"/>
            <w:vAlign w:val="top"/>
          </w:tcPr>
          <w:p>
            <w:pPr>
              <w:pStyle w:val="21"/>
              <w:numPr>
                <w:ilvl w:val="0"/>
                <w:numId w:val="5"/>
              </w:numPr>
              <w:ind w:left="425" w:leftChars="0" w:hanging="425" w:firstLineChars="0"/>
              <w:rPr>
                <w:rFonts w:hint="eastAsia" w:ascii="Times New Roman" w:hAnsi="Times New Roman"/>
              </w:rPr>
            </w:pPr>
            <w:r>
              <w:rPr>
                <w:rFonts w:hint="eastAsia"/>
                <w:highlight w:val="none"/>
              </w:rPr>
              <w:t>聚光镜：长工作距离聚光镜：NA≥0.3，工作距离≥72mm。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7138" w:type="dxa"/>
            <w:gridSpan w:val="2"/>
            <w:vAlign w:val="top"/>
          </w:tcPr>
          <w:p>
            <w:pPr>
              <w:pStyle w:val="21"/>
              <w:numPr>
                <w:ilvl w:val="0"/>
                <w:numId w:val="5"/>
              </w:numPr>
              <w:ind w:left="425" w:leftChars="0" w:hanging="425" w:firstLineChars="0"/>
              <w:rPr>
                <w:rFonts w:hint="eastAsia"/>
              </w:rPr>
            </w:pPr>
            <w:r>
              <w:rPr>
                <w:rFonts w:hint="eastAsia"/>
                <w:highlight w:val="none"/>
                <w:lang w:val="en-US" w:eastAsia="zh-CN"/>
              </w:rPr>
              <w:t>配备倒置显微镜专用相机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7138" w:type="dxa"/>
            <w:gridSpan w:val="2"/>
            <w:vAlign w:val="center"/>
          </w:tcPr>
          <w:p>
            <w:pPr>
              <w:numPr>
                <w:ilvl w:val="0"/>
                <w:numId w:val="0"/>
              </w:numPr>
              <w:ind w:leftChars="0"/>
              <w:rPr>
                <w:rFonts w:hint="eastAsia"/>
              </w:rPr>
            </w:pPr>
            <w:r>
              <w:rPr>
                <w:rFonts w:hint="eastAsia" w:ascii="宋体" w:hAnsi="宋体"/>
                <w:b/>
                <w:lang w:val="en-US" w:eastAsia="zh-CN"/>
              </w:rPr>
              <w:t>2.1.2</w:t>
            </w:r>
            <w:r>
              <w:rPr>
                <w:rFonts w:hint="eastAsia" w:ascii="宋体" w:hAnsi="宋体"/>
                <w:b/>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5670" w:type="dxa"/>
            <w:vAlign w:val="center"/>
          </w:tcPr>
          <w:p>
            <w:pPr>
              <w:ind w:firstLine="826" w:firstLineChars="392"/>
              <w:rPr>
                <w:rFonts w:hint="eastAsia"/>
              </w:rPr>
            </w:pPr>
            <w:r>
              <w:rPr>
                <w:rFonts w:hint="eastAsia" w:ascii="宋体" w:hAnsi="宋体"/>
                <w:b/>
              </w:rPr>
              <w:t>类别</w:t>
            </w:r>
          </w:p>
        </w:tc>
        <w:tc>
          <w:tcPr>
            <w:tcW w:w="1468" w:type="dxa"/>
            <w:vAlign w:val="center"/>
          </w:tcPr>
          <w:p>
            <w:r>
              <w:rPr>
                <w:rFonts w:hint="eastAsia" w:ascii="宋体" w:hAnsi="宋体"/>
                <w:b/>
              </w:rPr>
              <w:t>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5670" w:type="dxa"/>
            <w:vAlign w:val="center"/>
          </w:tcPr>
          <w:p>
            <w:pPr>
              <w:pStyle w:val="21"/>
              <w:numPr>
                <w:ilvl w:val="0"/>
                <w:numId w:val="6"/>
              </w:numPr>
              <w:spacing w:line="400" w:lineRule="exact"/>
              <w:ind w:left="425" w:leftChars="0" w:hanging="425" w:firstLineChars="0"/>
              <w:jc w:val="left"/>
              <w:rPr>
                <w:rFonts w:hint="eastAsia" w:ascii="Times New Roman" w:hAnsi="Times New Roman"/>
              </w:rPr>
            </w:pPr>
            <w:r>
              <w:rPr>
                <w:rFonts w:hint="eastAsia"/>
                <w:lang w:val="en-US" w:eastAsia="zh-CN"/>
              </w:rPr>
              <w:t>倒置显微镜主机</w:t>
            </w:r>
          </w:p>
        </w:tc>
        <w:tc>
          <w:tcPr>
            <w:tcW w:w="1468" w:type="dxa"/>
            <w:vAlign w:val="center"/>
          </w:tcPr>
          <w:p>
            <w:pPr>
              <w:spacing w:line="400" w:lineRule="exact"/>
              <w:jc w:val="center"/>
            </w:pPr>
            <w:r>
              <w:rPr>
                <w:rFonts w:hint="eastAsia" w:ascii="Times New Roman" w:hAnsi="Times New Roma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5670" w:type="dxa"/>
            <w:vAlign w:val="center"/>
          </w:tcPr>
          <w:p>
            <w:pPr>
              <w:pStyle w:val="21"/>
              <w:numPr>
                <w:ilvl w:val="0"/>
                <w:numId w:val="6"/>
              </w:numPr>
              <w:spacing w:line="400" w:lineRule="exact"/>
              <w:ind w:left="425" w:leftChars="0" w:hanging="425" w:firstLineChars="0"/>
              <w:jc w:val="left"/>
              <w:rPr>
                <w:rFonts w:hint="eastAsia" w:ascii="Times New Roman" w:hAnsi="Times New Roman"/>
              </w:rPr>
            </w:pPr>
            <w:r>
              <w:rPr>
                <w:rFonts w:hint="eastAsia"/>
                <w:lang w:val="en-US" w:eastAsia="zh-CN"/>
              </w:rPr>
              <w:t>三目镜筒</w:t>
            </w:r>
          </w:p>
        </w:tc>
        <w:tc>
          <w:tcPr>
            <w:tcW w:w="1468" w:type="dxa"/>
            <w:vAlign w:val="center"/>
          </w:tcPr>
          <w:p>
            <w:pPr>
              <w:spacing w:line="400" w:lineRule="exact"/>
              <w:jc w:val="center"/>
            </w:pPr>
            <w:r>
              <w:rPr>
                <w:rFonts w:hint="eastAsia" w:ascii="Times New Roman" w:hAnsi="Times New Roma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5670" w:type="dxa"/>
            <w:vAlign w:val="center"/>
          </w:tcPr>
          <w:p>
            <w:pPr>
              <w:pStyle w:val="21"/>
              <w:numPr>
                <w:ilvl w:val="0"/>
                <w:numId w:val="6"/>
              </w:numPr>
              <w:spacing w:line="400" w:lineRule="exact"/>
              <w:ind w:left="425" w:leftChars="0" w:hanging="425" w:firstLineChars="0"/>
              <w:jc w:val="left"/>
              <w:rPr>
                <w:rFonts w:hint="eastAsia" w:ascii="Times New Roman" w:hAnsi="Times New Roman"/>
              </w:rPr>
            </w:pPr>
            <w:r>
              <w:rPr>
                <w:rFonts w:hint="eastAsia"/>
                <w:lang w:val="en-US" w:eastAsia="zh-CN"/>
              </w:rPr>
              <w:t>10X目镜</w:t>
            </w:r>
          </w:p>
        </w:tc>
        <w:tc>
          <w:tcPr>
            <w:tcW w:w="1468" w:type="dxa"/>
            <w:vAlign w:val="center"/>
          </w:tcPr>
          <w:p>
            <w:pPr>
              <w:spacing w:line="400" w:lineRule="exact"/>
              <w:jc w:val="center"/>
            </w:pPr>
            <w:r>
              <w:rPr>
                <w:rFonts w:hint="eastAsia" w:ascii="Times New Roman" w:hAnsi="Times New Roman"/>
                <w:lang w:val="en-US" w:eastAsia="zh-CN"/>
              </w:rPr>
              <w:t>2</w:t>
            </w:r>
            <w:r>
              <w:rPr>
                <w:rFonts w:hint="eastAsia" w:ascii="Times New Roman" w:hAnsi="Times New Roma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5670" w:type="dxa"/>
            <w:vAlign w:val="center"/>
          </w:tcPr>
          <w:p>
            <w:pPr>
              <w:pStyle w:val="21"/>
              <w:numPr>
                <w:ilvl w:val="0"/>
                <w:numId w:val="6"/>
              </w:numPr>
              <w:spacing w:line="400" w:lineRule="exact"/>
              <w:ind w:left="425" w:leftChars="0" w:hanging="425" w:firstLineChars="0"/>
              <w:jc w:val="left"/>
              <w:rPr>
                <w:rFonts w:hint="eastAsia" w:ascii="Times New Roman" w:hAnsi="Times New Roman"/>
              </w:rPr>
            </w:pPr>
            <w:r>
              <w:rPr>
                <w:rFonts w:hint="eastAsia"/>
                <w:lang w:val="en-US" w:eastAsia="zh-CN"/>
              </w:rPr>
              <w:t>4x物镜</w:t>
            </w:r>
          </w:p>
        </w:tc>
        <w:tc>
          <w:tcPr>
            <w:tcW w:w="1468" w:type="dxa"/>
            <w:vAlign w:val="center"/>
          </w:tcPr>
          <w:p>
            <w:pPr>
              <w:spacing w:line="400" w:lineRule="exact"/>
              <w:jc w:val="center"/>
            </w:pPr>
            <w:r>
              <w:rPr>
                <w:rFonts w:hint="eastAsia" w:ascii="Times New Roman" w:hAnsi="Times New Roman"/>
                <w:lang w:val="en-US" w:eastAsia="zh-CN"/>
              </w:rPr>
              <w:t>1</w:t>
            </w:r>
            <w:r>
              <w:rPr>
                <w:rFonts w:hint="eastAsia" w:ascii="Times New Roman" w:hAnsi="Times New Roma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5670" w:type="dxa"/>
            <w:vAlign w:val="center"/>
          </w:tcPr>
          <w:p>
            <w:pPr>
              <w:pStyle w:val="21"/>
              <w:numPr>
                <w:ilvl w:val="0"/>
                <w:numId w:val="6"/>
              </w:numPr>
              <w:spacing w:line="400" w:lineRule="exact"/>
              <w:ind w:left="425" w:leftChars="0" w:hanging="425" w:firstLineChars="0"/>
              <w:jc w:val="left"/>
              <w:rPr>
                <w:rFonts w:hint="eastAsia" w:ascii="Times New Roman" w:hAnsi="Times New Roman"/>
              </w:rPr>
            </w:pPr>
            <w:r>
              <w:rPr>
                <w:rFonts w:hint="eastAsia"/>
                <w:lang w:val="en-US" w:eastAsia="zh-CN"/>
              </w:rPr>
              <w:t>10x物镜</w:t>
            </w:r>
          </w:p>
        </w:tc>
        <w:tc>
          <w:tcPr>
            <w:tcW w:w="1468" w:type="dxa"/>
            <w:vAlign w:val="center"/>
          </w:tcPr>
          <w:p>
            <w:pPr>
              <w:spacing w:line="400" w:lineRule="exact"/>
              <w:jc w:val="center"/>
            </w:pPr>
            <w:r>
              <w:rPr>
                <w:rFonts w:hint="eastAsia" w:ascii="Times New Roman" w:hAnsi="Times New Roman"/>
                <w:lang w:val="en-US" w:eastAsia="zh-CN"/>
              </w:rPr>
              <w:t>1</w:t>
            </w:r>
            <w:r>
              <w:rPr>
                <w:rFonts w:hint="eastAsia" w:ascii="Times New Roman" w:hAnsi="Times New Roma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5670" w:type="dxa"/>
            <w:vAlign w:val="center"/>
          </w:tcPr>
          <w:p>
            <w:pPr>
              <w:pStyle w:val="21"/>
              <w:numPr>
                <w:ilvl w:val="0"/>
                <w:numId w:val="6"/>
              </w:numPr>
              <w:spacing w:line="400" w:lineRule="exact"/>
              <w:ind w:left="425" w:leftChars="0" w:hanging="425" w:firstLineChars="0"/>
              <w:jc w:val="left"/>
              <w:rPr>
                <w:rFonts w:hint="eastAsia" w:ascii="Times New Roman" w:hAnsi="Times New Roman"/>
              </w:rPr>
            </w:pPr>
            <w:r>
              <w:rPr>
                <w:rFonts w:hint="eastAsia"/>
                <w:lang w:val="en-US" w:eastAsia="zh-CN"/>
              </w:rPr>
              <w:t>20x长工作距离相差物镜</w:t>
            </w:r>
          </w:p>
        </w:tc>
        <w:tc>
          <w:tcPr>
            <w:tcW w:w="1468" w:type="dxa"/>
            <w:vAlign w:val="center"/>
          </w:tcPr>
          <w:p>
            <w:pPr>
              <w:spacing w:line="400" w:lineRule="exact"/>
              <w:jc w:val="center"/>
            </w:pPr>
            <w:r>
              <w:rPr>
                <w:rFonts w:hint="eastAsia" w:ascii="Times New Roman" w:hAnsi="Times New Roman"/>
                <w:lang w:val="en-US" w:eastAsia="zh-CN"/>
              </w:rPr>
              <w:t>1</w:t>
            </w:r>
            <w:r>
              <w:rPr>
                <w:rFonts w:hint="eastAsia" w:ascii="Times New Roman" w:hAnsi="Times New Roma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5670" w:type="dxa"/>
            <w:vAlign w:val="center"/>
          </w:tcPr>
          <w:p>
            <w:pPr>
              <w:pStyle w:val="21"/>
              <w:numPr>
                <w:ilvl w:val="0"/>
                <w:numId w:val="6"/>
              </w:numPr>
              <w:spacing w:line="400" w:lineRule="exact"/>
              <w:ind w:left="425" w:leftChars="0" w:hanging="425" w:firstLineChars="0"/>
              <w:jc w:val="left"/>
              <w:rPr>
                <w:rFonts w:hint="eastAsia" w:ascii="Times New Roman" w:hAnsi="Times New Roman"/>
              </w:rPr>
            </w:pPr>
            <w:r>
              <w:rPr>
                <w:rFonts w:hint="eastAsia"/>
                <w:lang w:val="en-US" w:eastAsia="zh-CN"/>
              </w:rPr>
              <w:t>40x长工作距离相差物镜</w:t>
            </w:r>
          </w:p>
        </w:tc>
        <w:tc>
          <w:tcPr>
            <w:tcW w:w="1468" w:type="dxa"/>
            <w:vAlign w:val="center"/>
          </w:tcPr>
          <w:p>
            <w:pPr>
              <w:spacing w:line="400" w:lineRule="exact"/>
              <w:jc w:val="center"/>
            </w:pPr>
            <w:r>
              <w:rPr>
                <w:rFonts w:hint="eastAsia" w:ascii="Times New Roman" w:hAnsi="Times New Roman"/>
                <w:lang w:val="en-US" w:eastAsia="zh-CN"/>
              </w:rPr>
              <w:t>1</w:t>
            </w:r>
            <w:r>
              <w:rPr>
                <w:rFonts w:hint="eastAsia" w:ascii="Times New Roman" w:hAnsi="Times New Roma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5670" w:type="dxa"/>
            <w:vAlign w:val="center"/>
          </w:tcPr>
          <w:p>
            <w:pPr>
              <w:pStyle w:val="21"/>
              <w:numPr>
                <w:ilvl w:val="0"/>
                <w:numId w:val="6"/>
              </w:numPr>
              <w:spacing w:line="400" w:lineRule="exact"/>
              <w:ind w:left="425" w:leftChars="0" w:hanging="425" w:firstLineChars="0"/>
              <w:jc w:val="left"/>
              <w:rPr>
                <w:rFonts w:hint="eastAsia" w:ascii="Times New Roman" w:hAnsi="Times New Roman"/>
              </w:rPr>
            </w:pPr>
            <w:r>
              <w:rPr>
                <w:rFonts w:hint="eastAsia"/>
                <w:lang w:val="en-US" w:eastAsia="zh-CN"/>
              </w:rPr>
              <w:t>聚光镜组</w:t>
            </w:r>
          </w:p>
        </w:tc>
        <w:tc>
          <w:tcPr>
            <w:tcW w:w="1468" w:type="dxa"/>
            <w:vAlign w:val="center"/>
          </w:tcPr>
          <w:p>
            <w:pPr>
              <w:spacing w:line="400" w:lineRule="exact"/>
              <w:jc w:val="center"/>
            </w:pPr>
            <w:r>
              <w:rPr>
                <w:rFonts w:hint="eastAsia" w:ascii="Times New Roman" w:hAnsi="Times New Roma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5670" w:type="dxa"/>
            <w:vAlign w:val="center"/>
          </w:tcPr>
          <w:p>
            <w:pPr>
              <w:pStyle w:val="21"/>
              <w:numPr>
                <w:ilvl w:val="0"/>
                <w:numId w:val="6"/>
              </w:numPr>
              <w:spacing w:line="400" w:lineRule="exact"/>
              <w:ind w:left="425" w:leftChars="0" w:hanging="425" w:firstLineChars="0"/>
              <w:jc w:val="left"/>
              <w:rPr>
                <w:rFonts w:hint="eastAsia" w:ascii="Times New Roman" w:hAnsi="Times New Roman"/>
              </w:rPr>
            </w:pPr>
            <w:r>
              <w:rPr>
                <w:rFonts w:hint="eastAsia"/>
                <w:lang w:val="en-US" w:eastAsia="zh-CN"/>
              </w:rPr>
              <w:t>显微镜专用相机</w:t>
            </w:r>
          </w:p>
        </w:tc>
        <w:tc>
          <w:tcPr>
            <w:tcW w:w="1468" w:type="dxa"/>
            <w:vAlign w:val="center"/>
          </w:tcPr>
          <w:p>
            <w:pPr>
              <w:spacing w:line="400" w:lineRule="exact"/>
              <w:jc w:val="center"/>
            </w:pPr>
            <w:r>
              <w:rPr>
                <w:rFonts w:hint="eastAsia" w:ascii="Times New Roman" w:hAnsi="Times New Roma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5670" w:type="dxa"/>
            <w:vAlign w:val="center"/>
          </w:tcPr>
          <w:p>
            <w:pPr>
              <w:pStyle w:val="21"/>
              <w:numPr>
                <w:ilvl w:val="0"/>
                <w:numId w:val="6"/>
              </w:numPr>
              <w:spacing w:line="400" w:lineRule="exact"/>
              <w:ind w:left="425" w:leftChars="0" w:hanging="425" w:firstLineChars="0"/>
              <w:jc w:val="left"/>
              <w:rPr>
                <w:rFonts w:hint="eastAsia" w:ascii="Times New Roman" w:hAnsi="Times New Roman"/>
              </w:rPr>
            </w:pPr>
            <w:r>
              <w:rPr>
                <w:rFonts w:hint="eastAsia"/>
                <w:lang w:val="en-US" w:eastAsia="zh-CN"/>
              </w:rPr>
              <w:t>防尘罩</w:t>
            </w:r>
          </w:p>
        </w:tc>
        <w:tc>
          <w:tcPr>
            <w:tcW w:w="1468" w:type="dxa"/>
            <w:vAlign w:val="center"/>
          </w:tcPr>
          <w:p>
            <w:pPr>
              <w:spacing w:line="400" w:lineRule="exact"/>
              <w:jc w:val="center"/>
            </w:pPr>
            <w:r>
              <w:rPr>
                <w:rFonts w:hint="eastAsia" w:ascii="Times New Roman" w:hAnsi="Times New Roma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rPr>
                <w:rFonts w:ascii="宋体" w:hAnsi="宋体"/>
              </w:rPr>
            </w:pPr>
          </w:p>
        </w:tc>
        <w:tc>
          <w:tcPr>
            <w:tcW w:w="958" w:type="dxa"/>
            <w:vMerge w:val="continue"/>
          </w:tcPr>
          <w:p>
            <w:pPr>
              <w:rPr>
                <w:rFonts w:ascii="宋体" w:hAnsi="宋体"/>
              </w:rPr>
            </w:pPr>
          </w:p>
        </w:tc>
        <w:tc>
          <w:tcPr>
            <w:tcW w:w="5670" w:type="dxa"/>
            <w:vAlign w:val="center"/>
          </w:tcPr>
          <w:p>
            <w:pPr>
              <w:pStyle w:val="21"/>
              <w:numPr>
                <w:ilvl w:val="0"/>
                <w:numId w:val="6"/>
              </w:numPr>
              <w:spacing w:line="400" w:lineRule="exact"/>
              <w:ind w:left="425" w:leftChars="0" w:hanging="425" w:firstLineChars="0"/>
              <w:jc w:val="left"/>
              <w:rPr>
                <w:rFonts w:hint="eastAsia" w:ascii="Times New Roman" w:hAnsi="Times New Roman"/>
              </w:rPr>
            </w:pPr>
            <w:r>
              <w:rPr>
                <w:rFonts w:hint="eastAsia"/>
                <w:lang w:val="en-US" w:eastAsia="zh-CN"/>
              </w:rPr>
              <w:t>说明书</w:t>
            </w:r>
          </w:p>
        </w:tc>
        <w:tc>
          <w:tcPr>
            <w:tcW w:w="1468" w:type="dxa"/>
            <w:vAlign w:val="center"/>
          </w:tcPr>
          <w:p>
            <w:pPr>
              <w:spacing w:line="400" w:lineRule="exact"/>
              <w:jc w:val="center"/>
            </w:pPr>
            <w:r>
              <w:rPr>
                <w:rFonts w:hint="eastAsia" w:ascii="Times New Roman" w:hAnsi="Times New Roman"/>
                <w:lang w:val="en-US" w:eastAsia="zh-CN"/>
              </w:rPr>
              <w:t>1</w:t>
            </w:r>
            <w:r>
              <w:rPr>
                <w:rFonts w:hint="eastAsia" w:ascii="Times New Roman" w:hAnsi="Times New Roman"/>
              </w:rPr>
              <w:t>份</w:t>
            </w:r>
          </w:p>
        </w:tc>
      </w:tr>
    </w:tbl>
    <w:p>
      <w:pPr>
        <w:spacing w:line="360" w:lineRule="auto"/>
        <w:ind w:firstLine="480" w:firstLineChars="200"/>
        <w:rPr>
          <w:rFonts w:hint="default" w:cs="仿宋" w:asciiTheme="minorEastAsia" w:hAnsiTheme="minorEastAsia" w:eastAsiaTheme="minorEastAsia"/>
          <w:color w:val="FF0000"/>
          <w:sz w:val="24"/>
          <w:szCs w:val="24"/>
          <w:lang w:val="en-US" w:eastAsia="zh-CN"/>
        </w:rPr>
      </w:pPr>
    </w:p>
    <w:p>
      <w:pPr>
        <w:spacing w:line="360" w:lineRule="auto"/>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三、供应商资格要求</w:t>
      </w:r>
    </w:p>
    <w:p>
      <w:pPr>
        <w:widowControl/>
        <w:shd w:val="clear" w:color="auto" w:fill="FFFFFF"/>
        <w:spacing w:line="360" w:lineRule="auto"/>
        <w:ind w:firstLine="200"/>
        <w:jc w:val="left"/>
        <w:rPr>
          <w:rFonts w:ascii="宋体" w:hAnsi="宋体" w:cs="宋体"/>
          <w:color w:val="333333"/>
          <w:kern w:val="0"/>
          <w:sz w:val="24"/>
          <w:szCs w:val="24"/>
        </w:rPr>
      </w:pPr>
      <w:r>
        <w:rPr>
          <w:rFonts w:hint="eastAsia" w:ascii="宋体" w:hAnsi="宋体" w:cs="宋体"/>
          <w:color w:val="333333"/>
          <w:kern w:val="0"/>
          <w:sz w:val="24"/>
          <w:szCs w:val="24"/>
          <w:lang w:val="en-US" w:eastAsia="zh-CN"/>
        </w:rPr>
        <w:t>1</w:t>
      </w:r>
      <w:r>
        <w:rPr>
          <w:rFonts w:hint="eastAsia" w:ascii="宋体" w:hAnsi="宋体" w:cs="宋体"/>
          <w:color w:val="333333"/>
          <w:kern w:val="0"/>
          <w:sz w:val="24"/>
          <w:szCs w:val="24"/>
        </w:rPr>
        <w:t>、 投标人必须是在中华人民共和国境内注册的能独立承担民事责任的法人，依法取得营业执照，按国家法律合法经营且具有相关经营范围；</w:t>
      </w:r>
    </w:p>
    <w:p>
      <w:pPr>
        <w:widowControl/>
        <w:shd w:val="clear" w:color="auto" w:fill="FFFFFF"/>
        <w:spacing w:line="360" w:lineRule="auto"/>
        <w:ind w:firstLine="240" w:firstLineChars="100"/>
        <w:jc w:val="left"/>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2、投标人若为经营企业：所投产品为第二类医疗器械的，提供食品药品监督管理部门签发的涵盖所投报医疗器械的《医疗器械经营备案凭证》(有效期内) 扫描件，原件备查；所投产品为第三类医疗器械的，提供食品药品监督管理部门签发的涵盖所投报医疗器械的《医疗器械经营许可证》(有效期内) 扫描件，原件备查；如所投产品不属于医疗器械，则无需提供以上资质，但需提供该产品不属于医疗器械相关证明文件（如国家药品监督管理局相关证明等）；</w:t>
      </w:r>
    </w:p>
    <w:p>
      <w:pPr>
        <w:widowControl/>
        <w:shd w:val="clear" w:color="auto" w:fill="FFFFFF"/>
        <w:spacing w:line="360" w:lineRule="auto"/>
        <w:ind w:firstLine="240" w:firstLineChars="100"/>
        <w:jc w:val="left"/>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3、投标人所投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 扫描件，原件备查；如所投产品不属于医疗器械，则无需提供以上资质，但需提供该产品不属于医疗器械相关证明文件（如国家药品监督管理局相关证明等）；</w:t>
      </w:r>
    </w:p>
    <w:p>
      <w:pPr>
        <w:widowControl/>
        <w:shd w:val="clear" w:color="auto" w:fill="FFFFFF"/>
        <w:spacing w:line="360" w:lineRule="auto"/>
        <w:ind w:firstLine="240" w:firstLineChars="100"/>
        <w:jc w:val="left"/>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4、若所投产品为进口，则投标人必须提供由设备制造商或授权的中国总代理签署的合法有效的所投产品授权书或代理证。</w:t>
      </w:r>
    </w:p>
    <w:p>
      <w:pPr>
        <w:widowControl/>
        <w:shd w:val="clear" w:color="auto" w:fill="FFFFFF"/>
        <w:spacing w:line="360" w:lineRule="auto"/>
        <w:ind w:firstLine="240" w:firstLineChars="100"/>
        <w:jc w:val="left"/>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5、参与政府采购项目投标的供应商近三年内无行贿犯罪记录（要求投标人出具无违法违规行为的书面承诺函）。</w:t>
      </w:r>
    </w:p>
    <w:p>
      <w:pPr>
        <w:widowControl/>
        <w:shd w:val="clear" w:color="auto" w:fill="FFFFFF"/>
        <w:spacing w:line="360" w:lineRule="auto"/>
        <w:ind w:firstLine="240" w:firstLineChars="100"/>
        <w:jc w:val="left"/>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6、本项目不接受联合体投标，不允许分包；</w:t>
      </w:r>
    </w:p>
    <w:p>
      <w:pPr>
        <w:spacing w:line="360" w:lineRule="auto"/>
        <w:ind w:firstLine="640" w:firstLineChars="200"/>
        <w:rPr>
          <w:rFonts w:hint="eastAsia" w:ascii="黑体" w:hAnsi="黑体" w:eastAsia="黑体" w:cs="仿宋"/>
          <w:color w:val="000000"/>
          <w:sz w:val="32"/>
          <w:szCs w:val="32"/>
        </w:rPr>
      </w:pPr>
      <w:r>
        <w:rPr>
          <w:rFonts w:hint="eastAsia" w:ascii="黑体" w:hAnsi="黑体" w:eastAsia="黑体" w:cs="仿宋"/>
          <w:color w:val="000000"/>
          <w:sz w:val="32"/>
          <w:szCs w:val="32"/>
        </w:rPr>
        <w:t>四、评标定标方法</w:t>
      </w:r>
    </w:p>
    <w:p>
      <w:pPr>
        <w:spacing w:line="360" w:lineRule="auto"/>
        <w:ind w:firstLine="480" w:firstLineChars="200"/>
        <w:rPr>
          <w:rFonts w:ascii="黑体" w:hAnsi="黑体" w:eastAsia="黑体" w:cs="仿宋"/>
          <w:color w:val="000000"/>
          <w:sz w:val="32"/>
          <w:szCs w:val="32"/>
        </w:rPr>
      </w:pPr>
      <w:r>
        <w:rPr>
          <w:rFonts w:hint="eastAsia" w:ascii="宋体" w:hAnsi="宋体" w:cs="宋体"/>
          <w:color w:val="333333"/>
          <w:kern w:val="0"/>
          <w:sz w:val="24"/>
          <w:szCs w:val="24"/>
        </w:rPr>
        <w:t>本项目成交方法采用最低价法，完全满足</w:t>
      </w:r>
      <w:r>
        <w:rPr>
          <w:rFonts w:hint="eastAsia" w:ascii="宋体" w:hAnsi="宋体" w:cs="宋体"/>
          <w:color w:val="333333"/>
          <w:kern w:val="0"/>
          <w:sz w:val="24"/>
          <w:szCs w:val="24"/>
          <w:lang w:val="en-US" w:eastAsia="zh-CN"/>
        </w:rPr>
        <w:t>竞</w:t>
      </w:r>
      <w:r>
        <w:rPr>
          <w:rFonts w:hint="eastAsia" w:ascii="宋体" w:hAnsi="宋体" w:cs="宋体"/>
          <w:color w:val="333333"/>
          <w:kern w:val="0"/>
          <w:sz w:val="24"/>
          <w:szCs w:val="24"/>
        </w:rPr>
        <w:t>价文件的实质性要求，按照报价由低到高的顺序，确定中标候选供应商顺序。原则上最低报价的1家为中标供应商。当最低报价出现有二家或以上供应商时，由采购人自主选择1家报价最低的供应商为中标人。如中标供应商提供产品无法满足采购人要求的，采购人可按中标候选供应商顺序依次选择下一家中标候选供应商替代原中标供应商。</w:t>
      </w:r>
    </w:p>
    <w:p>
      <w:pPr>
        <w:pStyle w:val="4"/>
        <w:numPr>
          <w:ilvl w:val="0"/>
          <w:numId w:val="7"/>
        </w:numPr>
        <w:spacing w:before="0" w:after="0" w:line="360" w:lineRule="auto"/>
        <w:ind w:firstLine="640" w:firstLineChars="200"/>
        <w:jc w:val="both"/>
        <w:rPr>
          <w:rFonts w:hint="eastAsia" w:cs="仿宋" w:asciiTheme="minorEastAsia" w:hAnsiTheme="minorEastAsia" w:eastAsiaTheme="minorEastAsia"/>
          <w:color w:val="FF0000"/>
          <w:sz w:val="24"/>
          <w:szCs w:val="24"/>
          <w:lang w:val="en-US" w:eastAsia="zh-CN"/>
        </w:rPr>
      </w:pPr>
      <w:r>
        <w:rPr>
          <w:rFonts w:hint="eastAsia" w:ascii="黑体" w:hAnsi="黑体" w:eastAsia="黑体" w:cs="黑体"/>
          <w:b w:val="0"/>
          <w:sz w:val="32"/>
          <w:szCs w:val="32"/>
        </w:rPr>
        <w:t>商务需求</w:t>
      </w:r>
      <w:r>
        <w:rPr>
          <w:rFonts w:hint="eastAsia" w:cs="仿宋" w:asciiTheme="minorEastAsia" w:hAnsiTheme="minorEastAsia" w:eastAsiaTheme="minorEastAsia"/>
          <w:color w:val="FF0000"/>
          <w:sz w:val="24"/>
          <w:szCs w:val="24"/>
          <w:lang w:val="en-US" w:eastAsia="zh-CN"/>
        </w:rPr>
        <w:t>（商务需求需要全部响应，有一项未能响应或不满足要求，将按投标无效处理，即视为废标）</w:t>
      </w:r>
    </w:p>
    <w:p>
      <w:pPr>
        <w:rPr>
          <w:rFonts w:hint="eastAsia"/>
          <w:lang w:val="en-US" w:eastAsia="zh-CN"/>
        </w:rPr>
      </w:pPr>
    </w:p>
    <w:tbl>
      <w:tblPr>
        <w:tblStyle w:val="12"/>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485"/>
        <w:gridCol w:w="7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3" w:type="dxa"/>
            <w:vAlign w:val="center"/>
          </w:tcPr>
          <w:p>
            <w:pPr>
              <w:pStyle w:val="2"/>
            </w:pPr>
            <w:r>
              <w:rPr>
                <w:rFonts w:hint="eastAsia"/>
                <w:b/>
                <w:color w:val="000000"/>
                <w:szCs w:val="21"/>
              </w:rPr>
              <w:t>序号</w:t>
            </w:r>
          </w:p>
        </w:tc>
        <w:tc>
          <w:tcPr>
            <w:tcW w:w="1485" w:type="dxa"/>
            <w:vAlign w:val="center"/>
          </w:tcPr>
          <w:p>
            <w:pPr>
              <w:pageBreakBefore w:val="0"/>
              <w:topLinePunct w:val="0"/>
              <w:bidi w:val="0"/>
              <w:spacing w:line="360" w:lineRule="auto"/>
              <w:jc w:val="center"/>
              <w:rPr>
                <w:b/>
                <w:color w:val="000000"/>
                <w:szCs w:val="21"/>
              </w:rPr>
            </w:pPr>
            <w:r>
              <w:rPr>
                <w:rFonts w:hint="eastAsia"/>
                <w:b/>
                <w:color w:val="000000"/>
                <w:szCs w:val="21"/>
              </w:rPr>
              <w:t>目录</w:t>
            </w:r>
          </w:p>
        </w:tc>
        <w:tc>
          <w:tcPr>
            <w:tcW w:w="7402" w:type="dxa"/>
            <w:vAlign w:val="center"/>
          </w:tcPr>
          <w:p>
            <w:pPr>
              <w:pageBreakBefore w:val="0"/>
              <w:topLinePunct w:val="0"/>
              <w:bidi w:val="0"/>
              <w:spacing w:line="360" w:lineRule="auto"/>
              <w:jc w:val="center"/>
              <w:rPr>
                <w:b/>
                <w:color w:val="000000"/>
                <w:szCs w:val="21"/>
              </w:rPr>
            </w:pPr>
            <w:r>
              <w:rPr>
                <w:rFonts w:hint="eastAsia"/>
                <w:b/>
                <w:color w:val="000000"/>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850" w:type="dxa"/>
            <w:gridSpan w:val="3"/>
          </w:tcPr>
          <w:p>
            <w:pPr>
              <w:pageBreakBefore w:val="0"/>
              <w:topLinePunct w:val="0"/>
              <w:bidi w:val="0"/>
              <w:spacing w:line="360" w:lineRule="auto"/>
              <w:rPr>
                <w:b/>
                <w:color w:val="000000"/>
                <w:szCs w:val="21"/>
              </w:rPr>
            </w:pPr>
            <w:r>
              <w:rPr>
                <w:rFonts w:hint="eastAsia"/>
                <w:b/>
                <w:color w:val="000000"/>
                <w:szCs w:val="21"/>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63" w:type="dxa"/>
            <w:vMerge w:val="restart"/>
            <w:vAlign w:val="center"/>
          </w:tcPr>
          <w:p>
            <w:pPr>
              <w:pageBreakBefore w:val="0"/>
              <w:topLinePunct w:val="0"/>
              <w:bidi w:val="0"/>
              <w:spacing w:line="360" w:lineRule="auto"/>
              <w:jc w:val="center"/>
              <w:rPr>
                <w:b/>
                <w:color w:val="000000"/>
                <w:szCs w:val="21"/>
              </w:rPr>
            </w:pPr>
            <w:r>
              <w:rPr>
                <w:rFonts w:hint="eastAsia"/>
                <w:b/>
                <w:color w:val="000000"/>
                <w:szCs w:val="21"/>
              </w:rPr>
              <w:t>1</w:t>
            </w:r>
          </w:p>
        </w:tc>
        <w:tc>
          <w:tcPr>
            <w:tcW w:w="1485" w:type="dxa"/>
            <w:vMerge w:val="restart"/>
            <w:vAlign w:val="center"/>
          </w:tcPr>
          <w:p>
            <w:pPr>
              <w:pageBreakBefore w:val="0"/>
              <w:topLinePunct w:val="0"/>
              <w:bidi w:val="0"/>
              <w:spacing w:line="360" w:lineRule="auto"/>
              <w:rPr>
                <w:color w:val="000000"/>
                <w:szCs w:val="21"/>
              </w:rPr>
            </w:pPr>
            <w:r>
              <w:rPr>
                <w:rFonts w:hint="eastAsia" w:ascii="宋体" w:hAnsi="宋体"/>
                <w:b/>
                <w:color w:val="000000"/>
                <w:kern w:val="0"/>
                <w:szCs w:val="21"/>
              </w:rPr>
              <w:t>维修及维护服务</w:t>
            </w:r>
          </w:p>
        </w:tc>
        <w:tc>
          <w:tcPr>
            <w:tcW w:w="7402" w:type="dxa"/>
            <w:vAlign w:val="top"/>
          </w:tcPr>
          <w:p>
            <w:pPr>
              <w:pageBreakBefore w:val="0"/>
              <w:topLinePunct w:val="0"/>
              <w:bidi w:val="0"/>
              <w:spacing w:line="240" w:lineRule="auto"/>
              <w:rPr>
                <w:b/>
                <w:color w:val="000000"/>
                <w:szCs w:val="21"/>
              </w:rPr>
            </w:pPr>
            <w:r>
              <w:rPr>
                <w:rFonts w:hint="eastAsia" w:ascii="宋体" w:hAnsi="宋体" w:eastAsia="宋体" w:cs="宋体"/>
                <w:sz w:val="21"/>
                <w:szCs w:val="21"/>
              </w:rPr>
              <w:t>★</w:t>
            </w:r>
            <w:r>
              <w:rPr>
                <w:rFonts w:hint="eastAsia" w:ascii="宋体" w:hAnsi="宋体" w:eastAsia="宋体" w:cs="宋体"/>
                <w:color w:val="000000"/>
                <w:kern w:val="0"/>
                <w:sz w:val="21"/>
                <w:szCs w:val="21"/>
              </w:rPr>
              <w:t>1.1</w:t>
            </w:r>
            <w:r>
              <w:rPr>
                <w:rFonts w:hint="eastAsia" w:ascii="宋体" w:hAnsi="宋体" w:eastAsia="宋体" w:cs="宋体"/>
                <w:color w:val="000000"/>
                <w:kern w:val="0"/>
                <w:sz w:val="21"/>
                <w:szCs w:val="21"/>
                <w:lang w:val="en-US" w:eastAsia="zh-CN"/>
              </w:rPr>
              <w:t>主机、配件</w:t>
            </w:r>
            <w:r>
              <w:rPr>
                <w:rFonts w:hint="eastAsia" w:ascii="宋体" w:hAnsi="宋体" w:eastAsia="宋体" w:cs="宋体"/>
                <w:color w:val="000000"/>
                <w:kern w:val="0"/>
                <w:sz w:val="21"/>
                <w:szCs w:val="21"/>
                <w:lang w:bidi="ar"/>
              </w:rPr>
              <w:t>免费保修期</w:t>
            </w:r>
            <w:r>
              <w:rPr>
                <w:rFonts w:hint="eastAsia" w:ascii="宋体" w:hAnsi="宋体" w:eastAsia="宋体" w:cs="宋体"/>
                <w:color w:val="000000"/>
                <w:kern w:val="0"/>
                <w:sz w:val="21"/>
                <w:szCs w:val="21"/>
                <w:u w:val="single"/>
                <w:lang w:bidi="ar"/>
              </w:rPr>
              <w:t xml:space="preserve"> </w:t>
            </w:r>
            <w:r>
              <w:rPr>
                <w:rFonts w:hint="eastAsia" w:ascii="宋体" w:hAnsi="宋体" w:cs="宋体"/>
                <w:color w:val="000000"/>
                <w:kern w:val="0"/>
                <w:sz w:val="21"/>
                <w:szCs w:val="21"/>
                <w:u w:val="single"/>
                <w:lang w:val="en-US" w:eastAsia="zh-CN" w:bidi="ar"/>
              </w:rPr>
              <w:t>5</w:t>
            </w:r>
            <w:r>
              <w:rPr>
                <w:rFonts w:hint="eastAsia" w:ascii="宋体" w:hAnsi="宋体" w:eastAsia="宋体" w:cs="宋体"/>
                <w:color w:val="000000"/>
                <w:kern w:val="0"/>
                <w:sz w:val="21"/>
                <w:szCs w:val="21"/>
                <w:lang w:bidi="ar"/>
              </w:rPr>
              <w:t xml:space="preserve"> 年，时间自最终验收合格并交付使用之日起计算</w:t>
            </w:r>
            <w:r>
              <w:rPr>
                <w:rFonts w:hint="eastAsia" w:ascii="宋体" w:hAnsi="宋体" w:eastAsia="宋体" w:cs="宋体"/>
                <w:b/>
                <w:color w:val="FF0000"/>
                <w:kern w:val="0"/>
                <w:sz w:val="21"/>
                <w:szCs w:val="21"/>
              </w:rPr>
              <w:t>(不可负偏离条款，否则废标)</w:t>
            </w:r>
            <w:r>
              <w:rPr>
                <w:rFonts w:hint="eastAsia" w:ascii="宋体" w:hAnsi="宋体" w:eastAsia="宋体" w:cs="宋体"/>
                <w:color w:val="000000"/>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963" w:type="dxa"/>
            <w:vMerge w:val="continue"/>
            <w:vAlign w:val="center"/>
          </w:tcPr>
          <w:p>
            <w:pPr>
              <w:pageBreakBefore w:val="0"/>
              <w:topLinePunct w:val="0"/>
              <w:bidi w:val="0"/>
              <w:spacing w:line="360" w:lineRule="auto"/>
              <w:jc w:val="center"/>
              <w:rPr>
                <w:rFonts w:hint="eastAsia"/>
                <w:b/>
                <w:color w:val="000000"/>
                <w:szCs w:val="21"/>
              </w:rPr>
            </w:pPr>
          </w:p>
        </w:tc>
        <w:tc>
          <w:tcPr>
            <w:tcW w:w="1485" w:type="dxa"/>
            <w:vMerge w:val="continue"/>
            <w:vAlign w:val="center"/>
          </w:tcPr>
          <w:p>
            <w:pPr>
              <w:pageBreakBefore w:val="0"/>
              <w:topLinePunct w:val="0"/>
              <w:bidi w:val="0"/>
              <w:spacing w:line="360" w:lineRule="auto"/>
              <w:rPr>
                <w:rFonts w:hint="eastAsia" w:ascii="宋体" w:hAnsi="宋体"/>
                <w:b/>
                <w:color w:val="000000"/>
                <w:kern w:val="0"/>
                <w:szCs w:val="21"/>
              </w:rPr>
            </w:pPr>
          </w:p>
        </w:tc>
        <w:tc>
          <w:tcPr>
            <w:tcW w:w="7402" w:type="dxa"/>
            <w:vAlign w:val="top"/>
          </w:tcPr>
          <w:p>
            <w:pPr>
              <w:pageBreakBefore w:val="0"/>
              <w:topLinePunct w:val="0"/>
              <w:bidi w:val="0"/>
              <w:spacing w:line="240" w:lineRule="auto"/>
              <w:rPr>
                <w:rFonts w:hint="eastAsia" w:ascii="宋体" w:hAnsi="宋体" w:cs="宋体"/>
                <w:kern w:val="0"/>
                <w:szCs w:val="21"/>
              </w:rPr>
            </w:pPr>
            <w:r>
              <w:rPr>
                <w:rFonts w:hint="eastAsia" w:ascii="宋体" w:hAnsi="宋体" w:eastAsia="宋体" w:cs="宋体"/>
                <w:color w:val="auto"/>
                <w:kern w:val="0"/>
                <w:sz w:val="21"/>
                <w:szCs w:val="21"/>
                <w:lang w:val="en-US" w:eastAsia="zh-CN"/>
              </w:rPr>
              <w:t>1.2 各投标人应在投标文件中列明各主机、配件和易耗品的保修期限,终身维修。 保修期内免费更换零配件、免工时费。设备在保修期内投标人承诺由原厂进行维修， 出原厂维修报告。保修期自采购人签署验收报告之日起开始计算。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63" w:type="dxa"/>
            <w:vMerge w:val="continue"/>
            <w:vAlign w:val="center"/>
          </w:tcPr>
          <w:p>
            <w:pPr>
              <w:pageBreakBefore w:val="0"/>
              <w:topLinePunct w:val="0"/>
              <w:bidi w:val="0"/>
              <w:spacing w:line="360" w:lineRule="auto"/>
              <w:jc w:val="center"/>
              <w:rPr>
                <w:b/>
                <w:color w:val="000000"/>
                <w:szCs w:val="21"/>
              </w:rPr>
            </w:pPr>
          </w:p>
        </w:tc>
        <w:tc>
          <w:tcPr>
            <w:tcW w:w="1485" w:type="dxa"/>
            <w:vMerge w:val="continue"/>
            <w:vAlign w:val="center"/>
          </w:tcPr>
          <w:p>
            <w:pPr>
              <w:pageBreakBefore w:val="0"/>
              <w:topLinePunct w:val="0"/>
              <w:bidi w:val="0"/>
              <w:spacing w:line="360" w:lineRule="auto"/>
              <w:rPr>
                <w:rFonts w:ascii="宋体" w:hAnsi="宋体"/>
                <w:b/>
                <w:color w:val="000000"/>
                <w:kern w:val="0"/>
                <w:szCs w:val="21"/>
              </w:rPr>
            </w:pPr>
          </w:p>
        </w:tc>
        <w:tc>
          <w:tcPr>
            <w:tcW w:w="7402" w:type="dxa"/>
          </w:tcPr>
          <w:p>
            <w:pPr>
              <w:pageBreakBefore w:val="0"/>
              <w:topLinePunct w:val="0"/>
              <w:bidi w:val="0"/>
              <w:spacing w:line="360" w:lineRule="auto"/>
              <w:rPr>
                <w:bCs/>
                <w:color w:val="000000"/>
                <w:szCs w:val="21"/>
              </w:rPr>
            </w:pPr>
            <w:r>
              <w:rPr>
                <w:rFonts w:hint="eastAsia" w:ascii="宋体" w:hAnsi="宋体"/>
                <w:color w:val="000000"/>
                <w:kern w:val="0"/>
                <w:szCs w:val="21"/>
              </w:rPr>
              <w:t>1.</w:t>
            </w:r>
            <w:r>
              <w:rPr>
                <w:rFonts w:hint="eastAsia" w:ascii="宋体" w:hAnsi="宋体"/>
                <w:color w:val="000000"/>
                <w:kern w:val="0"/>
                <w:szCs w:val="21"/>
                <w:lang w:val="en-US" w:eastAsia="zh-CN"/>
              </w:rPr>
              <w:t>3</w:t>
            </w:r>
            <w:r>
              <w:rPr>
                <w:rFonts w:hint="eastAsia" w:ascii="宋体" w:hAnsi="宋体"/>
                <w:color w:val="000000"/>
                <w:kern w:val="0"/>
                <w:szCs w:val="21"/>
                <w:lang w:eastAsia="zh-CN"/>
              </w:rPr>
              <w:t>投标人保证</w:t>
            </w:r>
            <w:r>
              <w:rPr>
                <w:rFonts w:hint="eastAsia" w:ascii="宋体" w:hAnsi="宋体"/>
                <w:color w:val="000000"/>
                <w:kern w:val="0"/>
                <w:szCs w:val="21"/>
              </w:rPr>
              <w:t>由设备制造商提供售后服务，一旦发现质量问题，中标方保证在接到通知后</w:t>
            </w:r>
            <w:r>
              <w:rPr>
                <w:rFonts w:hint="eastAsia" w:ascii="宋体" w:hAnsi="宋体"/>
                <w:color w:val="000000"/>
                <w:kern w:val="0"/>
                <w:szCs w:val="21"/>
                <w:lang w:eastAsia="zh-CN"/>
              </w:rPr>
              <w:t>，</w:t>
            </w:r>
            <w:r>
              <w:rPr>
                <w:rFonts w:hint="eastAsia" w:ascii="宋体" w:hAnsi="宋体"/>
                <w:color w:val="000000"/>
                <w:kern w:val="0"/>
                <w:szCs w:val="21"/>
              </w:rPr>
              <w:t>12小时内赶到现场，并承诺在24小时内进行全免费修理或更换。（不可抗力情况除外）。消耗品和零配件供应及时，特殊情况下可提供备用机。</w:t>
            </w:r>
            <w:r>
              <w:rPr>
                <w:rFonts w:hint="eastAsia" w:ascii="宋体" w:hAnsi="宋体" w:cs="宋体"/>
                <w:color w:val="000000"/>
                <w:kern w:val="0"/>
                <w:szCs w:val="21"/>
              </w:rPr>
              <w:t>广东省内有相应的维修机构，并出具证明文件。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963" w:type="dxa"/>
            <w:vMerge w:val="continue"/>
            <w:vAlign w:val="center"/>
          </w:tcPr>
          <w:p>
            <w:pPr>
              <w:pageBreakBefore w:val="0"/>
              <w:topLinePunct w:val="0"/>
              <w:bidi w:val="0"/>
              <w:spacing w:line="360" w:lineRule="auto"/>
              <w:jc w:val="center"/>
              <w:rPr>
                <w:b/>
                <w:color w:val="000000"/>
                <w:szCs w:val="21"/>
              </w:rPr>
            </w:pPr>
          </w:p>
        </w:tc>
        <w:tc>
          <w:tcPr>
            <w:tcW w:w="1485" w:type="dxa"/>
            <w:vMerge w:val="continue"/>
            <w:vAlign w:val="center"/>
          </w:tcPr>
          <w:p>
            <w:pPr>
              <w:pageBreakBefore w:val="0"/>
              <w:topLinePunct w:val="0"/>
              <w:bidi w:val="0"/>
              <w:spacing w:line="360" w:lineRule="auto"/>
              <w:rPr>
                <w:rFonts w:ascii="宋体" w:hAnsi="宋体"/>
                <w:b/>
                <w:color w:val="000000"/>
                <w:kern w:val="0"/>
                <w:szCs w:val="21"/>
              </w:rPr>
            </w:pPr>
          </w:p>
        </w:tc>
        <w:tc>
          <w:tcPr>
            <w:tcW w:w="7402" w:type="dxa"/>
          </w:tcPr>
          <w:p>
            <w:pPr>
              <w:pageBreakBefore w:val="0"/>
              <w:topLinePunct w:val="0"/>
              <w:bidi w:val="0"/>
              <w:spacing w:line="360" w:lineRule="auto"/>
              <w:rPr>
                <w:bCs/>
                <w:color w:val="000000"/>
                <w:szCs w:val="21"/>
              </w:rPr>
            </w:pPr>
            <w:r>
              <w:rPr>
                <w:rFonts w:hint="eastAsia" w:ascii="宋体" w:hAnsi="宋体"/>
                <w:color w:val="000000"/>
                <w:kern w:val="0"/>
                <w:szCs w:val="21"/>
              </w:rPr>
              <w:t>1.</w:t>
            </w:r>
            <w:r>
              <w:rPr>
                <w:rFonts w:hint="eastAsia" w:ascii="宋体" w:hAnsi="宋体"/>
                <w:color w:val="000000"/>
                <w:kern w:val="0"/>
                <w:szCs w:val="21"/>
                <w:lang w:val="en-US" w:eastAsia="zh-CN"/>
              </w:rPr>
              <w:t>4</w:t>
            </w:r>
            <w:r>
              <w:rPr>
                <w:rFonts w:hint="eastAsia" w:ascii="宋体" w:hAnsi="宋体"/>
                <w:color w:val="000000"/>
                <w:kern w:val="0"/>
                <w:szCs w:val="21"/>
              </w:rPr>
              <w:t>投标人保证</w:t>
            </w:r>
            <w:r>
              <w:rPr>
                <w:rFonts w:hint="eastAsia" w:ascii="宋体" w:hAnsi="宋体"/>
                <w:bCs/>
                <w:color w:val="000000"/>
                <w:kern w:val="0"/>
                <w:szCs w:val="21"/>
                <w:u w:val="single"/>
              </w:rPr>
              <w:t xml:space="preserve">10 </w:t>
            </w:r>
            <w:r>
              <w:rPr>
                <w:rFonts w:hint="eastAsia" w:ascii="宋体" w:hAnsi="宋体"/>
                <w:color w:val="000000"/>
                <w:kern w:val="0"/>
                <w:szCs w:val="21"/>
              </w:rPr>
              <w:t>年以上供应维修配件，</w:t>
            </w:r>
            <w:r>
              <w:rPr>
                <w:rFonts w:hint="eastAsia" w:ascii="宋体" w:hAnsi="宋体" w:cs="宋体"/>
                <w:color w:val="000000"/>
                <w:kern w:val="0"/>
                <w:szCs w:val="21"/>
              </w:rPr>
              <w:t>如果因机器和配件停产造成设备无法维修者（维修周期同故障处理条款内容），必须无条件免费更换整机保证完好使用。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3" w:type="dxa"/>
            <w:vMerge w:val="continue"/>
            <w:vAlign w:val="center"/>
          </w:tcPr>
          <w:p>
            <w:pPr>
              <w:pageBreakBefore w:val="0"/>
              <w:topLinePunct w:val="0"/>
              <w:bidi w:val="0"/>
              <w:spacing w:line="360" w:lineRule="auto"/>
              <w:jc w:val="center"/>
              <w:rPr>
                <w:b/>
                <w:color w:val="000000"/>
                <w:szCs w:val="21"/>
              </w:rPr>
            </w:pPr>
          </w:p>
        </w:tc>
        <w:tc>
          <w:tcPr>
            <w:tcW w:w="1485" w:type="dxa"/>
            <w:vMerge w:val="continue"/>
            <w:vAlign w:val="center"/>
          </w:tcPr>
          <w:p>
            <w:pPr>
              <w:pageBreakBefore w:val="0"/>
              <w:topLinePunct w:val="0"/>
              <w:bidi w:val="0"/>
              <w:spacing w:line="360" w:lineRule="auto"/>
              <w:rPr>
                <w:rFonts w:ascii="宋体" w:hAnsi="宋体"/>
                <w:b/>
                <w:color w:val="000000"/>
                <w:kern w:val="0"/>
                <w:szCs w:val="21"/>
              </w:rPr>
            </w:pPr>
          </w:p>
        </w:tc>
        <w:tc>
          <w:tcPr>
            <w:tcW w:w="7402" w:type="dxa"/>
          </w:tcPr>
          <w:p>
            <w:pPr>
              <w:pageBreakBefore w:val="0"/>
              <w:topLinePunct w:val="0"/>
              <w:bidi w:val="0"/>
              <w:spacing w:line="360" w:lineRule="auto"/>
              <w:rPr>
                <w:rFonts w:ascii="宋体" w:hAnsi="宋体"/>
                <w:color w:val="000000"/>
                <w:kern w:val="0"/>
                <w:szCs w:val="21"/>
              </w:rPr>
            </w:pPr>
            <w:r>
              <w:rPr>
                <w:rFonts w:hint="eastAsia" w:ascii="宋体" w:hAnsi="宋体" w:cs="宋体"/>
                <w:color w:val="000000"/>
                <w:kern w:val="0"/>
                <w:szCs w:val="21"/>
              </w:rPr>
              <w:t>1.</w:t>
            </w:r>
            <w:r>
              <w:rPr>
                <w:rFonts w:hint="eastAsia" w:ascii="宋体" w:hAnsi="宋体" w:cs="宋体"/>
                <w:color w:val="000000"/>
                <w:kern w:val="0"/>
                <w:szCs w:val="21"/>
                <w:lang w:val="en-US" w:eastAsia="zh-CN"/>
              </w:rPr>
              <w:t>5</w:t>
            </w:r>
            <w:r>
              <w:rPr>
                <w:rFonts w:hint="eastAsia" w:ascii="宋体" w:hAnsi="宋体" w:cs="宋体"/>
                <w:color w:val="000000"/>
                <w:kern w:val="0"/>
                <w:szCs w:val="21"/>
              </w:rPr>
              <w:t>.</w:t>
            </w:r>
            <w:r>
              <w:rPr>
                <w:rFonts w:hint="eastAsia" w:ascii="宋体" w:hAnsi="宋体" w:cs="宋体"/>
                <w:color w:val="000000"/>
                <w:kern w:val="0"/>
                <w:szCs w:val="21"/>
                <w:lang w:eastAsia="zh-CN"/>
              </w:rPr>
              <w:t>投标人</w:t>
            </w:r>
            <w:r>
              <w:rPr>
                <w:rFonts w:hint="eastAsia" w:ascii="宋体" w:hAnsi="宋体" w:cs="宋体"/>
                <w:color w:val="000000"/>
                <w:kern w:val="0"/>
                <w:szCs w:val="21"/>
              </w:rPr>
              <w:t>免费提供技术咨询及软件升级，提供产品</w:t>
            </w:r>
            <w:r>
              <w:rPr>
                <w:rFonts w:hint="eastAsia" w:ascii="宋体" w:hAnsi="宋体" w:cs="宋体"/>
                <w:color w:val="000000"/>
                <w:kern w:val="0"/>
                <w:szCs w:val="21"/>
                <w:lang w:eastAsia="zh-CN"/>
              </w:rPr>
              <w:t>生命周期内</w:t>
            </w:r>
            <w:r>
              <w:rPr>
                <w:rFonts w:hint="eastAsia" w:ascii="宋体" w:hAnsi="宋体" w:cs="宋体"/>
                <w:color w:val="000000"/>
                <w:kern w:val="0"/>
                <w:szCs w:val="21"/>
              </w:rPr>
              <w:t>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963" w:type="dxa"/>
            <w:vMerge w:val="continue"/>
            <w:vAlign w:val="center"/>
          </w:tcPr>
          <w:p>
            <w:pPr>
              <w:pageBreakBefore w:val="0"/>
              <w:topLinePunct w:val="0"/>
              <w:bidi w:val="0"/>
              <w:spacing w:line="360" w:lineRule="auto"/>
              <w:jc w:val="center"/>
              <w:rPr>
                <w:b/>
                <w:color w:val="000000"/>
                <w:szCs w:val="21"/>
              </w:rPr>
            </w:pPr>
          </w:p>
        </w:tc>
        <w:tc>
          <w:tcPr>
            <w:tcW w:w="1485" w:type="dxa"/>
            <w:vMerge w:val="continue"/>
            <w:vAlign w:val="center"/>
          </w:tcPr>
          <w:p>
            <w:pPr>
              <w:pageBreakBefore w:val="0"/>
              <w:topLinePunct w:val="0"/>
              <w:bidi w:val="0"/>
              <w:spacing w:line="360" w:lineRule="auto"/>
              <w:rPr>
                <w:rFonts w:ascii="宋体" w:hAnsi="宋体"/>
                <w:b/>
                <w:color w:val="000000"/>
                <w:kern w:val="0"/>
                <w:szCs w:val="21"/>
              </w:rPr>
            </w:pPr>
          </w:p>
        </w:tc>
        <w:tc>
          <w:tcPr>
            <w:tcW w:w="7402" w:type="dxa"/>
          </w:tcPr>
          <w:p>
            <w:pPr>
              <w:pageBreakBefore w:val="0"/>
              <w:topLinePunct w:val="0"/>
              <w:bidi w:val="0"/>
              <w:spacing w:line="360" w:lineRule="auto"/>
              <w:rPr>
                <w:rFonts w:ascii="宋体" w:hAnsi="宋体" w:cs="宋体"/>
                <w:color w:val="000000"/>
                <w:kern w:val="0"/>
                <w:szCs w:val="21"/>
              </w:rPr>
            </w:pPr>
            <w:r>
              <w:rPr>
                <w:rFonts w:hint="eastAsia" w:ascii="宋体" w:hAnsi="宋体"/>
                <w:bCs/>
                <w:color w:val="000000"/>
                <w:kern w:val="0"/>
                <w:szCs w:val="21"/>
              </w:rPr>
              <w:t>1.</w:t>
            </w:r>
            <w:r>
              <w:rPr>
                <w:rFonts w:hint="eastAsia" w:ascii="宋体" w:hAnsi="宋体"/>
                <w:bCs/>
                <w:color w:val="000000"/>
                <w:kern w:val="0"/>
                <w:szCs w:val="21"/>
                <w:lang w:val="en-US" w:eastAsia="zh-CN"/>
              </w:rPr>
              <w:t>6</w:t>
            </w:r>
            <w:r>
              <w:rPr>
                <w:rFonts w:hint="eastAsia" w:ascii="宋体" w:hAnsi="宋体"/>
                <w:bCs/>
                <w:color w:val="000000"/>
                <w:kern w:val="0"/>
                <w:szCs w:val="21"/>
                <w:lang w:eastAsia="zh-CN"/>
              </w:rPr>
              <w:t>投标人</w:t>
            </w:r>
            <w:r>
              <w:rPr>
                <w:rFonts w:hint="eastAsia" w:ascii="宋体" w:hAnsi="宋体" w:cs="宋体"/>
                <w:color w:val="000000"/>
                <w:kern w:val="0"/>
                <w:szCs w:val="21"/>
              </w:rPr>
              <w:t>免费开放设备接口参数，无偿派人配合与医院信息系统的连接工作，直至该设备与医院信息系统可进行完整的数据交换；在设备保修期内，当医院信息系统变更并需要与该设备连接时，需无偿派人配合直至该设备与医院信息系统可进行完整的数据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63" w:type="dxa"/>
            <w:vMerge w:val="continue"/>
            <w:vAlign w:val="center"/>
          </w:tcPr>
          <w:p>
            <w:pPr>
              <w:pageBreakBefore w:val="0"/>
              <w:topLinePunct w:val="0"/>
              <w:bidi w:val="0"/>
              <w:spacing w:line="360" w:lineRule="auto"/>
              <w:jc w:val="center"/>
              <w:rPr>
                <w:b/>
                <w:color w:val="000000"/>
                <w:szCs w:val="21"/>
              </w:rPr>
            </w:pPr>
          </w:p>
        </w:tc>
        <w:tc>
          <w:tcPr>
            <w:tcW w:w="1485" w:type="dxa"/>
            <w:vMerge w:val="continue"/>
            <w:vAlign w:val="center"/>
          </w:tcPr>
          <w:p>
            <w:pPr>
              <w:pageBreakBefore w:val="0"/>
              <w:topLinePunct w:val="0"/>
              <w:bidi w:val="0"/>
              <w:spacing w:line="360" w:lineRule="auto"/>
              <w:rPr>
                <w:rFonts w:ascii="宋体" w:hAnsi="宋体"/>
                <w:b/>
                <w:color w:val="000000"/>
                <w:kern w:val="0"/>
                <w:szCs w:val="21"/>
              </w:rPr>
            </w:pPr>
          </w:p>
        </w:tc>
        <w:tc>
          <w:tcPr>
            <w:tcW w:w="7402" w:type="dxa"/>
          </w:tcPr>
          <w:p>
            <w:pPr>
              <w:pageBreakBefore w:val="0"/>
              <w:topLinePunct w:val="0"/>
              <w:bidi w:val="0"/>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1.</w:t>
            </w:r>
            <w:r>
              <w:rPr>
                <w:rFonts w:hint="eastAsia" w:ascii="宋体" w:hAnsi="宋体" w:cs="宋体"/>
                <w:color w:val="000000"/>
                <w:kern w:val="0"/>
                <w:szCs w:val="21"/>
                <w:lang w:val="en-US" w:eastAsia="zh-CN"/>
              </w:rPr>
              <w:t>7</w:t>
            </w:r>
            <w:r>
              <w:rPr>
                <w:rFonts w:hint="eastAsia" w:ascii="宋体" w:hAnsi="宋体" w:cs="宋体"/>
                <w:color w:val="000000"/>
                <w:kern w:val="0"/>
                <w:szCs w:val="21"/>
                <w:lang w:eastAsia="zh-CN"/>
              </w:rPr>
              <w:t>投标人中标后</w:t>
            </w:r>
            <w:r>
              <w:rPr>
                <w:rFonts w:hint="eastAsia" w:ascii="宋体" w:hAnsi="宋体" w:cs="宋体"/>
                <w:color w:val="000000"/>
                <w:kern w:val="0"/>
                <w:szCs w:val="21"/>
              </w:rPr>
              <w:t>必须提供与产品原厂签订的售后服务授权协议书</w:t>
            </w:r>
            <w:r>
              <w:rPr>
                <w:rFonts w:hint="eastAsia" w:ascii="宋体" w:hAnsi="宋体" w:cs="宋体"/>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963" w:type="dxa"/>
            <w:vMerge w:val="continue"/>
            <w:vAlign w:val="center"/>
          </w:tcPr>
          <w:p>
            <w:pPr>
              <w:pageBreakBefore w:val="0"/>
              <w:topLinePunct w:val="0"/>
              <w:bidi w:val="0"/>
              <w:spacing w:line="360" w:lineRule="auto"/>
              <w:jc w:val="center"/>
              <w:rPr>
                <w:b/>
                <w:color w:val="000000"/>
                <w:szCs w:val="21"/>
              </w:rPr>
            </w:pPr>
          </w:p>
        </w:tc>
        <w:tc>
          <w:tcPr>
            <w:tcW w:w="1485" w:type="dxa"/>
            <w:vMerge w:val="continue"/>
            <w:vAlign w:val="center"/>
          </w:tcPr>
          <w:p>
            <w:pPr>
              <w:pageBreakBefore w:val="0"/>
              <w:topLinePunct w:val="0"/>
              <w:bidi w:val="0"/>
              <w:spacing w:line="360" w:lineRule="auto"/>
              <w:rPr>
                <w:rFonts w:ascii="宋体" w:hAnsi="宋体"/>
                <w:b/>
                <w:color w:val="000000"/>
                <w:kern w:val="0"/>
                <w:szCs w:val="21"/>
              </w:rPr>
            </w:pPr>
          </w:p>
        </w:tc>
        <w:tc>
          <w:tcPr>
            <w:tcW w:w="7402" w:type="dxa"/>
          </w:tcPr>
          <w:p>
            <w:pPr>
              <w:pageBreakBefore w:val="0"/>
              <w:topLinePunct w:val="0"/>
              <w:bidi w:val="0"/>
              <w:spacing w:line="360" w:lineRule="auto"/>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000000"/>
                <w:kern w:val="0"/>
                <w:szCs w:val="21"/>
                <w:lang w:val="en-US" w:eastAsia="zh-CN"/>
              </w:rPr>
              <w:t>8</w:t>
            </w:r>
            <w:r>
              <w:rPr>
                <w:rFonts w:hint="eastAsia" w:ascii="宋体" w:hAnsi="宋体" w:cs="宋体"/>
                <w:color w:val="000000"/>
                <w:kern w:val="0"/>
                <w:szCs w:val="21"/>
              </w:rPr>
              <w:t>.</w:t>
            </w:r>
            <w:r>
              <w:rPr>
                <w:rFonts w:hint="eastAsia" w:ascii="宋体" w:hAnsi="宋体"/>
                <w:color w:val="000000"/>
                <w:kern w:val="0"/>
                <w:szCs w:val="21"/>
              </w:rPr>
              <w:t xml:space="preserve"> 保修期内</w:t>
            </w:r>
            <w:r>
              <w:rPr>
                <w:rFonts w:ascii="宋体" w:hAnsi="宋体"/>
                <w:color w:val="000000"/>
                <w:kern w:val="0"/>
                <w:szCs w:val="21"/>
              </w:rPr>
              <w:t>,</w:t>
            </w:r>
            <w:r>
              <w:rPr>
                <w:rFonts w:hint="eastAsia" w:ascii="宋体" w:hAnsi="宋体"/>
                <w:color w:val="000000"/>
                <w:kern w:val="0"/>
                <w:szCs w:val="21"/>
              </w:rPr>
              <w:t>年度定期预防性维护保养次数应不少于</w:t>
            </w:r>
            <w:r>
              <w:rPr>
                <w:rFonts w:hint="eastAsia" w:ascii="宋体" w:hAnsi="宋体"/>
                <w:bCs/>
                <w:color w:val="000000"/>
                <w:kern w:val="0"/>
                <w:szCs w:val="21"/>
                <w:u w:val="single"/>
              </w:rPr>
              <w:t xml:space="preserve"> 2</w:t>
            </w:r>
            <w:r>
              <w:rPr>
                <w:rFonts w:hint="eastAsia" w:ascii="宋体" w:hAnsi="宋体"/>
                <w:color w:val="000000"/>
                <w:kern w:val="0"/>
                <w:szCs w:val="21"/>
              </w:rPr>
              <w:t>次。</w:t>
            </w:r>
            <w:r>
              <w:rPr>
                <w:rFonts w:hint="eastAsia" w:ascii="宋体" w:hAnsi="宋体" w:cs="宋体"/>
                <w:color w:val="000000"/>
                <w:kern w:val="0"/>
                <w:szCs w:val="21"/>
              </w:rPr>
              <w:t>必须提供产品原厂设备定期维护（日常、中度、深度）服务计划，并附（Check  list</w:t>
            </w:r>
            <w:r>
              <w:rPr>
                <w:rFonts w:ascii="宋体" w:hAnsi="宋体" w:cs="宋体"/>
                <w:color w:val="000000"/>
                <w:kern w:val="0"/>
                <w:szCs w:val="21"/>
              </w:rPr>
              <w:t>）</w:t>
            </w:r>
            <w:r>
              <w:rPr>
                <w:rFonts w:hint="eastAsia" w:ascii="宋体" w:hAnsi="宋体" w:cs="宋体"/>
                <w:color w:val="000000"/>
                <w:kern w:val="0"/>
                <w:szCs w:val="21"/>
              </w:rPr>
              <w:t>维护清单。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63" w:type="dxa"/>
            <w:vMerge w:val="continue"/>
            <w:vAlign w:val="center"/>
          </w:tcPr>
          <w:p>
            <w:pPr>
              <w:pageBreakBefore w:val="0"/>
              <w:topLinePunct w:val="0"/>
              <w:bidi w:val="0"/>
              <w:spacing w:line="360" w:lineRule="auto"/>
              <w:jc w:val="center"/>
              <w:rPr>
                <w:b/>
                <w:color w:val="000000"/>
                <w:szCs w:val="21"/>
              </w:rPr>
            </w:pPr>
          </w:p>
        </w:tc>
        <w:tc>
          <w:tcPr>
            <w:tcW w:w="1485" w:type="dxa"/>
            <w:vMerge w:val="continue"/>
            <w:vAlign w:val="center"/>
          </w:tcPr>
          <w:p>
            <w:pPr>
              <w:pageBreakBefore w:val="0"/>
              <w:topLinePunct w:val="0"/>
              <w:bidi w:val="0"/>
              <w:spacing w:line="360" w:lineRule="auto"/>
              <w:rPr>
                <w:rFonts w:ascii="宋体" w:hAnsi="宋体"/>
                <w:b/>
                <w:color w:val="000000"/>
                <w:kern w:val="0"/>
                <w:szCs w:val="21"/>
              </w:rPr>
            </w:pPr>
          </w:p>
        </w:tc>
        <w:tc>
          <w:tcPr>
            <w:tcW w:w="7402" w:type="dxa"/>
          </w:tcPr>
          <w:p>
            <w:pPr>
              <w:pageBreakBefore w:val="0"/>
              <w:topLinePunct w:val="0"/>
              <w:bidi w:val="0"/>
              <w:spacing w:line="360" w:lineRule="auto"/>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000000"/>
                <w:kern w:val="0"/>
                <w:szCs w:val="21"/>
                <w:lang w:val="en-US" w:eastAsia="zh-CN"/>
              </w:rPr>
              <w:t>9</w:t>
            </w:r>
            <w:r>
              <w:rPr>
                <w:rFonts w:hint="eastAsia" w:ascii="宋体" w:hAnsi="宋体" w:cs="宋体"/>
                <w:color w:val="000000"/>
                <w:kern w:val="0"/>
                <w:szCs w:val="21"/>
                <w:lang w:eastAsia="zh-CN"/>
              </w:rPr>
              <w:t>投标人保证</w:t>
            </w:r>
            <w:r>
              <w:rPr>
                <w:rFonts w:hint="eastAsia" w:ascii="宋体" w:hAnsi="宋体" w:cs="宋体"/>
                <w:color w:val="000000"/>
                <w:kern w:val="0"/>
                <w:szCs w:val="21"/>
              </w:rPr>
              <w:t>需</w:t>
            </w:r>
            <w:r>
              <w:rPr>
                <w:rFonts w:hint="eastAsia" w:ascii="宋体" w:hAnsi="宋体" w:cs="宋体"/>
                <w:color w:val="000000"/>
                <w:kern w:val="0"/>
                <w:szCs w:val="21"/>
                <w:lang w:eastAsia="zh-CN"/>
              </w:rPr>
              <w:t>至少一年</w:t>
            </w:r>
            <w:r>
              <w:rPr>
                <w:rFonts w:hint="eastAsia" w:ascii="宋体" w:hAnsi="宋体" w:cs="宋体"/>
                <w:color w:val="000000"/>
                <w:kern w:val="0"/>
                <w:szCs w:val="21"/>
              </w:rPr>
              <w:t>检测</w:t>
            </w:r>
            <w:r>
              <w:rPr>
                <w:rFonts w:hint="eastAsia" w:ascii="宋体" w:hAnsi="宋体" w:cs="宋体"/>
                <w:color w:val="000000"/>
                <w:kern w:val="0"/>
                <w:szCs w:val="21"/>
                <w:lang w:val="en-US" w:eastAsia="zh-CN"/>
              </w:rPr>
              <w:t>2次</w:t>
            </w:r>
            <w:r>
              <w:rPr>
                <w:rFonts w:hint="eastAsia" w:ascii="宋体" w:hAnsi="宋体" w:cs="宋体"/>
                <w:color w:val="000000"/>
                <w:kern w:val="0"/>
                <w:szCs w:val="21"/>
              </w:rPr>
              <w:t>系统、数据库、以及消息的运行状况，并做好相应的记录报告给院方。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63" w:type="dxa"/>
            <w:vMerge w:val="restart"/>
            <w:vAlign w:val="center"/>
          </w:tcPr>
          <w:p>
            <w:pPr>
              <w:pageBreakBefore w:val="0"/>
              <w:topLinePunct w:val="0"/>
              <w:bidi w:val="0"/>
              <w:spacing w:line="360" w:lineRule="auto"/>
              <w:jc w:val="center"/>
              <w:rPr>
                <w:b/>
                <w:color w:val="000000"/>
                <w:szCs w:val="21"/>
              </w:rPr>
            </w:pPr>
            <w:r>
              <w:rPr>
                <w:rFonts w:hint="eastAsia"/>
                <w:b/>
                <w:color w:val="000000"/>
                <w:szCs w:val="21"/>
              </w:rPr>
              <w:t>2</w:t>
            </w:r>
          </w:p>
        </w:tc>
        <w:tc>
          <w:tcPr>
            <w:tcW w:w="1485" w:type="dxa"/>
            <w:vMerge w:val="restart"/>
            <w:vAlign w:val="center"/>
          </w:tcPr>
          <w:p>
            <w:pPr>
              <w:pageBreakBefore w:val="0"/>
              <w:topLinePunct w:val="0"/>
              <w:bidi w:val="0"/>
              <w:spacing w:line="360" w:lineRule="auto"/>
              <w:jc w:val="center"/>
              <w:rPr>
                <w:color w:val="000000"/>
                <w:szCs w:val="21"/>
              </w:rPr>
            </w:pPr>
            <w:r>
              <w:rPr>
                <w:rFonts w:hint="eastAsia" w:ascii="宋体" w:hAnsi="宋体"/>
                <w:b/>
                <w:color w:val="000000"/>
                <w:kern w:val="0"/>
                <w:szCs w:val="21"/>
              </w:rPr>
              <w:t>质量保证</w:t>
            </w:r>
          </w:p>
        </w:tc>
        <w:tc>
          <w:tcPr>
            <w:tcW w:w="7402" w:type="dxa"/>
          </w:tcPr>
          <w:p>
            <w:pPr>
              <w:pageBreakBefore w:val="0"/>
              <w:topLinePunct w:val="0"/>
              <w:bidi w:val="0"/>
              <w:spacing w:line="360" w:lineRule="auto"/>
              <w:rPr>
                <w:rFonts w:ascii="宋体" w:hAnsi="宋体"/>
                <w:color w:val="000000"/>
                <w:kern w:val="0"/>
                <w:szCs w:val="21"/>
              </w:rPr>
            </w:pPr>
            <w:r>
              <w:rPr>
                <w:rFonts w:hint="eastAsia" w:ascii="宋体" w:hAnsi="宋体"/>
                <w:color w:val="000000"/>
                <w:kern w:val="0"/>
                <w:szCs w:val="21"/>
              </w:rPr>
              <w:t>2.1在保修期内</w:t>
            </w:r>
            <w:r>
              <w:rPr>
                <w:rFonts w:ascii="宋体" w:hAnsi="宋体"/>
                <w:color w:val="000000"/>
                <w:kern w:val="0"/>
                <w:szCs w:val="21"/>
              </w:rPr>
              <w:t>,</w:t>
            </w:r>
            <w:r>
              <w:rPr>
                <w:rFonts w:hint="eastAsia" w:ascii="宋体" w:hAnsi="宋体"/>
                <w:color w:val="000000"/>
                <w:kern w:val="0"/>
                <w:szCs w:val="21"/>
              </w:rPr>
              <w:t xml:space="preserve"> 投标人应确保年开机率在</w:t>
            </w:r>
            <w:r>
              <w:rPr>
                <w:rFonts w:ascii="宋体" w:hAnsi="宋体"/>
                <w:color w:val="000000"/>
                <w:kern w:val="0"/>
                <w:szCs w:val="21"/>
              </w:rPr>
              <w:t>9</w:t>
            </w:r>
            <w:r>
              <w:rPr>
                <w:rFonts w:hint="eastAsia" w:ascii="宋体" w:hAnsi="宋体"/>
                <w:color w:val="000000"/>
                <w:kern w:val="0"/>
                <w:szCs w:val="21"/>
              </w:rPr>
              <w:t>8</w:t>
            </w:r>
            <w:r>
              <w:rPr>
                <w:rFonts w:ascii="宋体" w:hAnsi="宋体"/>
                <w:color w:val="000000"/>
                <w:kern w:val="0"/>
                <w:szCs w:val="21"/>
              </w:rPr>
              <w:t>%</w:t>
            </w:r>
            <w:r>
              <w:rPr>
                <w:rFonts w:hint="eastAsia" w:ascii="宋体" w:hAnsi="宋体"/>
                <w:color w:val="000000"/>
                <w:kern w:val="0"/>
                <w:szCs w:val="21"/>
                <w:lang w:eastAsia="zh-CN"/>
              </w:rPr>
              <w:t>及</w:t>
            </w:r>
            <w:r>
              <w:rPr>
                <w:rFonts w:hint="eastAsia" w:ascii="宋体" w:hAnsi="宋体"/>
                <w:color w:val="000000"/>
                <w:kern w:val="0"/>
                <w:szCs w:val="21"/>
              </w:rPr>
              <w:t>以上</w:t>
            </w:r>
            <w:r>
              <w:rPr>
                <w:rFonts w:ascii="宋体" w:hAnsi="宋体"/>
                <w:color w:val="000000"/>
                <w:kern w:val="0"/>
                <w:szCs w:val="21"/>
              </w:rPr>
              <w:t xml:space="preserve">, </w:t>
            </w:r>
            <w:r>
              <w:rPr>
                <w:rFonts w:hint="eastAsia" w:ascii="宋体" w:hAnsi="宋体"/>
                <w:color w:val="000000"/>
                <w:kern w:val="0"/>
                <w:szCs w:val="21"/>
              </w:rPr>
              <w:t>若不能达到此开机率，将作以下处理：</w:t>
            </w:r>
          </w:p>
          <w:p>
            <w:pPr>
              <w:pageBreakBefore w:val="0"/>
              <w:topLinePunct w:val="0"/>
              <w:bidi w:val="0"/>
              <w:spacing w:line="360" w:lineRule="auto"/>
              <w:rPr>
                <w:rFonts w:ascii="宋体" w:hAnsi="宋体"/>
                <w:color w:val="000000"/>
                <w:kern w:val="0"/>
                <w:szCs w:val="21"/>
              </w:rPr>
            </w:pPr>
            <w:r>
              <w:rPr>
                <w:rFonts w:ascii="宋体" w:hAnsi="宋体"/>
                <w:color w:val="000000"/>
                <w:kern w:val="0"/>
                <w:szCs w:val="21"/>
              </w:rPr>
              <w:t>a.</w:t>
            </w:r>
            <w:r>
              <w:rPr>
                <w:rFonts w:hint="eastAsia" w:ascii="宋体" w:hAnsi="宋体"/>
                <w:color w:val="000000"/>
                <w:kern w:val="0"/>
                <w:szCs w:val="21"/>
              </w:rPr>
              <w:t xml:space="preserve"> </w:t>
            </w:r>
            <w:r>
              <w:rPr>
                <w:rFonts w:ascii="宋体" w:hAnsi="宋体"/>
                <w:color w:val="000000"/>
                <w:kern w:val="0"/>
                <w:szCs w:val="21"/>
              </w:rPr>
              <w:t>90</w:t>
            </w:r>
            <w:r>
              <w:rPr>
                <w:rFonts w:hint="eastAsia" w:ascii="宋体" w:hAnsi="宋体"/>
                <w:color w:val="000000"/>
                <w:kern w:val="0"/>
                <w:szCs w:val="21"/>
                <w:lang w:val="en-US" w:eastAsia="zh-CN"/>
              </w:rPr>
              <w:t>%</w:t>
            </w:r>
            <w:r>
              <w:rPr>
                <w:rFonts w:hint="default" w:ascii="Arial" w:hAnsi="Arial" w:cs="Arial"/>
                <w:color w:val="000000"/>
                <w:kern w:val="0"/>
                <w:szCs w:val="21"/>
              </w:rPr>
              <w:t>≤</w:t>
            </w:r>
            <w:r>
              <w:rPr>
                <w:rFonts w:hint="eastAsia" w:ascii="宋体" w:hAnsi="宋体"/>
                <w:color w:val="000000"/>
                <w:kern w:val="0"/>
                <w:szCs w:val="21"/>
              </w:rPr>
              <w:t>年开机率</w:t>
            </w:r>
            <w:r>
              <w:rPr>
                <w:rFonts w:hint="eastAsia" w:ascii="宋体" w:hAnsi="宋体"/>
                <w:color w:val="000000"/>
                <w:kern w:val="0"/>
                <w:szCs w:val="21"/>
                <w:lang w:eastAsia="zh-CN"/>
              </w:rPr>
              <w:t>＜</w:t>
            </w:r>
            <w:r>
              <w:rPr>
                <w:rFonts w:hint="eastAsia" w:ascii="宋体" w:hAnsi="宋体"/>
                <w:color w:val="000000"/>
                <w:kern w:val="0"/>
                <w:szCs w:val="21"/>
                <w:lang w:val="en-US" w:eastAsia="zh-CN"/>
              </w:rPr>
              <w:t>98%</w:t>
            </w:r>
            <w:r>
              <w:rPr>
                <w:rFonts w:hint="eastAsia" w:ascii="宋体" w:hAnsi="宋体"/>
                <w:color w:val="000000"/>
                <w:kern w:val="0"/>
                <w:szCs w:val="21"/>
              </w:rPr>
              <w:t>，赔</w:t>
            </w:r>
            <w:r>
              <w:rPr>
                <w:rFonts w:hint="eastAsia" w:ascii="宋体" w:hAnsi="宋体"/>
                <w:color w:val="000000"/>
                <w:kern w:val="0"/>
                <w:szCs w:val="21"/>
                <w:u w:val="single"/>
              </w:rPr>
              <w:t xml:space="preserve"> 一年 </w:t>
            </w:r>
            <w:r>
              <w:rPr>
                <w:rFonts w:hint="eastAsia" w:ascii="宋体" w:hAnsi="宋体"/>
                <w:color w:val="000000"/>
                <w:kern w:val="0"/>
                <w:szCs w:val="21"/>
              </w:rPr>
              <w:t>延长保修期；</w:t>
            </w:r>
          </w:p>
          <w:p>
            <w:pPr>
              <w:pageBreakBefore w:val="0"/>
              <w:topLinePunct w:val="0"/>
              <w:bidi w:val="0"/>
              <w:spacing w:line="360" w:lineRule="auto"/>
              <w:rPr>
                <w:rFonts w:ascii="宋体" w:hAnsi="宋体"/>
                <w:color w:val="000000"/>
                <w:kern w:val="0"/>
                <w:szCs w:val="21"/>
              </w:rPr>
            </w:pPr>
            <w:r>
              <w:rPr>
                <w:rFonts w:ascii="宋体" w:hAnsi="宋体"/>
                <w:color w:val="000000"/>
                <w:kern w:val="0"/>
                <w:szCs w:val="21"/>
              </w:rPr>
              <w:t>b.</w:t>
            </w:r>
            <w:r>
              <w:rPr>
                <w:rFonts w:hint="eastAsia" w:ascii="宋体" w:hAnsi="宋体"/>
                <w:color w:val="000000"/>
                <w:kern w:val="0"/>
                <w:szCs w:val="21"/>
              </w:rPr>
              <w:t xml:space="preserve"> </w:t>
            </w:r>
            <w:r>
              <w:rPr>
                <w:rFonts w:ascii="宋体" w:hAnsi="宋体"/>
                <w:color w:val="000000"/>
                <w:kern w:val="0"/>
                <w:szCs w:val="21"/>
              </w:rPr>
              <w:t>85</w:t>
            </w:r>
            <w:r>
              <w:rPr>
                <w:rFonts w:hint="eastAsia" w:ascii="宋体" w:hAnsi="宋体"/>
                <w:color w:val="000000"/>
                <w:kern w:val="0"/>
                <w:szCs w:val="21"/>
                <w:lang w:val="en-US" w:eastAsia="zh-CN"/>
              </w:rPr>
              <w:t>%</w:t>
            </w:r>
            <w:r>
              <w:rPr>
                <w:rFonts w:hint="default" w:ascii="Arial" w:hAnsi="Arial" w:cs="Arial"/>
                <w:color w:val="000000"/>
                <w:kern w:val="0"/>
                <w:szCs w:val="21"/>
              </w:rPr>
              <w:t>≤</w:t>
            </w:r>
            <w:r>
              <w:rPr>
                <w:rFonts w:hint="eastAsia" w:ascii="宋体" w:hAnsi="宋体"/>
                <w:color w:val="000000"/>
                <w:kern w:val="0"/>
                <w:szCs w:val="21"/>
              </w:rPr>
              <w:t>年开机率</w:t>
            </w:r>
            <w:r>
              <w:rPr>
                <w:rFonts w:hint="eastAsia" w:ascii="宋体" w:hAnsi="宋体"/>
                <w:color w:val="000000"/>
                <w:kern w:val="0"/>
                <w:szCs w:val="21"/>
                <w:lang w:eastAsia="zh-CN"/>
              </w:rPr>
              <w:t>＜</w:t>
            </w:r>
            <w:r>
              <w:rPr>
                <w:rFonts w:hint="eastAsia" w:ascii="宋体" w:hAnsi="宋体"/>
                <w:color w:val="000000"/>
                <w:kern w:val="0"/>
                <w:szCs w:val="21"/>
                <w:lang w:val="en-US" w:eastAsia="zh-CN"/>
              </w:rPr>
              <w:t>90%</w:t>
            </w:r>
            <w:r>
              <w:rPr>
                <w:rFonts w:hint="eastAsia" w:ascii="宋体" w:hAnsi="宋体"/>
                <w:color w:val="000000"/>
                <w:kern w:val="0"/>
                <w:szCs w:val="21"/>
              </w:rPr>
              <w:t>，赔</w:t>
            </w:r>
            <w:r>
              <w:rPr>
                <w:rFonts w:hint="eastAsia" w:ascii="宋体" w:hAnsi="宋体"/>
                <w:color w:val="000000"/>
                <w:kern w:val="0"/>
                <w:szCs w:val="21"/>
                <w:u w:val="single"/>
              </w:rPr>
              <w:t xml:space="preserve"> 二年  </w:t>
            </w:r>
            <w:r>
              <w:rPr>
                <w:rFonts w:hint="eastAsia" w:ascii="宋体" w:hAnsi="宋体"/>
                <w:color w:val="000000"/>
                <w:kern w:val="0"/>
                <w:szCs w:val="21"/>
              </w:rPr>
              <w:t>延长保修期；</w:t>
            </w:r>
          </w:p>
          <w:p>
            <w:pPr>
              <w:pageBreakBefore w:val="0"/>
              <w:topLinePunct w:val="0"/>
              <w:bidi w:val="0"/>
              <w:spacing w:line="360" w:lineRule="auto"/>
              <w:rPr>
                <w:rFonts w:ascii="宋体" w:hAnsi="宋体"/>
                <w:color w:val="000000"/>
                <w:kern w:val="0"/>
                <w:szCs w:val="21"/>
              </w:rPr>
            </w:pPr>
            <w:r>
              <w:rPr>
                <w:rFonts w:ascii="宋体" w:hAnsi="宋体"/>
                <w:color w:val="000000"/>
                <w:kern w:val="0"/>
                <w:szCs w:val="21"/>
              </w:rPr>
              <w:t>c.</w:t>
            </w:r>
            <w:r>
              <w:rPr>
                <w:rFonts w:hint="eastAsia" w:ascii="宋体" w:hAnsi="宋体"/>
                <w:color w:val="000000"/>
                <w:kern w:val="0"/>
                <w:szCs w:val="21"/>
              </w:rPr>
              <w:t xml:space="preserve"> 年开机率</w:t>
            </w:r>
            <w:r>
              <w:rPr>
                <w:rFonts w:hint="eastAsia" w:ascii="宋体" w:hAnsi="宋体"/>
                <w:color w:val="000000"/>
                <w:kern w:val="0"/>
                <w:szCs w:val="21"/>
                <w:lang w:eastAsia="zh-CN"/>
              </w:rPr>
              <w:t>＜</w:t>
            </w:r>
            <w:r>
              <w:rPr>
                <w:rFonts w:ascii="宋体" w:hAnsi="宋体"/>
                <w:color w:val="000000"/>
                <w:kern w:val="0"/>
                <w:szCs w:val="21"/>
              </w:rPr>
              <w:t>85%</w:t>
            </w:r>
            <w:r>
              <w:rPr>
                <w:rFonts w:hint="eastAsia" w:ascii="宋体" w:hAnsi="宋体"/>
                <w:color w:val="000000"/>
                <w:kern w:val="0"/>
                <w:szCs w:val="21"/>
              </w:rPr>
              <w:t>，投标人必须无条件更换新机，并重新计算保修期，以及赔偿用户的直接经济损失和间接经济损失。注：年开机率=（365-停机天数）/365）。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63" w:type="dxa"/>
            <w:vMerge w:val="continue"/>
            <w:vAlign w:val="center"/>
          </w:tcPr>
          <w:p>
            <w:pPr>
              <w:pageBreakBefore w:val="0"/>
              <w:topLinePunct w:val="0"/>
              <w:bidi w:val="0"/>
              <w:spacing w:line="360" w:lineRule="auto"/>
              <w:jc w:val="center"/>
              <w:rPr>
                <w:b/>
                <w:color w:val="000000"/>
                <w:szCs w:val="21"/>
              </w:rPr>
            </w:pPr>
          </w:p>
        </w:tc>
        <w:tc>
          <w:tcPr>
            <w:tcW w:w="1485" w:type="dxa"/>
            <w:vMerge w:val="continue"/>
            <w:vAlign w:val="center"/>
          </w:tcPr>
          <w:p>
            <w:pPr>
              <w:pageBreakBefore w:val="0"/>
              <w:topLinePunct w:val="0"/>
              <w:bidi w:val="0"/>
              <w:spacing w:line="360" w:lineRule="auto"/>
              <w:jc w:val="center"/>
              <w:rPr>
                <w:rFonts w:ascii="宋体" w:hAnsi="宋体"/>
                <w:b/>
                <w:color w:val="000000"/>
                <w:kern w:val="0"/>
                <w:szCs w:val="21"/>
              </w:rPr>
            </w:pPr>
          </w:p>
        </w:tc>
        <w:tc>
          <w:tcPr>
            <w:tcW w:w="7402" w:type="dxa"/>
          </w:tcPr>
          <w:p>
            <w:pPr>
              <w:pageBreakBefore w:val="0"/>
              <w:tabs>
                <w:tab w:val="left" w:pos="1815"/>
              </w:tabs>
              <w:topLinePunct w:val="0"/>
              <w:bidi w:val="0"/>
              <w:spacing w:line="360" w:lineRule="auto"/>
              <w:rPr>
                <w:rFonts w:ascii="宋体" w:hAnsi="宋体"/>
                <w:color w:val="000000"/>
                <w:kern w:val="0"/>
                <w:szCs w:val="21"/>
              </w:rPr>
            </w:pPr>
            <w:r>
              <w:rPr>
                <w:rFonts w:hint="eastAsia" w:ascii="宋体" w:hAnsi="宋体"/>
                <w:color w:val="000000"/>
                <w:kern w:val="0"/>
                <w:szCs w:val="21"/>
              </w:rPr>
              <w:t>2.2</w:t>
            </w:r>
            <w:r>
              <w:rPr>
                <w:rFonts w:hint="eastAsia" w:ascii="宋体" w:hAnsi="宋体" w:cs="宋体"/>
                <w:color w:val="000000"/>
                <w:kern w:val="0"/>
                <w:szCs w:val="21"/>
              </w:rPr>
              <w:t>保修期到期前</w:t>
            </w:r>
            <w:r>
              <w:rPr>
                <w:rFonts w:hint="eastAsia" w:ascii="宋体" w:hAnsi="宋体" w:cs="宋体"/>
                <w:color w:val="000000"/>
                <w:kern w:val="0"/>
                <w:szCs w:val="21"/>
                <w:u w:val="single"/>
              </w:rPr>
              <w:t xml:space="preserve"> 3 </w:t>
            </w:r>
            <w:r>
              <w:rPr>
                <w:rFonts w:hint="eastAsia" w:ascii="宋体" w:hAnsi="宋体" w:cs="宋体"/>
                <w:color w:val="000000"/>
                <w:kern w:val="0"/>
                <w:szCs w:val="21"/>
              </w:rPr>
              <w:t>个月内投标人需提供设备运行状态评估报告及过保后设备维护方案，保证提供有效的非现场技术支持服务和联系方式。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850" w:type="dxa"/>
            <w:gridSpan w:val="3"/>
          </w:tcPr>
          <w:p>
            <w:pPr>
              <w:pageBreakBefore w:val="0"/>
              <w:topLinePunct w:val="0"/>
              <w:bidi w:val="0"/>
              <w:spacing w:line="360" w:lineRule="auto"/>
              <w:rPr>
                <w:b/>
                <w:color w:val="000000"/>
                <w:szCs w:val="21"/>
              </w:rPr>
            </w:pPr>
            <w:r>
              <w:rPr>
                <w:rFonts w:hint="eastAsia"/>
                <w:b/>
                <w:color w:val="000000"/>
                <w:szCs w:val="21"/>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63" w:type="dxa"/>
            <w:vMerge w:val="restart"/>
            <w:vAlign w:val="center"/>
          </w:tcPr>
          <w:p>
            <w:pPr>
              <w:pageBreakBefore w:val="0"/>
              <w:topLinePunct w:val="0"/>
              <w:bidi w:val="0"/>
              <w:spacing w:line="360" w:lineRule="auto"/>
              <w:jc w:val="center"/>
              <w:rPr>
                <w:b/>
                <w:color w:val="000000"/>
                <w:szCs w:val="21"/>
              </w:rPr>
            </w:pPr>
            <w:r>
              <w:rPr>
                <w:rFonts w:hint="eastAsia"/>
                <w:b/>
                <w:color w:val="000000"/>
                <w:szCs w:val="21"/>
              </w:rPr>
              <w:t>1</w:t>
            </w:r>
          </w:p>
        </w:tc>
        <w:tc>
          <w:tcPr>
            <w:tcW w:w="1485" w:type="dxa"/>
            <w:vMerge w:val="restart"/>
            <w:vAlign w:val="center"/>
          </w:tcPr>
          <w:p>
            <w:pPr>
              <w:pageBreakBefore w:val="0"/>
              <w:topLinePunct w:val="0"/>
              <w:bidi w:val="0"/>
              <w:spacing w:line="360" w:lineRule="auto"/>
              <w:jc w:val="center"/>
              <w:rPr>
                <w:b/>
                <w:color w:val="000000"/>
                <w:szCs w:val="21"/>
              </w:rPr>
            </w:pPr>
            <w:r>
              <w:rPr>
                <w:rFonts w:hint="eastAsia" w:ascii="宋体" w:hAnsi="宋体"/>
                <w:b/>
                <w:color w:val="000000"/>
                <w:kern w:val="0"/>
                <w:szCs w:val="21"/>
              </w:rPr>
              <w:t>维修零配件、消耗品和延续保修合同的报价</w:t>
            </w:r>
          </w:p>
        </w:tc>
        <w:tc>
          <w:tcPr>
            <w:tcW w:w="7402" w:type="dxa"/>
          </w:tcPr>
          <w:p>
            <w:pPr>
              <w:pageBreakBefore w:val="0"/>
              <w:topLinePunct w:val="0"/>
              <w:bidi w:val="0"/>
              <w:spacing w:line="360" w:lineRule="auto"/>
              <w:rPr>
                <w:rFonts w:ascii="宋体" w:hAnsi="宋体"/>
                <w:color w:val="000000"/>
                <w:kern w:val="0"/>
                <w:szCs w:val="21"/>
              </w:rPr>
            </w:pPr>
            <w:r>
              <w:rPr>
                <w:rFonts w:hint="eastAsia" w:ascii="宋体" w:hAnsi="宋体"/>
                <w:color w:val="000000"/>
                <w:kern w:val="0"/>
                <w:szCs w:val="21"/>
              </w:rPr>
              <w:t>1.1</w:t>
            </w:r>
            <w:r>
              <w:rPr>
                <w:rFonts w:hint="eastAsia" w:ascii="宋体" w:hAnsi="宋体"/>
                <w:color w:val="000000"/>
                <w:kern w:val="0"/>
                <w:szCs w:val="21"/>
                <w:lang w:eastAsia="zh-CN"/>
              </w:rPr>
              <w:t>投标人保证</w:t>
            </w:r>
            <w:r>
              <w:rPr>
                <w:rFonts w:hint="eastAsia" w:ascii="宋体" w:hAnsi="宋体"/>
                <w:color w:val="000000"/>
                <w:kern w:val="0"/>
                <w:szCs w:val="21"/>
              </w:rPr>
              <w:t>由设备制造商提供售后服务，</w:t>
            </w:r>
            <w:r>
              <w:rPr>
                <w:rFonts w:hint="eastAsia" w:ascii="宋体" w:hAnsi="宋体"/>
                <w:bCs/>
                <w:color w:val="000000"/>
                <w:kern w:val="0"/>
                <w:szCs w:val="21"/>
                <w:u w:val="single"/>
              </w:rPr>
              <w:t xml:space="preserve"> 1 </w:t>
            </w:r>
            <w:r>
              <w:rPr>
                <w:rFonts w:hint="eastAsia" w:ascii="宋体" w:hAnsi="宋体"/>
                <w:color w:val="000000"/>
                <w:kern w:val="0"/>
                <w:szCs w:val="21"/>
              </w:rPr>
              <w:t>小时内响应，</w:t>
            </w:r>
            <w:r>
              <w:rPr>
                <w:rFonts w:hint="eastAsia" w:ascii="宋体" w:hAnsi="宋体"/>
                <w:bCs/>
                <w:color w:val="000000"/>
                <w:kern w:val="0"/>
                <w:szCs w:val="21"/>
                <w:u w:val="single"/>
              </w:rPr>
              <w:t xml:space="preserve"> 8 </w:t>
            </w:r>
            <w:r>
              <w:rPr>
                <w:rFonts w:hint="eastAsia" w:ascii="宋体" w:hAnsi="宋体"/>
                <w:color w:val="000000"/>
                <w:kern w:val="0"/>
                <w:szCs w:val="21"/>
              </w:rPr>
              <w:t>小时维修到位，并在</w:t>
            </w:r>
            <w:r>
              <w:rPr>
                <w:rFonts w:hint="eastAsia" w:ascii="宋体" w:hAnsi="宋体"/>
                <w:color w:val="000000"/>
                <w:kern w:val="0"/>
                <w:szCs w:val="21"/>
                <w:u w:val="single"/>
              </w:rPr>
              <w:t xml:space="preserve"> 24</w:t>
            </w:r>
            <w:r>
              <w:rPr>
                <w:rFonts w:hint="eastAsia" w:ascii="宋体" w:hAnsi="宋体"/>
                <w:color w:val="000000"/>
                <w:kern w:val="0"/>
                <w:szCs w:val="21"/>
              </w:rPr>
              <w:t>小时内消除故障（不可抗力情况除外）。消耗品和零配件供应及时，特殊情况下可提供备用机。</w:t>
            </w:r>
            <w:r>
              <w:rPr>
                <w:rFonts w:ascii="宋体" w:hAnsi="宋体"/>
                <w:color w:val="000000"/>
                <w:kern w:val="0"/>
                <w:szCs w:val="21"/>
              </w:rPr>
              <w:t>在境内有相应的零配件保税库,并出具证明文件。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963" w:type="dxa"/>
            <w:vMerge w:val="continue"/>
            <w:vAlign w:val="center"/>
          </w:tcPr>
          <w:p>
            <w:pPr>
              <w:pageBreakBefore w:val="0"/>
              <w:topLinePunct w:val="0"/>
              <w:bidi w:val="0"/>
              <w:spacing w:line="360" w:lineRule="auto"/>
              <w:jc w:val="center"/>
              <w:rPr>
                <w:b/>
                <w:color w:val="000000"/>
                <w:szCs w:val="21"/>
              </w:rPr>
            </w:pPr>
          </w:p>
        </w:tc>
        <w:tc>
          <w:tcPr>
            <w:tcW w:w="1485" w:type="dxa"/>
            <w:vMerge w:val="continue"/>
            <w:vAlign w:val="center"/>
          </w:tcPr>
          <w:p>
            <w:pPr>
              <w:pageBreakBefore w:val="0"/>
              <w:topLinePunct w:val="0"/>
              <w:bidi w:val="0"/>
              <w:spacing w:line="360" w:lineRule="auto"/>
              <w:jc w:val="center"/>
              <w:rPr>
                <w:rFonts w:ascii="宋体" w:hAnsi="宋体"/>
                <w:b/>
                <w:color w:val="000000"/>
                <w:kern w:val="0"/>
                <w:szCs w:val="21"/>
              </w:rPr>
            </w:pPr>
          </w:p>
        </w:tc>
        <w:tc>
          <w:tcPr>
            <w:tcW w:w="7402" w:type="dxa"/>
          </w:tcPr>
          <w:p>
            <w:pPr>
              <w:pageBreakBefore w:val="0"/>
              <w:topLinePunct w:val="0"/>
              <w:bidi w:val="0"/>
              <w:spacing w:line="360" w:lineRule="auto"/>
              <w:rPr>
                <w:rFonts w:ascii="宋体" w:hAnsi="宋体"/>
                <w:color w:val="000000"/>
                <w:kern w:val="0"/>
                <w:szCs w:val="21"/>
              </w:rPr>
            </w:pPr>
            <w:r>
              <w:rPr>
                <w:rFonts w:hint="eastAsia" w:ascii="宋体" w:hAnsi="宋体"/>
                <w:color w:val="000000"/>
                <w:kern w:val="0"/>
                <w:szCs w:val="21"/>
              </w:rPr>
              <w:t>1.2保修期满后，投标人应以</w:t>
            </w:r>
            <w:r>
              <w:rPr>
                <w:rFonts w:hint="eastAsia" w:ascii="宋体" w:hAnsi="宋体"/>
                <w:color w:val="000000"/>
                <w:kern w:val="0"/>
                <w:szCs w:val="21"/>
                <w:lang w:eastAsia="zh-CN"/>
              </w:rPr>
              <w:t>不高于市场价</w:t>
            </w:r>
            <w:r>
              <w:rPr>
                <w:rFonts w:hint="eastAsia" w:ascii="宋体" w:hAnsi="宋体"/>
                <w:color w:val="000000"/>
                <w:kern w:val="0"/>
                <w:szCs w:val="21"/>
              </w:rPr>
              <w:t>供应维修零配件、消耗品和延续保修合同。价格最高的前5项零配件、消耗品和延续保修合同的报价明细必须填写于《零配件、消耗品和延续保修合同报价明清单》中。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63" w:type="dxa"/>
            <w:vMerge w:val="continue"/>
            <w:vAlign w:val="center"/>
          </w:tcPr>
          <w:p>
            <w:pPr>
              <w:pageBreakBefore w:val="0"/>
              <w:topLinePunct w:val="0"/>
              <w:bidi w:val="0"/>
              <w:spacing w:line="360" w:lineRule="auto"/>
              <w:jc w:val="center"/>
              <w:rPr>
                <w:b/>
                <w:color w:val="000000"/>
                <w:szCs w:val="21"/>
              </w:rPr>
            </w:pPr>
          </w:p>
        </w:tc>
        <w:tc>
          <w:tcPr>
            <w:tcW w:w="1485" w:type="dxa"/>
            <w:vMerge w:val="continue"/>
          </w:tcPr>
          <w:p>
            <w:pPr>
              <w:pageBreakBefore w:val="0"/>
              <w:topLinePunct w:val="0"/>
              <w:bidi w:val="0"/>
              <w:spacing w:line="360" w:lineRule="auto"/>
              <w:rPr>
                <w:b/>
                <w:color w:val="000000"/>
                <w:szCs w:val="21"/>
              </w:rPr>
            </w:pPr>
          </w:p>
        </w:tc>
        <w:tc>
          <w:tcPr>
            <w:tcW w:w="7402" w:type="dxa"/>
          </w:tcPr>
          <w:p>
            <w:pPr>
              <w:pageBreakBefore w:val="0"/>
              <w:topLinePunct w:val="0"/>
              <w:bidi w:val="0"/>
              <w:spacing w:line="360" w:lineRule="auto"/>
              <w:rPr>
                <w:b/>
                <w:color w:val="000000"/>
                <w:szCs w:val="21"/>
              </w:rPr>
            </w:pPr>
            <w:r>
              <w:rPr>
                <w:rFonts w:hint="eastAsia" w:ascii="宋体" w:hAnsi="宋体"/>
                <w:color w:val="000000"/>
                <w:kern w:val="0"/>
                <w:szCs w:val="21"/>
              </w:rPr>
              <w:t>1.3</w:t>
            </w:r>
            <w:r>
              <w:rPr>
                <w:rFonts w:hint="eastAsia" w:ascii="宋体" w:hAnsi="宋体"/>
                <w:color w:val="000000"/>
                <w:kern w:val="0"/>
                <w:szCs w:val="21"/>
                <w:lang w:eastAsia="zh-CN"/>
              </w:rPr>
              <w:t>投标人保证由</w:t>
            </w:r>
            <w:r>
              <w:rPr>
                <w:rFonts w:hint="eastAsia" w:ascii="宋体" w:hAnsi="宋体"/>
                <w:color w:val="000000"/>
                <w:kern w:val="0"/>
                <w:szCs w:val="21"/>
              </w:rPr>
              <w:t>设备制造商维修的货物经采购人验收合格，且设备制造商提供维修专用发票后，采购人支付维修费用。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63" w:type="dxa"/>
            <w:vMerge w:val="continue"/>
            <w:vAlign w:val="center"/>
          </w:tcPr>
          <w:p>
            <w:pPr>
              <w:pageBreakBefore w:val="0"/>
              <w:topLinePunct w:val="0"/>
              <w:bidi w:val="0"/>
              <w:spacing w:line="360" w:lineRule="auto"/>
              <w:jc w:val="center"/>
              <w:rPr>
                <w:b/>
                <w:color w:val="000000"/>
                <w:szCs w:val="21"/>
              </w:rPr>
            </w:pPr>
          </w:p>
        </w:tc>
        <w:tc>
          <w:tcPr>
            <w:tcW w:w="1485" w:type="dxa"/>
            <w:vMerge w:val="continue"/>
          </w:tcPr>
          <w:p>
            <w:pPr>
              <w:pageBreakBefore w:val="0"/>
              <w:topLinePunct w:val="0"/>
              <w:bidi w:val="0"/>
              <w:spacing w:line="360" w:lineRule="auto"/>
              <w:rPr>
                <w:b/>
                <w:color w:val="000000"/>
                <w:szCs w:val="21"/>
              </w:rPr>
            </w:pPr>
          </w:p>
        </w:tc>
        <w:tc>
          <w:tcPr>
            <w:tcW w:w="7402" w:type="dxa"/>
          </w:tcPr>
          <w:p>
            <w:pPr>
              <w:pageBreakBefore w:val="0"/>
              <w:topLinePunct w:val="0"/>
              <w:bidi w:val="0"/>
              <w:spacing w:line="360" w:lineRule="auto"/>
              <w:rPr>
                <w:b/>
                <w:color w:val="000000"/>
                <w:szCs w:val="21"/>
              </w:rPr>
            </w:pPr>
            <w:r>
              <w:rPr>
                <w:rFonts w:hint="eastAsia" w:ascii="宋体" w:hAnsi="宋体"/>
                <w:color w:val="000000"/>
                <w:kern w:val="0"/>
                <w:szCs w:val="21"/>
              </w:rPr>
              <w:t>1.4</w:t>
            </w:r>
            <w:r>
              <w:rPr>
                <w:rFonts w:hint="eastAsia" w:ascii="宋体" w:hAnsi="宋体"/>
                <w:color w:val="000000"/>
                <w:kern w:val="0"/>
                <w:szCs w:val="21"/>
                <w:lang w:eastAsia="zh-CN"/>
              </w:rPr>
              <w:t>投标人保证</w:t>
            </w:r>
            <w:r>
              <w:rPr>
                <w:rFonts w:hint="eastAsia" w:ascii="宋体" w:hAnsi="宋体"/>
                <w:color w:val="000000"/>
                <w:kern w:val="0"/>
                <w:szCs w:val="21"/>
              </w:rPr>
              <w:t>设备制造商不得以任何理由不按时进行维修，不得</w:t>
            </w:r>
            <w:r>
              <w:rPr>
                <w:rFonts w:hint="eastAsia" w:ascii="宋体" w:hAnsi="宋体"/>
                <w:color w:val="000000"/>
                <w:kern w:val="0"/>
                <w:szCs w:val="21"/>
                <w:lang w:eastAsia="zh-CN"/>
              </w:rPr>
              <w:t>强制</w:t>
            </w:r>
            <w:r>
              <w:rPr>
                <w:rFonts w:hint="eastAsia" w:ascii="宋体" w:hAnsi="宋体"/>
                <w:color w:val="000000"/>
                <w:kern w:val="0"/>
                <w:szCs w:val="21"/>
              </w:rPr>
              <w:t>要求采购人购买所谓“保修服务”（即：不论设备有无故障先买保修服务），不得在设备中嵌设任何不利于采购人使用与维修设备的障碍。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850" w:type="dxa"/>
            <w:gridSpan w:val="3"/>
          </w:tcPr>
          <w:p>
            <w:pPr>
              <w:pageBreakBefore w:val="0"/>
              <w:topLinePunct w:val="0"/>
              <w:bidi w:val="0"/>
              <w:spacing w:line="360" w:lineRule="auto"/>
              <w:rPr>
                <w:b/>
                <w:color w:val="000000"/>
                <w:szCs w:val="21"/>
              </w:rPr>
            </w:pPr>
            <w:r>
              <w:rPr>
                <w:rFonts w:hint="eastAsia"/>
                <w:b/>
                <w:color w:val="000000"/>
                <w:szCs w:val="21"/>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63" w:type="dxa"/>
            <w:vMerge w:val="restart"/>
            <w:vAlign w:val="center"/>
          </w:tcPr>
          <w:p>
            <w:pPr>
              <w:pageBreakBefore w:val="0"/>
              <w:topLinePunct w:val="0"/>
              <w:bidi w:val="0"/>
              <w:spacing w:line="360" w:lineRule="auto"/>
              <w:jc w:val="center"/>
              <w:rPr>
                <w:b/>
                <w:color w:val="000000"/>
                <w:szCs w:val="21"/>
              </w:rPr>
            </w:pPr>
            <w:r>
              <w:rPr>
                <w:rFonts w:hint="eastAsia"/>
                <w:b/>
                <w:color w:val="000000"/>
                <w:szCs w:val="21"/>
              </w:rPr>
              <w:t>1</w:t>
            </w:r>
          </w:p>
        </w:tc>
        <w:tc>
          <w:tcPr>
            <w:tcW w:w="1485" w:type="dxa"/>
            <w:vMerge w:val="restart"/>
            <w:vAlign w:val="center"/>
          </w:tcPr>
          <w:p>
            <w:pPr>
              <w:pageBreakBefore w:val="0"/>
              <w:topLinePunct w:val="0"/>
              <w:bidi w:val="0"/>
              <w:spacing w:line="360" w:lineRule="auto"/>
              <w:jc w:val="center"/>
              <w:rPr>
                <w:color w:val="000000"/>
                <w:szCs w:val="21"/>
              </w:rPr>
            </w:pPr>
            <w:r>
              <w:rPr>
                <w:rFonts w:hint="eastAsia" w:ascii="宋体" w:hAnsi="宋体"/>
                <w:b/>
                <w:color w:val="000000"/>
                <w:szCs w:val="21"/>
              </w:rPr>
              <w:t>交货要求</w:t>
            </w:r>
          </w:p>
        </w:tc>
        <w:tc>
          <w:tcPr>
            <w:tcW w:w="7402" w:type="dxa"/>
          </w:tcPr>
          <w:p>
            <w:pPr>
              <w:pageBreakBefore w:val="0"/>
              <w:topLinePunct w:val="0"/>
              <w:bidi w:val="0"/>
              <w:spacing w:line="360" w:lineRule="auto"/>
              <w:rPr>
                <w:b/>
                <w:color w:val="000000"/>
                <w:szCs w:val="21"/>
              </w:rPr>
            </w:pPr>
            <w:r>
              <w:rPr>
                <w:rFonts w:hint="eastAsia" w:ascii="宋体" w:hAnsi="宋体" w:cs="宋体"/>
                <w:kern w:val="0"/>
                <w:szCs w:val="21"/>
              </w:rPr>
              <w:t>★</w:t>
            </w:r>
            <w:r>
              <w:rPr>
                <w:rFonts w:hint="eastAsia"/>
                <w:bCs/>
                <w:color w:val="000000"/>
                <w:szCs w:val="21"/>
              </w:rPr>
              <w:t xml:space="preserve">1.1 </w:t>
            </w:r>
            <w:r>
              <w:rPr>
                <w:rFonts w:hint="eastAsia" w:ascii="宋体" w:hAnsi="宋体"/>
                <w:bCs/>
                <w:color w:val="000000"/>
                <w:kern w:val="0"/>
                <w:szCs w:val="21"/>
              </w:rPr>
              <w:t>投标人在签订合同之日起</w:t>
            </w:r>
            <w:r>
              <w:rPr>
                <w:rFonts w:hint="eastAsia" w:ascii="宋体" w:hAnsi="宋体"/>
                <w:bCs/>
                <w:color w:val="000000"/>
                <w:kern w:val="0"/>
                <w:szCs w:val="21"/>
                <w:u w:val="single"/>
              </w:rPr>
              <w:t xml:space="preserve"> </w:t>
            </w:r>
            <w:r>
              <w:rPr>
                <w:rFonts w:hint="eastAsia" w:ascii="宋体" w:hAnsi="宋体"/>
                <w:bCs/>
                <w:color w:val="000000"/>
                <w:kern w:val="0"/>
                <w:szCs w:val="21"/>
                <w:u w:val="single"/>
                <w:lang w:val="en-US" w:eastAsia="zh-CN"/>
              </w:rPr>
              <w:t>60</w:t>
            </w:r>
            <w:r>
              <w:rPr>
                <w:rFonts w:hint="eastAsia" w:ascii="宋体" w:hAnsi="宋体"/>
                <w:bCs/>
                <w:color w:val="000000"/>
                <w:kern w:val="0"/>
                <w:szCs w:val="21"/>
                <w:u w:val="single"/>
              </w:rPr>
              <w:t xml:space="preserve"> </w:t>
            </w:r>
            <w:r>
              <w:rPr>
                <w:rFonts w:hint="eastAsia" w:ascii="宋体" w:hAnsi="宋体"/>
                <w:bCs/>
                <w:color w:val="000000"/>
                <w:kern w:val="0"/>
                <w:szCs w:val="21"/>
              </w:rPr>
              <w:t>天内交货。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63" w:type="dxa"/>
            <w:vMerge w:val="continue"/>
            <w:vAlign w:val="center"/>
          </w:tcPr>
          <w:p>
            <w:pPr>
              <w:pageBreakBefore w:val="0"/>
              <w:topLinePunct w:val="0"/>
              <w:bidi w:val="0"/>
              <w:spacing w:line="360" w:lineRule="auto"/>
              <w:jc w:val="center"/>
              <w:rPr>
                <w:b/>
                <w:color w:val="000000"/>
                <w:szCs w:val="21"/>
              </w:rPr>
            </w:pPr>
          </w:p>
        </w:tc>
        <w:tc>
          <w:tcPr>
            <w:tcW w:w="1485" w:type="dxa"/>
            <w:vMerge w:val="continue"/>
            <w:vAlign w:val="center"/>
          </w:tcPr>
          <w:p>
            <w:pPr>
              <w:pageBreakBefore w:val="0"/>
              <w:topLinePunct w:val="0"/>
              <w:bidi w:val="0"/>
              <w:spacing w:line="360" w:lineRule="auto"/>
              <w:jc w:val="center"/>
              <w:rPr>
                <w:color w:val="000000"/>
                <w:szCs w:val="21"/>
              </w:rPr>
            </w:pPr>
          </w:p>
        </w:tc>
        <w:tc>
          <w:tcPr>
            <w:tcW w:w="7402" w:type="dxa"/>
          </w:tcPr>
          <w:p>
            <w:pPr>
              <w:pageBreakBefore w:val="0"/>
              <w:topLinePunct w:val="0"/>
              <w:bidi w:val="0"/>
              <w:spacing w:line="360" w:lineRule="auto"/>
              <w:rPr>
                <w:bCs/>
                <w:color w:val="000000"/>
                <w:szCs w:val="21"/>
              </w:rPr>
            </w:pPr>
            <w:r>
              <w:rPr>
                <w:rFonts w:hint="eastAsia"/>
                <w:bCs/>
                <w:color w:val="000000"/>
                <w:szCs w:val="21"/>
              </w:rPr>
              <w:t>1.2投标人</w:t>
            </w:r>
            <w:r>
              <w:rPr>
                <w:rFonts w:hint="eastAsia" w:ascii="宋体" w:hAnsi="宋体"/>
                <w:color w:val="000000"/>
                <w:kern w:val="0"/>
                <w:szCs w:val="21"/>
              </w:rPr>
              <w:t>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963" w:type="dxa"/>
            <w:vMerge w:val="continue"/>
            <w:vAlign w:val="center"/>
          </w:tcPr>
          <w:p>
            <w:pPr>
              <w:pageBreakBefore w:val="0"/>
              <w:topLinePunct w:val="0"/>
              <w:bidi w:val="0"/>
              <w:spacing w:line="360" w:lineRule="auto"/>
              <w:jc w:val="center"/>
              <w:rPr>
                <w:b/>
                <w:color w:val="000000"/>
                <w:szCs w:val="21"/>
              </w:rPr>
            </w:pPr>
          </w:p>
        </w:tc>
        <w:tc>
          <w:tcPr>
            <w:tcW w:w="1485" w:type="dxa"/>
            <w:vMerge w:val="continue"/>
            <w:vAlign w:val="center"/>
          </w:tcPr>
          <w:p>
            <w:pPr>
              <w:pageBreakBefore w:val="0"/>
              <w:topLinePunct w:val="0"/>
              <w:bidi w:val="0"/>
              <w:spacing w:line="360" w:lineRule="auto"/>
              <w:jc w:val="center"/>
              <w:rPr>
                <w:color w:val="000000"/>
                <w:szCs w:val="21"/>
              </w:rPr>
            </w:pPr>
          </w:p>
        </w:tc>
        <w:tc>
          <w:tcPr>
            <w:tcW w:w="7402" w:type="dxa"/>
            <w:vAlign w:val="center"/>
          </w:tcPr>
          <w:p>
            <w:pPr>
              <w:pageBreakBefore w:val="0"/>
              <w:topLinePunct w:val="0"/>
              <w:bidi w:val="0"/>
              <w:spacing w:line="360" w:lineRule="auto"/>
              <w:rPr>
                <w:rFonts w:ascii="宋体" w:hAnsi="宋体" w:cs="宋体"/>
                <w:color w:val="000000"/>
                <w:kern w:val="0"/>
                <w:szCs w:val="21"/>
              </w:rPr>
            </w:pPr>
            <w:r>
              <w:rPr>
                <w:rFonts w:hint="eastAsia" w:ascii="宋体" w:hAnsi="宋体"/>
                <w:color w:val="000000"/>
                <w:spacing w:val="-3"/>
                <w:szCs w:val="21"/>
              </w:rPr>
              <w:t>1.3</w:t>
            </w:r>
            <w:r>
              <w:rPr>
                <w:rFonts w:hint="eastAsia" w:ascii="宋体" w:hAnsi="宋体"/>
                <w:color w:val="000000"/>
                <w:spacing w:val="-3"/>
                <w:szCs w:val="21"/>
                <w:lang w:eastAsia="zh-CN"/>
              </w:rPr>
              <w:t>投标人保证</w:t>
            </w:r>
            <w:r>
              <w:rPr>
                <w:rFonts w:hint="eastAsia" w:ascii="宋体" w:hAnsi="宋体"/>
                <w:color w:val="000000"/>
                <w:spacing w:val="-3"/>
                <w:szCs w:val="21"/>
              </w:rPr>
              <w:t>提供的货物必须为全新、经检验合格的产品。产品如需要计量检定的应提供相关计量检定部门出具的合法检定报告。其中，进口设备必须具有报关证明文件、原产地证明和商检合格证明文件。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63" w:type="dxa"/>
            <w:vMerge w:val="continue"/>
            <w:vAlign w:val="center"/>
          </w:tcPr>
          <w:p>
            <w:pPr>
              <w:pageBreakBefore w:val="0"/>
              <w:topLinePunct w:val="0"/>
              <w:bidi w:val="0"/>
              <w:spacing w:line="360" w:lineRule="auto"/>
              <w:jc w:val="center"/>
              <w:rPr>
                <w:b/>
                <w:color w:val="000000"/>
                <w:szCs w:val="21"/>
              </w:rPr>
            </w:pPr>
          </w:p>
        </w:tc>
        <w:tc>
          <w:tcPr>
            <w:tcW w:w="1485" w:type="dxa"/>
            <w:vMerge w:val="continue"/>
            <w:vAlign w:val="center"/>
          </w:tcPr>
          <w:p>
            <w:pPr>
              <w:pageBreakBefore w:val="0"/>
              <w:topLinePunct w:val="0"/>
              <w:bidi w:val="0"/>
              <w:spacing w:line="360" w:lineRule="auto"/>
              <w:jc w:val="center"/>
              <w:rPr>
                <w:color w:val="000000"/>
                <w:szCs w:val="21"/>
              </w:rPr>
            </w:pPr>
          </w:p>
        </w:tc>
        <w:tc>
          <w:tcPr>
            <w:tcW w:w="7402" w:type="dxa"/>
          </w:tcPr>
          <w:p>
            <w:pPr>
              <w:pageBreakBefore w:val="0"/>
              <w:topLinePunct w:val="0"/>
              <w:bidi w:val="0"/>
              <w:spacing w:line="360" w:lineRule="auto"/>
              <w:rPr>
                <w:rFonts w:ascii="宋体" w:hAnsi="宋体"/>
                <w:color w:val="000000"/>
                <w:spacing w:val="-3"/>
                <w:szCs w:val="21"/>
              </w:rPr>
            </w:pPr>
            <w:r>
              <w:rPr>
                <w:rFonts w:hint="eastAsia" w:ascii="宋体" w:hAnsi="宋体"/>
                <w:color w:val="000000"/>
                <w:spacing w:val="-3"/>
                <w:szCs w:val="21"/>
              </w:rPr>
              <w:t>1.4</w:t>
            </w:r>
            <w:r>
              <w:rPr>
                <w:rFonts w:hint="eastAsia" w:ascii="宋体" w:hAnsi="宋体" w:cs="宋体"/>
                <w:color w:val="000000"/>
                <w:kern w:val="0"/>
                <w:szCs w:val="21"/>
              </w:rPr>
              <w:t>.投标产品必须为整机原厂生产产品。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63" w:type="dxa"/>
            <w:vMerge w:val="restart"/>
            <w:vAlign w:val="center"/>
          </w:tcPr>
          <w:p>
            <w:pPr>
              <w:pageBreakBefore w:val="0"/>
              <w:topLinePunct w:val="0"/>
              <w:bidi w:val="0"/>
              <w:spacing w:line="360" w:lineRule="auto"/>
              <w:jc w:val="center"/>
              <w:rPr>
                <w:b/>
                <w:color w:val="000000"/>
                <w:szCs w:val="21"/>
              </w:rPr>
            </w:pPr>
            <w:r>
              <w:rPr>
                <w:rFonts w:hint="eastAsia"/>
                <w:b/>
                <w:color w:val="000000"/>
                <w:szCs w:val="21"/>
              </w:rPr>
              <w:t>2</w:t>
            </w:r>
          </w:p>
        </w:tc>
        <w:tc>
          <w:tcPr>
            <w:tcW w:w="1485" w:type="dxa"/>
            <w:vMerge w:val="restart"/>
            <w:vAlign w:val="center"/>
          </w:tcPr>
          <w:p>
            <w:pPr>
              <w:pageBreakBefore w:val="0"/>
              <w:topLinePunct w:val="0"/>
              <w:bidi w:val="0"/>
              <w:spacing w:line="360" w:lineRule="auto"/>
              <w:jc w:val="center"/>
              <w:rPr>
                <w:color w:val="000000"/>
                <w:szCs w:val="21"/>
              </w:rPr>
            </w:pPr>
            <w:r>
              <w:rPr>
                <w:rFonts w:hint="eastAsia" w:ascii="宋体" w:hAnsi="宋体"/>
                <w:b/>
                <w:bCs/>
                <w:color w:val="000000"/>
                <w:kern w:val="0"/>
                <w:szCs w:val="21"/>
              </w:rPr>
              <w:t>运输、安装和验收</w:t>
            </w:r>
          </w:p>
        </w:tc>
        <w:tc>
          <w:tcPr>
            <w:tcW w:w="7402" w:type="dxa"/>
          </w:tcPr>
          <w:p>
            <w:pPr>
              <w:pageBreakBefore w:val="0"/>
              <w:topLinePunct w:val="0"/>
              <w:bidi w:val="0"/>
              <w:spacing w:line="360" w:lineRule="auto"/>
              <w:rPr>
                <w:rFonts w:ascii="宋体" w:hAnsi="宋体"/>
                <w:color w:val="000000"/>
                <w:spacing w:val="-3"/>
                <w:szCs w:val="21"/>
              </w:rPr>
            </w:pPr>
            <w:r>
              <w:rPr>
                <w:rFonts w:hint="eastAsia" w:ascii="宋体" w:hAnsi="宋体" w:cs="宋体"/>
                <w:color w:val="000000"/>
                <w:kern w:val="0"/>
                <w:szCs w:val="21"/>
              </w:rPr>
              <w:t>2.1投标人</w:t>
            </w:r>
            <w:r>
              <w:rPr>
                <w:rFonts w:ascii="宋体" w:hAnsi="宋体" w:cs="宋体"/>
                <w:color w:val="000000"/>
                <w:kern w:val="0"/>
                <w:szCs w:val="21"/>
              </w:rPr>
              <w:t>须</w:t>
            </w:r>
            <w:r>
              <w:rPr>
                <w:rFonts w:hint="eastAsia" w:ascii="宋体" w:hAnsi="宋体"/>
                <w:bCs/>
                <w:color w:val="000000"/>
                <w:kern w:val="0"/>
                <w:szCs w:val="21"/>
              </w:rPr>
              <w:t>在签订合同之日起</w:t>
            </w:r>
            <w:r>
              <w:rPr>
                <w:rFonts w:hint="eastAsia" w:ascii="宋体" w:hAnsi="宋体"/>
                <w:bCs/>
                <w:color w:val="000000"/>
                <w:kern w:val="0"/>
                <w:szCs w:val="21"/>
                <w:u w:val="single"/>
              </w:rPr>
              <w:t xml:space="preserve"> 3 </w:t>
            </w:r>
            <w:r>
              <w:rPr>
                <w:rFonts w:hint="eastAsia" w:ascii="宋体" w:hAnsi="宋体"/>
                <w:bCs/>
                <w:color w:val="000000"/>
                <w:kern w:val="0"/>
                <w:szCs w:val="21"/>
              </w:rPr>
              <w:t>天内</w:t>
            </w:r>
            <w:r>
              <w:rPr>
                <w:rFonts w:ascii="宋体" w:hAnsi="宋体" w:cs="宋体"/>
                <w:color w:val="000000"/>
                <w:kern w:val="0"/>
                <w:szCs w:val="21"/>
              </w:rPr>
              <w:t>向</w:t>
            </w:r>
            <w:r>
              <w:rPr>
                <w:rFonts w:hint="eastAsia" w:ascii="宋体" w:hAnsi="宋体" w:cs="宋体"/>
                <w:color w:val="000000"/>
                <w:kern w:val="0"/>
                <w:szCs w:val="21"/>
              </w:rPr>
              <w:t>采购人</w:t>
            </w:r>
            <w:r>
              <w:rPr>
                <w:rFonts w:ascii="宋体" w:hAnsi="宋体" w:cs="宋体"/>
                <w:color w:val="000000"/>
                <w:kern w:val="0"/>
                <w:szCs w:val="21"/>
              </w:rPr>
              <w:t>提供设备的运行、安装、使用环境要求。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63" w:type="dxa"/>
            <w:vMerge w:val="continue"/>
            <w:vAlign w:val="center"/>
          </w:tcPr>
          <w:p>
            <w:pPr>
              <w:pageBreakBefore w:val="0"/>
              <w:topLinePunct w:val="0"/>
              <w:bidi w:val="0"/>
              <w:spacing w:line="360" w:lineRule="auto"/>
              <w:jc w:val="center"/>
              <w:rPr>
                <w:b/>
                <w:color w:val="000000"/>
                <w:szCs w:val="21"/>
              </w:rPr>
            </w:pPr>
          </w:p>
        </w:tc>
        <w:tc>
          <w:tcPr>
            <w:tcW w:w="1485" w:type="dxa"/>
            <w:vMerge w:val="continue"/>
            <w:vAlign w:val="center"/>
          </w:tcPr>
          <w:p>
            <w:pPr>
              <w:pageBreakBefore w:val="0"/>
              <w:topLinePunct w:val="0"/>
              <w:bidi w:val="0"/>
              <w:spacing w:line="360" w:lineRule="auto"/>
              <w:jc w:val="center"/>
              <w:rPr>
                <w:rFonts w:ascii="宋体" w:hAnsi="宋体"/>
                <w:b/>
                <w:bCs/>
                <w:color w:val="000000"/>
                <w:kern w:val="0"/>
                <w:szCs w:val="21"/>
              </w:rPr>
            </w:pPr>
          </w:p>
        </w:tc>
        <w:tc>
          <w:tcPr>
            <w:tcW w:w="7402" w:type="dxa"/>
          </w:tcPr>
          <w:p>
            <w:pPr>
              <w:pageBreakBefore w:val="0"/>
              <w:topLinePunct w:val="0"/>
              <w:bidi w:val="0"/>
              <w:spacing w:line="360" w:lineRule="auto"/>
              <w:rPr>
                <w:bCs/>
                <w:color w:val="000000"/>
                <w:szCs w:val="21"/>
              </w:rPr>
            </w:pPr>
            <w:r>
              <w:rPr>
                <w:rFonts w:hint="eastAsia" w:ascii="等线" w:hAnsi="等线" w:eastAsia="等线"/>
                <w:bCs/>
                <w:color w:val="000000"/>
                <w:szCs w:val="21"/>
              </w:rPr>
              <w:t>2.2</w:t>
            </w:r>
            <w:r>
              <w:rPr>
                <w:rFonts w:hint="eastAsia"/>
                <w:bCs/>
                <w:color w:val="000000"/>
                <w:szCs w:val="21"/>
              </w:rPr>
              <w:t>投标人</w:t>
            </w:r>
            <w:r>
              <w:rPr>
                <w:rFonts w:hint="eastAsia" w:ascii="宋体" w:hAnsi="宋体"/>
                <w:bCs/>
                <w:color w:val="000000"/>
                <w:kern w:val="0"/>
                <w:szCs w:val="21"/>
              </w:rPr>
              <w:t>负责将</w:t>
            </w:r>
            <w:r>
              <w:rPr>
                <w:rFonts w:hint="eastAsia" w:ascii="宋体" w:hAnsi="宋体"/>
                <w:color w:val="000000"/>
                <w:kern w:val="0"/>
                <w:szCs w:val="21"/>
              </w:rPr>
              <w:t>货物</w:t>
            </w:r>
            <w:r>
              <w:rPr>
                <w:rFonts w:hint="eastAsia" w:ascii="宋体" w:hAnsi="宋体"/>
                <w:bCs/>
                <w:color w:val="000000"/>
                <w:kern w:val="0"/>
                <w:szCs w:val="21"/>
              </w:rPr>
              <w:t>安全无损运抵采购人指定地点,并承担设备的设计、包装、仓储、运输、保险、装卸、报装、安装调试、验收、培训、商检及计量检测和保修期届满前备品备件等与采购设备及服务相关的所有含税费用。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63" w:type="dxa"/>
            <w:vMerge w:val="continue"/>
            <w:vAlign w:val="center"/>
          </w:tcPr>
          <w:p>
            <w:pPr>
              <w:pageBreakBefore w:val="0"/>
              <w:topLinePunct w:val="0"/>
              <w:bidi w:val="0"/>
              <w:spacing w:line="360" w:lineRule="auto"/>
              <w:jc w:val="center"/>
              <w:rPr>
                <w:b/>
                <w:color w:val="000000"/>
                <w:szCs w:val="21"/>
              </w:rPr>
            </w:pPr>
          </w:p>
        </w:tc>
        <w:tc>
          <w:tcPr>
            <w:tcW w:w="1485" w:type="dxa"/>
            <w:vMerge w:val="continue"/>
          </w:tcPr>
          <w:p>
            <w:pPr>
              <w:pageBreakBefore w:val="0"/>
              <w:topLinePunct w:val="0"/>
              <w:bidi w:val="0"/>
              <w:spacing w:line="360" w:lineRule="auto"/>
              <w:rPr>
                <w:b/>
                <w:color w:val="000000"/>
                <w:szCs w:val="21"/>
              </w:rPr>
            </w:pPr>
          </w:p>
        </w:tc>
        <w:tc>
          <w:tcPr>
            <w:tcW w:w="7402" w:type="dxa"/>
          </w:tcPr>
          <w:p>
            <w:pPr>
              <w:pageBreakBefore w:val="0"/>
              <w:tabs>
                <w:tab w:val="left" w:pos="1260"/>
              </w:tabs>
              <w:topLinePunct w:val="0"/>
              <w:bidi w:val="0"/>
              <w:spacing w:line="360" w:lineRule="auto"/>
              <w:rPr>
                <w:bCs/>
                <w:color w:val="000000"/>
                <w:szCs w:val="21"/>
              </w:rPr>
            </w:pPr>
            <w:r>
              <w:rPr>
                <w:rFonts w:hint="eastAsia" w:ascii="等线" w:hAnsi="等线" w:eastAsia="等线"/>
                <w:bCs/>
                <w:color w:val="000000"/>
                <w:szCs w:val="21"/>
              </w:rPr>
              <w:t>2.3</w:t>
            </w:r>
            <w:r>
              <w:rPr>
                <w:rFonts w:hint="eastAsia" w:ascii="宋体" w:hAnsi="宋体"/>
                <w:bCs/>
                <w:color w:val="000000"/>
                <w:kern w:val="0"/>
                <w:szCs w:val="21"/>
              </w:rPr>
              <w:t>采购人有权检验或测试货物，以确认货物是否符合合同规格的要求，并且不承担额外的费用。如果发现所交货物与投标文件中所</w:t>
            </w:r>
            <w:r>
              <w:rPr>
                <w:rFonts w:hint="eastAsia" w:ascii="宋体" w:hAnsi="宋体"/>
                <w:bCs/>
                <w:color w:val="000000"/>
                <w:kern w:val="0"/>
                <w:szCs w:val="21"/>
                <w:lang w:eastAsia="zh-CN"/>
              </w:rPr>
              <w:t>保证</w:t>
            </w:r>
            <w:r>
              <w:rPr>
                <w:rFonts w:hint="eastAsia" w:ascii="宋体" w:hAnsi="宋体"/>
                <w:bCs/>
                <w:color w:val="000000"/>
                <w:kern w:val="0"/>
                <w:szCs w:val="21"/>
              </w:rPr>
              <w:t>的不符或存在质量、技术缺陷等</w:t>
            </w:r>
            <w:r>
              <w:rPr>
                <w:rFonts w:ascii="宋体" w:hAnsi="宋体"/>
                <w:bCs/>
                <w:color w:val="000000"/>
                <w:kern w:val="0"/>
                <w:szCs w:val="21"/>
              </w:rPr>
              <w:t>,</w:t>
            </w:r>
            <w:r>
              <w:rPr>
                <w:rFonts w:hint="eastAsia" w:ascii="宋体" w:hAnsi="宋体"/>
                <w:bCs/>
                <w:color w:val="000000"/>
                <w:kern w:val="0"/>
                <w:szCs w:val="21"/>
              </w:rPr>
              <w:t>采购人可以拒绝接收该货物</w:t>
            </w:r>
            <w:r>
              <w:rPr>
                <w:rFonts w:ascii="宋体" w:hAnsi="宋体"/>
                <w:bCs/>
                <w:color w:val="000000"/>
                <w:kern w:val="0"/>
                <w:szCs w:val="21"/>
              </w:rPr>
              <w:t>,</w:t>
            </w:r>
            <w:r>
              <w:rPr>
                <w:rFonts w:hint="eastAsia" w:ascii="宋体" w:hAnsi="宋体"/>
                <w:bCs/>
                <w:color w:val="000000"/>
                <w:kern w:val="0"/>
                <w:szCs w:val="21"/>
              </w:rPr>
              <w:t>投标人应在</w:t>
            </w:r>
            <w:r>
              <w:rPr>
                <w:rFonts w:hint="eastAsia" w:ascii="宋体" w:hAnsi="宋体"/>
                <w:bCs/>
                <w:color w:val="000000"/>
                <w:kern w:val="0"/>
                <w:szCs w:val="21"/>
                <w:u w:val="single"/>
              </w:rPr>
              <w:t xml:space="preserve"> 7 </w:t>
            </w:r>
            <w:r>
              <w:rPr>
                <w:rFonts w:hint="eastAsia" w:ascii="宋体" w:hAnsi="宋体"/>
                <w:bCs/>
                <w:color w:val="000000"/>
                <w:kern w:val="0"/>
                <w:szCs w:val="21"/>
              </w:rPr>
              <w:t>天内采取补足、更换或退货等措施</w:t>
            </w:r>
            <w:r>
              <w:rPr>
                <w:rFonts w:ascii="宋体" w:hAnsi="宋体"/>
                <w:bCs/>
                <w:color w:val="000000"/>
                <w:kern w:val="0"/>
                <w:szCs w:val="21"/>
              </w:rPr>
              <w:t>,</w:t>
            </w:r>
            <w:r>
              <w:rPr>
                <w:rFonts w:hint="eastAsia" w:ascii="宋体" w:hAnsi="宋体"/>
                <w:bCs/>
                <w:color w:val="000000"/>
                <w:kern w:val="0"/>
                <w:szCs w:val="21"/>
              </w:rPr>
              <w:t>以满足规格的要求，由此发生的一切损失和费用由投标人承担。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63" w:type="dxa"/>
            <w:vMerge w:val="continue"/>
            <w:vAlign w:val="center"/>
          </w:tcPr>
          <w:p>
            <w:pPr>
              <w:pageBreakBefore w:val="0"/>
              <w:topLinePunct w:val="0"/>
              <w:bidi w:val="0"/>
              <w:spacing w:line="360" w:lineRule="auto"/>
              <w:jc w:val="center"/>
              <w:rPr>
                <w:b/>
                <w:color w:val="000000"/>
                <w:szCs w:val="21"/>
              </w:rPr>
            </w:pPr>
          </w:p>
        </w:tc>
        <w:tc>
          <w:tcPr>
            <w:tcW w:w="1485" w:type="dxa"/>
            <w:vMerge w:val="continue"/>
          </w:tcPr>
          <w:p>
            <w:pPr>
              <w:pageBreakBefore w:val="0"/>
              <w:topLinePunct w:val="0"/>
              <w:bidi w:val="0"/>
              <w:spacing w:line="360" w:lineRule="auto"/>
              <w:rPr>
                <w:b/>
                <w:color w:val="000000"/>
                <w:szCs w:val="21"/>
              </w:rPr>
            </w:pPr>
          </w:p>
        </w:tc>
        <w:tc>
          <w:tcPr>
            <w:tcW w:w="7402" w:type="dxa"/>
          </w:tcPr>
          <w:p>
            <w:pPr>
              <w:pageBreakBefore w:val="0"/>
              <w:tabs>
                <w:tab w:val="left" w:pos="1260"/>
              </w:tabs>
              <w:topLinePunct w:val="0"/>
              <w:bidi w:val="0"/>
              <w:spacing w:line="360" w:lineRule="auto"/>
              <w:rPr>
                <w:bCs/>
                <w:color w:val="000000"/>
                <w:szCs w:val="21"/>
              </w:rPr>
            </w:pPr>
            <w:r>
              <w:rPr>
                <w:rFonts w:hint="eastAsia" w:ascii="宋体" w:hAnsi="宋体"/>
                <w:color w:val="000000"/>
                <w:spacing w:val="-3"/>
                <w:szCs w:val="21"/>
              </w:rPr>
              <w:t>2.4 投标人负责货物的现场安装和调试</w:t>
            </w:r>
            <w:r>
              <w:rPr>
                <w:rFonts w:ascii="宋体" w:hAnsi="宋体"/>
                <w:color w:val="000000"/>
                <w:spacing w:val="-3"/>
                <w:szCs w:val="21"/>
              </w:rPr>
              <w:t>,</w:t>
            </w:r>
            <w:r>
              <w:rPr>
                <w:rFonts w:hint="eastAsia" w:ascii="宋体" w:hAnsi="宋体"/>
                <w:color w:val="000000"/>
                <w:spacing w:val="-3"/>
                <w:szCs w:val="21"/>
              </w:rPr>
              <w:t>提供货物安装、调试和维修所需的专用工具和辅助材料。投标人应在货物运至指定地点后一周内开始安装调试</w:t>
            </w:r>
            <w:r>
              <w:rPr>
                <w:rFonts w:ascii="宋体" w:hAnsi="宋体"/>
                <w:color w:val="000000"/>
                <w:spacing w:val="-3"/>
                <w:szCs w:val="21"/>
              </w:rPr>
              <w:t>,</w:t>
            </w:r>
            <w:r>
              <w:rPr>
                <w:rFonts w:hint="eastAsia" w:ascii="宋体" w:hAnsi="宋体"/>
                <w:color w:val="000000"/>
                <w:spacing w:val="-3"/>
                <w:szCs w:val="21"/>
              </w:rPr>
              <w:t>并在</w:t>
            </w:r>
            <w:r>
              <w:rPr>
                <w:rFonts w:hint="eastAsia" w:ascii="宋体" w:hAnsi="宋体"/>
                <w:bCs/>
                <w:color w:val="000000"/>
                <w:kern w:val="0"/>
                <w:szCs w:val="21"/>
                <w:u w:val="single"/>
              </w:rPr>
              <w:t xml:space="preserve"> 7 </w:t>
            </w:r>
            <w:r>
              <w:rPr>
                <w:rFonts w:hint="eastAsia" w:ascii="宋体" w:hAnsi="宋体"/>
                <w:color w:val="000000"/>
                <w:spacing w:val="-3"/>
                <w:szCs w:val="21"/>
              </w:rPr>
              <w:t>天内安装调试完毕。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63" w:type="dxa"/>
            <w:vMerge w:val="continue"/>
            <w:vAlign w:val="center"/>
          </w:tcPr>
          <w:p>
            <w:pPr>
              <w:pageBreakBefore w:val="0"/>
              <w:topLinePunct w:val="0"/>
              <w:bidi w:val="0"/>
              <w:spacing w:line="360" w:lineRule="auto"/>
              <w:jc w:val="center"/>
              <w:rPr>
                <w:b/>
                <w:color w:val="000000"/>
                <w:szCs w:val="21"/>
              </w:rPr>
            </w:pPr>
          </w:p>
        </w:tc>
        <w:tc>
          <w:tcPr>
            <w:tcW w:w="1485" w:type="dxa"/>
            <w:vMerge w:val="continue"/>
          </w:tcPr>
          <w:p>
            <w:pPr>
              <w:pageBreakBefore w:val="0"/>
              <w:topLinePunct w:val="0"/>
              <w:bidi w:val="0"/>
              <w:spacing w:line="360" w:lineRule="auto"/>
              <w:rPr>
                <w:b/>
                <w:color w:val="000000"/>
                <w:szCs w:val="21"/>
              </w:rPr>
            </w:pPr>
          </w:p>
        </w:tc>
        <w:tc>
          <w:tcPr>
            <w:tcW w:w="7402" w:type="dxa"/>
          </w:tcPr>
          <w:p>
            <w:pPr>
              <w:pageBreakBefore w:val="0"/>
              <w:tabs>
                <w:tab w:val="left" w:pos="1260"/>
              </w:tabs>
              <w:topLinePunct w:val="0"/>
              <w:bidi w:val="0"/>
              <w:spacing w:line="360" w:lineRule="auto"/>
              <w:rPr>
                <w:rFonts w:ascii="宋体" w:hAnsi="宋体"/>
                <w:color w:val="000000"/>
                <w:spacing w:val="-3"/>
                <w:szCs w:val="21"/>
              </w:rPr>
            </w:pPr>
            <w:r>
              <w:rPr>
                <w:rFonts w:hint="eastAsia" w:ascii="宋体" w:hAnsi="宋体"/>
                <w:color w:val="000000"/>
                <w:spacing w:val="-3"/>
                <w:szCs w:val="21"/>
              </w:rPr>
              <w:t>2.5合同设备安装调试完毕后，投标人应及时书面提请验收。由投标人代表和采购人组成验收小组对产品进行验收。验收标准按照</w:t>
            </w:r>
            <w:r>
              <w:rPr>
                <w:rFonts w:hint="eastAsia" w:ascii="宋体" w:hAnsi="宋体"/>
                <w:color w:val="000000"/>
                <w:spacing w:val="-3"/>
                <w:szCs w:val="21"/>
                <w:lang w:eastAsia="zh-CN"/>
              </w:rPr>
              <w:t>采购人</w:t>
            </w:r>
            <w:r>
              <w:rPr>
                <w:rFonts w:hint="eastAsia" w:ascii="宋体" w:hAnsi="宋体"/>
                <w:color w:val="000000"/>
                <w:spacing w:val="-3"/>
                <w:szCs w:val="21"/>
              </w:rPr>
              <w:t>规定标准执行。投标人保证设备自到货之日起（指第一次交货）</w:t>
            </w:r>
            <w:r>
              <w:rPr>
                <w:rFonts w:hint="eastAsia" w:ascii="宋体" w:hAnsi="宋体"/>
                <w:color w:val="000000"/>
                <w:spacing w:val="-3"/>
                <w:szCs w:val="21"/>
                <w:u w:val="single"/>
              </w:rPr>
              <w:t xml:space="preserve"> 30 </w:t>
            </w:r>
            <w:r>
              <w:rPr>
                <w:rFonts w:hint="eastAsia" w:ascii="宋体" w:hAnsi="宋体"/>
                <w:color w:val="000000"/>
                <w:spacing w:val="-3"/>
                <w:szCs w:val="21"/>
              </w:rPr>
              <w:t>日内通过设备运行、性能及技术参数、指标等的技术预验收，以保证临床使用。采购人</w:t>
            </w:r>
            <w:r>
              <w:rPr>
                <w:rFonts w:ascii="宋体" w:hAnsi="宋体"/>
                <w:color w:val="000000"/>
                <w:spacing w:val="-3"/>
                <w:szCs w:val="21"/>
              </w:rPr>
              <w:t>有权委托有资格的单位对上述仪器进行</w:t>
            </w:r>
            <w:r>
              <w:rPr>
                <w:rFonts w:hint="eastAsia" w:ascii="宋体" w:hAnsi="宋体"/>
                <w:color w:val="000000"/>
                <w:spacing w:val="-3"/>
                <w:szCs w:val="21"/>
              </w:rPr>
              <w:t>性能</w:t>
            </w:r>
            <w:r>
              <w:rPr>
                <w:rFonts w:ascii="宋体" w:hAnsi="宋体"/>
                <w:color w:val="000000"/>
                <w:spacing w:val="-3"/>
                <w:szCs w:val="21"/>
              </w:rPr>
              <w:t>校核。</w:t>
            </w:r>
            <w:r>
              <w:rPr>
                <w:rFonts w:hint="eastAsia" w:ascii="宋体" w:hAnsi="宋体" w:cs="宋体"/>
                <w:color w:val="000000"/>
                <w:kern w:val="0"/>
                <w:szCs w:val="21"/>
              </w:rPr>
              <w:t>医院正式投入使用1个月后，无故障方签署项目验收报告，保修期自采购人签署验收报告之日起开始计算。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963" w:type="dxa"/>
            <w:vMerge w:val="restart"/>
            <w:vAlign w:val="center"/>
          </w:tcPr>
          <w:p>
            <w:pPr>
              <w:pageBreakBefore w:val="0"/>
              <w:topLinePunct w:val="0"/>
              <w:bidi w:val="0"/>
              <w:spacing w:line="360" w:lineRule="auto"/>
              <w:jc w:val="center"/>
              <w:rPr>
                <w:b/>
                <w:color w:val="000000"/>
                <w:szCs w:val="21"/>
              </w:rPr>
            </w:pPr>
            <w:r>
              <w:rPr>
                <w:rFonts w:hint="eastAsia"/>
                <w:b/>
                <w:color w:val="000000"/>
                <w:szCs w:val="21"/>
              </w:rPr>
              <w:t>3</w:t>
            </w:r>
          </w:p>
        </w:tc>
        <w:tc>
          <w:tcPr>
            <w:tcW w:w="1485" w:type="dxa"/>
            <w:vMerge w:val="restart"/>
            <w:vAlign w:val="center"/>
          </w:tcPr>
          <w:p>
            <w:pPr>
              <w:pageBreakBefore w:val="0"/>
              <w:topLinePunct w:val="0"/>
              <w:bidi w:val="0"/>
              <w:spacing w:line="360" w:lineRule="auto"/>
              <w:jc w:val="center"/>
              <w:rPr>
                <w:b/>
                <w:color w:val="000000"/>
                <w:szCs w:val="21"/>
              </w:rPr>
            </w:pPr>
            <w:r>
              <w:rPr>
                <w:rFonts w:hint="eastAsia" w:ascii="宋体" w:hAnsi="宋体"/>
                <w:b/>
                <w:color w:val="000000"/>
                <w:kern w:val="0"/>
                <w:szCs w:val="21"/>
              </w:rPr>
              <w:t>培训</w:t>
            </w:r>
          </w:p>
        </w:tc>
        <w:tc>
          <w:tcPr>
            <w:tcW w:w="7402" w:type="dxa"/>
          </w:tcPr>
          <w:p>
            <w:pPr>
              <w:pageBreakBefore w:val="0"/>
              <w:topLinePunct w:val="0"/>
              <w:bidi w:val="0"/>
              <w:spacing w:line="360" w:lineRule="auto"/>
              <w:outlineLvl w:val="0"/>
              <w:rPr>
                <w:b/>
                <w:color w:val="000000"/>
                <w:szCs w:val="21"/>
              </w:rPr>
            </w:pPr>
            <w:bookmarkStart w:id="0" w:name="_Toc7339"/>
            <w:bookmarkStart w:id="1" w:name="_Toc19534"/>
            <w:bookmarkStart w:id="2" w:name="_Toc30173"/>
            <w:r>
              <w:rPr>
                <w:rFonts w:hint="eastAsia" w:ascii="宋体" w:hAnsi="宋体"/>
                <w:bCs/>
                <w:color w:val="000000"/>
                <w:kern w:val="0"/>
                <w:szCs w:val="21"/>
              </w:rPr>
              <w:t>3.1投标人应派专业技术人员免费对采购单位指定人员进行定期培训及指导，直至其完全掌握设备的基本故障处理技术。</w:t>
            </w:r>
            <w:bookmarkEnd w:id="0"/>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63" w:type="dxa"/>
            <w:vMerge w:val="continue"/>
            <w:vAlign w:val="center"/>
          </w:tcPr>
          <w:p>
            <w:pPr>
              <w:pageBreakBefore w:val="0"/>
              <w:topLinePunct w:val="0"/>
              <w:bidi w:val="0"/>
              <w:spacing w:line="360" w:lineRule="auto"/>
              <w:jc w:val="center"/>
              <w:rPr>
                <w:b/>
                <w:color w:val="000000"/>
                <w:szCs w:val="21"/>
              </w:rPr>
            </w:pPr>
          </w:p>
        </w:tc>
        <w:tc>
          <w:tcPr>
            <w:tcW w:w="1485" w:type="dxa"/>
            <w:vMerge w:val="continue"/>
            <w:vAlign w:val="center"/>
          </w:tcPr>
          <w:p>
            <w:pPr>
              <w:pageBreakBefore w:val="0"/>
              <w:topLinePunct w:val="0"/>
              <w:bidi w:val="0"/>
              <w:spacing w:line="360" w:lineRule="auto"/>
              <w:jc w:val="center"/>
              <w:rPr>
                <w:rFonts w:ascii="宋体" w:hAnsi="宋体"/>
                <w:b/>
                <w:color w:val="000000"/>
                <w:kern w:val="0"/>
                <w:szCs w:val="21"/>
              </w:rPr>
            </w:pPr>
          </w:p>
        </w:tc>
        <w:tc>
          <w:tcPr>
            <w:tcW w:w="7402" w:type="dxa"/>
          </w:tcPr>
          <w:p>
            <w:pPr>
              <w:pageBreakBefore w:val="0"/>
              <w:topLinePunct w:val="0"/>
              <w:bidi w:val="0"/>
              <w:spacing w:line="360" w:lineRule="auto"/>
              <w:outlineLvl w:val="0"/>
              <w:rPr>
                <w:rFonts w:ascii="宋体" w:hAnsi="宋体"/>
                <w:bCs/>
                <w:color w:val="000000"/>
                <w:kern w:val="0"/>
                <w:szCs w:val="21"/>
              </w:rPr>
            </w:pPr>
            <w:bookmarkStart w:id="3" w:name="_Toc4225"/>
            <w:bookmarkStart w:id="4" w:name="_Toc31298"/>
            <w:bookmarkStart w:id="5" w:name="_Toc9431"/>
            <w:r>
              <w:rPr>
                <w:rFonts w:hint="eastAsia" w:ascii="宋体" w:hAnsi="宋体" w:cs="宋体"/>
                <w:color w:val="000000"/>
                <w:kern w:val="0"/>
                <w:szCs w:val="21"/>
              </w:rPr>
              <w:t>3.2</w:t>
            </w:r>
            <w:r>
              <w:rPr>
                <w:rFonts w:hint="eastAsia" w:ascii="宋体" w:hAnsi="宋体" w:cs="宋体"/>
                <w:color w:val="000000"/>
                <w:kern w:val="0"/>
                <w:szCs w:val="21"/>
              </w:rPr>
              <w:tab/>
            </w:r>
            <w:r>
              <w:rPr>
                <w:rFonts w:hint="eastAsia" w:ascii="宋体" w:hAnsi="宋体" w:cs="宋体"/>
                <w:color w:val="000000"/>
                <w:kern w:val="0"/>
                <w:szCs w:val="21"/>
              </w:rPr>
              <w:t>现场培训：投标人应提供现场技术培训，保证使用人员正常操作设备的各种功能。</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63" w:type="dxa"/>
            <w:vMerge w:val="continue"/>
            <w:vAlign w:val="center"/>
          </w:tcPr>
          <w:p>
            <w:pPr>
              <w:pageBreakBefore w:val="0"/>
              <w:topLinePunct w:val="0"/>
              <w:bidi w:val="0"/>
              <w:spacing w:line="360" w:lineRule="auto"/>
              <w:jc w:val="center"/>
              <w:rPr>
                <w:b/>
                <w:color w:val="000000"/>
                <w:szCs w:val="21"/>
              </w:rPr>
            </w:pPr>
          </w:p>
        </w:tc>
        <w:tc>
          <w:tcPr>
            <w:tcW w:w="1485" w:type="dxa"/>
            <w:vMerge w:val="continue"/>
            <w:vAlign w:val="center"/>
          </w:tcPr>
          <w:p>
            <w:pPr>
              <w:pageBreakBefore w:val="0"/>
              <w:topLinePunct w:val="0"/>
              <w:bidi w:val="0"/>
              <w:spacing w:line="360" w:lineRule="auto"/>
              <w:jc w:val="center"/>
              <w:rPr>
                <w:rFonts w:ascii="宋体" w:hAnsi="宋体"/>
                <w:b/>
                <w:color w:val="000000"/>
                <w:kern w:val="0"/>
                <w:szCs w:val="21"/>
              </w:rPr>
            </w:pPr>
          </w:p>
        </w:tc>
        <w:tc>
          <w:tcPr>
            <w:tcW w:w="7402" w:type="dxa"/>
          </w:tcPr>
          <w:p>
            <w:pPr>
              <w:pageBreakBefore w:val="0"/>
              <w:topLinePunct w:val="0"/>
              <w:bidi w:val="0"/>
              <w:spacing w:line="360" w:lineRule="auto"/>
              <w:outlineLvl w:val="0"/>
              <w:rPr>
                <w:rFonts w:ascii="宋体" w:hAnsi="宋体" w:cs="宋体"/>
                <w:color w:val="000000"/>
                <w:kern w:val="0"/>
                <w:szCs w:val="21"/>
              </w:rPr>
            </w:pPr>
            <w:bookmarkStart w:id="6" w:name="_Toc5679"/>
            <w:bookmarkStart w:id="7" w:name="_Toc10300"/>
            <w:bookmarkStart w:id="8" w:name="_Toc18137"/>
            <w:r>
              <w:rPr>
                <w:rFonts w:hint="eastAsia" w:ascii="宋体" w:hAnsi="宋体" w:cs="宋体"/>
                <w:color w:val="000000"/>
                <w:kern w:val="0"/>
                <w:szCs w:val="21"/>
              </w:rPr>
              <w:t>3.3</w:t>
            </w:r>
            <w:r>
              <w:rPr>
                <w:rFonts w:hint="eastAsia" w:ascii="宋体" w:hAnsi="宋体" w:cs="宋体"/>
                <w:color w:val="000000"/>
                <w:kern w:val="0"/>
                <w:szCs w:val="21"/>
              </w:rPr>
              <w:tab/>
            </w:r>
            <w:r>
              <w:rPr>
                <w:rFonts w:hint="eastAsia" w:ascii="宋体" w:hAnsi="宋体" w:cs="宋体"/>
                <w:color w:val="000000"/>
                <w:kern w:val="0"/>
                <w:szCs w:val="21"/>
              </w:rPr>
              <w:t>集中培训：根据设备技术要求，可向投标人提供使用和维修技术人员培训。</w:t>
            </w:r>
            <w:bookmarkEnd w:id="6"/>
            <w:bookmarkEnd w:id="7"/>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63" w:type="dxa"/>
            <w:vMerge w:val="continue"/>
            <w:vAlign w:val="center"/>
          </w:tcPr>
          <w:p>
            <w:pPr>
              <w:pageBreakBefore w:val="0"/>
              <w:topLinePunct w:val="0"/>
              <w:bidi w:val="0"/>
              <w:spacing w:line="360" w:lineRule="auto"/>
              <w:jc w:val="center"/>
              <w:rPr>
                <w:b/>
                <w:color w:val="000000"/>
                <w:szCs w:val="21"/>
              </w:rPr>
            </w:pPr>
          </w:p>
        </w:tc>
        <w:tc>
          <w:tcPr>
            <w:tcW w:w="1485" w:type="dxa"/>
            <w:vMerge w:val="continue"/>
            <w:vAlign w:val="center"/>
          </w:tcPr>
          <w:p>
            <w:pPr>
              <w:pageBreakBefore w:val="0"/>
              <w:topLinePunct w:val="0"/>
              <w:bidi w:val="0"/>
              <w:spacing w:line="360" w:lineRule="auto"/>
              <w:jc w:val="center"/>
              <w:rPr>
                <w:rFonts w:ascii="宋体" w:hAnsi="宋体"/>
                <w:b/>
                <w:color w:val="000000"/>
                <w:kern w:val="0"/>
                <w:szCs w:val="21"/>
              </w:rPr>
            </w:pPr>
          </w:p>
        </w:tc>
        <w:tc>
          <w:tcPr>
            <w:tcW w:w="7402" w:type="dxa"/>
          </w:tcPr>
          <w:p>
            <w:pPr>
              <w:pageBreakBefore w:val="0"/>
              <w:topLinePunct w:val="0"/>
              <w:bidi w:val="0"/>
              <w:spacing w:line="360" w:lineRule="auto"/>
              <w:outlineLvl w:val="0"/>
              <w:rPr>
                <w:rFonts w:ascii="宋体" w:hAnsi="宋体" w:cs="宋体"/>
                <w:color w:val="000000"/>
                <w:kern w:val="0"/>
                <w:szCs w:val="21"/>
              </w:rPr>
            </w:pPr>
            <w:bookmarkStart w:id="9" w:name="_Toc32757"/>
            <w:bookmarkStart w:id="10" w:name="_Toc13001"/>
            <w:bookmarkStart w:id="11" w:name="_Toc2809"/>
            <w:r>
              <w:rPr>
                <w:rFonts w:hint="eastAsia" w:ascii="宋体" w:hAnsi="宋体" w:cs="宋体"/>
                <w:color w:val="000000"/>
                <w:kern w:val="0"/>
                <w:szCs w:val="21"/>
              </w:rPr>
              <w:t>3.4</w:t>
            </w:r>
            <w:r>
              <w:rPr>
                <w:rFonts w:hint="eastAsia" w:ascii="宋体" w:hAnsi="宋体" w:cs="宋体"/>
                <w:color w:val="000000"/>
                <w:kern w:val="0"/>
                <w:szCs w:val="21"/>
              </w:rPr>
              <w:tab/>
            </w:r>
            <w:r>
              <w:rPr>
                <w:rFonts w:hint="eastAsia" w:ascii="宋体" w:hAnsi="宋体" w:cs="宋体"/>
                <w:color w:val="000000"/>
                <w:kern w:val="0"/>
                <w:szCs w:val="21"/>
              </w:rPr>
              <w:t>计算机辅助培训：针对该机型的多媒体互动操作教学软件，方便学习掌握基本操作和各项高级功能</w:t>
            </w:r>
            <w:bookmarkEnd w:id="9"/>
            <w:bookmarkEnd w:id="10"/>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963" w:type="dxa"/>
            <w:vMerge w:val="continue"/>
            <w:vAlign w:val="center"/>
          </w:tcPr>
          <w:p>
            <w:pPr>
              <w:pageBreakBefore w:val="0"/>
              <w:topLinePunct w:val="0"/>
              <w:bidi w:val="0"/>
              <w:spacing w:line="360" w:lineRule="auto"/>
              <w:jc w:val="center"/>
              <w:rPr>
                <w:b/>
                <w:color w:val="000000"/>
                <w:szCs w:val="21"/>
              </w:rPr>
            </w:pPr>
          </w:p>
        </w:tc>
        <w:tc>
          <w:tcPr>
            <w:tcW w:w="1485" w:type="dxa"/>
            <w:vMerge w:val="continue"/>
            <w:vAlign w:val="center"/>
          </w:tcPr>
          <w:p>
            <w:pPr>
              <w:pageBreakBefore w:val="0"/>
              <w:topLinePunct w:val="0"/>
              <w:bidi w:val="0"/>
              <w:spacing w:line="360" w:lineRule="auto"/>
              <w:jc w:val="center"/>
              <w:rPr>
                <w:rFonts w:ascii="宋体" w:hAnsi="宋体"/>
                <w:b/>
                <w:color w:val="000000"/>
                <w:kern w:val="0"/>
                <w:szCs w:val="21"/>
              </w:rPr>
            </w:pPr>
          </w:p>
        </w:tc>
        <w:tc>
          <w:tcPr>
            <w:tcW w:w="7402" w:type="dxa"/>
          </w:tcPr>
          <w:p>
            <w:pPr>
              <w:pageBreakBefore w:val="0"/>
              <w:topLinePunct w:val="0"/>
              <w:bidi w:val="0"/>
              <w:spacing w:line="360" w:lineRule="auto"/>
              <w:outlineLvl w:val="0"/>
              <w:rPr>
                <w:rFonts w:ascii="宋体" w:hAnsi="宋体" w:cs="宋体"/>
                <w:color w:val="000000"/>
                <w:kern w:val="0"/>
                <w:szCs w:val="21"/>
              </w:rPr>
            </w:pPr>
            <w:bookmarkStart w:id="12" w:name="_Toc2235"/>
            <w:bookmarkStart w:id="13" w:name="_Toc19236"/>
            <w:bookmarkStart w:id="14" w:name="_Toc8243"/>
            <w:r>
              <w:rPr>
                <w:rFonts w:hint="eastAsia" w:ascii="宋体" w:hAnsi="宋体" w:cs="宋体"/>
                <w:color w:val="000000"/>
                <w:kern w:val="0"/>
                <w:szCs w:val="21"/>
              </w:rPr>
              <w:t>3.5</w:t>
            </w:r>
            <w:r>
              <w:rPr>
                <w:rFonts w:hint="eastAsia" w:ascii="宋体" w:hAnsi="宋体" w:cs="宋体"/>
                <w:color w:val="000000"/>
                <w:kern w:val="0"/>
                <w:szCs w:val="21"/>
              </w:rPr>
              <w:tab/>
            </w:r>
            <w:r>
              <w:rPr>
                <w:rFonts w:hint="eastAsia" w:ascii="宋体" w:hAnsi="宋体" w:cs="宋体"/>
                <w:color w:val="000000"/>
                <w:kern w:val="0"/>
                <w:szCs w:val="21"/>
              </w:rPr>
              <w:t>网络教育：专业化产品俱乐部网站，提供与世界各地用户和专家进行网上交流和学习的平台，并随时了解最新的技术进展和各种教育课程、会议信息</w:t>
            </w:r>
            <w:bookmarkEnd w:id="12"/>
            <w:bookmarkEnd w:id="13"/>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63" w:type="dxa"/>
            <w:vMerge w:val="restart"/>
            <w:vAlign w:val="center"/>
          </w:tcPr>
          <w:p>
            <w:pPr>
              <w:pageBreakBefore w:val="0"/>
              <w:topLinePunct w:val="0"/>
              <w:bidi w:val="0"/>
              <w:spacing w:line="360" w:lineRule="auto"/>
              <w:jc w:val="center"/>
              <w:rPr>
                <w:rFonts w:ascii="宋体" w:hAnsi="宋体"/>
                <w:b/>
                <w:color w:val="000000"/>
                <w:kern w:val="0"/>
                <w:szCs w:val="21"/>
              </w:rPr>
            </w:pPr>
            <w:r>
              <w:rPr>
                <w:rFonts w:hint="eastAsia" w:ascii="宋体" w:hAnsi="宋体"/>
                <w:b/>
                <w:color w:val="000000"/>
                <w:kern w:val="0"/>
                <w:szCs w:val="21"/>
              </w:rPr>
              <w:t>4</w:t>
            </w:r>
          </w:p>
        </w:tc>
        <w:tc>
          <w:tcPr>
            <w:tcW w:w="1485" w:type="dxa"/>
            <w:vMerge w:val="restart"/>
            <w:vAlign w:val="center"/>
          </w:tcPr>
          <w:p>
            <w:pPr>
              <w:pageBreakBefore w:val="0"/>
              <w:tabs>
                <w:tab w:val="left" w:pos="1260"/>
              </w:tabs>
              <w:topLinePunct w:val="0"/>
              <w:bidi w:val="0"/>
              <w:spacing w:line="360" w:lineRule="auto"/>
              <w:jc w:val="center"/>
              <w:rPr>
                <w:rFonts w:ascii="宋体" w:hAnsi="宋体"/>
                <w:b/>
                <w:color w:val="000000"/>
                <w:kern w:val="0"/>
                <w:szCs w:val="21"/>
              </w:rPr>
            </w:pPr>
            <w:r>
              <w:rPr>
                <w:rFonts w:hint="eastAsia" w:ascii="宋体" w:hAnsi="宋体"/>
                <w:b/>
                <w:color w:val="000000"/>
                <w:kern w:val="0"/>
                <w:szCs w:val="21"/>
              </w:rPr>
              <w:t>知识产权</w:t>
            </w:r>
          </w:p>
        </w:tc>
        <w:tc>
          <w:tcPr>
            <w:tcW w:w="7402" w:type="dxa"/>
          </w:tcPr>
          <w:p>
            <w:pPr>
              <w:pageBreakBefore w:val="0"/>
              <w:tabs>
                <w:tab w:val="left" w:pos="1260"/>
              </w:tabs>
              <w:topLinePunct w:val="0"/>
              <w:bidi w:val="0"/>
              <w:spacing w:line="360" w:lineRule="auto"/>
              <w:rPr>
                <w:rFonts w:ascii="宋体" w:hAnsi="宋体"/>
                <w:color w:val="000000"/>
                <w:kern w:val="0"/>
                <w:szCs w:val="21"/>
              </w:rPr>
            </w:pPr>
            <w:r>
              <w:rPr>
                <w:rFonts w:hint="eastAsia" w:ascii="宋体" w:hAnsi="宋体"/>
                <w:color w:val="000000"/>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r>
              <w:rPr>
                <w:rFonts w:hint="eastAsia"/>
              </w:rPr>
              <w:t>若因为知识产权纠纷造成的一切损害赔偿及损失由投标人承担，包括但不限于实际损失、预期损失和对方要求赔偿损失及支出的律师费、交通费和差旅费等。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963" w:type="dxa"/>
            <w:vMerge w:val="continue"/>
            <w:vAlign w:val="center"/>
          </w:tcPr>
          <w:p>
            <w:pPr>
              <w:pageBreakBefore w:val="0"/>
              <w:topLinePunct w:val="0"/>
              <w:bidi w:val="0"/>
              <w:spacing w:line="360" w:lineRule="auto"/>
              <w:jc w:val="center"/>
              <w:rPr>
                <w:rFonts w:ascii="宋体" w:hAnsi="宋体"/>
                <w:b/>
                <w:color w:val="000000"/>
                <w:kern w:val="0"/>
                <w:szCs w:val="21"/>
              </w:rPr>
            </w:pPr>
          </w:p>
        </w:tc>
        <w:tc>
          <w:tcPr>
            <w:tcW w:w="1485" w:type="dxa"/>
            <w:vMerge w:val="continue"/>
            <w:vAlign w:val="center"/>
          </w:tcPr>
          <w:p>
            <w:pPr>
              <w:pageBreakBefore w:val="0"/>
              <w:topLinePunct w:val="0"/>
              <w:bidi w:val="0"/>
              <w:spacing w:line="360" w:lineRule="auto"/>
              <w:jc w:val="center"/>
              <w:rPr>
                <w:rFonts w:ascii="宋体" w:hAnsi="宋体"/>
                <w:b/>
                <w:color w:val="000000"/>
                <w:kern w:val="0"/>
                <w:szCs w:val="21"/>
              </w:rPr>
            </w:pPr>
          </w:p>
        </w:tc>
        <w:tc>
          <w:tcPr>
            <w:tcW w:w="7402" w:type="dxa"/>
          </w:tcPr>
          <w:p>
            <w:pPr>
              <w:pageBreakBefore w:val="0"/>
              <w:topLinePunct w:val="0"/>
              <w:bidi w:val="0"/>
              <w:spacing w:line="360" w:lineRule="auto"/>
              <w:rPr>
                <w:rFonts w:ascii="宋体" w:hAnsi="宋体"/>
                <w:color w:val="000000"/>
                <w:kern w:val="0"/>
                <w:szCs w:val="21"/>
              </w:rPr>
            </w:pPr>
            <w:r>
              <w:rPr>
                <w:rFonts w:hint="eastAsia" w:ascii="宋体" w:hAnsi="宋体"/>
                <w:color w:val="000000"/>
                <w:kern w:val="0"/>
                <w:szCs w:val="21"/>
              </w:rPr>
              <w:t>4.2采购人购买产品后，有权对该产品与其他设备进行配套、整合或适当改进，而免受侵犯专利权的起诉。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963" w:type="dxa"/>
            <w:vAlign w:val="center"/>
          </w:tcPr>
          <w:p>
            <w:pPr>
              <w:pageBreakBefore w:val="0"/>
              <w:topLinePunct w:val="0"/>
              <w:bidi w:val="0"/>
              <w:spacing w:line="360" w:lineRule="auto"/>
              <w:jc w:val="center"/>
              <w:rPr>
                <w:b/>
                <w:color w:val="000000"/>
                <w:szCs w:val="21"/>
              </w:rPr>
            </w:pPr>
            <w:r>
              <w:rPr>
                <w:rFonts w:hint="eastAsia"/>
                <w:b/>
                <w:color w:val="000000"/>
                <w:szCs w:val="21"/>
              </w:rPr>
              <w:t>5</w:t>
            </w:r>
          </w:p>
        </w:tc>
        <w:tc>
          <w:tcPr>
            <w:tcW w:w="1485" w:type="dxa"/>
            <w:vAlign w:val="center"/>
          </w:tcPr>
          <w:p>
            <w:pPr>
              <w:pageBreakBefore w:val="0"/>
              <w:topLinePunct w:val="0"/>
              <w:bidi w:val="0"/>
              <w:spacing w:line="360" w:lineRule="auto"/>
              <w:jc w:val="center"/>
              <w:rPr>
                <w:rFonts w:ascii="宋体" w:hAnsi="宋体"/>
                <w:b/>
                <w:bCs/>
                <w:color w:val="000000"/>
                <w:kern w:val="0"/>
                <w:szCs w:val="21"/>
              </w:rPr>
            </w:pPr>
            <w:r>
              <w:rPr>
                <w:rFonts w:hint="eastAsia" w:ascii="宋体" w:hAnsi="宋体"/>
                <w:b/>
                <w:bCs/>
                <w:color w:val="000000"/>
                <w:kern w:val="0"/>
                <w:szCs w:val="21"/>
              </w:rPr>
              <w:t>付款方式</w:t>
            </w:r>
          </w:p>
        </w:tc>
        <w:tc>
          <w:tcPr>
            <w:tcW w:w="7402" w:type="dxa"/>
          </w:tcPr>
          <w:p>
            <w:pPr>
              <w:pageBreakBefore w:val="0"/>
              <w:topLinePunct w:val="0"/>
              <w:bidi w:val="0"/>
              <w:spacing w:line="360" w:lineRule="auto"/>
              <w:rPr>
                <w:bCs/>
                <w:color w:val="000000"/>
                <w:szCs w:val="21"/>
              </w:rPr>
            </w:pPr>
            <w:r>
              <w:rPr>
                <w:rFonts w:hint="eastAsia" w:ascii="宋体" w:hAnsi="宋体" w:eastAsia="宋体" w:cs="宋体"/>
                <w:bCs/>
                <w:color w:val="auto"/>
                <w:kern w:val="0"/>
                <w:sz w:val="21"/>
                <w:szCs w:val="21"/>
              </w:rPr>
              <w:t>5.1</w:t>
            </w:r>
            <w:r>
              <w:rPr>
                <w:rFonts w:hint="eastAsia" w:ascii="宋体" w:hAnsi="宋体" w:eastAsia="宋体" w:cs="宋体"/>
                <w:bCs/>
                <w:color w:val="auto"/>
                <w:kern w:val="0"/>
                <w:sz w:val="21"/>
                <w:szCs w:val="21"/>
                <w:lang w:val="en-US" w:eastAsia="zh-CN"/>
              </w:rPr>
              <w:t>货到指定地点、验收合格并提供全额发票后，采购人即向投标人支付合同总价9</w:t>
            </w:r>
            <w:r>
              <w:rPr>
                <w:rFonts w:hint="eastAsia" w:ascii="宋体" w:hAnsi="宋体" w:cs="宋体"/>
                <w:bCs/>
                <w:color w:val="auto"/>
                <w:kern w:val="0"/>
                <w:sz w:val="21"/>
                <w:szCs w:val="21"/>
                <w:lang w:val="en-US" w:eastAsia="zh-CN"/>
              </w:rPr>
              <w:t>0</w:t>
            </w:r>
            <w:r>
              <w:rPr>
                <w:rFonts w:hint="eastAsia" w:ascii="宋体" w:hAnsi="宋体" w:eastAsia="宋体" w:cs="宋体"/>
                <w:bCs/>
                <w:color w:val="auto"/>
                <w:kern w:val="0"/>
                <w:sz w:val="21"/>
                <w:szCs w:val="21"/>
                <w:lang w:val="en-US" w:eastAsia="zh-CN"/>
              </w:rPr>
              <w:t>%款项，因投标人提供的设备质量问题或投标人不履行/不适当履行合同 义务而蒙受的损失，如投标人提供的设备质量出现问题或投标人不履行/不适当履行任何一项合同义务的，采购人有权直接从剩余款项中扣除相应违约金/损失赔偿款项。如果未发生设备质量问题或无投标人不履行或不适当履行合同义务的情况，投标人在合同设备免费保修期满</w:t>
            </w:r>
            <w:r>
              <w:rPr>
                <w:rFonts w:hint="eastAsia" w:ascii="宋体" w:hAnsi="宋体" w:cs="宋体"/>
                <w:bCs/>
                <w:color w:val="auto"/>
                <w:kern w:val="0"/>
                <w:sz w:val="21"/>
                <w:szCs w:val="21"/>
                <w:lang w:val="en-US" w:eastAsia="zh-CN"/>
              </w:rPr>
              <w:t>三年</w:t>
            </w:r>
            <w:r>
              <w:rPr>
                <w:rFonts w:hint="eastAsia" w:ascii="宋体" w:hAnsi="宋体" w:eastAsia="宋体" w:cs="宋体"/>
                <w:bCs/>
                <w:color w:val="auto"/>
                <w:kern w:val="0"/>
                <w:sz w:val="21"/>
                <w:szCs w:val="21"/>
                <w:lang w:val="en-US" w:eastAsia="zh-CN"/>
              </w:rPr>
              <w:t>后按照采购人的相关要求提出正式申请，采购人六十天内将合同总价</w:t>
            </w:r>
            <w:r>
              <w:rPr>
                <w:rFonts w:hint="eastAsia" w:ascii="宋体" w:hAnsi="宋体" w:cs="宋体"/>
                <w:bCs/>
                <w:color w:val="auto"/>
                <w:kern w:val="0"/>
                <w:sz w:val="21"/>
                <w:szCs w:val="21"/>
                <w:lang w:val="en-US" w:eastAsia="zh-CN"/>
              </w:rPr>
              <w:t>10</w:t>
            </w:r>
            <w:r>
              <w:rPr>
                <w:rFonts w:hint="eastAsia" w:ascii="宋体" w:hAnsi="宋体" w:eastAsia="宋体" w:cs="宋体"/>
                <w:bCs/>
                <w:color w:val="auto"/>
                <w:kern w:val="0"/>
                <w:sz w:val="21"/>
                <w:szCs w:val="21"/>
                <w:lang w:val="en-US" w:eastAsia="zh-CN"/>
              </w:rPr>
              <w:t>%款项支付给投标人。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63" w:type="dxa"/>
            <w:vMerge w:val="restart"/>
            <w:vAlign w:val="center"/>
          </w:tcPr>
          <w:p>
            <w:pPr>
              <w:pageBreakBefore w:val="0"/>
              <w:topLinePunct w:val="0"/>
              <w:bidi w:val="0"/>
              <w:spacing w:line="360" w:lineRule="auto"/>
              <w:jc w:val="center"/>
              <w:rPr>
                <w:b/>
                <w:color w:val="000000"/>
                <w:szCs w:val="21"/>
              </w:rPr>
            </w:pPr>
          </w:p>
        </w:tc>
        <w:tc>
          <w:tcPr>
            <w:tcW w:w="1485" w:type="dxa"/>
            <w:vMerge w:val="restart"/>
            <w:vAlign w:val="center"/>
          </w:tcPr>
          <w:p>
            <w:pPr>
              <w:pageBreakBefore w:val="0"/>
              <w:tabs>
                <w:tab w:val="left" w:pos="1260"/>
              </w:tabs>
              <w:topLinePunct w:val="0"/>
              <w:bidi w:val="0"/>
              <w:spacing w:line="360" w:lineRule="auto"/>
              <w:jc w:val="center"/>
              <w:rPr>
                <w:rFonts w:ascii="宋体" w:hAnsi="宋体"/>
                <w:b/>
                <w:color w:val="000000"/>
                <w:kern w:val="0"/>
                <w:szCs w:val="21"/>
              </w:rPr>
            </w:pPr>
          </w:p>
        </w:tc>
        <w:tc>
          <w:tcPr>
            <w:tcW w:w="7402" w:type="dxa"/>
          </w:tcPr>
          <w:p>
            <w:pPr>
              <w:pageBreakBefore w:val="0"/>
              <w:topLinePunct w:val="0"/>
              <w:bidi w:val="0"/>
              <w:spacing w:line="360" w:lineRule="auto"/>
              <w:rPr>
                <w:rFonts w:ascii="宋体" w:hAnsi="宋体"/>
                <w:bCs/>
                <w:color w:val="000000"/>
                <w:kern w:val="0"/>
                <w:szCs w:val="21"/>
              </w:rPr>
            </w:pPr>
            <w:r>
              <w:rPr>
                <w:rFonts w:hint="eastAsia" w:ascii="宋体" w:hAnsi="宋体"/>
                <w:bCs/>
                <w:color w:val="000000"/>
                <w:kern w:val="0"/>
                <w:szCs w:val="21"/>
              </w:rPr>
              <w:t>6.</w:t>
            </w:r>
            <w:r>
              <w:rPr>
                <w:rFonts w:hint="eastAsia" w:ascii="宋体" w:hAnsi="宋体"/>
                <w:bCs/>
                <w:color w:val="000000"/>
                <w:kern w:val="0"/>
                <w:szCs w:val="21"/>
                <w:lang w:val="en-US" w:eastAsia="zh-CN"/>
              </w:rPr>
              <w:t>1</w:t>
            </w:r>
            <w:r>
              <w:rPr>
                <w:rFonts w:hint="eastAsia" w:ascii="宋体" w:hAnsi="宋体"/>
                <w:bCs/>
                <w:color w:val="000000"/>
                <w:kern w:val="0"/>
                <w:szCs w:val="21"/>
              </w:rPr>
              <w:t xml:space="preserve"> 如投标人未按照投标文件中</w:t>
            </w:r>
            <w:r>
              <w:rPr>
                <w:rFonts w:hint="eastAsia" w:ascii="宋体" w:hAnsi="宋体"/>
                <w:bCs/>
                <w:color w:val="000000"/>
                <w:kern w:val="0"/>
                <w:szCs w:val="21"/>
                <w:lang w:eastAsia="zh-CN"/>
              </w:rPr>
              <w:t>保证</w:t>
            </w:r>
            <w:r>
              <w:rPr>
                <w:rFonts w:hint="eastAsia" w:ascii="宋体" w:hAnsi="宋体"/>
                <w:bCs/>
                <w:color w:val="000000"/>
                <w:kern w:val="0"/>
                <w:szCs w:val="21"/>
              </w:rPr>
              <w:t>的时间交货或提供服务，投标人应承担延期交货和延期服务的违约责任，向采购人每日偿付设备款</w:t>
            </w:r>
            <w:r>
              <w:rPr>
                <w:rFonts w:hint="eastAsia" w:ascii="宋体" w:hAnsi="宋体"/>
                <w:bCs/>
                <w:color w:val="000000"/>
                <w:kern w:val="0"/>
                <w:szCs w:val="21"/>
                <w:u w:val="single"/>
              </w:rPr>
              <w:t xml:space="preserve"> 0.5 </w:t>
            </w:r>
            <w:r>
              <w:rPr>
                <w:rFonts w:hint="eastAsia" w:ascii="宋体" w:hAnsi="宋体"/>
                <w:bCs/>
                <w:color w:val="000000"/>
                <w:kern w:val="0"/>
                <w:szCs w:val="21"/>
              </w:rPr>
              <w:t>%的违约金。逾期超过30日的，投标人需向采购人另行支付合同总价的</w:t>
            </w:r>
            <w:r>
              <w:rPr>
                <w:rFonts w:hint="eastAsia" w:ascii="宋体" w:hAnsi="宋体"/>
                <w:bCs/>
                <w:color w:val="000000"/>
                <w:kern w:val="0"/>
                <w:szCs w:val="21"/>
                <w:u w:val="single"/>
              </w:rPr>
              <w:t xml:space="preserve"> </w:t>
            </w:r>
            <w:r>
              <w:rPr>
                <w:rFonts w:hint="eastAsia" w:ascii="宋体" w:hAnsi="宋体"/>
                <w:color w:val="000000"/>
                <w:kern w:val="0"/>
                <w:szCs w:val="21"/>
                <w:u w:val="single"/>
              </w:rPr>
              <w:t xml:space="preserve">30 </w:t>
            </w:r>
            <w:r>
              <w:rPr>
                <w:rFonts w:hint="eastAsia" w:ascii="宋体" w:hAnsi="宋体"/>
                <w:color w:val="000000"/>
                <w:kern w:val="0"/>
                <w:szCs w:val="21"/>
              </w:rPr>
              <w:t>%</w:t>
            </w:r>
            <w:r>
              <w:rPr>
                <w:rFonts w:hint="eastAsia" w:ascii="宋体" w:hAnsi="宋体"/>
                <w:bCs/>
                <w:color w:val="000000"/>
                <w:kern w:val="0"/>
                <w:szCs w:val="21"/>
              </w:rPr>
              <w:t>的违约金，且采购人有权单方解除采购合同。另外，投标人赔偿采购人因此造成的实际经济损失。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963" w:type="dxa"/>
            <w:vMerge w:val="continue"/>
            <w:vAlign w:val="center"/>
          </w:tcPr>
          <w:p>
            <w:pPr>
              <w:pageBreakBefore w:val="0"/>
              <w:topLinePunct w:val="0"/>
              <w:bidi w:val="0"/>
              <w:spacing w:line="360" w:lineRule="auto"/>
              <w:jc w:val="center"/>
              <w:rPr>
                <w:b/>
                <w:color w:val="000000"/>
                <w:szCs w:val="21"/>
              </w:rPr>
            </w:pPr>
          </w:p>
        </w:tc>
        <w:tc>
          <w:tcPr>
            <w:tcW w:w="1485" w:type="dxa"/>
            <w:vMerge w:val="continue"/>
            <w:vAlign w:val="center"/>
          </w:tcPr>
          <w:p>
            <w:pPr>
              <w:pageBreakBefore w:val="0"/>
              <w:topLinePunct w:val="0"/>
              <w:bidi w:val="0"/>
              <w:spacing w:line="360" w:lineRule="auto"/>
              <w:jc w:val="center"/>
              <w:rPr>
                <w:rFonts w:ascii="仿宋_GB2312" w:hAnsi="宋体" w:eastAsia="仿宋_GB2312"/>
                <w:b/>
                <w:color w:val="000000"/>
                <w:kern w:val="0"/>
                <w:szCs w:val="21"/>
              </w:rPr>
            </w:pPr>
          </w:p>
        </w:tc>
        <w:tc>
          <w:tcPr>
            <w:tcW w:w="7402" w:type="dxa"/>
          </w:tcPr>
          <w:p>
            <w:pPr>
              <w:pageBreakBefore w:val="0"/>
              <w:topLinePunct w:val="0"/>
              <w:bidi w:val="0"/>
              <w:spacing w:line="360" w:lineRule="auto"/>
              <w:rPr>
                <w:rFonts w:ascii="宋体" w:hAnsi="宋体"/>
                <w:bCs/>
                <w:color w:val="000000"/>
                <w:kern w:val="0"/>
                <w:szCs w:val="21"/>
              </w:rPr>
            </w:pPr>
            <w:r>
              <w:rPr>
                <w:rFonts w:hint="eastAsia" w:ascii="宋体" w:hAnsi="宋体"/>
                <w:bCs/>
                <w:color w:val="000000"/>
                <w:kern w:val="0"/>
                <w:szCs w:val="21"/>
              </w:rPr>
              <w:t>6.</w:t>
            </w:r>
            <w:r>
              <w:rPr>
                <w:rFonts w:hint="eastAsia" w:ascii="宋体" w:hAnsi="宋体"/>
                <w:bCs/>
                <w:color w:val="000000"/>
                <w:kern w:val="0"/>
                <w:szCs w:val="21"/>
                <w:lang w:val="en-US" w:eastAsia="zh-CN"/>
              </w:rPr>
              <w:t>2</w:t>
            </w:r>
            <w:r>
              <w:rPr>
                <w:rFonts w:hint="eastAsia" w:ascii="宋体" w:hAnsi="宋体"/>
                <w:bCs/>
                <w:color w:val="000000"/>
                <w:kern w:val="0"/>
                <w:szCs w:val="21"/>
              </w:rPr>
              <w:t>投标人所交设备的品种、型号、规格、质量、功能、技术参数等方面不能实质性满足招标文件要约的，采购人有权拒绝收货，投标人向采购人偿付项目采购金额</w:t>
            </w:r>
            <w:r>
              <w:rPr>
                <w:rFonts w:hint="eastAsia" w:ascii="宋体" w:hAnsi="宋体"/>
                <w:bCs/>
                <w:color w:val="000000"/>
                <w:kern w:val="0"/>
                <w:szCs w:val="21"/>
                <w:u w:val="single"/>
              </w:rPr>
              <w:t xml:space="preserve"> </w:t>
            </w:r>
            <w:r>
              <w:rPr>
                <w:rFonts w:hint="eastAsia" w:ascii="宋体" w:hAnsi="宋体"/>
                <w:color w:val="000000"/>
                <w:kern w:val="0"/>
                <w:szCs w:val="21"/>
                <w:u w:val="single"/>
              </w:rPr>
              <w:t xml:space="preserve">30 </w:t>
            </w:r>
            <w:r>
              <w:rPr>
                <w:rFonts w:hint="eastAsia" w:ascii="宋体" w:hAnsi="宋体"/>
                <w:color w:val="000000"/>
                <w:kern w:val="0"/>
                <w:szCs w:val="21"/>
              </w:rPr>
              <w:t>%</w:t>
            </w:r>
            <w:r>
              <w:rPr>
                <w:rFonts w:hint="eastAsia" w:ascii="宋体" w:hAnsi="宋体"/>
                <w:bCs/>
                <w:color w:val="000000"/>
                <w:kern w:val="0"/>
                <w:szCs w:val="21"/>
              </w:rPr>
              <w:t>的违约金；造成严重后果的，根据《</w:t>
            </w:r>
            <w:r>
              <w:rPr>
                <w:rFonts w:ascii="宋体" w:hAnsi="宋体"/>
                <w:bCs/>
                <w:color w:val="000000"/>
                <w:kern w:val="0"/>
                <w:szCs w:val="21"/>
              </w:rPr>
              <w:t>深圳经济特区政府采购条例</w:t>
            </w:r>
            <w:r>
              <w:rPr>
                <w:rFonts w:hint="eastAsia" w:ascii="宋体" w:hAnsi="宋体"/>
                <w:bCs/>
                <w:color w:val="000000"/>
                <w:kern w:val="0"/>
                <w:szCs w:val="21"/>
              </w:rPr>
              <w:t>》第五十七条第（二）款规定，由主管部门对投标人进行处罚。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63" w:type="dxa"/>
            <w:vMerge w:val="continue"/>
            <w:vAlign w:val="center"/>
          </w:tcPr>
          <w:p>
            <w:pPr>
              <w:pageBreakBefore w:val="0"/>
              <w:topLinePunct w:val="0"/>
              <w:bidi w:val="0"/>
              <w:spacing w:line="360" w:lineRule="auto"/>
              <w:jc w:val="center"/>
              <w:rPr>
                <w:b/>
                <w:color w:val="000000"/>
                <w:szCs w:val="21"/>
              </w:rPr>
            </w:pPr>
          </w:p>
        </w:tc>
        <w:tc>
          <w:tcPr>
            <w:tcW w:w="1485" w:type="dxa"/>
            <w:vMerge w:val="continue"/>
            <w:vAlign w:val="center"/>
          </w:tcPr>
          <w:p>
            <w:pPr>
              <w:pageBreakBefore w:val="0"/>
              <w:topLinePunct w:val="0"/>
              <w:bidi w:val="0"/>
              <w:spacing w:line="360" w:lineRule="auto"/>
              <w:jc w:val="center"/>
              <w:rPr>
                <w:rFonts w:ascii="仿宋_GB2312" w:hAnsi="宋体" w:eastAsia="仿宋_GB2312"/>
                <w:b/>
                <w:color w:val="000000"/>
                <w:kern w:val="0"/>
                <w:szCs w:val="21"/>
              </w:rPr>
            </w:pPr>
          </w:p>
        </w:tc>
        <w:tc>
          <w:tcPr>
            <w:tcW w:w="7402" w:type="dxa"/>
          </w:tcPr>
          <w:p>
            <w:pPr>
              <w:pageBreakBefore w:val="0"/>
              <w:topLinePunct w:val="0"/>
              <w:bidi w:val="0"/>
              <w:spacing w:line="360" w:lineRule="auto"/>
              <w:rPr>
                <w:rFonts w:ascii="宋体" w:hAnsi="宋体"/>
                <w:bCs/>
                <w:color w:val="000000"/>
                <w:kern w:val="0"/>
                <w:szCs w:val="21"/>
              </w:rPr>
            </w:pPr>
            <w:r>
              <w:rPr>
                <w:rFonts w:hint="eastAsia" w:ascii="宋体" w:hAnsi="宋体"/>
                <w:bCs/>
                <w:color w:val="000000"/>
                <w:kern w:val="0"/>
                <w:szCs w:val="21"/>
              </w:rPr>
              <w:t>6.3 由于供应商的原因，在货到一周内未进行安装调试，或安装调试时间超过正常要求，按每超过一天罚款合同总额的</w:t>
            </w:r>
            <w:r>
              <w:rPr>
                <w:rFonts w:hint="eastAsia" w:ascii="宋体" w:hAnsi="宋体"/>
                <w:bCs/>
                <w:color w:val="000000"/>
                <w:kern w:val="0"/>
                <w:szCs w:val="21"/>
                <w:u w:val="single"/>
              </w:rPr>
              <w:t xml:space="preserve">0.5 </w:t>
            </w:r>
            <w:r>
              <w:rPr>
                <w:rFonts w:hint="eastAsia" w:ascii="宋体" w:hAnsi="宋体"/>
                <w:bCs/>
                <w:color w:val="000000"/>
                <w:kern w:val="0"/>
                <w:szCs w:val="21"/>
              </w:rPr>
              <w:t>%。情节严重者，将依法律程序对供应商进行索赔。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63" w:type="dxa"/>
            <w:vMerge w:val="continue"/>
            <w:vAlign w:val="center"/>
          </w:tcPr>
          <w:p>
            <w:pPr>
              <w:pageBreakBefore w:val="0"/>
              <w:topLinePunct w:val="0"/>
              <w:bidi w:val="0"/>
              <w:spacing w:line="360" w:lineRule="auto"/>
              <w:jc w:val="center"/>
              <w:rPr>
                <w:b/>
                <w:color w:val="000000"/>
                <w:szCs w:val="21"/>
              </w:rPr>
            </w:pPr>
          </w:p>
        </w:tc>
        <w:tc>
          <w:tcPr>
            <w:tcW w:w="1485" w:type="dxa"/>
            <w:vMerge w:val="continue"/>
            <w:vAlign w:val="center"/>
          </w:tcPr>
          <w:p>
            <w:pPr>
              <w:pageBreakBefore w:val="0"/>
              <w:topLinePunct w:val="0"/>
              <w:bidi w:val="0"/>
              <w:spacing w:line="360" w:lineRule="auto"/>
              <w:jc w:val="center"/>
              <w:rPr>
                <w:rFonts w:ascii="仿宋_GB2312" w:hAnsi="宋体" w:eastAsia="仿宋_GB2312"/>
                <w:b/>
                <w:color w:val="000000"/>
                <w:kern w:val="0"/>
                <w:szCs w:val="21"/>
              </w:rPr>
            </w:pPr>
          </w:p>
        </w:tc>
        <w:tc>
          <w:tcPr>
            <w:tcW w:w="7402" w:type="dxa"/>
          </w:tcPr>
          <w:p>
            <w:pPr>
              <w:pageBreakBefore w:val="0"/>
              <w:topLinePunct w:val="0"/>
              <w:bidi w:val="0"/>
              <w:spacing w:line="360" w:lineRule="auto"/>
              <w:rPr>
                <w:rFonts w:ascii="宋体" w:hAnsi="宋体"/>
                <w:bCs/>
                <w:color w:val="000000"/>
                <w:kern w:val="0"/>
                <w:szCs w:val="21"/>
              </w:rPr>
            </w:pPr>
            <w:r>
              <w:rPr>
                <w:rFonts w:hint="eastAsia" w:ascii="宋体" w:hAnsi="宋体"/>
                <w:bCs/>
                <w:color w:val="000000"/>
                <w:kern w:val="0"/>
                <w:szCs w:val="21"/>
              </w:rPr>
              <w:t>6.4违约金先从由投标人</w:t>
            </w:r>
            <w:r>
              <w:rPr>
                <w:rFonts w:hint="eastAsia" w:ascii="宋体" w:hAnsi="宋体"/>
                <w:color w:val="000000"/>
                <w:kern w:val="0"/>
                <w:szCs w:val="21"/>
                <w:lang w:val="en-US" w:eastAsia="zh-CN"/>
              </w:rPr>
              <w:t>货款</w:t>
            </w:r>
            <w:r>
              <w:rPr>
                <w:rFonts w:hint="eastAsia" w:ascii="宋体" w:hAnsi="宋体"/>
                <w:bCs/>
                <w:color w:val="000000"/>
                <w:kern w:val="0"/>
                <w:szCs w:val="21"/>
              </w:rPr>
              <w:t>中扣除，若有不足部分则由投标人补齐。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63" w:type="dxa"/>
            <w:vMerge w:val="continue"/>
            <w:vAlign w:val="center"/>
          </w:tcPr>
          <w:p>
            <w:pPr>
              <w:pageBreakBefore w:val="0"/>
              <w:topLinePunct w:val="0"/>
              <w:bidi w:val="0"/>
              <w:spacing w:line="360" w:lineRule="auto"/>
              <w:jc w:val="center"/>
              <w:rPr>
                <w:b/>
                <w:color w:val="000000"/>
                <w:szCs w:val="21"/>
              </w:rPr>
            </w:pPr>
          </w:p>
        </w:tc>
        <w:tc>
          <w:tcPr>
            <w:tcW w:w="1485" w:type="dxa"/>
            <w:vMerge w:val="continue"/>
            <w:vAlign w:val="center"/>
          </w:tcPr>
          <w:p>
            <w:pPr>
              <w:pageBreakBefore w:val="0"/>
              <w:topLinePunct w:val="0"/>
              <w:bidi w:val="0"/>
              <w:spacing w:line="360" w:lineRule="auto"/>
              <w:jc w:val="center"/>
              <w:rPr>
                <w:rFonts w:ascii="仿宋_GB2312" w:hAnsi="宋体" w:eastAsia="仿宋_GB2312"/>
                <w:b/>
                <w:color w:val="000000"/>
                <w:kern w:val="0"/>
                <w:szCs w:val="21"/>
              </w:rPr>
            </w:pPr>
          </w:p>
        </w:tc>
        <w:tc>
          <w:tcPr>
            <w:tcW w:w="7402" w:type="dxa"/>
          </w:tcPr>
          <w:p>
            <w:pPr>
              <w:pageBreakBefore w:val="0"/>
              <w:topLinePunct w:val="0"/>
              <w:bidi w:val="0"/>
              <w:spacing w:line="360" w:lineRule="auto"/>
              <w:rPr>
                <w:rFonts w:ascii="宋体" w:hAnsi="宋体"/>
                <w:bCs/>
                <w:color w:val="000000"/>
                <w:kern w:val="0"/>
                <w:szCs w:val="21"/>
              </w:rPr>
            </w:pPr>
            <w:r>
              <w:rPr>
                <w:rFonts w:hint="eastAsia" w:ascii="宋体" w:hAnsi="宋体"/>
                <w:bCs/>
                <w:color w:val="000000"/>
                <w:kern w:val="0"/>
                <w:szCs w:val="21"/>
              </w:rPr>
              <w:t>6.5在投标人</w:t>
            </w:r>
            <w:r>
              <w:rPr>
                <w:rFonts w:hint="eastAsia" w:ascii="宋体" w:hAnsi="宋体"/>
                <w:bCs/>
                <w:color w:val="000000"/>
                <w:kern w:val="0"/>
                <w:szCs w:val="21"/>
                <w:lang w:eastAsia="zh-CN"/>
              </w:rPr>
              <w:t>保证</w:t>
            </w:r>
            <w:r>
              <w:rPr>
                <w:rFonts w:hint="eastAsia" w:ascii="宋体" w:hAnsi="宋体"/>
                <w:bCs/>
                <w:color w:val="000000"/>
                <w:kern w:val="0"/>
                <w:szCs w:val="21"/>
              </w:rPr>
              <w:t>的质量保证期内，如经投标人两次维修或更换，货物仍不能达到合同约定的质量标准，采购人有权退货，投标人应退回全部货款并赔偿采购人因此遭受的损失。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63" w:type="dxa"/>
            <w:vMerge w:val="restart"/>
            <w:vAlign w:val="center"/>
          </w:tcPr>
          <w:p>
            <w:pPr>
              <w:pageBreakBefore w:val="0"/>
              <w:topLinePunct w:val="0"/>
              <w:bidi w:val="0"/>
              <w:spacing w:line="360" w:lineRule="auto"/>
              <w:jc w:val="center"/>
              <w:rPr>
                <w:b/>
                <w:color w:val="000000"/>
                <w:szCs w:val="21"/>
              </w:rPr>
            </w:pPr>
            <w:r>
              <w:rPr>
                <w:rFonts w:hint="eastAsia"/>
                <w:b/>
                <w:color w:val="000000"/>
                <w:szCs w:val="21"/>
              </w:rPr>
              <w:t>7</w:t>
            </w:r>
          </w:p>
        </w:tc>
        <w:tc>
          <w:tcPr>
            <w:tcW w:w="1485" w:type="dxa"/>
            <w:vMerge w:val="restart"/>
            <w:vAlign w:val="center"/>
          </w:tcPr>
          <w:p>
            <w:pPr>
              <w:pageBreakBefore w:val="0"/>
              <w:topLinePunct w:val="0"/>
              <w:bidi w:val="0"/>
              <w:spacing w:line="360" w:lineRule="auto"/>
              <w:jc w:val="center"/>
              <w:rPr>
                <w:rFonts w:ascii="宋体" w:hAnsi="宋体"/>
                <w:b/>
                <w:color w:val="000000"/>
                <w:kern w:val="0"/>
                <w:szCs w:val="21"/>
              </w:rPr>
            </w:pPr>
            <w:r>
              <w:rPr>
                <w:rFonts w:hint="eastAsia" w:ascii="宋体" w:hAnsi="宋体"/>
                <w:b/>
                <w:color w:val="000000"/>
                <w:kern w:val="0"/>
                <w:szCs w:val="21"/>
              </w:rPr>
              <w:t>其他</w:t>
            </w:r>
          </w:p>
        </w:tc>
        <w:tc>
          <w:tcPr>
            <w:tcW w:w="7402" w:type="dxa"/>
            <w:vAlign w:val="center"/>
          </w:tcPr>
          <w:p>
            <w:pPr>
              <w:pageBreakBefore w:val="0"/>
              <w:topLinePunct w:val="0"/>
              <w:bidi w:val="0"/>
              <w:spacing w:line="360" w:lineRule="auto"/>
              <w:rPr>
                <w:rFonts w:ascii="宋体" w:hAnsi="宋体" w:cs="宋体"/>
                <w:color w:val="000000"/>
                <w:kern w:val="0"/>
                <w:szCs w:val="21"/>
              </w:rPr>
            </w:pPr>
            <w:r>
              <w:rPr>
                <w:rFonts w:hint="eastAsia" w:ascii="宋体" w:hAnsi="宋体"/>
                <w:bCs/>
                <w:color w:val="000000"/>
                <w:szCs w:val="21"/>
              </w:rPr>
              <w:t xml:space="preserve">7.1 </w:t>
            </w:r>
            <w:r>
              <w:rPr>
                <w:rFonts w:hint="eastAsia"/>
                <w:bCs/>
                <w:color w:val="000000"/>
                <w:szCs w:val="21"/>
              </w:rPr>
              <w:t>投标人应按其投标文件中的</w:t>
            </w:r>
            <w:r>
              <w:rPr>
                <w:rFonts w:hint="eastAsia"/>
                <w:bCs/>
                <w:color w:val="000000"/>
                <w:szCs w:val="21"/>
                <w:lang w:eastAsia="zh-CN"/>
              </w:rPr>
              <w:t>保证</w:t>
            </w:r>
            <w:r>
              <w:rPr>
                <w:rFonts w:hint="eastAsia"/>
                <w:bCs/>
                <w:color w:val="000000"/>
                <w:szCs w:val="21"/>
              </w:rPr>
              <w:t>，进行其他售后服务工作。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63" w:type="dxa"/>
            <w:vMerge w:val="continue"/>
            <w:vAlign w:val="center"/>
          </w:tcPr>
          <w:p>
            <w:pPr>
              <w:pageBreakBefore w:val="0"/>
              <w:topLinePunct w:val="0"/>
              <w:bidi w:val="0"/>
              <w:spacing w:line="360" w:lineRule="auto"/>
              <w:jc w:val="center"/>
              <w:rPr>
                <w:rFonts w:hint="eastAsia"/>
                <w:b/>
                <w:color w:val="000000"/>
                <w:szCs w:val="21"/>
              </w:rPr>
            </w:pPr>
          </w:p>
        </w:tc>
        <w:tc>
          <w:tcPr>
            <w:tcW w:w="1485" w:type="dxa"/>
            <w:vMerge w:val="continue"/>
            <w:vAlign w:val="center"/>
          </w:tcPr>
          <w:p>
            <w:pPr>
              <w:pageBreakBefore w:val="0"/>
              <w:topLinePunct w:val="0"/>
              <w:bidi w:val="0"/>
              <w:spacing w:line="360" w:lineRule="auto"/>
              <w:jc w:val="center"/>
              <w:rPr>
                <w:rFonts w:hint="eastAsia" w:ascii="宋体" w:hAnsi="宋体"/>
                <w:b/>
                <w:color w:val="000000"/>
                <w:kern w:val="0"/>
                <w:szCs w:val="21"/>
              </w:rPr>
            </w:pPr>
          </w:p>
        </w:tc>
        <w:tc>
          <w:tcPr>
            <w:tcW w:w="7402" w:type="dxa"/>
            <w:vAlign w:val="center"/>
          </w:tcPr>
          <w:p>
            <w:pPr>
              <w:pageBreakBefore w:val="0"/>
              <w:topLinePunct w:val="0"/>
              <w:bidi w:val="0"/>
              <w:spacing w:line="360" w:lineRule="auto"/>
              <w:rPr>
                <w:rFonts w:hint="eastAsia" w:ascii="宋体" w:hAnsi="宋体"/>
                <w:bCs/>
                <w:color w:val="000000"/>
                <w:szCs w:val="21"/>
              </w:rPr>
            </w:pPr>
            <w:r>
              <w:rPr>
                <w:rFonts w:hint="eastAsia" w:ascii="宋体" w:hAnsi="宋体" w:cs="宋体"/>
                <w:color w:val="000000"/>
                <w:kern w:val="0"/>
                <w:szCs w:val="21"/>
              </w:rPr>
              <w:t>7.2.每年维保服务期结束后，厂家或其指定维保服务商应向采购人提交年度服务总结报告，报告内容包括但不限于维修情况、PM情况、设备运行情况分析、维保成本分析、设备存在问题及建议等。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63" w:type="dxa"/>
            <w:vMerge w:val="continue"/>
            <w:vAlign w:val="center"/>
          </w:tcPr>
          <w:p>
            <w:pPr>
              <w:pageBreakBefore w:val="0"/>
              <w:topLinePunct w:val="0"/>
              <w:bidi w:val="0"/>
              <w:spacing w:line="360" w:lineRule="auto"/>
              <w:jc w:val="center"/>
              <w:rPr>
                <w:b/>
                <w:color w:val="000000"/>
                <w:szCs w:val="21"/>
              </w:rPr>
            </w:pPr>
          </w:p>
        </w:tc>
        <w:tc>
          <w:tcPr>
            <w:tcW w:w="1485" w:type="dxa"/>
            <w:vMerge w:val="continue"/>
            <w:vAlign w:val="center"/>
          </w:tcPr>
          <w:p>
            <w:pPr>
              <w:pageBreakBefore w:val="0"/>
              <w:topLinePunct w:val="0"/>
              <w:bidi w:val="0"/>
              <w:spacing w:line="360" w:lineRule="auto"/>
              <w:jc w:val="center"/>
              <w:rPr>
                <w:rFonts w:ascii="宋体" w:hAnsi="宋体"/>
                <w:b/>
                <w:color w:val="000000"/>
                <w:kern w:val="0"/>
                <w:szCs w:val="21"/>
              </w:rPr>
            </w:pPr>
          </w:p>
        </w:tc>
        <w:tc>
          <w:tcPr>
            <w:tcW w:w="7402" w:type="dxa"/>
            <w:vAlign w:val="center"/>
          </w:tcPr>
          <w:p>
            <w:pPr>
              <w:pageBreakBefore w:val="0"/>
              <w:topLinePunct w:val="0"/>
              <w:bidi w:val="0"/>
              <w:spacing w:line="360" w:lineRule="auto"/>
              <w:jc w:val="left"/>
              <w:rPr>
                <w:rFonts w:ascii="宋体" w:hAnsi="宋体" w:cs="宋体"/>
                <w:color w:val="000000"/>
                <w:kern w:val="0"/>
                <w:szCs w:val="21"/>
              </w:rPr>
            </w:pPr>
            <w:r>
              <w:rPr>
                <w:rFonts w:hint="eastAsia" w:ascii="宋体" w:hAnsi="宋体"/>
                <w:szCs w:val="21"/>
                <w:lang w:val="en-US" w:eastAsia="zh-CN"/>
              </w:rPr>
              <w:t>7.3.</w:t>
            </w:r>
            <w:r>
              <w:rPr>
                <w:rFonts w:hint="eastAsia" w:ascii="宋体" w:hAnsi="宋体"/>
                <w:szCs w:val="21"/>
              </w:rPr>
              <w:t>本项目预算控制总金额为人民币</w:t>
            </w:r>
            <w:r>
              <w:rPr>
                <w:rFonts w:hint="eastAsia" w:ascii="宋体" w:hAnsi="宋体"/>
                <w:szCs w:val="21"/>
                <w:lang w:val="en-US" w:eastAsia="zh-CN"/>
              </w:rPr>
              <w:t>捌万叁仟</w:t>
            </w:r>
            <w:r>
              <w:rPr>
                <w:rFonts w:hint="eastAsia" w:ascii="宋体" w:hAnsi="宋体"/>
                <w:szCs w:val="21"/>
                <w:highlight w:val="none"/>
                <w:lang w:val="en-US" w:eastAsia="zh-CN"/>
              </w:rPr>
              <w:t>元</w:t>
            </w:r>
            <w:r>
              <w:rPr>
                <w:rFonts w:hint="eastAsia" w:ascii="宋体" w:hAnsi="宋体"/>
                <w:szCs w:val="21"/>
                <w:highlight w:val="none"/>
              </w:rPr>
              <w:t>整（¥</w:t>
            </w:r>
            <w:r>
              <w:rPr>
                <w:rFonts w:hint="eastAsia" w:ascii="宋体" w:hAnsi="宋体"/>
                <w:szCs w:val="21"/>
                <w:highlight w:val="none"/>
                <w:lang w:val="en-US" w:eastAsia="zh-CN"/>
              </w:rPr>
              <w:t>83000</w:t>
            </w:r>
            <w:r>
              <w:rPr>
                <w:rFonts w:hint="eastAsia" w:ascii="宋体" w:hAnsi="宋体"/>
                <w:szCs w:val="21"/>
                <w:highlight w:val="none"/>
              </w:rPr>
              <w:t>.00）</w:t>
            </w:r>
            <w:r>
              <w:rPr>
                <w:rFonts w:hint="eastAsia" w:ascii="宋体" w:hAnsi="宋体"/>
                <w:szCs w:val="21"/>
              </w:rPr>
              <w:t>，超过本预算控制总金额及货物需求表中列明的条目控制单价和总价的投标报价将作废标处理。</w:t>
            </w:r>
          </w:p>
        </w:tc>
      </w:tr>
    </w:tbl>
    <w:p>
      <w:pPr>
        <w:numPr>
          <w:ilvl w:val="0"/>
          <w:numId w:val="0"/>
        </w:numPr>
      </w:pPr>
    </w:p>
    <w:p>
      <w:pPr>
        <w:spacing w:line="360" w:lineRule="auto"/>
        <w:ind w:firstLine="640" w:firstLineChars="200"/>
        <w:rPr>
          <w:rFonts w:hint="default" w:ascii="黑体" w:hAnsi="黑体" w:eastAsia="黑体" w:cs="仿宋"/>
          <w:color w:val="000000"/>
          <w:sz w:val="32"/>
          <w:szCs w:val="32"/>
          <w:lang w:val="en-US" w:eastAsia="zh-CN"/>
        </w:rPr>
      </w:pPr>
      <w:r>
        <w:rPr>
          <w:rFonts w:hint="eastAsia" w:ascii="黑体" w:hAnsi="黑体" w:eastAsia="黑体" w:cs="仿宋"/>
          <w:color w:val="000000"/>
          <w:sz w:val="32"/>
          <w:szCs w:val="32"/>
          <w:lang w:val="en-US" w:eastAsia="zh-CN"/>
        </w:rPr>
        <w:t>六</w:t>
      </w:r>
      <w:r>
        <w:rPr>
          <w:rFonts w:hint="eastAsia" w:ascii="黑体" w:hAnsi="黑体" w:eastAsia="黑体" w:cs="仿宋"/>
          <w:color w:val="000000"/>
          <w:sz w:val="32"/>
          <w:szCs w:val="32"/>
        </w:rPr>
        <w:t>、投标人需提供的资料</w:t>
      </w:r>
      <w:r>
        <w:rPr>
          <w:rFonts w:hint="eastAsia" w:ascii="黑体" w:hAnsi="黑体" w:eastAsia="黑体" w:cs="仿宋"/>
          <w:color w:val="000000"/>
          <w:sz w:val="32"/>
          <w:szCs w:val="32"/>
          <w:lang w:eastAsia="zh-CN"/>
        </w:rPr>
        <w:t>（</w:t>
      </w:r>
      <w:r>
        <w:rPr>
          <w:rFonts w:hint="eastAsia" w:ascii="黑体" w:hAnsi="黑体" w:eastAsia="黑体" w:cs="仿宋"/>
          <w:color w:val="000000"/>
          <w:sz w:val="32"/>
          <w:szCs w:val="32"/>
          <w:lang w:val="en-US" w:eastAsia="zh-CN"/>
        </w:rPr>
        <w:t>点击下载附件《中山七院  显微镜采购 项目采购需求）</w:t>
      </w:r>
      <w:bookmarkStart w:id="32" w:name="_GoBack"/>
      <w:bookmarkEnd w:id="32"/>
    </w:p>
    <w:p>
      <w:pPr>
        <w:widowControl/>
        <w:numPr>
          <w:ilvl w:val="0"/>
          <w:numId w:val="8"/>
        </w:numPr>
        <w:shd w:val="clear" w:color="auto" w:fill="FFFFFF"/>
        <w:spacing w:line="360" w:lineRule="auto"/>
        <w:ind w:left="845" w:leftChars="0" w:hanging="425" w:firstLineChars="0"/>
        <w:jc w:val="left"/>
        <w:rPr>
          <w:rFonts w:ascii="宋体" w:hAnsi="宋体" w:cs="宋体"/>
          <w:color w:val="2C436F"/>
          <w:kern w:val="0"/>
          <w:sz w:val="17"/>
          <w:szCs w:val="17"/>
        </w:rPr>
      </w:pPr>
      <w:r>
        <w:rPr>
          <w:rFonts w:hint="eastAsia" w:ascii="宋体" w:hAnsi="宋体" w:cs="宋体"/>
          <w:color w:val="333333"/>
          <w:kern w:val="0"/>
          <w:sz w:val="24"/>
          <w:szCs w:val="24"/>
        </w:rPr>
        <w:t>投标人法定代表人证明书原件</w:t>
      </w:r>
    </w:p>
    <w:p>
      <w:pPr>
        <w:widowControl/>
        <w:numPr>
          <w:ilvl w:val="0"/>
          <w:numId w:val="8"/>
        </w:numPr>
        <w:shd w:val="clear" w:color="auto" w:fill="FFFFFF"/>
        <w:spacing w:line="360" w:lineRule="auto"/>
        <w:ind w:left="845" w:leftChars="0" w:hanging="425" w:firstLineChars="0"/>
        <w:jc w:val="left"/>
        <w:rPr>
          <w:rFonts w:ascii="宋体" w:hAnsi="宋体" w:cs="宋体"/>
          <w:color w:val="333333"/>
          <w:kern w:val="0"/>
          <w:sz w:val="24"/>
          <w:szCs w:val="24"/>
        </w:rPr>
      </w:pPr>
      <w:r>
        <w:rPr>
          <w:rFonts w:hint="eastAsia" w:ascii="宋体" w:hAnsi="宋体" w:cs="宋体"/>
          <w:color w:val="333333"/>
          <w:kern w:val="0"/>
          <w:sz w:val="24"/>
          <w:szCs w:val="24"/>
        </w:rPr>
        <w:t>投标文件签署授权委托书原件、授权代表身份证复印件</w:t>
      </w:r>
    </w:p>
    <w:p>
      <w:pPr>
        <w:widowControl/>
        <w:numPr>
          <w:ilvl w:val="0"/>
          <w:numId w:val="8"/>
        </w:numPr>
        <w:shd w:val="clear" w:color="auto" w:fill="FFFFFF"/>
        <w:spacing w:line="360" w:lineRule="auto"/>
        <w:ind w:left="845" w:leftChars="0" w:hanging="425" w:firstLineChars="0"/>
        <w:jc w:val="left"/>
        <w:rPr>
          <w:rFonts w:hint="eastAsia" w:ascii="宋体" w:hAnsi="宋体" w:cs="宋体"/>
          <w:color w:val="333333"/>
          <w:kern w:val="0"/>
          <w:sz w:val="24"/>
          <w:szCs w:val="24"/>
        </w:rPr>
      </w:pPr>
      <w:r>
        <w:rPr>
          <w:rFonts w:hint="eastAsia" w:ascii="宋体" w:hAnsi="宋体" w:cs="宋体"/>
          <w:color w:val="333333"/>
          <w:kern w:val="0"/>
          <w:sz w:val="24"/>
          <w:szCs w:val="24"/>
        </w:rPr>
        <w:t>企业营业执照（具备相关经营范围）复印件</w:t>
      </w:r>
    </w:p>
    <w:p>
      <w:pPr>
        <w:widowControl/>
        <w:numPr>
          <w:ilvl w:val="0"/>
          <w:numId w:val="8"/>
        </w:numPr>
        <w:shd w:val="clear" w:color="auto" w:fill="FFFFFF"/>
        <w:spacing w:line="360" w:lineRule="auto"/>
        <w:ind w:left="845" w:leftChars="0" w:hanging="425" w:firstLineChars="0"/>
        <w:jc w:val="left"/>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投标人若为经营企业：所投产品为第二类医疗器械的，提供食品药品监督管理部门签发的涵盖所投报医疗器械的《医疗器械经营备案凭证》(有效期内) 扫描件，原件备查；所投产品为第三类医疗器械的，提供食品药品监督管理部门签发的涵盖所投报医疗器械的《医疗器械经营许可证》(有效期内) 扫描件，原件备查；如所投产品不属于医疗器械，则无需提供以上资质，但需提供该产品不属于医疗器械相关证明文件（如国家药品监督管理局相关证明等）；</w:t>
      </w:r>
    </w:p>
    <w:p>
      <w:pPr>
        <w:widowControl/>
        <w:numPr>
          <w:ilvl w:val="0"/>
          <w:numId w:val="8"/>
        </w:numPr>
        <w:shd w:val="clear" w:color="auto" w:fill="FFFFFF"/>
        <w:spacing w:line="360" w:lineRule="auto"/>
        <w:ind w:left="845" w:leftChars="0" w:hanging="425" w:firstLineChars="0"/>
        <w:jc w:val="left"/>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投标人所投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 扫描件，原件备查；如所投产品不属于医疗器械，则无需提供以上资质，但需提供该产品不属于医疗器械相关证明文件（如国家药品监督管理局相关证明等）；</w:t>
      </w:r>
    </w:p>
    <w:p>
      <w:pPr>
        <w:widowControl/>
        <w:numPr>
          <w:ilvl w:val="0"/>
          <w:numId w:val="8"/>
        </w:numPr>
        <w:shd w:val="clear" w:color="auto" w:fill="FFFFFF"/>
        <w:spacing w:line="360" w:lineRule="auto"/>
        <w:ind w:left="845" w:leftChars="0" w:hanging="425" w:firstLineChars="0"/>
        <w:jc w:val="left"/>
        <w:rPr>
          <w:rFonts w:ascii="宋体" w:hAnsi="宋体" w:cs="宋体"/>
          <w:color w:val="333333"/>
          <w:kern w:val="0"/>
          <w:sz w:val="24"/>
          <w:szCs w:val="24"/>
        </w:rPr>
      </w:pPr>
      <w:r>
        <w:rPr>
          <w:rFonts w:hint="eastAsia" w:ascii="宋体" w:hAnsi="宋体" w:cs="宋体"/>
          <w:color w:val="333333"/>
          <w:kern w:val="0"/>
          <w:sz w:val="24"/>
          <w:szCs w:val="24"/>
        </w:rPr>
        <w:t>代理授权书（如非生产厂家直销）</w:t>
      </w:r>
    </w:p>
    <w:p>
      <w:pPr>
        <w:widowControl/>
        <w:numPr>
          <w:ilvl w:val="0"/>
          <w:numId w:val="8"/>
        </w:numPr>
        <w:shd w:val="clear" w:color="auto" w:fill="FFFFFF"/>
        <w:spacing w:line="360" w:lineRule="auto"/>
        <w:ind w:left="845" w:leftChars="0" w:hanging="425"/>
        <w:jc w:val="left"/>
        <w:rPr>
          <w:rFonts w:ascii="宋体" w:hAnsi="宋体" w:cs="宋体"/>
          <w:color w:val="2C436F"/>
          <w:kern w:val="0"/>
          <w:sz w:val="17"/>
          <w:szCs w:val="17"/>
        </w:rPr>
      </w:pPr>
      <w:r>
        <w:rPr>
          <w:rFonts w:hint="eastAsia" w:ascii="宋体" w:hAnsi="宋体" w:cs="宋体"/>
          <w:color w:val="333333"/>
          <w:kern w:val="0"/>
          <w:sz w:val="24"/>
          <w:szCs w:val="24"/>
        </w:rPr>
        <w:t>报价表</w:t>
      </w:r>
    </w:p>
    <w:p>
      <w:pPr>
        <w:widowControl/>
        <w:numPr>
          <w:ilvl w:val="0"/>
          <w:numId w:val="8"/>
        </w:numPr>
        <w:shd w:val="clear" w:color="auto" w:fill="FFFFFF"/>
        <w:spacing w:line="360" w:lineRule="auto"/>
        <w:ind w:left="845" w:leftChars="0" w:hanging="425"/>
        <w:jc w:val="left"/>
        <w:rPr>
          <w:rFonts w:hint="eastAsia" w:ascii="宋体" w:hAnsi="宋体" w:cs="宋体"/>
          <w:color w:val="333333"/>
          <w:kern w:val="0"/>
          <w:sz w:val="24"/>
          <w:szCs w:val="24"/>
        </w:rPr>
      </w:pPr>
      <w:r>
        <w:rPr>
          <w:rFonts w:hint="eastAsia" w:ascii="宋体" w:hAnsi="宋体" w:cs="宋体"/>
          <w:color w:val="333333"/>
          <w:kern w:val="0"/>
          <w:sz w:val="24"/>
          <w:szCs w:val="24"/>
        </w:rPr>
        <w:t>公司简介及联系方式</w:t>
      </w:r>
    </w:p>
    <w:p>
      <w:pPr>
        <w:widowControl/>
        <w:numPr>
          <w:ilvl w:val="0"/>
          <w:numId w:val="8"/>
        </w:numPr>
        <w:shd w:val="clear" w:color="auto" w:fill="FFFFFF"/>
        <w:spacing w:line="360" w:lineRule="auto"/>
        <w:ind w:left="845" w:leftChars="0" w:hanging="425"/>
        <w:jc w:val="left"/>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技术需求响应偏离表</w:t>
      </w:r>
    </w:p>
    <w:p>
      <w:pPr>
        <w:widowControl/>
        <w:numPr>
          <w:ilvl w:val="0"/>
          <w:numId w:val="8"/>
        </w:numPr>
        <w:shd w:val="clear" w:color="auto" w:fill="FFFFFF"/>
        <w:spacing w:line="360" w:lineRule="auto"/>
        <w:ind w:left="845" w:leftChars="0" w:hanging="425"/>
        <w:jc w:val="left"/>
        <w:rPr>
          <w:rFonts w:ascii="宋体" w:hAnsi="宋体" w:cs="宋体"/>
          <w:color w:val="333333"/>
          <w:kern w:val="0"/>
          <w:sz w:val="24"/>
          <w:szCs w:val="24"/>
        </w:rPr>
      </w:pPr>
      <w:r>
        <w:rPr>
          <w:rFonts w:hint="eastAsia" w:ascii="宋体" w:hAnsi="宋体" w:cs="宋体"/>
          <w:color w:val="333333"/>
          <w:kern w:val="0"/>
          <w:sz w:val="24"/>
          <w:szCs w:val="24"/>
          <w:lang w:val="en-US" w:eastAsia="zh-CN"/>
        </w:rPr>
        <w:t>商务需求响应偏离表</w:t>
      </w:r>
    </w:p>
    <w:p>
      <w:pPr>
        <w:widowControl/>
        <w:numPr>
          <w:ilvl w:val="0"/>
          <w:numId w:val="8"/>
        </w:numPr>
        <w:shd w:val="clear" w:color="auto" w:fill="FFFFFF"/>
        <w:spacing w:line="360" w:lineRule="auto"/>
        <w:ind w:left="845" w:leftChars="0" w:hanging="425"/>
        <w:jc w:val="left"/>
        <w:rPr>
          <w:rFonts w:ascii="宋体" w:hAnsi="宋体" w:cs="宋体"/>
          <w:color w:val="2C436F"/>
          <w:kern w:val="0"/>
          <w:sz w:val="17"/>
          <w:szCs w:val="17"/>
        </w:rPr>
      </w:pPr>
      <w:r>
        <w:rPr>
          <w:rFonts w:hint="eastAsia" w:ascii="宋体" w:hAnsi="宋体" w:cs="宋体"/>
          <w:color w:val="333333"/>
          <w:kern w:val="0"/>
          <w:sz w:val="24"/>
          <w:szCs w:val="24"/>
        </w:rPr>
        <w:t>三年内参加政府采购活动中没有重大的违法、违规或其他不良纪录承诺函（格式不限）。</w:t>
      </w:r>
    </w:p>
    <w:p>
      <w:pPr>
        <w:widowControl/>
        <w:shd w:val="clear" w:color="auto" w:fill="FFFFFF"/>
        <w:spacing w:line="360" w:lineRule="auto"/>
        <w:ind w:left="477" w:leftChars="227"/>
        <w:jc w:val="left"/>
        <w:rPr>
          <w:rFonts w:ascii="宋体" w:hAnsi="宋体" w:cs="宋体"/>
          <w:b/>
          <w:color w:val="333333"/>
          <w:kern w:val="0"/>
          <w:sz w:val="24"/>
          <w:szCs w:val="24"/>
        </w:rPr>
      </w:pPr>
      <w:r>
        <w:rPr>
          <w:rFonts w:hint="eastAsia" w:ascii="宋体" w:hAnsi="宋体" w:cs="宋体"/>
          <w:b/>
          <w:color w:val="333333"/>
          <w:kern w:val="0"/>
          <w:sz w:val="24"/>
          <w:szCs w:val="24"/>
        </w:rPr>
        <w:t>注：以上提交的资料均需加盖投标人公章。</w:t>
      </w:r>
    </w:p>
    <w:p>
      <w:pPr>
        <w:widowControl/>
        <w:shd w:val="clear" w:color="auto" w:fill="FFFFFF"/>
        <w:spacing w:line="360" w:lineRule="auto"/>
        <w:ind w:left="477" w:leftChars="227"/>
        <w:jc w:val="left"/>
        <w:rPr>
          <w:rFonts w:ascii="宋体" w:hAnsi="宋体" w:cs="宋体"/>
          <w:color w:val="2C436F"/>
          <w:kern w:val="0"/>
          <w:sz w:val="17"/>
          <w:szCs w:val="17"/>
        </w:rPr>
      </w:pPr>
      <w:r>
        <w:rPr>
          <w:rFonts w:hint="eastAsia" w:ascii="宋体" w:hAnsi="宋体" w:cs="宋体"/>
          <w:color w:val="333333"/>
          <w:kern w:val="0"/>
          <w:sz w:val="24"/>
          <w:szCs w:val="24"/>
        </w:rPr>
        <w:t>投标文件递交截止时间：</w:t>
      </w:r>
      <w:r>
        <w:rPr>
          <w:rFonts w:hint="eastAsia" w:ascii="宋体" w:hAnsi="宋体" w:cs="宋体"/>
          <w:color w:val="333333"/>
          <w:kern w:val="0"/>
          <w:sz w:val="24"/>
          <w:szCs w:val="24"/>
          <w:lang w:val="en-US" w:eastAsia="zh-CN"/>
        </w:rPr>
        <w:t>2022</w:t>
      </w:r>
      <w:r>
        <w:rPr>
          <w:rFonts w:hint="eastAsia" w:ascii="宋体" w:hAnsi="宋体" w:cs="宋体"/>
          <w:color w:val="333333"/>
          <w:kern w:val="0"/>
          <w:sz w:val="24"/>
          <w:szCs w:val="24"/>
        </w:rPr>
        <w:t>年</w:t>
      </w:r>
      <w:r>
        <w:rPr>
          <w:rFonts w:hint="eastAsia" w:ascii="宋体" w:hAnsi="宋体" w:cs="宋体"/>
          <w:color w:val="333333"/>
          <w:kern w:val="0"/>
          <w:sz w:val="24"/>
          <w:szCs w:val="24"/>
          <w:lang w:val="en-US" w:eastAsia="zh-CN"/>
        </w:rPr>
        <w:t>03</w:t>
      </w:r>
      <w:r>
        <w:rPr>
          <w:rFonts w:hint="eastAsia" w:ascii="宋体" w:hAnsi="宋体" w:cs="宋体"/>
          <w:color w:val="333333"/>
          <w:kern w:val="0"/>
          <w:sz w:val="24"/>
          <w:szCs w:val="24"/>
        </w:rPr>
        <w:t>月</w:t>
      </w:r>
      <w:r>
        <w:rPr>
          <w:rFonts w:hint="eastAsia" w:ascii="宋体" w:hAnsi="宋体" w:cs="宋体"/>
          <w:color w:val="333333"/>
          <w:kern w:val="0"/>
          <w:sz w:val="24"/>
          <w:szCs w:val="24"/>
          <w:lang w:val="en-US" w:eastAsia="zh-CN"/>
        </w:rPr>
        <w:t xml:space="preserve"> 21</w:t>
      </w:r>
      <w:r>
        <w:rPr>
          <w:rFonts w:hint="eastAsia" w:ascii="宋体" w:hAnsi="宋体" w:cs="宋体"/>
          <w:color w:val="333333"/>
          <w:kern w:val="0"/>
          <w:sz w:val="24"/>
          <w:szCs w:val="24"/>
          <w:highlight w:val="none"/>
        </w:rPr>
        <w:t>日</w:t>
      </w:r>
      <w:r>
        <w:rPr>
          <w:rFonts w:hint="eastAsia" w:ascii="宋体" w:hAnsi="宋体" w:cs="宋体"/>
          <w:color w:val="333333"/>
          <w:kern w:val="0"/>
          <w:sz w:val="24"/>
          <w:szCs w:val="24"/>
          <w:highlight w:val="none"/>
          <w:lang w:val="en-US" w:eastAsia="zh-CN"/>
        </w:rPr>
        <w:t>10</w:t>
      </w:r>
      <w:r>
        <w:rPr>
          <w:rFonts w:hint="eastAsia" w:ascii="宋体" w:hAnsi="宋体" w:cs="宋体"/>
          <w:color w:val="333333"/>
          <w:kern w:val="0"/>
          <w:sz w:val="24"/>
          <w:szCs w:val="24"/>
          <w:highlight w:val="none"/>
        </w:rPr>
        <w:t>:</w:t>
      </w:r>
      <w:r>
        <w:rPr>
          <w:rFonts w:hint="eastAsia" w:ascii="宋体" w:hAnsi="宋体" w:cs="宋体"/>
          <w:color w:val="333333"/>
          <w:kern w:val="0"/>
          <w:sz w:val="24"/>
          <w:szCs w:val="24"/>
          <w:highlight w:val="none"/>
          <w:lang w:val="en-US" w:eastAsia="zh-CN"/>
        </w:rPr>
        <w:t>3</w:t>
      </w:r>
      <w:r>
        <w:rPr>
          <w:rFonts w:hint="eastAsia" w:ascii="宋体" w:hAnsi="宋体" w:cs="宋体"/>
          <w:color w:val="333333"/>
          <w:kern w:val="0"/>
          <w:sz w:val="24"/>
          <w:szCs w:val="24"/>
          <w:highlight w:val="none"/>
        </w:rPr>
        <w:t>0</w:t>
      </w:r>
      <w:r>
        <w:rPr>
          <w:rFonts w:hint="eastAsia" w:ascii="宋体" w:hAnsi="宋体" w:cs="宋体"/>
          <w:color w:val="333333"/>
          <w:kern w:val="0"/>
          <w:sz w:val="24"/>
          <w:szCs w:val="24"/>
        </w:rPr>
        <w:t>。</w:t>
      </w:r>
    </w:p>
    <w:p>
      <w:pPr>
        <w:widowControl/>
        <w:shd w:val="clear" w:color="auto" w:fill="FFFFFF"/>
        <w:spacing w:line="360" w:lineRule="auto"/>
        <w:ind w:firstLine="480"/>
        <w:jc w:val="left"/>
        <w:rPr>
          <w:rFonts w:hint="eastAsia" w:ascii="宋体" w:hAnsi="宋体" w:cs="宋体"/>
          <w:kern w:val="0"/>
          <w:sz w:val="24"/>
          <w:szCs w:val="24"/>
          <w:highlight w:val="none"/>
          <w:lang w:val="en-US" w:eastAsia="zh-CN"/>
        </w:rPr>
      </w:pPr>
      <w:r>
        <w:rPr>
          <w:rFonts w:hint="eastAsia" w:ascii="宋体" w:hAnsi="宋体" w:cs="宋体"/>
          <w:kern w:val="0"/>
          <w:sz w:val="24"/>
          <w:szCs w:val="24"/>
        </w:rPr>
        <w:t>上述资料</w:t>
      </w:r>
      <w:r>
        <w:rPr>
          <w:rFonts w:hint="eastAsia" w:ascii="宋体" w:hAnsi="宋体" w:cs="宋体"/>
          <w:b/>
          <w:color w:val="FF0000"/>
          <w:kern w:val="0"/>
          <w:sz w:val="24"/>
          <w:szCs w:val="24"/>
        </w:rPr>
        <w:t>（一正二副）</w:t>
      </w:r>
      <w:r>
        <w:rPr>
          <w:rFonts w:hint="eastAsia" w:ascii="宋体" w:hAnsi="宋体" w:cs="宋体"/>
          <w:color w:val="FF0000"/>
          <w:kern w:val="0"/>
          <w:sz w:val="24"/>
          <w:szCs w:val="24"/>
        </w:rPr>
        <w:t>装订成册后</w:t>
      </w:r>
      <w:r>
        <w:rPr>
          <w:rFonts w:hint="eastAsia" w:ascii="宋体" w:hAnsi="宋体" w:cs="宋体"/>
          <w:kern w:val="0"/>
          <w:sz w:val="24"/>
          <w:szCs w:val="24"/>
        </w:rPr>
        <w:t>，用文件袋密封并在封套的封口处加盖单位公章后投递至地址：</w:t>
      </w:r>
      <w:r>
        <w:rPr>
          <w:rFonts w:hint="eastAsia" w:ascii="宋体" w:hAnsi="宋体" w:cs="宋体"/>
          <w:kern w:val="0"/>
          <w:sz w:val="24"/>
          <w:szCs w:val="24"/>
          <w:highlight w:val="none"/>
        </w:rPr>
        <w:t>深圳市光明区圳园路628号中山七院行政楼</w:t>
      </w:r>
      <w:r>
        <w:rPr>
          <w:rFonts w:hint="eastAsia" w:ascii="宋体" w:hAnsi="宋体" w:cs="宋体"/>
          <w:kern w:val="0"/>
          <w:sz w:val="24"/>
          <w:szCs w:val="24"/>
          <w:highlight w:val="none"/>
          <w:lang w:val="en-US" w:eastAsia="zh-CN"/>
        </w:rPr>
        <w:t>405设备科</w:t>
      </w:r>
    </w:p>
    <w:p>
      <w:pPr>
        <w:widowControl/>
        <w:shd w:val="clear" w:color="auto" w:fill="FFFFFF"/>
        <w:spacing w:line="360" w:lineRule="auto"/>
        <w:ind w:firstLine="480"/>
        <w:jc w:val="left"/>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联系人：付老师 电话：0755-81206107</w:t>
      </w:r>
    </w:p>
    <w:p>
      <w:pPr>
        <w:spacing w:line="360" w:lineRule="auto"/>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八、开标时间及地址：</w:t>
      </w:r>
    </w:p>
    <w:p>
      <w:pPr>
        <w:widowControl/>
        <w:shd w:val="clear" w:color="auto" w:fill="FFFFFF"/>
        <w:spacing w:line="315" w:lineRule="atLeast"/>
        <w:ind w:firstLine="480"/>
        <w:jc w:val="left"/>
        <w:rPr>
          <w:rFonts w:hint="eastAsia" w:ascii="宋体" w:hAnsi="宋体" w:cs="宋体"/>
          <w:color w:val="333333"/>
          <w:kern w:val="0"/>
          <w:sz w:val="24"/>
          <w:szCs w:val="24"/>
        </w:rPr>
      </w:pPr>
      <w:r>
        <w:rPr>
          <w:rFonts w:hint="eastAsia" w:ascii="宋体" w:hAnsi="宋体" w:cs="宋体"/>
          <w:color w:val="333333"/>
          <w:kern w:val="0"/>
          <w:sz w:val="24"/>
          <w:szCs w:val="24"/>
          <w:lang w:val="en-US" w:eastAsia="zh-CN"/>
        </w:rPr>
        <w:t>2022</w:t>
      </w:r>
      <w:r>
        <w:rPr>
          <w:rFonts w:hint="eastAsia" w:ascii="宋体" w:hAnsi="宋体" w:cs="宋体"/>
          <w:color w:val="333333"/>
          <w:kern w:val="0"/>
          <w:sz w:val="24"/>
          <w:szCs w:val="24"/>
        </w:rPr>
        <w:t>年</w:t>
      </w:r>
      <w:r>
        <w:rPr>
          <w:rFonts w:hint="eastAsia" w:ascii="宋体" w:hAnsi="宋体" w:cs="宋体"/>
          <w:color w:val="333333"/>
          <w:kern w:val="0"/>
          <w:sz w:val="24"/>
          <w:szCs w:val="24"/>
          <w:lang w:val="en-US" w:eastAsia="zh-CN"/>
        </w:rPr>
        <w:t xml:space="preserve"> 03</w:t>
      </w:r>
      <w:r>
        <w:rPr>
          <w:rFonts w:hint="eastAsia" w:ascii="宋体" w:hAnsi="宋体" w:cs="宋体"/>
          <w:color w:val="333333"/>
          <w:kern w:val="0"/>
          <w:sz w:val="24"/>
          <w:szCs w:val="24"/>
        </w:rPr>
        <w:t>月</w:t>
      </w:r>
      <w:r>
        <w:rPr>
          <w:rFonts w:hint="eastAsia" w:ascii="宋体" w:hAnsi="宋体" w:cs="宋体"/>
          <w:color w:val="333333"/>
          <w:kern w:val="0"/>
          <w:sz w:val="24"/>
          <w:szCs w:val="24"/>
          <w:lang w:val="en-US" w:eastAsia="zh-CN"/>
        </w:rPr>
        <w:t>21</w:t>
      </w:r>
      <w:r>
        <w:rPr>
          <w:rFonts w:hint="eastAsia" w:ascii="宋体" w:hAnsi="宋体" w:cs="宋体"/>
          <w:color w:val="333333"/>
          <w:kern w:val="0"/>
          <w:sz w:val="24"/>
          <w:szCs w:val="24"/>
        </w:rPr>
        <w:t>日</w:t>
      </w:r>
      <w:r>
        <w:rPr>
          <w:rFonts w:hint="eastAsia" w:ascii="宋体" w:hAnsi="宋体" w:cs="宋体"/>
          <w:color w:val="333333"/>
          <w:kern w:val="0"/>
          <w:sz w:val="24"/>
          <w:szCs w:val="24"/>
          <w:lang w:val="en-US" w:eastAsia="zh-CN"/>
        </w:rPr>
        <w:t>上</w:t>
      </w:r>
      <w:r>
        <w:rPr>
          <w:rFonts w:hint="eastAsia" w:ascii="宋体" w:hAnsi="宋体" w:cs="宋体"/>
          <w:color w:val="333333"/>
          <w:kern w:val="0"/>
          <w:sz w:val="24"/>
          <w:szCs w:val="24"/>
          <w:highlight w:val="none"/>
        </w:rPr>
        <w:t>午</w:t>
      </w:r>
      <w:r>
        <w:rPr>
          <w:rFonts w:hint="eastAsia" w:ascii="宋体" w:hAnsi="宋体" w:cs="宋体"/>
          <w:color w:val="333333"/>
          <w:kern w:val="0"/>
          <w:sz w:val="24"/>
          <w:szCs w:val="24"/>
          <w:highlight w:val="none"/>
          <w:lang w:val="en-US" w:eastAsia="zh-CN"/>
        </w:rPr>
        <w:t>16</w:t>
      </w:r>
      <w:r>
        <w:rPr>
          <w:rFonts w:hint="eastAsia" w:ascii="宋体" w:hAnsi="宋体" w:cs="宋体"/>
          <w:color w:val="333333"/>
          <w:kern w:val="0"/>
          <w:sz w:val="24"/>
          <w:szCs w:val="24"/>
          <w:highlight w:val="none"/>
        </w:rPr>
        <w:t>:</w:t>
      </w:r>
      <w:r>
        <w:rPr>
          <w:rFonts w:hint="eastAsia" w:ascii="宋体" w:hAnsi="宋体" w:cs="宋体"/>
          <w:color w:val="333333"/>
          <w:kern w:val="0"/>
          <w:sz w:val="24"/>
          <w:szCs w:val="24"/>
          <w:highlight w:val="none"/>
          <w:lang w:val="en-US" w:eastAsia="zh-CN"/>
        </w:rPr>
        <w:t>0</w:t>
      </w:r>
      <w:r>
        <w:rPr>
          <w:rFonts w:hint="eastAsia" w:ascii="宋体" w:hAnsi="宋体" w:cs="宋体"/>
          <w:color w:val="333333"/>
          <w:kern w:val="0"/>
          <w:sz w:val="24"/>
          <w:szCs w:val="24"/>
          <w:highlight w:val="none"/>
        </w:rPr>
        <w:t>0，行政楼会议室</w:t>
      </w:r>
      <w:r>
        <w:rPr>
          <w:rFonts w:hint="eastAsia" w:ascii="宋体" w:hAnsi="宋体" w:cs="宋体"/>
          <w:color w:val="333333"/>
          <w:kern w:val="0"/>
          <w:sz w:val="24"/>
          <w:szCs w:val="24"/>
        </w:rPr>
        <w:t>。</w:t>
      </w:r>
    </w:p>
    <w:p>
      <w:pPr>
        <w:widowControl/>
        <w:shd w:val="clear" w:color="auto" w:fill="FFFFFF"/>
        <w:spacing w:line="315" w:lineRule="atLeast"/>
        <w:ind w:firstLine="480"/>
        <w:jc w:val="left"/>
        <w:rPr>
          <w:rFonts w:hint="eastAsia" w:ascii="宋体" w:hAnsi="宋体" w:cs="宋体"/>
          <w:color w:val="333333"/>
          <w:kern w:val="0"/>
          <w:sz w:val="24"/>
          <w:szCs w:val="24"/>
        </w:rPr>
      </w:pPr>
    </w:p>
    <w:p>
      <w:pPr>
        <w:widowControl/>
        <w:shd w:val="clear" w:color="auto" w:fill="FFFFFF"/>
        <w:spacing w:line="315" w:lineRule="atLeast"/>
        <w:jc w:val="right"/>
        <w:rPr>
          <w:rFonts w:hint="eastAsia" w:ascii="宋体" w:hAnsi="宋体" w:eastAsia="宋体" w:cs="宋体"/>
          <w:color w:val="333333"/>
          <w:kern w:val="0"/>
          <w:sz w:val="24"/>
          <w:szCs w:val="24"/>
          <w:lang w:eastAsia="zh-CN"/>
        </w:rPr>
      </w:pPr>
      <w:r>
        <w:rPr>
          <w:rFonts w:hint="eastAsia" w:ascii="宋体" w:hAnsi="宋体" w:cs="宋体"/>
          <w:color w:val="333333"/>
          <w:kern w:val="0"/>
          <w:sz w:val="24"/>
          <w:szCs w:val="24"/>
          <w:lang w:eastAsia="zh-CN"/>
        </w:rPr>
        <w:t>中山大学附属第七医院设备科</w:t>
      </w:r>
    </w:p>
    <w:p>
      <w:pPr>
        <w:widowControl/>
        <w:shd w:val="clear" w:color="auto" w:fill="FFFFFF"/>
        <w:spacing w:line="315" w:lineRule="atLeast"/>
        <w:ind w:firstLine="480"/>
        <w:jc w:val="right"/>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2022年 03月14日</w:t>
      </w:r>
    </w:p>
    <w:p>
      <w:pPr>
        <w:sectPr>
          <w:footerReference r:id="rId3" w:type="default"/>
          <w:pgSz w:w="11906" w:h="16838"/>
          <w:pgMar w:top="1440" w:right="1800" w:bottom="1440" w:left="1800" w:header="851" w:footer="992" w:gutter="0"/>
          <w:pgNumType w:fmt="decimal"/>
          <w:cols w:space="425" w:num="1"/>
          <w:docGrid w:type="lines" w:linePitch="312" w:charSpace="0"/>
        </w:sectPr>
      </w:pPr>
    </w:p>
    <w:p>
      <w:pPr>
        <w:spacing w:line="360" w:lineRule="auto"/>
        <w:jc w:val="center"/>
        <w:outlineLvl w:val="1"/>
        <w:rPr>
          <w:rStyle w:val="22"/>
        </w:rPr>
      </w:pPr>
      <w:bookmarkStart w:id="15" w:name="_Toc4664132"/>
      <w:r>
        <w:rPr>
          <w:rStyle w:val="22"/>
          <w:rFonts w:hint="eastAsia"/>
        </w:rPr>
        <w:t>第二章投标文件的格式、附件</w:t>
      </w:r>
      <w:bookmarkEnd w:id="15"/>
    </w:p>
    <w:p>
      <w:pPr>
        <w:spacing w:line="360" w:lineRule="auto"/>
        <w:ind w:firstLine="480" w:firstLineChars="200"/>
        <w:rPr>
          <w:rFonts w:ascii="宋体" w:cs="Arial"/>
          <w:bCs/>
          <w:sz w:val="24"/>
        </w:rPr>
      </w:pPr>
      <w:r>
        <w:rPr>
          <w:rFonts w:hint="eastAsia" w:ascii="宋体" w:hAnsi="宋体" w:cs="Arial"/>
          <w:bCs/>
          <w:sz w:val="24"/>
        </w:rPr>
        <w:t>特别提醒：供应商在编辑投标文件时，在投标文件目录中属于本节点内容的必须在本节点中填写，填写到其他节点或附件的将可能导致废标，一切后果由供应商自行承担。</w:t>
      </w:r>
    </w:p>
    <w:p>
      <w:pPr>
        <w:spacing w:line="360" w:lineRule="auto"/>
        <w:rPr>
          <w:rFonts w:ascii="宋体" w:cs="Arial"/>
          <w:b/>
          <w:bCs/>
          <w:sz w:val="28"/>
          <w:szCs w:val="28"/>
        </w:rPr>
      </w:pPr>
    </w:p>
    <w:p>
      <w:pPr>
        <w:spacing w:line="360" w:lineRule="auto"/>
        <w:jc w:val="both"/>
        <w:rPr>
          <w:rFonts w:ascii="宋体" w:cs="Arial"/>
          <w:b/>
          <w:bCs/>
          <w:sz w:val="28"/>
          <w:szCs w:val="28"/>
        </w:rPr>
      </w:pPr>
    </w:p>
    <w:p>
      <w:pPr>
        <w:spacing w:line="360" w:lineRule="auto"/>
        <w:jc w:val="center"/>
        <w:rPr>
          <w:rFonts w:ascii="宋体" w:cs="Arial"/>
          <w:b/>
          <w:bCs/>
          <w:sz w:val="28"/>
          <w:szCs w:val="28"/>
        </w:rPr>
      </w:pPr>
    </w:p>
    <w:p>
      <w:pPr>
        <w:spacing w:line="360" w:lineRule="auto"/>
        <w:jc w:val="center"/>
        <w:rPr>
          <w:rFonts w:ascii="宋体" w:cs="Arial"/>
          <w:b/>
          <w:bCs/>
          <w:sz w:val="52"/>
          <w:szCs w:val="52"/>
        </w:rPr>
      </w:pPr>
      <w:r>
        <w:rPr>
          <w:rFonts w:hint="eastAsia" w:ascii="宋体" w:hAnsi="宋体" w:cs="Arial"/>
          <w:b/>
          <w:bCs/>
          <w:sz w:val="52"/>
          <w:szCs w:val="52"/>
        </w:rPr>
        <w:t>投标文件</w:t>
      </w:r>
    </w:p>
    <w:p>
      <w:pPr>
        <w:spacing w:line="360" w:lineRule="auto"/>
        <w:jc w:val="center"/>
        <w:rPr>
          <w:rFonts w:ascii="宋体" w:cs="Arial"/>
          <w:b/>
          <w:bCs/>
          <w:sz w:val="28"/>
          <w:szCs w:val="28"/>
        </w:rPr>
      </w:pPr>
    </w:p>
    <w:p>
      <w:pPr>
        <w:spacing w:line="360" w:lineRule="auto"/>
        <w:jc w:val="center"/>
        <w:rPr>
          <w:rFonts w:ascii="宋体" w:cs="Arial"/>
          <w:b/>
          <w:bCs/>
          <w:sz w:val="28"/>
          <w:szCs w:val="28"/>
        </w:rPr>
      </w:pPr>
    </w:p>
    <w:p>
      <w:pPr>
        <w:spacing w:line="360" w:lineRule="auto"/>
        <w:jc w:val="center"/>
        <w:rPr>
          <w:rFonts w:ascii="宋体" w:cs="Arial"/>
          <w:b/>
          <w:bCs/>
          <w:sz w:val="28"/>
          <w:szCs w:val="28"/>
        </w:rPr>
      </w:pPr>
    </w:p>
    <w:p>
      <w:pPr>
        <w:spacing w:line="360" w:lineRule="auto"/>
        <w:jc w:val="center"/>
        <w:rPr>
          <w:rFonts w:ascii="宋体" w:cs="Arial"/>
          <w:b/>
          <w:bCs/>
          <w:sz w:val="28"/>
          <w:szCs w:val="28"/>
        </w:rPr>
      </w:pPr>
    </w:p>
    <w:p>
      <w:pPr>
        <w:spacing w:line="360" w:lineRule="auto"/>
        <w:jc w:val="center"/>
        <w:rPr>
          <w:rFonts w:ascii="宋体" w:cs="Arial"/>
          <w:b/>
          <w:bCs/>
          <w:sz w:val="28"/>
          <w:szCs w:val="28"/>
        </w:rPr>
      </w:pPr>
    </w:p>
    <w:p>
      <w:pPr>
        <w:spacing w:line="360" w:lineRule="auto"/>
        <w:jc w:val="left"/>
        <w:rPr>
          <w:rFonts w:ascii="宋体" w:cs="Arial"/>
          <w:b/>
          <w:bCs/>
          <w:sz w:val="28"/>
          <w:szCs w:val="28"/>
        </w:rPr>
      </w:pPr>
      <w:r>
        <w:rPr>
          <w:rFonts w:hint="eastAsia" w:ascii="宋体" w:hAnsi="宋体" w:cs="Arial"/>
          <w:b/>
          <w:bCs/>
          <w:sz w:val="28"/>
          <w:szCs w:val="28"/>
        </w:rPr>
        <w:t>项目名称：</w:t>
      </w:r>
    </w:p>
    <w:p>
      <w:pPr>
        <w:spacing w:line="360" w:lineRule="auto"/>
        <w:jc w:val="left"/>
        <w:rPr>
          <w:rFonts w:ascii="宋体" w:cs="Arial"/>
          <w:b/>
          <w:bCs/>
          <w:sz w:val="28"/>
          <w:szCs w:val="28"/>
        </w:rPr>
      </w:pPr>
      <w:r>
        <w:rPr>
          <w:rFonts w:hint="eastAsia" w:ascii="宋体" w:hAnsi="宋体" w:cs="Arial"/>
          <w:b/>
          <w:bCs/>
          <w:sz w:val="28"/>
          <w:szCs w:val="28"/>
        </w:rPr>
        <w:t>项目编号：</w:t>
      </w:r>
    </w:p>
    <w:p>
      <w:pPr>
        <w:spacing w:line="360" w:lineRule="auto"/>
        <w:jc w:val="left"/>
        <w:rPr>
          <w:rFonts w:ascii="宋体" w:cs="Arial"/>
          <w:b/>
          <w:bCs/>
          <w:sz w:val="28"/>
          <w:szCs w:val="28"/>
        </w:rPr>
      </w:pPr>
      <w:r>
        <w:rPr>
          <w:rFonts w:hint="eastAsia" w:ascii="宋体" w:hAnsi="宋体" w:cs="Arial"/>
          <w:b/>
          <w:bCs/>
          <w:sz w:val="28"/>
          <w:szCs w:val="28"/>
        </w:rPr>
        <w:t>投标单位：</w:t>
      </w:r>
      <w:r>
        <w:rPr>
          <w:rFonts w:hint="eastAsia" w:ascii="宋体" w:hAnsi="宋体" w:cs="Arial"/>
          <w:b/>
          <w:bCs/>
          <w:sz w:val="28"/>
          <w:szCs w:val="28"/>
          <w:u w:val="single"/>
        </w:rPr>
        <w:t>（加盖公章）</w:t>
      </w:r>
    </w:p>
    <w:p>
      <w:pPr>
        <w:spacing w:line="360" w:lineRule="auto"/>
        <w:jc w:val="left"/>
        <w:rPr>
          <w:rFonts w:ascii="宋体" w:cs="Arial"/>
          <w:b/>
          <w:bCs/>
          <w:sz w:val="28"/>
          <w:szCs w:val="28"/>
        </w:rPr>
      </w:pPr>
      <w:r>
        <w:rPr>
          <w:rFonts w:hint="eastAsia" w:ascii="宋体" w:hAnsi="宋体" w:cs="Arial"/>
          <w:b/>
          <w:bCs/>
          <w:sz w:val="28"/>
          <w:szCs w:val="28"/>
        </w:rPr>
        <w:t>单位地址：</w:t>
      </w:r>
    </w:p>
    <w:p>
      <w:pPr>
        <w:spacing w:line="360" w:lineRule="auto"/>
        <w:jc w:val="left"/>
        <w:rPr>
          <w:rFonts w:ascii="宋体" w:cs="Arial"/>
          <w:b/>
          <w:bCs/>
          <w:sz w:val="28"/>
          <w:szCs w:val="28"/>
          <w:u w:val="single"/>
        </w:rPr>
      </w:pPr>
      <w:r>
        <w:rPr>
          <w:rFonts w:hint="eastAsia" w:ascii="宋体" w:hAnsi="宋体" w:cs="Arial"/>
          <w:b/>
          <w:bCs/>
          <w:sz w:val="28"/>
          <w:szCs w:val="28"/>
        </w:rPr>
        <w:t>法定代表人</w:t>
      </w:r>
      <w:r>
        <w:rPr>
          <w:rFonts w:ascii="宋体" w:hAnsi="宋体" w:cs="Arial"/>
          <w:b/>
          <w:bCs/>
          <w:sz w:val="28"/>
          <w:szCs w:val="28"/>
        </w:rPr>
        <w:t>/</w:t>
      </w:r>
      <w:r>
        <w:rPr>
          <w:rFonts w:hint="eastAsia" w:ascii="宋体" w:hAnsi="宋体" w:cs="Arial"/>
          <w:b/>
          <w:bCs/>
          <w:sz w:val="28"/>
          <w:szCs w:val="28"/>
        </w:rPr>
        <w:t>被授权人：</w:t>
      </w:r>
    </w:p>
    <w:p>
      <w:pPr>
        <w:spacing w:line="360" w:lineRule="auto"/>
        <w:jc w:val="left"/>
        <w:rPr>
          <w:rFonts w:ascii="宋体" w:cs="Arial"/>
          <w:b/>
          <w:bCs/>
          <w:sz w:val="28"/>
          <w:szCs w:val="28"/>
        </w:rPr>
      </w:pPr>
      <w:r>
        <w:rPr>
          <w:rFonts w:hint="eastAsia" w:ascii="宋体" w:hAnsi="宋体" w:cs="Arial"/>
          <w:b/>
          <w:bCs/>
          <w:sz w:val="28"/>
          <w:szCs w:val="28"/>
        </w:rPr>
        <w:t>联系电话：</w:t>
      </w:r>
    </w:p>
    <w:p>
      <w:pPr>
        <w:spacing w:line="360" w:lineRule="auto"/>
        <w:jc w:val="center"/>
        <w:rPr>
          <w:rFonts w:ascii="宋体" w:cs="Arial"/>
          <w:b/>
          <w:bCs/>
          <w:sz w:val="28"/>
          <w:szCs w:val="28"/>
        </w:rPr>
      </w:pPr>
      <w:r>
        <w:rPr>
          <w:rFonts w:hint="eastAsia" w:ascii="宋体" w:hAnsi="宋体" w:cs="Arial"/>
          <w:b/>
          <w:bCs/>
          <w:sz w:val="28"/>
          <w:szCs w:val="28"/>
        </w:rPr>
        <w:t>【年月日时分之前不得启封。】</w:t>
      </w:r>
    </w:p>
    <w:p>
      <w:pPr>
        <w:spacing w:line="360" w:lineRule="auto"/>
        <w:rPr>
          <w:rFonts w:ascii="宋体" w:cs="Arial"/>
          <w:bCs/>
          <w:sz w:val="28"/>
          <w:szCs w:val="28"/>
        </w:rPr>
      </w:pPr>
    </w:p>
    <w:p>
      <w:pPr>
        <w:spacing w:line="360" w:lineRule="auto"/>
        <w:rPr>
          <w:rFonts w:ascii="宋体" w:cs="Arial"/>
          <w:bCs/>
          <w:sz w:val="28"/>
          <w:szCs w:val="28"/>
        </w:rPr>
      </w:pPr>
      <w:r>
        <w:rPr>
          <w:rFonts w:hint="eastAsia" w:ascii="宋体" w:hAnsi="宋体" w:cs="Arial"/>
          <w:bCs/>
          <w:sz w:val="28"/>
          <w:szCs w:val="28"/>
        </w:rPr>
        <w:t>备注：本封条应粘贴在投标文件</w:t>
      </w:r>
      <w:r>
        <w:rPr>
          <w:rFonts w:ascii="宋体" w:hAnsi="宋体" w:cs="Arial"/>
          <w:bCs/>
          <w:sz w:val="28"/>
          <w:szCs w:val="28"/>
        </w:rPr>
        <w:t>/</w:t>
      </w:r>
      <w:r>
        <w:rPr>
          <w:rFonts w:hint="eastAsia" w:ascii="宋体" w:hAnsi="宋体" w:cs="Arial"/>
          <w:bCs/>
          <w:sz w:val="28"/>
          <w:szCs w:val="28"/>
        </w:rPr>
        <w:t>开标一览表的密封袋封面。</w:t>
      </w:r>
    </w:p>
    <w:p>
      <w:pPr>
        <w:rPr>
          <w:rFonts w:hint="eastAsia"/>
          <w:lang w:eastAsia="zh-CN"/>
        </w:rPr>
        <w:sectPr>
          <w:pgSz w:w="11906" w:h="16838"/>
          <w:pgMar w:top="1440" w:right="1800" w:bottom="1440" w:left="1800" w:header="851" w:footer="992" w:gutter="0"/>
          <w:pgNumType w:fmt="decimal"/>
          <w:cols w:space="425" w:num="1"/>
          <w:docGrid w:type="lines" w:linePitch="312" w:charSpace="0"/>
        </w:sectPr>
      </w:pPr>
    </w:p>
    <w:p>
      <w:pPr>
        <w:spacing w:line="360" w:lineRule="auto"/>
        <w:jc w:val="center"/>
        <w:outlineLvl w:val="2"/>
        <w:rPr>
          <w:rFonts w:hint="eastAsia" w:ascii="Times New Roman" w:hAnsi="Times New Roman" w:eastAsia="黑体" w:cs="Times New Roman"/>
          <w:sz w:val="44"/>
          <w:szCs w:val="24"/>
          <w:lang w:eastAsia="zh-CN"/>
        </w:rPr>
      </w:pPr>
      <w:r>
        <w:rPr>
          <w:rFonts w:hint="eastAsia" w:ascii="Times New Roman" w:hAnsi="Times New Roman" w:eastAsia="黑体" w:cs="Times New Roman"/>
          <w:sz w:val="44"/>
          <w:szCs w:val="24"/>
          <w:lang w:eastAsia="zh-CN"/>
        </w:rPr>
        <w:t>目</w:t>
      </w:r>
      <w:r>
        <w:rPr>
          <w:rFonts w:hint="eastAsia" w:ascii="Times New Roman" w:hAnsi="Times New Roman" w:eastAsia="黑体" w:cs="Times New Roman"/>
          <w:sz w:val="44"/>
          <w:szCs w:val="24"/>
          <w:lang w:val="en-US" w:eastAsia="zh-CN"/>
        </w:rPr>
        <w:t xml:space="preserve"> </w:t>
      </w:r>
      <w:r>
        <w:rPr>
          <w:rFonts w:hint="eastAsia" w:ascii="Times New Roman" w:hAnsi="Times New Roman" w:eastAsia="黑体" w:cs="Times New Roman"/>
          <w:sz w:val="44"/>
          <w:szCs w:val="24"/>
          <w:lang w:eastAsia="zh-CN"/>
        </w:rPr>
        <w:t>录</w:t>
      </w:r>
    </w:p>
    <w:p>
      <w:pPr>
        <w:widowControl/>
        <w:numPr>
          <w:ilvl w:val="0"/>
          <w:numId w:val="9"/>
        </w:numPr>
        <w:shd w:val="clear" w:color="auto" w:fill="FFFFFF"/>
        <w:spacing w:line="360" w:lineRule="auto"/>
        <w:ind w:left="845" w:leftChars="0" w:hanging="425" w:firstLineChars="0"/>
        <w:jc w:val="left"/>
        <w:rPr>
          <w:rFonts w:ascii="宋体" w:hAnsi="宋体" w:cs="宋体"/>
          <w:color w:val="2C436F"/>
          <w:kern w:val="0"/>
          <w:sz w:val="17"/>
          <w:szCs w:val="17"/>
        </w:rPr>
      </w:pPr>
      <w:r>
        <w:rPr>
          <w:rFonts w:hint="eastAsia" w:ascii="宋体" w:hAnsi="宋体" w:cs="宋体"/>
          <w:color w:val="333333"/>
          <w:kern w:val="0"/>
          <w:sz w:val="24"/>
          <w:szCs w:val="24"/>
        </w:rPr>
        <w:t>投标人法定代表人证明书原件</w:t>
      </w:r>
    </w:p>
    <w:p>
      <w:pPr>
        <w:widowControl/>
        <w:numPr>
          <w:ilvl w:val="0"/>
          <w:numId w:val="9"/>
        </w:numPr>
        <w:shd w:val="clear" w:color="auto" w:fill="FFFFFF"/>
        <w:spacing w:line="360" w:lineRule="auto"/>
        <w:ind w:left="845" w:leftChars="0" w:hanging="425" w:firstLineChars="0"/>
        <w:jc w:val="left"/>
        <w:rPr>
          <w:rFonts w:ascii="宋体" w:hAnsi="宋体" w:cs="宋体"/>
          <w:color w:val="333333"/>
          <w:kern w:val="0"/>
          <w:sz w:val="24"/>
          <w:szCs w:val="24"/>
        </w:rPr>
      </w:pPr>
      <w:r>
        <w:rPr>
          <w:rFonts w:hint="eastAsia" w:ascii="宋体" w:hAnsi="宋体" w:cs="宋体"/>
          <w:color w:val="333333"/>
          <w:kern w:val="0"/>
          <w:sz w:val="24"/>
          <w:szCs w:val="24"/>
        </w:rPr>
        <w:t>投标文件签署授权委托书原件、授权代表身份证复印件</w:t>
      </w:r>
    </w:p>
    <w:p>
      <w:pPr>
        <w:widowControl/>
        <w:numPr>
          <w:ilvl w:val="0"/>
          <w:numId w:val="9"/>
        </w:numPr>
        <w:shd w:val="clear" w:color="auto" w:fill="FFFFFF"/>
        <w:spacing w:line="360" w:lineRule="auto"/>
        <w:ind w:left="845" w:leftChars="0" w:hanging="425" w:firstLineChars="0"/>
        <w:jc w:val="left"/>
        <w:rPr>
          <w:rFonts w:hint="eastAsia" w:ascii="宋体" w:hAnsi="宋体" w:cs="宋体"/>
          <w:color w:val="333333"/>
          <w:kern w:val="0"/>
          <w:sz w:val="24"/>
          <w:szCs w:val="24"/>
        </w:rPr>
      </w:pPr>
      <w:r>
        <w:rPr>
          <w:rFonts w:hint="eastAsia" w:ascii="宋体" w:hAnsi="宋体" w:cs="宋体"/>
          <w:color w:val="333333"/>
          <w:kern w:val="0"/>
          <w:sz w:val="24"/>
          <w:szCs w:val="24"/>
        </w:rPr>
        <w:t>企业营业执照（具备相关经营范围）复印件</w:t>
      </w:r>
    </w:p>
    <w:p>
      <w:pPr>
        <w:widowControl/>
        <w:numPr>
          <w:ilvl w:val="0"/>
          <w:numId w:val="9"/>
        </w:numPr>
        <w:shd w:val="clear" w:color="auto" w:fill="FFFFFF"/>
        <w:spacing w:line="360" w:lineRule="auto"/>
        <w:ind w:left="845" w:leftChars="0" w:hanging="425"/>
        <w:jc w:val="left"/>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若投标人为所投产品的生产企业，必须提供《医疗器械生产企业许可证》，且生产范围包含该产品；若投标人为所投产品的代理商或授权供应商，必须提供《医疗器械经营企业许可证》或《第二类医疗器械经营备案凭证》，且经营范围包含该产品；</w:t>
      </w:r>
    </w:p>
    <w:p>
      <w:pPr>
        <w:widowControl/>
        <w:numPr>
          <w:ilvl w:val="0"/>
          <w:numId w:val="9"/>
        </w:numPr>
        <w:shd w:val="clear" w:color="auto" w:fill="FFFFFF"/>
        <w:spacing w:line="360" w:lineRule="auto"/>
        <w:ind w:left="845" w:leftChars="0" w:hanging="425" w:firstLineChars="0"/>
        <w:jc w:val="left"/>
      </w:pPr>
      <w:r>
        <w:rPr>
          <w:rFonts w:hint="eastAsia" w:ascii="宋体" w:hAnsi="宋体" w:cs="宋体"/>
          <w:color w:val="333333"/>
          <w:kern w:val="0"/>
          <w:sz w:val="24"/>
          <w:szCs w:val="24"/>
          <w:lang w:val="en-US" w:eastAsia="zh-CN"/>
        </w:rPr>
        <w:t>投标人必须提供所投产品的《医疗器械注册（备案）证》的复印件，原件备查；（开标时该证应在有效期内；若不在有效期内，则需要提供该证和所投产品在该证有效期内生产的药监局出具的证明文件）；</w:t>
      </w:r>
    </w:p>
    <w:p>
      <w:pPr>
        <w:widowControl/>
        <w:numPr>
          <w:ilvl w:val="0"/>
          <w:numId w:val="9"/>
        </w:numPr>
        <w:shd w:val="clear" w:color="auto" w:fill="FFFFFF"/>
        <w:spacing w:line="360" w:lineRule="auto"/>
        <w:ind w:left="845" w:leftChars="0" w:hanging="425" w:firstLineChars="0"/>
        <w:jc w:val="left"/>
        <w:rPr>
          <w:rFonts w:ascii="宋体" w:hAnsi="宋体" w:cs="宋体"/>
          <w:color w:val="333333"/>
          <w:kern w:val="0"/>
          <w:sz w:val="24"/>
          <w:szCs w:val="24"/>
        </w:rPr>
      </w:pPr>
      <w:r>
        <w:rPr>
          <w:rFonts w:hint="eastAsia" w:ascii="宋体" w:hAnsi="宋体" w:cs="宋体"/>
          <w:color w:val="333333"/>
          <w:kern w:val="0"/>
          <w:sz w:val="24"/>
          <w:szCs w:val="24"/>
        </w:rPr>
        <w:t>代理授权书（如非生产厂家直销）</w:t>
      </w:r>
    </w:p>
    <w:p>
      <w:pPr>
        <w:widowControl/>
        <w:numPr>
          <w:ilvl w:val="0"/>
          <w:numId w:val="9"/>
        </w:numPr>
        <w:shd w:val="clear" w:color="auto" w:fill="FFFFFF"/>
        <w:spacing w:line="360" w:lineRule="auto"/>
        <w:ind w:left="845" w:leftChars="0" w:hanging="425"/>
        <w:jc w:val="left"/>
        <w:rPr>
          <w:rFonts w:ascii="宋体" w:hAnsi="宋体" w:cs="宋体"/>
          <w:color w:val="2C436F"/>
          <w:kern w:val="0"/>
          <w:sz w:val="17"/>
          <w:szCs w:val="17"/>
        </w:rPr>
      </w:pPr>
      <w:r>
        <w:rPr>
          <w:rFonts w:hint="eastAsia" w:ascii="宋体" w:hAnsi="宋体" w:cs="宋体"/>
          <w:color w:val="333333"/>
          <w:kern w:val="0"/>
          <w:sz w:val="24"/>
          <w:szCs w:val="24"/>
        </w:rPr>
        <w:t>报价表</w:t>
      </w:r>
    </w:p>
    <w:p>
      <w:pPr>
        <w:widowControl/>
        <w:numPr>
          <w:ilvl w:val="0"/>
          <w:numId w:val="9"/>
        </w:numPr>
        <w:shd w:val="clear" w:color="auto" w:fill="FFFFFF"/>
        <w:spacing w:line="360" w:lineRule="auto"/>
        <w:ind w:left="845" w:leftChars="0" w:hanging="425"/>
        <w:jc w:val="left"/>
        <w:rPr>
          <w:rFonts w:hint="eastAsia" w:ascii="宋体" w:hAnsi="宋体" w:cs="宋体"/>
          <w:color w:val="333333"/>
          <w:kern w:val="0"/>
          <w:sz w:val="24"/>
          <w:szCs w:val="24"/>
        </w:rPr>
      </w:pPr>
      <w:r>
        <w:rPr>
          <w:rFonts w:hint="eastAsia" w:ascii="宋体" w:hAnsi="宋体" w:cs="宋体"/>
          <w:color w:val="333333"/>
          <w:kern w:val="0"/>
          <w:sz w:val="24"/>
          <w:szCs w:val="24"/>
        </w:rPr>
        <w:t>公司简介及联系方式</w:t>
      </w:r>
    </w:p>
    <w:p>
      <w:pPr>
        <w:widowControl/>
        <w:numPr>
          <w:ilvl w:val="0"/>
          <w:numId w:val="9"/>
        </w:numPr>
        <w:shd w:val="clear" w:color="auto" w:fill="FFFFFF"/>
        <w:spacing w:line="360" w:lineRule="auto"/>
        <w:ind w:left="845" w:leftChars="0" w:hanging="425"/>
        <w:jc w:val="left"/>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技术需求响应偏离表</w:t>
      </w:r>
    </w:p>
    <w:p>
      <w:pPr>
        <w:widowControl/>
        <w:numPr>
          <w:ilvl w:val="0"/>
          <w:numId w:val="9"/>
        </w:numPr>
        <w:shd w:val="clear" w:color="auto" w:fill="FFFFFF"/>
        <w:spacing w:line="360" w:lineRule="auto"/>
        <w:ind w:left="845" w:leftChars="0" w:hanging="425"/>
        <w:jc w:val="left"/>
        <w:rPr>
          <w:rFonts w:ascii="宋体" w:hAnsi="宋体" w:cs="宋体"/>
          <w:color w:val="333333"/>
          <w:kern w:val="0"/>
          <w:sz w:val="24"/>
          <w:szCs w:val="24"/>
        </w:rPr>
      </w:pPr>
      <w:r>
        <w:rPr>
          <w:rFonts w:hint="eastAsia" w:ascii="宋体" w:hAnsi="宋体" w:cs="宋体"/>
          <w:color w:val="333333"/>
          <w:kern w:val="0"/>
          <w:sz w:val="24"/>
          <w:szCs w:val="24"/>
          <w:lang w:val="en-US" w:eastAsia="zh-CN"/>
        </w:rPr>
        <w:t>商务需求响应偏离表</w:t>
      </w:r>
    </w:p>
    <w:p>
      <w:pPr>
        <w:widowControl/>
        <w:numPr>
          <w:ilvl w:val="0"/>
          <w:numId w:val="9"/>
        </w:numPr>
        <w:shd w:val="clear" w:color="auto" w:fill="FFFFFF"/>
        <w:spacing w:line="360" w:lineRule="auto"/>
        <w:ind w:left="845" w:leftChars="0" w:hanging="425"/>
        <w:jc w:val="left"/>
        <w:rPr>
          <w:rFonts w:ascii="宋体" w:hAnsi="宋体" w:cs="宋体"/>
          <w:color w:val="2C436F"/>
          <w:kern w:val="0"/>
          <w:sz w:val="17"/>
          <w:szCs w:val="17"/>
        </w:rPr>
      </w:pPr>
      <w:r>
        <w:rPr>
          <w:rFonts w:hint="eastAsia" w:ascii="宋体" w:hAnsi="宋体" w:cs="宋体"/>
          <w:color w:val="333333"/>
          <w:kern w:val="0"/>
          <w:sz w:val="24"/>
          <w:szCs w:val="24"/>
        </w:rPr>
        <w:t>三年内参加政府采购活动中没有重大的违法、违规或其他不良纪录承诺函（格式不限）。</w:t>
      </w:r>
    </w:p>
    <w:p>
      <w:pPr>
        <w:rPr>
          <w:rFonts w:hint="eastAsia"/>
          <w:lang w:eastAsia="zh-CN"/>
        </w:rPr>
      </w:pPr>
      <w:r>
        <w:rPr>
          <w:rFonts w:hint="eastAsia"/>
          <w:lang w:eastAsia="zh-CN"/>
        </w:rPr>
        <w:br w:type="page"/>
      </w:r>
    </w:p>
    <w:p>
      <w:pPr>
        <w:widowControl/>
        <w:numPr>
          <w:ilvl w:val="0"/>
          <w:numId w:val="10"/>
        </w:numPr>
        <w:shd w:val="clear" w:color="auto" w:fill="FFFFFF"/>
        <w:spacing w:line="360" w:lineRule="auto"/>
        <w:ind w:left="845" w:leftChars="0" w:hanging="425" w:firstLineChars="0"/>
        <w:jc w:val="left"/>
        <w:rPr>
          <w:rFonts w:ascii="宋体" w:hAnsi="宋体" w:cs="宋体"/>
          <w:color w:val="2C436F"/>
          <w:kern w:val="0"/>
          <w:sz w:val="17"/>
          <w:szCs w:val="17"/>
        </w:rPr>
      </w:pPr>
      <w:r>
        <w:rPr>
          <w:rFonts w:hint="eastAsia" w:ascii="宋体" w:hAnsi="宋体" w:cs="宋体"/>
          <w:color w:val="333333"/>
          <w:kern w:val="0"/>
          <w:sz w:val="24"/>
          <w:szCs w:val="24"/>
        </w:rPr>
        <w:t>投标人法定代表人证明书原件</w:t>
      </w:r>
    </w:p>
    <w:p>
      <w:pPr>
        <w:pStyle w:val="2"/>
        <w:rPr>
          <w:rFonts w:hint="eastAsia"/>
          <w:lang w:eastAsia="zh-CN"/>
        </w:rPr>
        <w:sectPr>
          <w:pgSz w:w="11906" w:h="16838"/>
          <w:pgMar w:top="1440" w:right="1800" w:bottom="1440" w:left="1800" w:header="851" w:footer="992" w:gutter="0"/>
          <w:pgNumType w:fmt="decimal"/>
          <w:cols w:space="425" w:num="1"/>
          <w:docGrid w:type="lines" w:linePitch="312" w:charSpace="0"/>
        </w:sectPr>
      </w:pPr>
    </w:p>
    <w:p>
      <w:pPr>
        <w:widowControl/>
        <w:numPr>
          <w:ilvl w:val="0"/>
          <w:numId w:val="10"/>
        </w:numPr>
        <w:shd w:val="clear" w:color="auto" w:fill="FFFFFF"/>
        <w:spacing w:line="360" w:lineRule="auto"/>
        <w:ind w:left="845" w:leftChars="0" w:hanging="425" w:firstLineChars="0"/>
        <w:jc w:val="left"/>
        <w:rPr>
          <w:rFonts w:ascii="宋体" w:hAnsi="宋体" w:cs="宋体"/>
          <w:color w:val="333333"/>
          <w:kern w:val="0"/>
          <w:sz w:val="24"/>
          <w:szCs w:val="24"/>
        </w:rPr>
      </w:pPr>
      <w:r>
        <w:rPr>
          <w:rFonts w:hint="eastAsia" w:ascii="宋体" w:hAnsi="宋体" w:cs="宋体"/>
          <w:color w:val="333333"/>
          <w:kern w:val="0"/>
          <w:sz w:val="24"/>
          <w:szCs w:val="24"/>
        </w:rPr>
        <w:t>投标文件签署授权委托书原件、授权代表身份证复印件</w:t>
      </w:r>
    </w:p>
    <w:p>
      <w:pPr>
        <w:rPr>
          <w:rFonts w:hint="eastAsia"/>
          <w:lang w:eastAsia="zh-CN"/>
        </w:rPr>
        <w:sectPr>
          <w:pgSz w:w="11906" w:h="16838"/>
          <w:pgMar w:top="1440" w:right="1800" w:bottom="1440" w:left="1800" w:header="851" w:footer="992" w:gutter="0"/>
          <w:pgNumType w:fmt="decimal"/>
          <w:cols w:space="425" w:num="1"/>
          <w:docGrid w:type="lines" w:linePitch="312" w:charSpace="0"/>
        </w:sectPr>
      </w:pPr>
    </w:p>
    <w:p>
      <w:pPr>
        <w:widowControl/>
        <w:numPr>
          <w:ilvl w:val="0"/>
          <w:numId w:val="10"/>
        </w:numPr>
        <w:shd w:val="clear" w:color="auto" w:fill="FFFFFF"/>
        <w:spacing w:line="360" w:lineRule="auto"/>
        <w:ind w:left="845" w:leftChars="0" w:hanging="425" w:firstLineChars="0"/>
        <w:jc w:val="left"/>
        <w:rPr>
          <w:rFonts w:hint="eastAsia" w:ascii="宋体" w:hAnsi="宋体" w:cs="宋体"/>
          <w:color w:val="333333"/>
          <w:kern w:val="0"/>
          <w:sz w:val="24"/>
          <w:szCs w:val="24"/>
        </w:rPr>
      </w:pPr>
      <w:r>
        <w:rPr>
          <w:rFonts w:hint="eastAsia" w:ascii="宋体" w:hAnsi="宋体" w:cs="宋体"/>
          <w:color w:val="333333"/>
          <w:kern w:val="0"/>
          <w:sz w:val="24"/>
          <w:szCs w:val="24"/>
        </w:rPr>
        <w:t>企业营业执照（具备相关经营范围）复印件</w:t>
      </w:r>
    </w:p>
    <w:p>
      <w:pPr>
        <w:pStyle w:val="2"/>
        <w:rPr>
          <w:rFonts w:hint="eastAsia"/>
          <w:lang w:eastAsia="zh-CN"/>
        </w:rPr>
        <w:sectPr>
          <w:pgSz w:w="11906" w:h="16838"/>
          <w:pgMar w:top="1440" w:right="1800" w:bottom="1440" w:left="1800" w:header="851" w:footer="992" w:gutter="0"/>
          <w:pgNumType w:fmt="decimal"/>
          <w:cols w:space="425" w:num="1"/>
          <w:docGrid w:type="lines" w:linePitch="312" w:charSpace="0"/>
        </w:sectPr>
      </w:pPr>
    </w:p>
    <w:p>
      <w:pPr>
        <w:widowControl/>
        <w:numPr>
          <w:ilvl w:val="0"/>
          <w:numId w:val="10"/>
        </w:numPr>
        <w:shd w:val="clear" w:color="auto" w:fill="FFFFFF"/>
        <w:spacing w:line="360" w:lineRule="auto"/>
        <w:ind w:left="845" w:leftChars="0" w:hanging="425" w:firstLineChars="0"/>
        <w:jc w:val="left"/>
        <w:rPr>
          <w:rFonts w:hint="default" w:ascii="宋体" w:hAnsi="宋体" w:cs="宋体"/>
          <w:color w:val="333333"/>
          <w:kern w:val="0"/>
          <w:sz w:val="24"/>
          <w:szCs w:val="24"/>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s="宋体"/>
          <w:color w:val="333333"/>
          <w:kern w:val="0"/>
          <w:sz w:val="24"/>
          <w:szCs w:val="24"/>
          <w:lang w:val="en-US" w:eastAsia="zh-CN"/>
        </w:rPr>
        <w:t>《医疗器械生产企业许可证》/《医疗器械经营企业许可证》/《第二类医疗器械经营备案凭证》</w:t>
      </w:r>
    </w:p>
    <w:p>
      <w:pPr>
        <w:widowControl/>
        <w:numPr>
          <w:ilvl w:val="0"/>
          <w:numId w:val="10"/>
        </w:numPr>
        <w:shd w:val="clear" w:color="auto" w:fill="FFFFFF"/>
        <w:spacing w:line="360" w:lineRule="auto"/>
        <w:ind w:left="845" w:leftChars="0" w:hanging="425" w:firstLineChars="0"/>
        <w:jc w:val="left"/>
        <w:rPr>
          <w:rFonts w:hint="default" w:ascii="宋体" w:hAnsi="宋体" w:cs="宋体"/>
          <w:color w:val="333333"/>
          <w:kern w:val="0"/>
          <w:sz w:val="24"/>
          <w:szCs w:val="24"/>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s="宋体"/>
          <w:color w:val="333333"/>
          <w:kern w:val="0"/>
          <w:sz w:val="24"/>
          <w:szCs w:val="24"/>
          <w:lang w:val="en-US" w:eastAsia="zh-CN"/>
        </w:rPr>
        <w:t>《医疗器械注册（备案）证》</w:t>
      </w:r>
    </w:p>
    <w:p>
      <w:pPr>
        <w:widowControl/>
        <w:numPr>
          <w:ilvl w:val="0"/>
          <w:numId w:val="10"/>
        </w:numPr>
        <w:shd w:val="clear" w:color="auto" w:fill="FFFFFF"/>
        <w:spacing w:line="360" w:lineRule="auto"/>
        <w:ind w:left="845" w:leftChars="0" w:hanging="425" w:firstLineChars="0"/>
        <w:jc w:val="left"/>
        <w:rPr>
          <w:rFonts w:hint="eastAsia" w:ascii="宋体" w:hAnsi="宋体" w:cs="宋体"/>
          <w:color w:val="333333"/>
          <w:kern w:val="0"/>
          <w:sz w:val="22"/>
          <w:szCs w:val="22"/>
          <w:lang w:val="en-US" w:eastAsia="zh-CN"/>
        </w:rPr>
      </w:pPr>
      <w:r>
        <w:rPr>
          <w:rFonts w:hint="eastAsia" w:ascii="宋体" w:hAnsi="宋体" w:cs="宋体"/>
          <w:color w:val="333333"/>
          <w:kern w:val="0"/>
          <w:sz w:val="24"/>
          <w:szCs w:val="24"/>
          <w:lang w:val="en-US" w:eastAsia="zh-CN"/>
        </w:rPr>
        <w:t>代理授权书（如非生产厂家直销）</w:t>
      </w:r>
      <w:r>
        <w:rPr>
          <w:rFonts w:hint="eastAsia" w:ascii="宋体" w:hAnsi="宋体" w:cs="宋体"/>
          <w:color w:val="333333"/>
          <w:kern w:val="0"/>
          <w:sz w:val="22"/>
          <w:szCs w:val="22"/>
          <w:lang w:val="en-US" w:eastAsia="zh-CN"/>
        </w:rPr>
        <w:t>说明：如投标人所投产品为国产品牌，则无需提供。</w:t>
      </w:r>
    </w:p>
    <w:p>
      <w:pPr>
        <w:widowControl/>
        <w:numPr>
          <w:ilvl w:val="0"/>
          <w:numId w:val="10"/>
        </w:numPr>
        <w:shd w:val="clear" w:color="auto" w:fill="FFFFFF"/>
        <w:spacing w:line="360" w:lineRule="auto"/>
        <w:ind w:left="845" w:leftChars="0" w:hanging="425" w:firstLineChars="0"/>
        <w:jc w:val="left"/>
        <w:rPr>
          <w:rFonts w:hint="eastAsia" w:ascii="宋体" w:hAnsi="宋体" w:cs="宋体"/>
          <w:color w:val="333333"/>
          <w:kern w:val="0"/>
          <w:sz w:val="22"/>
          <w:szCs w:val="22"/>
          <w:lang w:val="en-US" w:eastAsia="zh-CN"/>
        </w:rPr>
        <w:sectPr>
          <w:pgSz w:w="11906" w:h="16838"/>
          <w:pgMar w:top="1440" w:right="1800" w:bottom="1440" w:left="1800" w:header="851" w:footer="992" w:gutter="0"/>
          <w:pgNumType w:fmt="decimal"/>
          <w:cols w:space="425" w:num="1"/>
          <w:docGrid w:type="lines" w:linePitch="312" w:charSpace="0"/>
        </w:sectPr>
      </w:pPr>
    </w:p>
    <w:p>
      <w:pPr>
        <w:widowControl/>
        <w:numPr>
          <w:ilvl w:val="0"/>
          <w:numId w:val="10"/>
        </w:numPr>
        <w:shd w:val="clear" w:color="auto" w:fill="FFFFFF"/>
        <w:spacing w:line="360" w:lineRule="auto"/>
        <w:ind w:left="845" w:leftChars="0" w:hanging="425" w:firstLineChars="0"/>
        <w:jc w:val="left"/>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报价表</w:t>
      </w:r>
    </w:p>
    <w:tbl>
      <w:tblPr>
        <w:tblStyle w:val="13"/>
        <w:tblW w:w="9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027"/>
        <w:gridCol w:w="2185"/>
        <w:gridCol w:w="2193"/>
        <w:gridCol w:w="1104"/>
        <w:gridCol w:w="854"/>
        <w:gridCol w:w="1083"/>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27" w:type="dxa"/>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1027" w:type="dxa"/>
            <w:vAlign w:val="center"/>
          </w:tcPr>
          <w:p>
            <w:pPr>
              <w:widowControl/>
              <w:jc w:val="center"/>
              <w:rPr>
                <w:rFonts w:ascii="宋体" w:hAnsi="宋体" w:cs="宋体"/>
                <w:b/>
                <w:bCs/>
                <w:kern w:val="0"/>
                <w:szCs w:val="21"/>
              </w:rPr>
            </w:pPr>
            <w:r>
              <w:rPr>
                <w:rFonts w:hint="eastAsia" w:ascii="宋体" w:hAnsi="宋体" w:cs="宋体"/>
                <w:b/>
                <w:bCs/>
                <w:kern w:val="0"/>
                <w:szCs w:val="21"/>
              </w:rPr>
              <w:t>货物名称</w:t>
            </w:r>
          </w:p>
        </w:tc>
        <w:tc>
          <w:tcPr>
            <w:tcW w:w="2185" w:type="dxa"/>
            <w:vAlign w:val="center"/>
          </w:tcPr>
          <w:p>
            <w:pPr>
              <w:widowControl/>
              <w:jc w:val="center"/>
              <w:rPr>
                <w:rFonts w:hint="eastAsia" w:ascii="宋体" w:hAnsi="宋体" w:cs="宋体"/>
                <w:b/>
                <w:bCs/>
                <w:kern w:val="0"/>
                <w:szCs w:val="21"/>
                <w:lang w:eastAsia="zh-CN"/>
              </w:rPr>
            </w:pPr>
            <w:r>
              <w:rPr>
                <w:rFonts w:hint="eastAsia" w:ascii="宋体" w:hAnsi="宋体" w:cs="宋体"/>
                <w:b/>
                <w:bCs/>
                <w:kern w:val="0"/>
                <w:szCs w:val="21"/>
                <w:lang w:eastAsia="zh-CN"/>
              </w:rPr>
              <w:t>品牌</w:t>
            </w:r>
          </w:p>
        </w:tc>
        <w:tc>
          <w:tcPr>
            <w:tcW w:w="2193" w:type="dxa"/>
            <w:vAlign w:val="center"/>
          </w:tcPr>
          <w:p>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规格型号</w:t>
            </w:r>
          </w:p>
        </w:tc>
        <w:tc>
          <w:tcPr>
            <w:tcW w:w="1104" w:type="dxa"/>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c>
          <w:tcPr>
            <w:tcW w:w="854" w:type="dxa"/>
            <w:vAlign w:val="center"/>
          </w:tcPr>
          <w:p>
            <w:pPr>
              <w:widowControl/>
              <w:jc w:val="center"/>
              <w:rPr>
                <w:rFonts w:ascii="宋体" w:hAnsi="宋体" w:cs="宋体"/>
                <w:b/>
                <w:bCs/>
                <w:kern w:val="0"/>
                <w:szCs w:val="21"/>
              </w:rPr>
            </w:pPr>
            <w:r>
              <w:rPr>
                <w:rFonts w:hint="eastAsia" w:ascii="宋体" w:hAnsi="宋体" w:cs="宋体"/>
                <w:b/>
                <w:bCs/>
                <w:kern w:val="0"/>
                <w:szCs w:val="21"/>
              </w:rPr>
              <w:t>单位</w:t>
            </w:r>
          </w:p>
        </w:tc>
        <w:tc>
          <w:tcPr>
            <w:tcW w:w="1083" w:type="dxa"/>
            <w:vAlign w:val="center"/>
          </w:tcPr>
          <w:p>
            <w:pPr>
              <w:widowControl/>
              <w:jc w:val="center"/>
              <w:rPr>
                <w:rFonts w:ascii="宋体" w:hAnsi="宋体" w:cs="宋体"/>
                <w:b/>
                <w:bCs/>
                <w:kern w:val="0"/>
                <w:szCs w:val="21"/>
              </w:rPr>
            </w:pPr>
            <w:r>
              <w:rPr>
                <w:rFonts w:hint="eastAsia" w:ascii="宋体" w:hAnsi="宋体" w:cs="宋体"/>
                <w:b/>
                <w:bCs/>
                <w:kern w:val="0"/>
                <w:szCs w:val="21"/>
              </w:rPr>
              <w:t>单价（元）</w:t>
            </w:r>
          </w:p>
        </w:tc>
        <w:tc>
          <w:tcPr>
            <w:tcW w:w="971" w:type="dxa"/>
            <w:vAlign w:val="center"/>
          </w:tcPr>
          <w:p>
            <w:pPr>
              <w:widowControl/>
              <w:jc w:val="center"/>
              <w:rPr>
                <w:rFonts w:ascii="宋体" w:hAnsi="宋体" w:cs="宋体"/>
                <w:b/>
                <w:bCs/>
                <w:kern w:val="0"/>
                <w:szCs w:val="21"/>
              </w:rPr>
            </w:pPr>
            <w:r>
              <w:rPr>
                <w:rFonts w:hint="eastAsia" w:ascii="宋体" w:hAnsi="宋体" w:cs="宋体"/>
                <w:b/>
                <w:bCs/>
                <w:kern w:val="0"/>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27"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027" w:type="dxa"/>
            <w:vAlign w:val="center"/>
          </w:tcPr>
          <w:p>
            <w:pPr>
              <w:widowControl/>
              <w:jc w:val="center"/>
              <w:rPr>
                <w:rFonts w:ascii="宋体" w:hAnsi="宋体" w:cs="宋体"/>
                <w:color w:val="000000"/>
                <w:kern w:val="0"/>
                <w:szCs w:val="21"/>
              </w:rPr>
            </w:pPr>
          </w:p>
        </w:tc>
        <w:tc>
          <w:tcPr>
            <w:tcW w:w="2185" w:type="dxa"/>
            <w:vAlign w:val="center"/>
          </w:tcPr>
          <w:p>
            <w:pPr>
              <w:widowControl/>
              <w:jc w:val="left"/>
              <w:rPr>
                <w:rFonts w:ascii="宋体" w:hAnsi="宋体" w:cs="宋体"/>
                <w:color w:val="000000"/>
                <w:kern w:val="0"/>
                <w:szCs w:val="21"/>
              </w:rPr>
            </w:pPr>
          </w:p>
        </w:tc>
        <w:tc>
          <w:tcPr>
            <w:tcW w:w="2193" w:type="dxa"/>
            <w:vAlign w:val="center"/>
          </w:tcPr>
          <w:p>
            <w:pPr>
              <w:widowControl/>
              <w:jc w:val="left"/>
              <w:rPr>
                <w:rFonts w:ascii="宋体" w:hAnsi="宋体" w:cs="宋体"/>
                <w:color w:val="000000"/>
                <w:kern w:val="0"/>
                <w:szCs w:val="21"/>
              </w:rPr>
            </w:pPr>
          </w:p>
        </w:tc>
        <w:tc>
          <w:tcPr>
            <w:tcW w:w="1104" w:type="dxa"/>
            <w:noWrap/>
            <w:vAlign w:val="center"/>
          </w:tcPr>
          <w:p>
            <w:pPr>
              <w:widowControl/>
              <w:jc w:val="center"/>
              <w:rPr>
                <w:rFonts w:ascii="宋体" w:hAnsi="宋体" w:cs="宋体"/>
                <w:kern w:val="0"/>
                <w:szCs w:val="21"/>
              </w:rPr>
            </w:pPr>
          </w:p>
        </w:tc>
        <w:tc>
          <w:tcPr>
            <w:tcW w:w="854" w:type="dxa"/>
            <w:noWrap/>
            <w:vAlign w:val="center"/>
          </w:tcPr>
          <w:p>
            <w:pPr>
              <w:widowControl/>
              <w:jc w:val="center"/>
              <w:rPr>
                <w:rFonts w:ascii="宋体" w:hAnsi="宋体" w:cs="宋体"/>
                <w:color w:val="000000"/>
                <w:kern w:val="0"/>
                <w:szCs w:val="21"/>
              </w:rPr>
            </w:pPr>
          </w:p>
        </w:tc>
        <w:tc>
          <w:tcPr>
            <w:tcW w:w="1083" w:type="dxa"/>
            <w:noWrap/>
            <w:vAlign w:val="center"/>
          </w:tcPr>
          <w:p>
            <w:pPr>
              <w:widowControl/>
              <w:jc w:val="center"/>
              <w:rPr>
                <w:rFonts w:ascii="宋体" w:hAnsi="宋体" w:cs="宋体"/>
                <w:color w:val="000000"/>
                <w:kern w:val="0"/>
                <w:szCs w:val="21"/>
              </w:rPr>
            </w:pPr>
          </w:p>
        </w:tc>
        <w:tc>
          <w:tcPr>
            <w:tcW w:w="971"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27" w:type="dxa"/>
            <w:noWrap/>
            <w:vAlign w:val="center"/>
          </w:tcPr>
          <w:p>
            <w:pPr>
              <w:widowControl/>
              <w:jc w:val="center"/>
              <w:rPr>
                <w:rFonts w:ascii="宋体" w:hAnsi="宋体" w:cs="宋体"/>
                <w:color w:val="000000"/>
                <w:kern w:val="0"/>
                <w:szCs w:val="21"/>
              </w:rPr>
            </w:pPr>
          </w:p>
        </w:tc>
        <w:tc>
          <w:tcPr>
            <w:tcW w:w="1027" w:type="dxa"/>
            <w:vAlign w:val="center"/>
          </w:tcPr>
          <w:p>
            <w:pPr>
              <w:widowControl/>
              <w:jc w:val="center"/>
              <w:rPr>
                <w:rFonts w:ascii="宋体" w:hAnsi="宋体" w:cs="宋体"/>
                <w:color w:val="000000"/>
                <w:kern w:val="0"/>
                <w:szCs w:val="21"/>
              </w:rPr>
            </w:pPr>
          </w:p>
        </w:tc>
        <w:tc>
          <w:tcPr>
            <w:tcW w:w="2185" w:type="dxa"/>
            <w:vAlign w:val="center"/>
          </w:tcPr>
          <w:p>
            <w:pPr>
              <w:widowControl/>
              <w:jc w:val="left"/>
              <w:rPr>
                <w:rFonts w:ascii="宋体" w:hAnsi="宋体" w:cs="宋体"/>
                <w:color w:val="000000"/>
                <w:kern w:val="0"/>
                <w:szCs w:val="21"/>
              </w:rPr>
            </w:pPr>
          </w:p>
        </w:tc>
        <w:tc>
          <w:tcPr>
            <w:tcW w:w="2193" w:type="dxa"/>
            <w:vAlign w:val="center"/>
          </w:tcPr>
          <w:p>
            <w:pPr>
              <w:widowControl/>
              <w:jc w:val="left"/>
              <w:rPr>
                <w:rFonts w:ascii="宋体" w:hAnsi="宋体" w:cs="宋体"/>
                <w:color w:val="000000"/>
                <w:kern w:val="0"/>
                <w:szCs w:val="21"/>
              </w:rPr>
            </w:pPr>
          </w:p>
        </w:tc>
        <w:tc>
          <w:tcPr>
            <w:tcW w:w="1104" w:type="dxa"/>
            <w:noWrap/>
            <w:vAlign w:val="center"/>
          </w:tcPr>
          <w:p>
            <w:pPr>
              <w:widowControl/>
              <w:jc w:val="center"/>
              <w:rPr>
                <w:rFonts w:ascii="宋体" w:hAnsi="宋体" w:cs="宋体"/>
                <w:kern w:val="0"/>
                <w:szCs w:val="21"/>
              </w:rPr>
            </w:pPr>
          </w:p>
        </w:tc>
        <w:tc>
          <w:tcPr>
            <w:tcW w:w="854" w:type="dxa"/>
            <w:noWrap/>
            <w:vAlign w:val="center"/>
          </w:tcPr>
          <w:p>
            <w:pPr>
              <w:widowControl/>
              <w:jc w:val="center"/>
              <w:rPr>
                <w:rFonts w:ascii="宋体" w:hAnsi="宋体" w:cs="宋体"/>
                <w:color w:val="000000"/>
                <w:kern w:val="0"/>
                <w:szCs w:val="21"/>
              </w:rPr>
            </w:pPr>
          </w:p>
        </w:tc>
        <w:tc>
          <w:tcPr>
            <w:tcW w:w="1083" w:type="dxa"/>
            <w:noWrap/>
            <w:vAlign w:val="center"/>
          </w:tcPr>
          <w:p>
            <w:pPr>
              <w:widowControl/>
              <w:jc w:val="center"/>
              <w:rPr>
                <w:rFonts w:ascii="宋体" w:hAnsi="宋体" w:cs="宋体"/>
                <w:color w:val="000000"/>
                <w:kern w:val="0"/>
                <w:szCs w:val="21"/>
              </w:rPr>
            </w:pPr>
          </w:p>
        </w:tc>
        <w:tc>
          <w:tcPr>
            <w:tcW w:w="971"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27" w:type="dxa"/>
            <w:noWrap/>
            <w:vAlign w:val="center"/>
          </w:tcPr>
          <w:p>
            <w:pPr>
              <w:widowControl/>
              <w:jc w:val="center"/>
              <w:rPr>
                <w:rFonts w:ascii="宋体" w:hAnsi="宋体" w:cs="宋体"/>
                <w:color w:val="000000"/>
                <w:kern w:val="0"/>
                <w:szCs w:val="21"/>
              </w:rPr>
            </w:pPr>
          </w:p>
        </w:tc>
        <w:tc>
          <w:tcPr>
            <w:tcW w:w="1027" w:type="dxa"/>
            <w:vAlign w:val="center"/>
          </w:tcPr>
          <w:p>
            <w:pPr>
              <w:widowControl/>
              <w:jc w:val="center"/>
              <w:rPr>
                <w:rFonts w:ascii="宋体" w:hAnsi="宋体" w:cs="宋体"/>
                <w:color w:val="000000"/>
                <w:kern w:val="0"/>
                <w:szCs w:val="21"/>
              </w:rPr>
            </w:pPr>
          </w:p>
        </w:tc>
        <w:tc>
          <w:tcPr>
            <w:tcW w:w="2185" w:type="dxa"/>
            <w:vAlign w:val="center"/>
          </w:tcPr>
          <w:p>
            <w:pPr>
              <w:widowControl/>
              <w:jc w:val="left"/>
              <w:rPr>
                <w:rFonts w:ascii="宋体" w:hAnsi="宋体" w:cs="宋体"/>
                <w:color w:val="000000"/>
                <w:kern w:val="0"/>
                <w:szCs w:val="21"/>
              </w:rPr>
            </w:pPr>
          </w:p>
        </w:tc>
        <w:tc>
          <w:tcPr>
            <w:tcW w:w="2193" w:type="dxa"/>
            <w:vAlign w:val="center"/>
          </w:tcPr>
          <w:p>
            <w:pPr>
              <w:widowControl/>
              <w:jc w:val="left"/>
              <w:rPr>
                <w:rFonts w:ascii="宋体" w:hAnsi="宋体" w:cs="宋体"/>
                <w:color w:val="000000"/>
                <w:kern w:val="0"/>
                <w:szCs w:val="21"/>
              </w:rPr>
            </w:pPr>
          </w:p>
        </w:tc>
        <w:tc>
          <w:tcPr>
            <w:tcW w:w="1104" w:type="dxa"/>
            <w:noWrap/>
            <w:vAlign w:val="center"/>
          </w:tcPr>
          <w:p>
            <w:pPr>
              <w:widowControl/>
              <w:jc w:val="center"/>
              <w:rPr>
                <w:rFonts w:ascii="宋体" w:hAnsi="宋体" w:cs="宋体"/>
                <w:kern w:val="0"/>
                <w:szCs w:val="21"/>
              </w:rPr>
            </w:pPr>
          </w:p>
        </w:tc>
        <w:tc>
          <w:tcPr>
            <w:tcW w:w="854" w:type="dxa"/>
            <w:noWrap/>
            <w:vAlign w:val="center"/>
          </w:tcPr>
          <w:p>
            <w:pPr>
              <w:widowControl/>
              <w:jc w:val="center"/>
              <w:rPr>
                <w:rFonts w:ascii="宋体" w:hAnsi="宋体" w:cs="宋体"/>
                <w:color w:val="000000"/>
                <w:kern w:val="0"/>
                <w:szCs w:val="21"/>
              </w:rPr>
            </w:pPr>
          </w:p>
        </w:tc>
        <w:tc>
          <w:tcPr>
            <w:tcW w:w="1083" w:type="dxa"/>
            <w:noWrap/>
            <w:vAlign w:val="center"/>
          </w:tcPr>
          <w:p>
            <w:pPr>
              <w:widowControl/>
              <w:jc w:val="center"/>
              <w:rPr>
                <w:rFonts w:ascii="宋体" w:hAnsi="宋体" w:cs="宋体"/>
                <w:color w:val="000000"/>
                <w:kern w:val="0"/>
                <w:szCs w:val="21"/>
              </w:rPr>
            </w:pPr>
          </w:p>
        </w:tc>
        <w:tc>
          <w:tcPr>
            <w:tcW w:w="971"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27" w:type="dxa"/>
            <w:noWrap/>
            <w:vAlign w:val="center"/>
          </w:tcPr>
          <w:p>
            <w:pPr>
              <w:widowControl/>
              <w:jc w:val="center"/>
              <w:rPr>
                <w:rFonts w:ascii="宋体" w:hAnsi="宋体" w:cs="宋体"/>
                <w:color w:val="000000"/>
                <w:kern w:val="0"/>
                <w:szCs w:val="21"/>
              </w:rPr>
            </w:pPr>
          </w:p>
        </w:tc>
        <w:tc>
          <w:tcPr>
            <w:tcW w:w="1027" w:type="dxa"/>
            <w:vAlign w:val="center"/>
          </w:tcPr>
          <w:p>
            <w:pPr>
              <w:widowControl/>
              <w:jc w:val="center"/>
              <w:rPr>
                <w:rFonts w:ascii="宋体" w:hAnsi="宋体" w:cs="宋体"/>
                <w:color w:val="000000"/>
                <w:kern w:val="0"/>
                <w:szCs w:val="21"/>
              </w:rPr>
            </w:pPr>
          </w:p>
        </w:tc>
        <w:tc>
          <w:tcPr>
            <w:tcW w:w="2185" w:type="dxa"/>
            <w:vAlign w:val="center"/>
          </w:tcPr>
          <w:p>
            <w:pPr>
              <w:widowControl/>
              <w:jc w:val="left"/>
              <w:rPr>
                <w:rFonts w:ascii="宋体" w:hAnsi="宋体" w:cs="宋体"/>
                <w:color w:val="000000"/>
                <w:kern w:val="0"/>
                <w:szCs w:val="21"/>
              </w:rPr>
            </w:pPr>
          </w:p>
        </w:tc>
        <w:tc>
          <w:tcPr>
            <w:tcW w:w="2193" w:type="dxa"/>
            <w:vAlign w:val="center"/>
          </w:tcPr>
          <w:p>
            <w:pPr>
              <w:widowControl/>
              <w:jc w:val="left"/>
              <w:rPr>
                <w:rFonts w:ascii="宋体" w:hAnsi="宋体" w:cs="宋体"/>
                <w:color w:val="000000"/>
                <w:kern w:val="0"/>
                <w:szCs w:val="21"/>
              </w:rPr>
            </w:pPr>
          </w:p>
        </w:tc>
        <w:tc>
          <w:tcPr>
            <w:tcW w:w="1104" w:type="dxa"/>
            <w:noWrap/>
            <w:vAlign w:val="center"/>
          </w:tcPr>
          <w:p>
            <w:pPr>
              <w:widowControl/>
              <w:jc w:val="center"/>
              <w:rPr>
                <w:rFonts w:ascii="宋体" w:hAnsi="宋体" w:cs="宋体"/>
                <w:kern w:val="0"/>
                <w:szCs w:val="21"/>
              </w:rPr>
            </w:pPr>
          </w:p>
        </w:tc>
        <w:tc>
          <w:tcPr>
            <w:tcW w:w="854" w:type="dxa"/>
            <w:noWrap/>
            <w:vAlign w:val="center"/>
          </w:tcPr>
          <w:p>
            <w:pPr>
              <w:widowControl/>
              <w:jc w:val="center"/>
              <w:rPr>
                <w:rFonts w:ascii="宋体" w:hAnsi="宋体" w:cs="宋体"/>
                <w:color w:val="000000"/>
                <w:kern w:val="0"/>
                <w:szCs w:val="21"/>
              </w:rPr>
            </w:pPr>
          </w:p>
        </w:tc>
        <w:tc>
          <w:tcPr>
            <w:tcW w:w="1083" w:type="dxa"/>
            <w:noWrap/>
            <w:vAlign w:val="center"/>
          </w:tcPr>
          <w:p>
            <w:pPr>
              <w:widowControl/>
              <w:jc w:val="center"/>
              <w:rPr>
                <w:rFonts w:ascii="宋体" w:hAnsi="宋体" w:cs="宋体"/>
                <w:color w:val="000000"/>
                <w:kern w:val="0"/>
                <w:szCs w:val="21"/>
              </w:rPr>
            </w:pPr>
          </w:p>
        </w:tc>
        <w:tc>
          <w:tcPr>
            <w:tcW w:w="971"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27" w:type="dxa"/>
            <w:noWrap/>
            <w:vAlign w:val="center"/>
          </w:tcPr>
          <w:p>
            <w:pPr>
              <w:widowControl/>
              <w:jc w:val="center"/>
              <w:rPr>
                <w:rFonts w:ascii="宋体" w:hAnsi="宋体" w:cs="宋体"/>
                <w:color w:val="000000"/>
                <w:kern w:val="0"/>
                <w:szCs w:val="21"/>
              </w:rPr>
            </w:pPr>
          </w:p>
        </w:tc>
        <w:tc>
          <w:tcPr>
            <w:tcW w:w="1027" w:type="dxa"/>
            <w:vAlign w:val="center"/>
          </w:tcPr>
          <w:p>
            <w:pPr>
              <w:widowControl/>
              <w:jc w:val="center"/>
              <w:rPr>
                <w:rFonts w:ascii="宋体" w:hAnsi="宋体" w:cs="宋体"/>
                <w:color w:val="000000"/>
                <w:kern w:val="0"/>
                <w:szCs w:val="21"/>
              </w:rPr>
            </w:pPr>
          </w:p>
        </w:tc>
        <w:tc>
          <w:tcPr>
            <w:tcW w:w="2185" w:type="dxa"/>
            <w:vAlign w:val="center"/>
          </w:tcPr>
          <w:p>
            <w:pPr>
              <w:widowControl/>
              <w:jc w:val="left"/>
              <w:rPr>
                <w:rFonts w:ascii="宋体" w:hAnsi="宋体" w:cs="宋体"/>
                <w:color w:val="000000"/>
                <w:kern w:val="0"/>
                <w:szCs w:val="21"/>
              </w:rPr>
            </w:pPr>
          </w:p>
        </w:tc>
        <w:tc>
          <w:tcPr>
            <w:tcW w:w="2193" w:type="dxa"/>
            <w:vAlign w:val="center"/>
          </w:tcPr>
          <w:p>
            <w:pPr>
              <w:widowControl/>
              <w:jc w:val="left"/>
              <w:rPr>
                <w:rFonts w:ascii="宋体" w:hAnsi="宋体" w:cs="宋体"/>
                <w:color w:val="000000"/>
                <w:kern w:val="0"/>
                <w:szCs w:val="21"/>
              </w:rPr>
            </w:pPr>
          </w:p>
        </w:tc>
        <w:tc>
          <w:tcPr>
            <w:tcW w:w="1104" w:type="dxa"/>
            <w:noWrap/>
            <w:vAlign w:val="center"/>
          </w:tcPr>
          <w:p>
            <w:pPr>
              <w:widowControl/>
              <w:jc w:val="center"/>
              <w:rPr>
                <w:rFonts w:ascii="宋体" w:hAnsi="宋体" w:cs="宋体"/>
                <w:kern w:val="0"/>
                <w:szCs w:val="21"/>
              </w:rPr>
            </w:pPr>
          </w:p>
        </w:tc>
        <w:tc>
          <w:tcPr>
            <w:tcW w:w="854" w:type="dxa"/>
            <w:noWrap/>
            <w:vAlign w:val="center"/>
          </w:tcPr>
          <w:p>
            <w:pPr>
              <w:widowControl/>
              <w:jc w:val="center"/>
              <w:rPr>
                <w:rFonts w:ascii="宋体" w:hAnsi="宋体" w:cs="宋体"/>
                <w:color w:val="000000"/>
                <w:kern w:val="0"/>
                <w:szCs w:val="21"/>
              </w:rPr>
            </w:pPr>
          </w:p>
        </w:tc>
        <w:tc>
          <w:tcPr>
            <w:tcW w:w="1083" w:type="dxa"/>
            <w:noWrap/>
            <w:vAlign w:val="center"/>
          </w:tcPr>
          <w:p>
            <w:pPr>
              <w:widowControl/>
              <w:jc w:val="center"/>
              <w:rPr>
                <w:rFonts w:ascii="宋体" w:hAnsi="宋体" w:cs="宋体"/>
                <w:color w:val="000000"/>
                <w:kern w:val="0"/>
                <w:szCs w:val="21"/>
              </w:rPr>
            </w:pPr>
          </w:p>
        </w:tc>
        <w:tc>
          <w:tcPr>
            <w:tcW w:w="971"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9844" w:type="dxa"/>
            <w:gridSpan w:val="8"/>
            <w:noWrap/>
            <w:vAlign w:val="center"/>
          </w:tcPr>
          <w:p>
            <w:pPr>
              <w:widowControl/>
              <w:rPr>
                <w:rFonts w:ascii="宋体" w:hAnsi="宋体" w:cs="宋体"/>
                <w:color w:val="000000"/>
                <w:kern w:val="0"/>
                <w:szCs w:val="21"/>
              </w:rPr>
            </w:pPr>
            <w:r>
              <w:rPr>
                <w:rFonts w:hint="eastAsia"/>
                <w:sz w:val="24"/>
              </w:rPr>
              <w:t>合计（即：投标总价；币种：人民币；单位：</w:t>
            </w:r>
            <w:r>
              <w:rPr>
                <w:rFonts w:hint="eastAsia"/>
                <w:sz w:val="24"/>
                <w:lang w:val="en-US" w:eastAsia="zh-CN"/>
              </w:rPr>
              <w:t xml:space="preserve">  </w:t>
            </w:r>
            <w:r>
              <w:rPr>
                <w:rFonts w:hint="eastAsia"/>
                <w:sz w:val="24"/>
              </w:rPr>
              <w:t>元）：</w:t>
            </w:r>
            <w:r>
              <w:rPr>
                <w:rFonts w:hint="eastAsia"/>
                <w:color w:val="FF0000"/>
                <w:sz w:val="24"/>
              </w:rPr>
              <w:t>大写：</w:t>
            </w:r>
          </w:p>
        </w:tc>
      </w:tr>
    </w:tbl>
    <w:p>
      <w:pPr>
        <w:rPr>
          <w:rFonts w:hint="eastAsia"/>
          <w:lang w:val="en-US" w:eastAsia="zh-CN"/>
        </w:rPr>
      </w:pPr>
    </w:p>
    <w:p>
      <w:pPr>
        <w:rPr>
          <w:rFonts w:ascii="宋体" w:hAnsi="宋体"/>
          <w:b/>
          <w:color w:val="FF0000"/>
          <w:sz w:val="24"/>
        </w:rPr>
      </w:pPr>
      <w:r>
        <w:rPr>
          <w:rFonts w:hint="eastAsia" w:ascii="宋体" w:hAnsi="宋体"/>
          <w:b/>
          <w:color w:val="FF0000"/>
          <w:sz w:val="24"/>
        </w:rPr>
        <w:t>注：1. 请根据“第三章 项目要求” “3.1招标需求明细表”填写。</w:t>
      </w:r>
    </w:p>
    <w:p>
      <w:pPr>
        <w:rPr>
          <w:rFonts w:ascii="宋体" w:hAnsi="宋体"/>
          <w:b/>
          <w:color w:val="FF0000"/>
          <w:sz w:val="24"/>
        </w:rPr>
      </w:pPr>
      <w:r>
        <w:rPr>
          <w:rFonts w:ascii="宋体" w:hAnsi="宋体"/>
          <w:b/>
          <w:color w:val="FF0000"/>
          <w:sz w:val="24"/>
        </w:rPr>
        <w:t xml:space="preserve">    2</w:t>
      </w:r>
      <w:r>
        <w:rPr>
          <w:rFonts w:hint="eastAsia" w:ascii="宋体" w:hAnsi="宋体"/>
          <w:b/>
          <w:color w:val="FF0000"/>
          <w:sz w:val="24"/>
        </w:rPr>
        <w:t>. 所有价格应按“招标文件”中规定的货币单位填写；投标总价应为以上各分项价格之和；投标总价和项目报价表中单个采购预算条目报价均不得超过对应的预算限额，否则将导致无效投标。</w:t>
      </w:r>
    </w:p>
    <w:p>
      <w:pPr>
        <w:ind w:firstLine="482" w:firstLineChars="200"/>
        <w:rPr>
          <w:rFonts w:ascii="宋体" w:hAnsi="宋体"/>
          <w:b/>
          <w:color w:val="FF0000"/>
          <w:sz w:val="24"/>
        </w:rPr>
      </w:pPr>
      <w:r>
        <w:rPr>
          <w:rFonts w:hint="eastAsia" w:ascii="宋体" w:hAnsi="宋体"/>
          <w:b/>
          <w:color w:val="FF0000"/>
          <w:sz w:val="24"/>
        </w:rPr>
        <w:t>3.</w:t>
      </w:r>
      <w:r>
        <w:rPr>
          <w:rFonts w:ascii="宋体" w:hAnsi="宋体"/>
          <w:b/>
          <w:color w:val="FF0000"/>
          <w:sz w:val="24"/>
        </w:rPr>
        <w:t xml:space="preserve"> </w:t>
      </w:r>
      <w:r>
        <w:rPr>
          <w:rFonts w:hint="eastAsia" w:ascii="宋体" w:hAnsi="宋体"/>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pPr>
        <w:ind w:firstLine="482" w:firstLineChars="200"/>
        <w:rPr>
          <w:rFonts w:ascii="宋体" w:hAnsi="宋体"/>
          <w:b/>
          <w:color w:val="FF0000"/>
          <w:sz w:val="24"/>
        </w:rPr>
      </w:pPr>
      <w:r>
        <w:rPr>
          <w:rFonts w:hint="eastAsia" w:ascii="宋体" w:hAnsi="宋体"/>
          <w:b/>
          <w:color w:val="FF0000"/>
          <w:sz w:val="24"/>
        </w:rPr>
        <w:t>4.</w:t>
      </w:r>
      <w:r>
        <w:rPr>
          <w:rFonts w:ascii="宋体" w:hAnsi="宋体"/>
          <w:b/>
          <w:color w:val="FF0000"/>
          <w:sz w:val="24"/>
        </w:rPr>
        <w:t xml:space="preserve"> </w:t>
      </w:r>
      <w:r>
        <w:rPr>
          <w:rFonts w:hint="eastAsia" w:ascii="宋体" w:hAnsi="宋体"/>
          <w:b/>
          <w:color w:val="FF0000"/>
          <w:sz w:val="24"/>
        </w:rPr>
        <w:t>开标一览表的投标总价应当与项目报价表的投标总价一致。</w:t>
      </w:r>
    </w:p>
    <w:p>
      <w:pPr>
        <w:rPr>
          <w:rFonts w:hint="eastAsia" w:ascii="宋体" w:hAnsi="宋体" w:cs="宋体"/>
          <w:color w:val="333333"/>
          <w:kern w:val="0"/>
          <w:sz w:val="24"/>
          <w:szCs w:val="24"/>
          <w:lang w:val="en-US" w:eastAsia="zh-CN"/>
        </w:rPr>
      </w:pPr>
    </w:p>
    <w:p>
      <w:pPr>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br w:type="page"/>
      </w:r>
    </w:p>
    <w:p>
      <w:pPr>
        <w:widowControl/>
        <w:numPr>
          <w:ilvl w:val="0"/>
          <w:numId w:val="10"/>
        </w:numPr>
        <w:shd w:val="clear" w:color="auto" w:fill="FFFFFF"/>
        <w:spacing w:line="360" w:lineRule="auto"/>
        <w:ind w:left="845" w:leftChars="0" w:hanging="425" w:firstLineChars="0"/>
        <w:jc w:val="left"/>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公司简介及联系方式</w:t>
      </w:r>
    </w:p>
    <w:p>
      <w:pPr>
        <w:pStyle w:val="2"/>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pPr>
        <w:widowControl/>
        <w:numPr>
          <w:ilvl w:val="0"/>
          <w:numId w:val="10"/>
        </w:numPr>
        <w:shd w:val="clear" w:color="auto" w:fill="FFFFFF"/>
        <w:spacing w:line="360" w:lineRule="auto"/>
        <w:ind w:left="845" w:leftChars="0" w:hanging="425" w:firstLineChars="0"/>
        <w:jc w:val="left"/>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技术需求响应偏离表（</w:t>
      </w:r>
      <w:r>
        <w:rPr>
          <w:rFonts w:hint="eastAsia"/>
          <w:b/>
          <w:color w:val="FF0000"/>
          <w:sz w:val="24"/>
          <w:lang w:eastAsia="zh-CN"/>
        </w:rPr>
        <w:t>技术需求</w:t>
      </w:r>
      <w:r>
        <w:rPr>
          <w:rFonts w:hint="eastAsia"/>
          <w:b/>
          <w:color w:val="FF0000"/>
          <w:sz w:val="24"/>
        </w:rPr>
        <w:t>为不可负偏离条款，投标文件响应为“负偏离”的，投标文件将按无效投标处理</w:t>
      </w:r>
      <w:r>
        <w:rPr>
          <w:rFonts w:hint="eastAsia"/>
          <w:b/>
          <w:color w:val="FF0000"/>
          <w:sz w:val="24"/>
          <w:lang w:eastAsia="zh-CN"/>
        </w:rPr>
        <w:t>）</w:t>
      </w:r>
    </w:p>
    <w:p>
      <w:pPr>
        <w:rPr>
          <w:rFonts w:hint="eastAsia"/>
          <w:lang w:val="en-US" w:eastAsia="zh-CN"/>
        </w:rPr>
      </w:pPr>
    </w:p>
    <w:tbl>
      <w:tblPr>
        <w:tblStyle w:val="12"/>
        <w:tblW w:w="9978" w:type="dxa"/>
        <w:jc w:val="center"/>
        <w:tblLayout w:type="fixed"/>
        <w:tblCellMar>
          <w:top w:w="0" w:type="dxa"/>
          <w:left w:w="108" w:type="dxa"/>
          <w:bottom w:w="0" w:type="dxa"/>
          <w:right w:w="108" w:type="dxa"/>
        </w:tblCellMar>
      </w:tblPr>
      <w:tblGrid>
        <w:gridCol w:w="646"/>
        <w:gridCol w:w="1394"/>
        <w:gridCol w:w="3291"/>
        <w:gridCol w:w="853"/>
        <w:gridCol w:w="1889"/>
        <w:gridCol w:w="1121"/>
        <w:gridCol w:w="784"/>
      </w:tblGrid>
      <w:tr>
        <w:tblPrEx>
          <w:tblCellMar>
            <w:top w:w="0" w:type="dxa"/>
            <w:left w:w="108" w:type="dxa"/>
            <w:bottom w:w="0" w:type="dxa"/>
            <w:right w:w="108" w:type="dxa"/>
          </w:tblCellMar>
        </w:tblPrEx>
        <w:trPr>
          <w:trHeight w:val="511" w:hRule="atLeast"/>
          <w:jc w:val="center"/>
        </w:trPr>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kern w:val="0"/>
                <w:szCs w:val="21"/>
              </w:rPr>
            </w:pPr>
          </w:p>
        </w:tc>
        <w:tc>
          <w:tcPr>
            <w:tcW w:w="553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招标技术条款</w:t>
            </w:r>
          </w:p>
        </w:tc>
        <w:tc>
          <w:tcPr>
            <w:tcW w:w="1889" w:type="dxa"/>
            <w:tcBorders>
              <w:top w:val="single" w:color="auto" w:sz="4" w:space="0"/>
              <w:left w:val="nil"/>
              <w:bottom w:val="single" w:color="auto" w:sz="4" w:space="0"/>
              <w:right w:val="single" w:color="auto" w:sz="4" w:space="0"/>
            </w:tcBorders>
          </w:tcPr>
          <w:p>
            <w:pPr>
              <w:widowControl/>
              <w:jc w:val="center"/>
              <w:rPr>
                <w:rFonts w:ascii="宋体" w:hAnsi="宋体" w:cs="宋体"/>
                <w:b/>
                <w:bCs/>
                <w:kern w:val="0"/>
                <w:szCs w:val="21"/>
              </w:rPr>
            </w:pPr>
            <w:r>
              <w:rPr>
                <w:rFonts w:hint="eastAsia" w:ascii="宋体" w:hAnsi="宋体" w:cs="宋体"/>
                <w:b/>
                <w:bCs/>
                <w:kern w:val="0"/>
                <w:szCs w:val="21"/>
              </w:rPr>
              <w:t>投标技术条款</w:t>
            </w:r>
          </w:p>
        </w:tc>
        <w:tc>
          <w:tcPr>
            <w:tcW w:w="1121" w:type="dxa"/>
            <w:tcBorders>
              <w:top w:val="single" w:color="auto" w:sz="4" w:space="0"/>
              <w:left w:val="nil"/>
              <w:bottom w:val="single" w:color="auto" w:sz="4" w:space="0"/>
              <w:right w:val="single" w:color="auto" w:sz="4" w:space="0"/>
            </w:tcBorders>
          </w:tcPr>
          <w:p>
            <w:pPr>
              <w:widowControl/>
              <w:jc w:val="center"/>
              <w:rPr>
                <w:rFonts w:ascii="宋体" w:hAnsi="宋体" w:cs="宋体"/>
                <w:b/>
                <w:bCs/>
                <w:kern w:val="0"/>
                <w:szCs w:val="21"/>
              </w:rPr>
            </w:pPr>
            <w:r>
              <w:rPr>
                <w:rFonts w:hint="eastAsia" w:ascii="宋体" w:hAnsi="宋体" w:cs="宋体"/>
                <w:b/>
                <w:bCs/>
                <w:kern w:val="0"/>
                <w:szCs w:val="21"/>
              </w:rPr>
              <w:t>偏离情况</w:t>
            </w:r>
          </w:p>
        </w:tc>
        <w:tc>
          <w:tcPr>
            <w:tcW w:w="784" w:type="dxa"/>
            <w:tcBorders>
              <w:top w:val="single" w:color="auto" w:sz="4" w:space="0"/>
              <w:left w:val="nil"/>
              <w:bottom w:val="single" w:color="auto" w:sz="4" w:space="0"/>
              <w:right w:val="single" w:color="auto" w:sz="4" w:space="0"/>
            </w:tcBorders>
          </w:tcPr>
          <w:p>
            <w:pPr>
              <w:widowControl/>
              <w:jc w:val="center"/>
              <w:rPr>
                <w:rFonts w:ascii="宋体" w:hAnsi="宋体" w:cs="宋体"/>
                <w:b/>
                <w:bCs/>
                <w:kern w:val="0"/>
                <w:szCs w:val="21"/>
              </w:rPr>
            </w:pPr>
            <w:r>
              <w:rPr>
                <w:rFonts w:hint="eastAsia" w:ascii="宋体" w:hAnsi="宋体" w:cs="宋体"/>
                <w:b/>
                <w:bCs/>
                <w:kern w:val="0"/>
                <w:szCs w:val="21"/>
              </w:rPr>
              <w:t>说明</w:t>
            </w:r>
          </w:p>
        </w:tc>
      </w:tr>
      <w:tr>
        <w:tblPrEx>
          <w:tblCellMar>
            <w:top w:w="0" w:type="dxa"/>
            <w:left w:w="108" w:type="dxa"/>
            <w:bottom w:w="0" w:type="dxa"/>
            <w:right w:w="108" w:type="dxa"/>
          </w:tblCellMar>
        </w:tblPrEx>
        <w:trPr>
          <w:trHeight w:val="511" w:hRule="atLeast"/>
          <w:jc w:val="center"/>
        </w:trPr>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13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货物名称</w:t>
            </w:r>
          </w:p>
        </w:tc>
        <w:tc>
          <w:tcPr>
            <w:tcW w:w="414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参数</w:t>
            </w:r>
          </w:p>
        </w:tc>
        <w:tc>
          <w:tcPr>
            <w:tcW w:w="1889" w:type="dxa"/>
            <w:tcBorders>
              <w:top w:val="single" w:color="auto" w:sz="4" w:space="0"/>
              <w:left w:val="nil"/>
              <w:bottom w:val="single" w:color="auto" w:sz="4" w:space="0"/>
              <w:right w:val="single" w:color="auto" w:sz="4" w:space="0"/>
            </w:tcBorders>
          </w:tcPr>
          <w:p>
            <w:pPr>
              <w:widowControl/>
              <w:jc w:val="center"/>
              <w:rPr>
                <w:rFonts w:ascii="宋体" w:hAnsi="宋体" w:cs="宋体"/>
                <w:b/>
                <w:bCs/>
                <w:kern w:val="0"/>
                <w:szCs w:val="21"/>
              </w:rPr>
            </w:pPr>
          </w:p>
        </w:tc>
        <w:tc>
          <w:tcPr>
            <w:tcW w:w="1121" w:type="dxa"/>
            <w:tcBorders>
              <w:top w:val="single" w:color="auto" w:sz="4" w:space="0"/>
              <w:left w:val="nil"/>
              <w:bottom w:val="single" w:color="auto" w:sz="4" w:space="0"/>
              <w:right w:val="single" w:color="auto" w:sz="4" w:space="0"/>
            </w:tcBorders>
          </w:tcPr>
          <w:p>
            <w:pPr>
              <w:widowControl/>
              <w:jc w:val="center"/>
              <w:rPr>
                <w:rFonts w:ascii="宋体" w:hAnsi="宋体" w:cs="宋体"/>
                <w:b/>
                <w:bCs/>
                <w:kern w:val="0"/>
                <w:szCs w:val="21"/>
              </w:rPr>
            </w:pPr>
          </w:p>
        </w:tc>
        <w:tc>
          <w:tcPr>
            <w:tcW w:w="784" w:type="dxa"/>
            <w:tcBorders>
              <w:top w:val="single" w:color="auto" w:sz="4" w:space="0"/>
              <w:left w:val="nil"/>
              <w:bottom w:val="single" w:color="auto" w:sz="4" w:space="0"/>
              <w:right w:val="single" w:color="auto" w:sz="4" w:space="0"/>
            </w:tcBorders>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629" w:hRule="atLeast"/>
          <w:jc w:val="center"/>
        </w:trPr>
        <w:tc>
          <w:tcPr>
            <w:tcW w:w="646"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394"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Cs w:val="21"/>
                <w:lang w:val="en-US"/>
              </w:rPr>
            </w:pPr>
            <w:r>
              <w:rPr>
                <w:rFonts w:hint="eastAsia" w:ascii="宋体" w:hAnsi="宋体"/>
                <w:b/>
              </w:rPr>
              <w:t>正置相差显微镜</w:t>
            </w:r>
          </w:p>
        </w:tc>
        <w:tc>
          <w:tcPr>
            <w:tcW w:w="41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numPr>
                <w:ilvl w:val="1"/>
                <w:numId w:val="1"/>
              </w:numPr>
              <w:ind w:left="360" w:leftChars="0" w:hanging="360" w:firstLineChars="0"/>
              <w:rPr>
                <w:rFonts w:ascii="宋体" w:hAnsi="宋体" w:cs="宋体"/>
                <w:kern w:val="0"/>
                <w:szCs w:val="21"/>
              </w:rPr>
            </w:pPr>
            <w:r>
              <w:rPr>
                <w:rFonts w:hint="eastAsia" w:ascii="宋体" w:hAnsi="宋体"/>
                <w:b/>
              </w:rPr>
              <w:t>正置相差显微镜</w:t>
            </w:r>
          </w:p>
        </w:tc>
        <w:tc>
          <w:tcPr>
            <w:tcW w:w="1889" w:type="dxa"/>
            <w:tcBorders>
              <w:top w:val="single" w:color="auto" w:sz="4" w:space="0"/>
              <w:left w:val="single" w:color="auto" w:sz="4" w:space="0"/>
              <w:bottom w:val="single" w:color="auto" w:sz="4" w:space="0"/>
              <w:right w:val="single" w:color="auto" w:sz="4" w:space="0"/>
            </w:tcBorders>
          </w:tcPr>
          <w:p>
            <w:pPr>
              <w:widowControl/>
              <w:numPr>
                <w:ilvl w:val="0"/>
                <w:numId w:val="0"/>
              </w:numPr>
              <w:ind w:leftChars="0"/>
              <w:jc w:val="center"/>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604" w:hRule="atLeast"/>
          <w:jc w:val="center"/>
        </w:trPr>
        <w:tc>
          <w:tcPr>
            <w:tcW w:w="646"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41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numPr>
                <w:ilvl w:val="2"/>
                <w:numId w:val="2"/>
              </w:numPr>
              <w:ind w:left="709" w:leftChars="0" w:hanging="709" w:firstLineChars="0"/>
              <w:rPr>
                <w:rFonts w:hint="eastAsia" w:ascii="宋体" w:hAnsi="宋体" w:cs="宋体"/>
                <w:color w:val="000000"/>
                <w:kern w:val="0"/>
                <w:szCs w:val="21"/>
              </w:rPr>
            </w:pPr>
            <w:r>
              <w:rPr>
                <w:rFonts w:hint="eastAsia" w:ascii="宋体" w:hAnsi="宋体"/>
                <w:b/>
              </w:rPr>
              <w:t>技术参数</w:t>
            </w:r>
          </w:p>
        </w:tc>
        <w:tc>
          <w:tcPr>
            <w:tcW w:w="1889" w:type="dxa"/>
            <w:tcBorders>
              <w:top w:val="single" w:color="auto" w:sz="4" w:space="0"/>
              <w:left w:val="single" w:color="auto" w:sz="4" w:space="0"/>
              <w:bottom w:val="single" w:color="auto" w:sz="4" w:space="0"/>
              <w:right w:val="single" w:color="auto" w:sz="4" w:space="0"/>
            </w:tcBorders>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414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1"/>
              <w:numPr>
                <w:ilvl w:val="0"/>
                <w:numId w:val="3"/>
              </w:numPr>
              <w:ind w:left="425" w:leftChars="0" w:hanging="425" w:firstLineChars="0"/>
              <w:rPr>
                <w:rFonts w:hint="eastAsia" w:ascii="宋体" w:hAnsi="宋体" w:cs="宋体"/>
                <w:color w:val="000000"/>
                <w:kern w:val="0"/>
                <w:szCs w:val="21"/>
              </w:rPr>
            </w:pPr>
            <w:r>
              <w:rPr>
                <w:rFonts w:hint="eastAsia"/>
              </w:rPr>
              <w:t>光学系统</w:t>
            </w:r>
            <w:r>
              <w:rPr>
                <w:rFonts w:hint="eastAsia"/>
                <w:lang w:eastAsia="zh-CN"/>
              </w:rPr>
              <w:t>：</w:t>
            </w:r>
            <w:r>
              <w:rPr>
                <w:rFonts w:hint="eastAsia"/>
              </w:rPr>
              <w:t>无限远光学系统，45mm国际标准物镜齐焦距离</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414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1"/>
              <w:numPr>
                <w:ilvl w:val="0"/>
                <w:numId w:val="3"/>
              </w:numPr>
              <w:ind w:left="425" w:leftChars="0" w:hanging="425" w:firstLineChars="0"/>
              <w:rPr>
                <w:rFonts w:hint="eastAsia" w:ascii="宋体" w:hAnsi="宋体" w:cs="宋体"/>
                <w:color w:val="000000"/>
                <w:kern w:val="0"/>
                <w:szCs w:val="21"/>
              </w:rPr>
            </w:pPr>
            <w:r>
              <w:rPr>
                <w:rFonts w:hint="eastAsia"/>
              </w:rPr>
              <w:t>调焦：带扭矩调节装置,调焦行程</w:t>
            </w:r>
            <w:r>
              <w:rPr>
                <w:rFonts w:hint="eastAsia"/>
                <w:lang w:val="en-US" w:eastAsia="zh-CN"/>
              </w:rPr>
              <w:t>≥</w:t>
            </w:r>
            <w:r>
              <w:rPr>
                <w:rFonts w:hint="eastAsia"/>
              </w:rPr>
              <w:t>15mm。</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414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1"/>
              <w:numPr>
                <w:ilvl w:val="0"/>
                <w:numId w:val="3"/>
              </w:numPr>
              <w:ind w:left="425" w:leftChars="0" w:hanging="425" w:firstLineChars="0"/>
              <w:rPr>
                <w:rFonts w:hint="eastAsia" w:ascii="宋体" w:hAnsi="宋体" w:cs="宋体"/>
                <w:color w:val="000000"/>
                <w:kern w:val="0"/>
                <w:szCs w:val="21"/>
              </w:rPr>
            </w:pPr>
            <w:r>
              <w:rPr>
                <w:rFonts w:hint="eastAsia"/>
              </w:rPr>
              <w:t>明场照明装置：内置透射光科勒照明器，配备卤素灯光源。</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414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1"/>
              <w:numPr>
                <w:ilvl w:val="0"/>
                <w:numId w:val="3"/>
              </w:numPr>
              <w:ind w:left="425" w:leftChars="0" w:hanging="425" w:firstLineChars="0"/>
              <w:rPr>
                <w:rFonts w:hint="eastAsia" w:ascii="宋体" w:hAnsi="宋体" w:cs="宋体"/>
                <w:color w:val="000000"/>
                <w:kern w:val="0"/>
                <w:szCs w:val="21"/>
              </w:rPr>
            </w:pPr>
            <w:r>
              <w:rPr>
                <w:rFonts w:hint="eastAsia"/>
              </w:rPr>
              <w:t>载物台：高抗磨损性圆角无槽载物台，带控制手柄。</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414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1"/>
              <w:numPr>
                <w:ilvl w:val="0"/>
                <w:numId w:val="3"/>
              </w:numPr>
              <w:ind w:left="425" w:leftChars="0" w:hanging="425" w:firstLineChars="0"/>
              <w:rPr>
                <w:rFonts w:hint="eastAsia" w:ascii="宋体" w:hAnsi="宋体" w:cs="宋体"/>
                <w:color w:val="000000"/>
                <w:kern w:val="0"/>
                <w:szCs w:val="21"/>
              </w:rPr>
            </w:pPr>
            <w:r>
              <w:rPr>
                <w:rFonts w:hint="eastAsia"/>
              </w:rPr>
              <w:t>观察镜筒：双目镜筒，视场数≥18，倾角30度。高眼点设计，目镜筒360度自由旋转，实现40mm观察高度调节，瞳距48-75mm可调</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414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1"/>
              <w:numPr>
                <w:ilvl w:val="0"/>
                <w:numId w:val="3"/>
              </w:numPr>
              <w:ind w:left="425" w:leftChars="0" w:hanging="425" w:firstLineChars="0"/>
              <w:rPr>
                <w:rFonts w:hint="eastAsia" w:ascii="宋体" w:hAnsi="宋体" w:cs="宋体"/>
                <w:color w:val="000000"/>
                <w:kern w:val="0"/>
                <w:szCs w:val="21"/>
              </w:rPr>
            </w:pPr>
            <w:r>
              <w:rPr>
                <w:rFonts w:hint="eastAsia"/>
              </w:rPr>
              <w:t>目镜： 10倍目镜，视场数≥18，两个目镜均具有屈光度校正功能</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41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numPr>
                <w:ilvl w:val="0"/>
                <w:numId w:val="3"/>
              </w:numPr>
              <w:ind w:left="425" w:leftChars="0" w:hanging="425" w:firstLineChars="0"/>
              <w:jc w:val="both"/>
              <w:rPr>
                <w:rFonts w:hint="eastAsia" w:ascii="宋体" w:hAnsi="宋体" w:cs="宋体"/>
                <w:color w:val="000000"/>
                <w:kern w:val="0"/>
                <w:szCs w:val="21"/>
              </w:rPr>
            </w:pPr>
            <w:r>
              <w:rPr>
                <w:rFonts w:hint="eastAsia"/>
                <w:lang w:val="en-US" w:eastAsia="zh-CN"/>
              </w:rPr>
              <w:t xml:space="preserve"> 物镜：针对正置显微镜应用优化的高分辨率、高透过率物镜</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414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1"/>
              <w:numPr>
                <w:ilvl w:val="0"/>
                <w:numId w:val="3"/>
              </w:numPr>
              <w:ind w:left="425" w:leftChars="0" w:hanging="425" w:firstLineChars="0"/>
              <w:rPr>
                <w:rFonts w:hint="eastAsia" w:ascii="宋体" w:hAnsi="宋体" w:cs="宋体"/>
                <w:color w:val="000000"/>
                <w:kern w:val="0"/>
                <w:szCs w:val="21"/>
              </w:rPr>
            </w:pPr>
            <w:r>
              <w:rPr>
                <w:rFonts w:hint="eastAsia"/>
              </w:rPr>
              <w:t xml:space="preserve">平场消色差相差物镜 10×，NA≥0.25 </w:t>
            </w:r>
            <w:r>
              <w:rPr>
                <w:rFonts w:hint="eastAsia"/>
                <w:lang w:eastAsia="zh-CN"/>
              </w:rPr>
              <w:t>，</w:t>
            </w:r>
            <w:r>
              <w:rPr>
                <w:rFonts w:hint="eastAsia"/>
                <w:lang w:val="en-US" w:eastAsia="zh-CN"/>
              </w:rPr>
              <w:t>WD≤4.6mm</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414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1"/>
              <w:numPr>
                <w:ilvl w:val="0"/>
                <w:numId w:val="3"/>
              </w:numPr>
              <w:ind w:left="425" w:leftChars="0" w:hanging="425" w:firstLineChars="0"/>
              <w:rPr>
                <w:rFonts w:hint="eastAsia" w:ascii="宋体" w:hAnsi="宋体" w:cs="宋体"/>
                <w:color w:val="000000"/>
                <w:kern w:val="0"/>
                <w:szCs w:val="21"/>
              </w:rPr>
            </w:pPr>
            <w:r>
              <w:rPr>
                <w:rFonts w:hint="eastAsia"/>
              </w:rPr>
              <w:t>平场消色差相差物镜 20×，NA≥0.40</w:t>
            </w:r>
            <w:r>
              <w:rPr>
                <w:rFonts w:hint="eastAsia"/>
                <w:lang w:eastAsia="zh-CN"/>
              </w:rPr>
              <w:t>，</w:t>
            </w:r>
            <w:r>
              <w:rPr>
                <w:rFonts w:hint="eastAsia"/>
                <w:lang w:val="en-US" w:eastAsia="zh-CN"/>
              </w:rPr>
              <w:t>WD≤0.9mm</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414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1"/>
              <w:numPr>
                <w:ilvl w:val="0"/>
                <w:numId w:val="3"/>
              </w:numPr>
              <w:ind w:left="425" w:leftChars="0" w:hanging="425" w:firstLineChars="0"/>
              <w:rPr>
                <w:rFonts w:hint="eastAsia" w:ascii="宋体" w:hAnsi="宋体" w:cs="宋体"/>
                <w:color w:val="000000"/>
                <w:kern w:val="0"/>
                <w:szCs w:val="21"/>
              </w:rPr>
            </w:pPr>
            <w:r>
              <w:rPr>
                <w:rFonts w:hint="eastAsia"/>
              </w:rPr>
              <w:t>平场消色差相差物镜 40×，NA≥0.65</w:t>
            </w:r>
            <w:r>
              <w:rPr>
                <w:rFonts w:hint="eastAsia"/>
                <w:lang w:eastAsia="zh-CN"/>
              </w:rPr>
              <w:t>，</w:t>
            </w:r>
            <w:r>
              <w:rPr>
                <w:rFonts w:hint="eastAsia"/>
                <w:lang w:val="en-US" w:eastAsia="zh-CN"/>
              </w:rPr>
              <w:t>WD≤0.61mm</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414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1"/>
              <w:numPr>
                <w:ilvl w:val="0"/>
                <w:numId w:val="3"/>
              </w:numPr>
              <w:ind w:left="425" w:leftChars="0" w:hanging="425" w:firstLineChars="0"/>
              <w:rPr>
                <w:rFonts w:hint="eastAsia" w:ascii="宋体" w:hAnsi="宋体" w:cs="宋体"/>
                <w:color w:val="000000"/>
                <w:kern w:val="0"/>
                <w:szCs w:val="21"/>
              </w:rPr>
            </w:pPr>
            <w:r>
              <w:rPr>
                <w:rFonts w:hint="eastAsia"/>
              </w:rPr>
              <w:t>平场消色差相差物镜 100×（油镜），NA≥1.25</w:t>
            </w:r>
            <w:r>
              <w:rPr>
                <w:rFonts w:hint="eastAsia"/>
                <w:lang w:eastAsia="zh-CN"/>
              </w:rPr>
              <w:t>，</w:t>
            </w:r>
            <w:r>
              <w:rPr>
                <w:rFonts w:hint="eastAsia"/>
                <w:lang w:val="en-US" w:eastAsia="zh-CN"/>
              </w:rPr>
              <w:t>WD≤0.21mm</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414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1"/>
              <w:numPr>
                <w:ilvl w:val="0"/>
                <w:numId w:val="3"/>
              </w:numPr>
              <w:ind w:left="425" w:leftChars="0" w:hanging="425" w:firstLineChars="0"/>
              <w:rPr>
                <w:rFonts w:hint="eastAsia" w:ascii="宋体" w:hAnsi="宋体" w:cs="宋体"/>
                <w:color w:val="000000"/>
                <w:kern w:val="0"/>
                <w:szCs w:val="21"/>
              </w:rPr>
            </w:pPr>
            <w:r>
              <w:rPr>
                <w:rFonts w:hint="eastAsia"/>
                <w:lang w:val="en-US" w:eastAsia="zh-CN"/>
              </w:rPr>
              <w:t xml:space="preserve"> 物镜转换器：物镜转盘4位，一体化设计，增强光路稳定。国际标准的M27物镜接口，具有齐焦功能。</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414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1"/>
              <w:numPr>
                <w:ilvl w:val="0"/>
                <w:numId w:val="3"/>
              </w:numPr>
              <w:ind w:left="425" w:leftChars="0" w:hanging="425" w:firstLineChars="0"/>
              <w:rPr>
                <w:rFonts w:hint="eastAsia"/>
              </w:rPr>
            </w:pPr>
            <w:r>
              <w:rPr>
                <w:rFonts w:hint="eastAsia"/>
              </w:rPr>
              <w:t>聚光镜：非摆动式高分辨率多功能聚光镜：NA≥0.9/1.25。</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41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numPr>
                <w:ilvl w:val="2"/>
                <w:numId w:val="2"/>
              </w:numPr>
              <w:ind w:left="709" w:leftChars="0" w:hanging="709" w:firstLineChars="0"/>
              <w:rPr>
                <w:rFonts w:hint="eastAsia"/>
              </w:rPr>
            </w:pPr>
            <w:r>
              <w:rPr>
                <w:rFonts w:hint="eastAsia" w:ascii="宋体" w:hAnsi="宋体"/>
                <w:b/>
              </w:rPr>
              <w:t>配置要求</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329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826" w:firstLineChars="392"/>
              <w:rPr>
                <w:rFonts w:hint="eastAsia"/>
              </w:rPr>
            </w:pPr>
            <w:r>
              <w:rPr>
                <w:rFonts w:hint="eastAsia" w:ascii="宋体" w:hAnsi="宋体"/>
                <w:b/>
              </w:rPr>
              <w:t>类别</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b/>
              </w:rPr>
              <w:t>数量（/个）</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32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numPr>
                <w:ilvl w:val="0"/>
                <w:numId w:val="4"/>
              </w:numPr>
              <w:spacing w:line="400" w:lineRule="exact"/>
              <w:ind w:left="425" w:leftChars="0" w:hanging="425" w:firstLineChars="0"/>
              <w:jc w:val="left"/>
              <w:rPr>
                <w:rFonts w:hint="eastAsia"/>
              </w:rPr>
            </w:pPr>
            <w:r>
              <w:rPr>
                <w:rFonts w:hint="eastAsia"/>
                <w:lang w:val="en-US" w:eastAsia="zh-CN"/>
              </w:rPr>
              <w:t>相差显微镜主机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pPr>
            <w:r>
              <w:rPr>
                <w:rFonts w:hint="eastAsia" w:ascii="Times New Roman" w:hAnsi="Times New Roman"/>
              </w:rPr>
              <w:t>1台</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32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numPr>
                <w:ilvl w:val="0"/>
                <w:numId w:val="4"/>
              </w:numPr>
              <w:spacing w:line="400" w:lineRule="exact"/>
              <w:ind w:left="425" w:leftChars="0" w:hanging="425" w:firstLineChars="0"/>
              <w:jc w:val="left"/>
              <w:rPr>
                <w:rFonts w:hint="eastAsia"/>
              </w:rPr>
            </w:pPr>
            <w:r>
              <w:rPr>
                <w:rFonts w:hint="eastAsia"/>
                <w:lang w:val="en-US" w:eastAsia="zh-CN"/>
              </w:rPr>
              <w:t>双目镜筒</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pPr>
            <w:r>
              <w:rPr>
                <w:rFonts w:hint="eastAsia" w:ascii="Times New Roman" w:hAnsi="Times New Roman"/>
              </w:rPr>
              <w:t>1个</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32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numPr>
                <w:ilvl w:val="0"/>
                <w:numId w:val="4"/>
              </w:numPr>
              <w:spacing w:line="400" w:lineRule="exact"/>
              <w:ind w:left="425" w:leftChars="0" w:hanging="425" w:firstLineChars="0"/>
              <w:jc w:val="left"/>
              <w:rPr>
                <w:rFonts w:hint="eastAsia"/>
              </w:rPr>
            </w:pPr>
            <w:r>
              <w:rPr>
                <w:rFonts w:hint="eastAsia"/>
                <w:lang w:val="en-US" w:eastAsia="zh-CN"/>
              </w:rPr>
              <w:t>10X目镜</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pPr>
            <w:r>
              <w:rPr>
                <w:rFonts w:hint="eastAsia" w:ascii="Times New Roman" w:hAnsi="Times New Roman"/>
                <w:lang w:val="en-US" w:eastAsia="zh-CN"/>
              </w:rPr>
              <w:t>2</w:t>
            </w:r>
            <w:r>
              <w:rPr>
                <w:rFonts w:hint="eastAsia" w:ascii="Times New Roman" w:hAnsi="Times New Roman"/>
              </w:rPr>
              <w:t>个</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32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numPr>
                <w:ilvl w:val="0"/>
                <w:numId w:val="4"/>
              </w:numPr>
              <w:spacing w:line="400" w:lineRule="exact"/>
              <w:ind w:left="425" w:leftChars="0" w:hanging="425" w:firstLineChars="0"/>
              <w:jc w:val="left"/>
              <w:rPr>
                <w:rFonts w:hint="eastAsia"/>
              </w:rPr>
            </w:pPr>
            <w:r>
              <w:rPr>
                <w:rFonts w:hint="eastAsia"/>
                <w:lang w:val="en-US" w:eastAsia="zh-CN"/>
              </w:rPr>
              <w:t>10x相差物镜</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pPr>
            <w:r>
              <w:rPr>
                <w:rFonts w:hint="eastAsia" w:ascii="Times New Roman" w:hAnsi="Times New Roman"/>
                <w:lang w:val="en-US" w:eastAsia="zh-CN"/>
              </w:rPr>
              <w:t>1</w:t>
            </w:r>
            <w:r>
              <w:rPr>
                <w:rFonts w:hint="eastAsia" w:ascii="Times New Roman" w:hAnsi="Times New Roman"/>
              </w:rPr>
              <w:t>个</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32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numPr>
                <w:ilvl w:val="0"/>
                <w:numId w:val="4"/>
              </w:numPr>
              <w:spacing w:line="400" w:lineRule="exact"/>
              <w:ind w:left="425" w:leftChars="0" w:hanging="425" w:firstLineChars="0"/>
              <w:jc w:val="left"/>
              <w:rPr>
                <w:rFonts w:hint="eastAsia"/>
              </w:rPr>
            </w:pPr>
            <w:r>
              <w:rPr>
                <w:rFonts w:hint="eastAsia"/>
                <w:lang w:val="en-US" w:eastAsia="zh-CN"/>
              </w:rPr>
              <w:t>20x相差物镜</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pPr>
            <w:r>
              <w:rPr>
                <w:rFonts w:hint="eastAsia" w:ascii="Times New Roman" w:hAnsi="Times New Roman"/>
                <w:lang w:val="en-US" w:eastAsia="zh-CN"/>
              </w:rPr>
              <w:t>1</w:t>
            </w:r>
            <w:r>
              <w:rPr>
                <w:rFonts w:hint="eastAsia" w:ascii="Times New Roman" w:hAnsi="Times New Roman"/>
              </w:rPr>
              <w:t>个</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32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numPr>
                <w:ilvl w:val="0"/>
                <w:numId w:val="4"/>
              </w:numPr>
              <w:spacing w:line="400" w:lineRule="exact"/>
              <w:ind w:left="425" w:leftChars="0" w:hanging="425" w:firstLineChars="0"/>
              <w:jc w:val="left"/>
              <w:rPr>
                <w:rFonts w:hint="eastAsia"/>
              </w:rPr>
            </w:pPr>
            <w:r>
              <w:rPr>
                <w:rFonts w:hint="eastAsia"/>
                <w:lang w:val="en-US" w:eastAsia="zh-CN"/>
              </w:rPr>
              <w:t>40x相差物镜</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pPr>
            <w:r>
              <w:rPr>
                <w:rFonts w:hint="eastAsia" w:ascii="Times New Roman" w:hAnsi="Times New Roman"/>
                <w:lang w:val="en-US" w:eastAsia="zh-CN"/>
              </w:rPr>
              <w:t>1</w:t>
            </w:r>
            <w:r>
              <w:rPr>
                <w:rFonts w:hint="eastAsia" w:ascii="Times New Roman" w:hAnsi="Times New Roman"/>
              </w:rPr>
              <w:t>个</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32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numPr>
                <w:ilvl w:val="0"/>
                <w:numId w:val="4"/>
              </w:numPr>
              <w:spacing w:line="400" w:lineRule="exact"/>
              <w:ind w:left="425" w:leftChars="0" w:hanging="425" w:firstLineChars="0"/>
              <w:jc w:val="left"/>
              <w:rPr>
                <w:rFonts w:hint="eastAsia"/>
              </w:rPr>
            </w:pPr>
            <w:r>
              <w:rPr>
                <w:rFonts w:hint="eastAsia"/>
                <w:lang w:val="en-US" w:eastAsia="zh-CN"/>
              </w:rPr>
              <w:t>100x相差物镜</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pPr>
            <w:r>
              <w:rPr>
                <w:rFonts w:hint="eastAsia" w:ascii="Times New Roman" w:hAnsi="Times New Roman"/>
                <w:lang w:val="en-US" w:eastAsia="zh-CN"/>
              </w:rPr>
              <w:t>1</w:t>
            </w:r>
            <w:r>
              <w:rPr>
                <w:rFonts w:hint="eastAsia" w:ascii="Times New Roman" w:hAnsi="Times New Roman"/>
              </w:rPr>
              <w:t>个</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32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numPr>
                <w:ilvl w:val="0"/>
                <w:numId w:val="4"/>
              </w:numPr>
              <w:spacing w:line="400" w:lineRule="exact"/>
              <w:ind w:left="425" w:leftChars="0" w:hanging="425" w:firstLineChars="0"/>
              <w:jc w:val="left"/>
              <w:rPr>
                <w:rFonts w:hint="eastAsia"/>
              </w:rPr>
            </w:pPr>
            <w:r>
              <w:rPr>
                <w:rFonts w:hint="eastAsia"/>
                <w:lang w:val="en-US" w:eastAsia="zh-CN"/>
              </w:rPr>
              <w:t>多功能聚光镜</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pPr>
            <w:r>
              <w:rPr>
                <w:rFonts w:hint="eastAsia" w:ascii="Times New Roman" w:hAnsi="Times New Roman"/>
              </w:rPr>
              <w:t>1个</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32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numPr>
                <w:ilvl w:val="0"/>
                <w:numId w:val="4"/>
              </w:numPr>
              <w:spacing w:line="400" w:lineRule="exact"/>
              <w:ind w:left="425" w:leftChars="0" w:hanging="425" w:firstLineChars="0"/>
              <w:jc w:val="left"/>
              <w:rPr>
                <w:rFonts w:hint="eastAsia"/>
              </w:rPr>
            </w:pPr>
            <w:r>
              <w:rPr>
                <w:rFonts w:hint="eastAsia"/>
                <w:lang w:val="en-US" w:eastAsia="zh-CN"/>
              </w:rPr>
              <w:t>相差组件</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pPr>
            <w:r>
              <w:rPr>
                <w:rFonts w:hint="eastAsia" w:ascii="Times New Roman" w:hAnsi="Times New Roman"/>
              </w:rPr>
              <w:t>1个</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32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numPr>
                <w:ilvl w:val="0"/>
                <w:numId w:val="4"/>
              </w:numPr>
              <w:spacing w:line="400" w:lineRule="exact"/>
              <w:ind w:left="425" w:leftChars="0" w:hanging="425" w:firstLineChars="0"/>
              <w:jc w:val="left"/>
              <w:rPr>
                <w:rFonts w:hint="eastAsia"/>
              </w:rPr>
            </w:pPr>
            <w:r>
              <w:rPr>
                <w:rFonts w:hint="eastAsia"/>
                <w:lang w:val="en-US" w:eastAsia="zh-CN"/>
              </w:rPr>
              <w:t>防尘罩</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pPr>
            <w:r>
              <w:rPr>
                <w:rFonts w:hint="eastAsia" w:ascii="Times New Roman" w:hAnsi="Times New Roman"/>
              </w:rPr>
              <w:t>1份</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32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numPr>
                <w:ilvl w:val="0"/>
                <w:numId w:val="4"/>
              </w:numPr>
              <w:spacing w:line="400" w:lineRule="exact"/>
              <w:ind w:left="425" w:leftChars="0" w:hanging="425" w:firstLineChars="0"/>
              <w:jc w:val="left"/>
              <w:rPr>
                <w:rFonts w:hint="eastAsia"/>
                <w:highlight w:val="none"/>
              </w:rPr>
            </w:pPr>
            <w:r>
              <w:rPr>
                <w:rFonts w:hint="eastAsia"/>
                <w:lang w:val="en-US" w:eastAsia="zh-CN"/>
              </w:rPr>
              <w:t>说明书</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pPr>
            <w:r>
              <w:rPr>
                <w:rFonts w:hint="eastAsia" w:ascii="Times New Roman" w:hAnsi="Times New Roman"/>
                <w:lang w:val="en-US" w:eastAsia="zh-CN"/>
              </w:rPr>
              <w:t>1</w:t>
            </w:r>
            <w:r>
              <w:rPr>
                <w:rFonts w:hint="eastAsia" w:ascii="Times New Roman" w:hAnsi="Times New Roman"/>
              </w:rPr>
              <w:t>份</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73" w:hRule="atLeast"/>
          <w:jc w:val="center"/>
        </w:trPr>
        <w:tc>
          <w:tcPr>
            <w:tcW w:w="64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w:t>
            </w:r>
          </w:p>
        </w:tc>
        <w:tc>
          <w:tcPr>
            <w:tcW w:w="13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b/>
              </w:rPr>
              <w:t>倒置显微镜</w:t>
            </w:r>
          </w:p>
        </w:tc>
        <w:tc>
          <w:tcPr>
            <w:tcW w:w="41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rPr>
                <w:rFonts w:hint="eastAsia" w:ascii="Times New Roman" w:hAnsi="Times New Roman"/>
              </w:rPr>
            </w:pPr>
            <w:r>
              <w:rPr>
                <w:rFonts w:hint="eastAsia" w:ascii="宋体" w:hAnsi="宋体"/>
                <w:b/>
                <w:lang w:val="en-US" w:eastAsia="zh-CN"/>
              </w:rPr>
              <w:t>2.1.1.</w:t>
            </w:r>
            <w:r>
              <w:rPr>
                <w:rFonts w:hint="eastAsia" w:ascii="宋体" w:hAnsi="宋体"/>
                <w:b/>
              </w:rPr>
              <w:t>技术参数</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414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1"/>
              <w:numPr>
                <w:ilvl w:val="0"/>
                <w:numId w:val="5"/>
              </w:numPr>
              <w:ind w:left="425" w:leftChars="0" w:hanging="425" w:firstLineChars="0"/>
              <w:rPr>
                <w:rFonts w:hint="eastAsia" w:ascii="Times New Roman" w:hAnsi="Times New Roman"/>
              </w:rPr>
            </w:pPr>
            <w:r>
              <w:rPr>
                <w:rFonts w:hint="eastAsia"/>
              </w:rPr>
              <w:t>采用无限远光学系统，45mm国际标准物镜齐焦距离。</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414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1"/>
              <w:numPr>
                <w:ilvl w:val="0"/>
                <w:numId w:val="5"/>
              </w:numPr>
              <w:ind w:left="425" w:leftChars="0" w:hanging="425" w:firstLineChars="0"/>
              <w:rPr>
                <w:rFonts w:hint="eastAsia" w:ascii="Times New Roman" w:hAnsi="Times New Roman"/>
              </w:rPr>
            </w:pPr>
            <w:r>
              <w:rPr>
                <w:rFonts w:hint="eastAsia"/>
              </w:rPr>
              <w:t>调焦：带扭矩调节装置,调焦行程15mm。</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414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1"/>
              <w:numPr>
                <w:ilvl w:val="0"/>
                <w:numId w:val="5"/>
              </w:numPr>
              <w:ind w:left="425" w:leftChars="0" w:hanging="425" w:firstLineChars="0"/>
              <w:rPr>
                <w:rFonts w:hint="eastAsia" w:ascii="Times New Roman" w:hAnsi="Times New Roman"/>
              </w:rPr>
            </w:pPr>
            <w:r>
              <w:rPr>
                <w:rFonts w:hint="eastAsia"/>
                <w:highlight w:val="none"/>
              </w:rPr>
              <w:t>▲内置透射光科勒照明器，LED长寿命冷光源，可随意更换光源；带人机学电源开关，超过15分钟不使用自动进入待机状态；通过双侧一键唤醒开关即可打开光源。</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414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1"/>
              <w:numPr>
                <w:ilvl w:val="0"/>
                <w:numId w:val="5"/>
              </w:numPr>
              <w:ind w:left="425" w:leftChars="0" w:hanging="425" w:firstLineChars="0"/>
              <w:rPr>
                <w:rFonts w:hint="eastAsia" w:ascii="Times New Roman" w:hAnsi="Times New Roman"/>
              </w:rPr>
            </w:pPr>
            <w:r>
              <w:rPr>
                <w:rFonts w:hint="eastAsia"/>
                <w:highlight w:val="none"/>
              </w:rPr>
              <w:t>高抗磨损性圆角、无槽设计台面载物台；面积</w:t>
            </w:r>
            <w:r>
              <w:rPr>
                <w:rFonts w:hint="eastAsia"/>
                <w:highlight w:val="none"/>
                <w:lang w:val="en-US" w:eastAsia="zh-CN"/>
              </w:rPr>
              <w:t>≥</w:t>
            </w:r>
            <w:r>
              <w:rPr>
                <w:rFonts w:hint="eastAsia"/>
                <w:highlight w:val="none"/>
              </w:rPr>
              <w:t>200*239mm；带控制手柄，行程</w:t>
            </w:r>
            <w:r>
              <w:rPr>
                <w:rFonts w:hint="eastAsia"/>
                <w:highlight w:val="none"/>
                <w:lang w:val="en-US" w:eastAsia="zh-CN"/>
              </w:rPr>
              <w:t>≥</w:t>
            </w:r>
            <w:r>
              <w:rPr>
                <w:rFonts w:hint="eastAsia"/>
                <w:highlight w:val="none"/>
              </w:rPr>
              <w:t>108*72mm。</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414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1"/>
              <w:numPr>
                <w:ilvl w:val="0"/>
                <w:numId w:val="5"/>
              </w:numPr>
              <w:ind w:left="425" w:leftChars="0" w:hanging="425" w:firstLineChars="0"/>
              <w:rPr>
                <w:rFonts w:hint="eastAsia" w:ascii="Times New Roman" w:hAnsi="Times New Roman"/>
              </w:rPr>
            </w:pPr>
            <w:r>
              <w:rPr>
                <w:rFonts w:hint="eastAsia"/>
                <w:highlight w:val="none"/>
                <w:lang w:val="en-US" w:eastAsia="zh-CN"/>
              </w:rPr>
              <w:t>▲</w:t>
            </w:r>
            <w:r>
              <w:rPr>
                <w:rFonts w:hint="default"/>
                <w:highlight w:val="none"/>
                <w:lang w:val="en-US" w:eastAsia="zh-CN"/>
              </w:rPr>
              <w:t>配备</w:t>
            </w:r>
            <w:r>
              <w:rPr>
                <w:rFonts w:hint="eastAsia"/>
                <w:highlight w:val="none"/>
                <w:lang w:val="en-US" w:eastAsia="zh-CN"/>
              </w:rPr>
              <w:t>三</w:t>
            </w:r>
            <w:r>
              <w:rPr>
                <w:rFonts w:hint="default"/>
                <w:highlight w:val="none"/>
                <w:lang w:val="en-US" w:eastAsia="zh-CN"/>
              </w:rPr>
              <w:t>目镜筒，视场数≥20mm，倾角45度。高眼点设计，目镜筒360度自由旋转，实现35mm观察高度调节，瞳距48-75mm可调。</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414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1"/>
              <w:numPr>
                <w:ilvl w:val="0"/>
                <w:numId w:val="5"/>
              </w:numPr>
              <w:ind w:left="425" w:leftChars="0" w:hanging="425" w:firstLineChars="0"/>
              <w:rPr>
                <w:rFonts w:hint="eastAsia" w:ascii="Times New Roman" w:hAnsi="Times New Roman"/>
              </w:rPr>
            </w:pPr>
            <w:r>
              <w:rPr>
                <w:rFonts w:hint="default"/>
                <w:highlight w:val="none"/>
                <w:lang w:val="en-US" w:eastAsia="zh-CN"/>
              </w:rPr>
              <w:t>配备10倍目镜，视场数≥20mm，两个目镜均具有屈光度校正功能。</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41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numPr>
                <w:ilvl w:val="0"/>
                <w:numId w:val="5"/>
              </w:numPr>
              <w:ind w:left="425" w:leftChars="0" w:hanging="425" w:firstLineChars="0"/>
              <w:jc w:val="both"/>
              <w:rPr>
                <w:rFonts w:hint="eastAsia" w:ascii="Times New Roman" w:hAnsi="Times New Roman"/>
              </w:rPr>
            </w:pPr>
            <w:r>
              <w:rPr>
                <w:rFonts w:hint="eastAsia"/>
                <w:highlight w:val="none"/>
                <w:lang w:val="en-US" w:eastAsia="zh-CN"/>
              </w:rPr>
              <w:t>物镜：针对倒置显微镜应用优化的相差物镜</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414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1"/>
              <w:numPr>
                <w:ilvl w:val="0"/>
                <w:numId w:val="5"/>
              </w:numPr>
              <w:ind w:left="425" w:leftChars="0" w:hanging="425" w:firstLineChars="0"/>
              <w:rPr>
                <w:rFonts w:hint="eastAsia" w:ascii="Times New Roman" w:hAnsi="Times New Roman"/>
              </w:rPr>
            </w:pPr>
            <w:r>
              <w:rPr>
                <w:rFonts w:hint="eastAsia"/>
                <w:highlight w:val="none"/>
              </w:rPr>
              <w:t>4×平场消色差物镜，数值孔径≥0.10</w:t>
            </w:r>
            <w:r>
              <w:rPr>
                <w:rFonts w:hint="eastAsia"/>
                <w:highlight w:val="none"/>
                <w:lang w:eastAsia="zh-CN"/>
              </w:rPr>
              <w:t>，</w:t>
            </w:r>
            <w:r>
              <w:rPr>
                <w:rFonts w:hint="eastAsia"/>
                <w:highlight w:val="none"/>
                <w:lang w:val="en-US" w:eastAsia="zh-CN"/>
              </w:rPr>
              <w:t>WD≥12mm</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414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1"/>
              <w:numPr>
                <w:ilvl w:val="0"/>
                <w:numId w:val="5"/>
              </w:numPr>
              <w:ind w:left="425" w:leftChars="0" w:hanging="425" w:firstLineChars="0"/>
              <w:rPr>
                <w:rFonts w:hint="eastAsia" w:ascii="Times New Roman" w:hAnsi="Times New Roman"/>
              </w:rPr>
            </w:pPr>
            <w:r>
              <w:rPr>
                <w:rFonts w:hint="eastAsia"/>
                <w:highlight w:val="none"/>
              </w:rPr>
              <w:t>10×平场消色差相差物镜，数值孔径≥0.25</w:t>
            </w:r>
            <w:r>
              <w:rPr>
                <w:rFonts w:hint="eastAsia"/>
                <w:highlight w:val="none"/>
                <w:lang w:eastAsia="zh-CN"/>
              </w:rPr>
              <w:t>，</w:t>
            </w:r>
            <w:r>
              <w:rPr>
                <w:rFonts w:hint="eastAsia"/>
                <w:highlight w:val="none"/>
                <w:lang w:val="en-US" w:eastAsia="zh-CN"/>
              </w:rPr>
              <w:t>WD≥4.6mm</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414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1"/>
              <w:numPr>
                <w:ilvl w:val="0"/>
                <w:numId w:val="5"/>
              </w:numPr>
              <w:ind w:left="425" w:leftChars="0" w:hanging="425" w:firstLineChars="0"/>
              <w:rPr>
                <w:rFonts w:hint="eastAsia" w:ascii="Times New Roman" w:hAnsi="Times New Roman"/>
              </w:rPr>
            </w:pPr>
            <w:r>
              <w:rPr>
                <w:rFonts w:hint="eastAsia"/>
                <w:highlight w:val="none"/>
              </w:rPr>
              <w:t>20×长工作距离平场消色差相差物镜，数值孔径≥0.30</w:t>
            </w:r>
            <w:r>
              <w:rPr>
                <w:rFonts w:hint="eastAsia"/>
                <w:highlight w:val="none"/>
                <w:lang w:eastAsia="zh-CN"/>
              </w:rPr>
              <w:t>，</w:t>
            </w:r>
            <w:r>
              <w:rPr>
                <w:rFonts w:hint="eastAsia"/>
                <w:highlight w:val="none"/>
                <w:lang w:val="en-US" w:eastAsia="zh-CN"/>
              </w:rPr>
              <w:t>WD≥4.6mm</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414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1"/>
              <w:numPr>
                <w:ilvl w:val="0"/>
                <w:numId w:val="5"/>
              </w:numPr>
              <w:ind w:left="425" w:leftChars="0" w:hanging="425" w:firstLineChars="0"/>
              <w:rPr>
                <w:rFonts w:hint="eastAsia" w:ascii="Times New Roman" w:hAnsi="Times New Roman"/>
              </w:rPr>
            </w:pPr>
            <w:r>
              <w:rPr>
                <w:rFonts w:hint="eastAsia"/>
                <w:highlight w:val="none"/>
                <w:lang w:val="en-US" w:eastAsia="zh-CN"/>
              </w:rPr>
              <w:t>40×长工作距离平场消色差相差物镜 ，数值孔径≥0.50，WD≥2.7mm</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414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1"/>
              <w:numPr>
                <w:ilvl w:val="0"/>
                <w:numId w:val="5"/>
              </w:numPr>
              <w:ind w:left="425" w:leftChars="0" w:hanging="425" w:firstLineChars="0"/>
              <w:rPr>
                <w:rFonts w:hint="eastAsia" w:ascii="Times New Roman" w:hAnsi="Times New Roman"/>
              </w:rPr>
            </w:pPr>
            <w:r>
              <w:rPr>
                <w:rFonts w:hint="eastAsia"/>
                <w:highlight w:val="none"/>
                <w:lang w:val="en-US" w:eastAsia="zh-CN"/>
              </w:rPr>
              <w:t>配备4位物镜转盘，一体化设计，增强光路稳定。物镜转盘带人机学物镜识别设计。</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414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1"/>
              <w:numPr>
                <w:ilvl w:val="0"/>
                <w:numId w:val="5"/>
              </w:numPr>
              <w:ind w:left="425" w:leftChars="0" w:hanging="425" w:firstLineChars="0"/>
              <w:rPr>
                <w:rFonts w:hint="eastAsia" w:ascii="Times New Roman" w:hAnsi="Times New Roman"/>
              </w:rPr>
            </w:pPr>
            <w:r>
              <w:rPr>
                <w:rFonts w:hint="eastAsia"/>
                <w:highlight w:val="none"/>
              </w:rPr>
              <w:t>聚光镜：长工作距离聚光镜：NA≥0.3，工作距离≥72mm。</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414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1"/>
              <w:numPr>
                <w:ilvl w:val="0"/>
                <w:numId w:val="5"/>
              </w:numPr>
              <w:ind w:left="425" w:leftChars="0" w:hanging="425" w:firstLineChars="0"/>
              <w:rPr>
                <w:rFonts w:hint="eastAsia" w:ascii="Times New Roman" w:hAnsi="Times New Roman"/>
              </w:rPr>
            </w:pPr>
            <w:r>
              <w:rPr>
                <w:rFonts w:hint="eastAsia"/>
                <w:highlight w:val="none"/>
                <w:lang w:val="en-US" w:eastAsia="zh-CN"/>
              </w:rPr>
              <w:t>配备倒置显微镜专用相机</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41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rPr>
                <w:rFonts w:hint="eastAsia" w:ascii="宋体" w:hAnsi="宋体" w:cs="Times New Roman"/>
                <w:b/>
              </w:rPr>
            </w:pPr>
            <w:r>
              <w:rPr>
                <w:rFonts w:hint="eastAsia" w:ascii="宋体" w:hAnsi="宋体"/>
                <w:b/>
                <w:lang w:val="en-US" w:eastAsia="zh-CN"/>
              </w:rPr>
              <w:t>2.1.2</w:t>
            </w:r>
            <w:r>
              <w:rPr>
                <w:rFonts w:hint="eastAsia" w:ascii="宋体" w:hAnsi="宋体"/>
                <w:b/>
              </w:rPr>
              <w:t>配置要求</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329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826" w:firstLineChars="392"/>
              <w:rPr>
                <w:rFonts w:hint="eastAsia" w:ascii="Times New Roman" w:hAnsi="Times New Roman"/>
              </w:rPr>
            </w:pPr>
            <w:r>
              <w:rPr>
                <w:rFonts w:hint="eastAsia" w:ascii="宋体" w:hAnsi="宋体"/>
                <w:b/>
              </w:rPr>
              <w:t>类别</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b/>
              </w:rPr>
              <w:t>数量（/个）</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32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numPr>
                <w:ilvl w:val="0"/>
                <w:numId w:val="6"/>
              </w:numPr>
              <w:spacing w:line="400" w:lineRule="exact"/>
              <w:ind w:left="425" w:leftChars="0" w:hanging="425" w:firstLineChars="0"/>
              <w:jc w:val="left"/>
              <w:rPr>
                <w:rFonts w:hint="eastAsia" w:ascii="Times New Roman" w:hAnsi="Times New Roman"/>
              </w:rPr>
            </w:pPr>
            <w:r>
              <w:rPr>
                <w:rFonts w:hint="eastAsia"/>
                <w:lang w:val="en-US" w:eastAsia="zh-CN"/>
              </w:rPr>
              <w:t>倒置显微镜主机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pPr>
            <w:r>
              <w:rPr>
                <w:rFonts w:hint="eastAsia" w:ascii="Times New Roman" w:hAnsi="Times New Roman"/>
              </w:rPr>
              <w:t>1台</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32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numPr>
                <w:ilvl w:val="0"/>
                <w:numId w:val="6"/>
              </w:numPr>
              <w:spacing w:line="400" w:lineRule="exact"/>
              <w:ind w:left="425" w:leftChars="0" w:hanging="425" w:firstLineChars="0"/>
              <w:jc w:val="left"/>
              <w:rPr>
                <w:rFonts w:hint="eastAsia" w:ascii="Times New Roman" w:hAnsi="Times New Roman"/>
              </w:rPr>
            </w:pPr>
            <w:r>
              <w:rPr>
                <w:rFonts w:hint="eastAsia"/>
                <w:lang w:val="en-US" w:eastAsia="zh-CN"/>
              </w:rPr>
              <w:t>三目镜筒</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pPr>
            <w:r>
              <w:rPr>
                <w:rFonts w:hint="eastAsia" w:ascii="Times New Roman" w:hAnsi="Times New Roman"/>
              </w:rPr>
              <w:t>1个</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32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numPr>
                <w:ilvl w:val="0"/>
                <w:numId w:val="6"/>
              </w:numPr>
              <w:spacing w:line="400" w:lineRule="exact"/>
              <w:ind w:left="425" w:leftChars="0" w:hanging="425" w:firstLineChars="0"/>
              <w:jc w:val="left"/>
              <w:rPr>
                <w:rFonts w:hint="eastAsia" w:ascii="Times New Roman" w:hAnsi="Times New Roman"/>
              </w:rPr>
            </w:pPr>
            <w:r>
              <w:rPr>
                <w:rFonts w:hint="eastAsia"/>
                <w:lang w:val="en-US" w:eastAsia="zh-CN"/>
              </w:rPr>
              <w:t>10X目镜</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pPr>
            <w:r>
              <w:rPr>
                <w:rFonts w:hint="eastAsia" w:ascii="Times New Roman" w:hAnsi="Times New Roman"/>
                <w:lang w:val="en-US" w:eastAsia="zh-CN"/>
              </w:rPr>
              <w:t>2</w:t>
            </w:r>
            <w:r>
              <w:rPr>
                <w:rFonts w:hint="eastAsia" w:ascii="Times New Roman" w:hAnsi="Times New Roman"/>
              </w:rPr>
              <w:t>个</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32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numPr>
                <w:ilvl w:val="0"/>
                <w:numId w:val="6"/>
              </w:numPr>
              <w:spacing w:line="400" w:lineRule="exact"/>
              <w:ind w:left="425" w:leftChars="0" w:hanging="425" w:firstLineChars="0"/>
              <w:jc w:val="left"/>
              <w:rPr>
                <w:rFonts w:hint="eastAsia" w:ascii="Times New Roman" w:hAnsi="Times New Roman"/>
              </w:rPr>
            </w:pPr>
            <w:r>
              <w:rPr>
                <w:rFonts w:hint="eastAsia"/>
                <w:lang w:val="en-US" w:eastAsia="zh-CN"/>
              </w:rPr>
              <w:t>4x物镜</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pPr>
            <w:r>
              <w:rPr>
                <w:rFonts w:hint="eastAsia" w:ascii="Times New Roman" w:hAnsi="Times New Roman"/>
                <w:lang w:val="en-US" w:eastAsia="zh-CN"/>
              </w:rPr>
              <w:t>1</w:t>
            </w:r>
            <w:r>
              <w:rPr>
                <w:rFonts w:hint="eastAsia" w:ascii="Times New Roman" w:hAnsi="Times New Roman"/>
              </w:rPr>
              <w:t>个</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32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numPr>
                <w:ilvl w:val="0"/>
                <w:numId w:val="6"/>
              </w:numPr>
              <w:spacing w:line="400" w:lineRule="exact"/>
              <w:ind w:left="425" w:leftChars="0" w:hanging="425" w:firstLineChars="0"/>
              <w:jc w:val="left"/>
              <w:rPr>
                <w:rFonts w:hint="eastAsia" w:ascii="Times New Roman" w:hAnsi="Times New Roman"/>
              </w:rPr>
            </w:pPr>
            <w:r>
              <w:rPr>
                <w:rFonts w:hint="eastAsia"/>
                <w:lang w:val="en-US" w:eastAsia="zh-CN"/>
              </w:rPr>
              <w:t>10x物镜</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pPr>
            <w:r>
              <w:rPr>
                <w:rFonts w:hint="eastAsia" w:ascii="Times New Roman" w:hAnsi="Times New Roman"/>
                <w:lang w:val="en-US" w:eastAsia="zh-CN"/>
              </w:rPr>
              <w:t>1</w:t>
            </w:r>
            <w:r>
              <w:rPr>
                <w:rFonts w:hint="eastAsia" w:ascii="Times New Roman" w:hAnsi="Times New Roman"/>
              </w:rPr>
              <w:t>个</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32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numPr>
                <w:ilvl w:val="0"/>
                <w:numId w:val="6"/>
              </w:numPr>
              <w:spacing w:line="400" w:lineRule="exact"/>
              <w:ind w:left="425" w:leftChars="0" w:hanging="425" w:firstLineChars="0"/>
              <w:jc w:val="left"/>
              <w:rPr>
                <w:rFonts w:hint="eastAsia" w:ascii="Times New Roman" w:hAnsi="Times New Roman"/>
              </w:rPr>
            </w:pPr>
            <w:r>
              <w:rPr>
                <w:rFonts w:hint="eastAsia"/>
                <w:lang w:val="en-US" w:eastAsia="zh-CN"/>
              </w:rPr>
              <w:t>20x长工作距离相差物镜</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pPr>
            <w:r>
              <w:rPr>
                <w:rFonts w:hint="eastAsia" w:ascii="Times New Roman" w:hAnsi="Times New Roman"/>
                <w:lang w:val="en-US" w:eastAsia="zh-CN"/>
              </w:rPr>
              <w:t>1</w:t>
            </w:r>
            <w:r>
              <w:rPr>
                <w:rFonts w:hint="eastAsia" w:ascii="Times New Roman" w:hAnsi="Times New Roman"/>
              </w:rPr>
              <w:t>个</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32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numPr>
                <w:ilvl w:val="0"/>
                <w:numId w:val="6"/>
              </w:numPr>
              <w:spacing w:line="400" w:lineRule="exact"/>
              <w:ind w:left="425" w:leftChars="0" w:hanging="425" w:firstLineChars="0"/>
              <w:jc w:val="left"/>
              <w:rPr>
                <w:rFonts w:hint="eastAsia" w:ascii="Times New Roman" w:hAnsi="Times New Roman"/>
              </w:rPr>
            </w:pPr>
            <w:r>
              <w:rPr>
                <w:rFonts w:hint="eastAsia"/>
                <w:lang w:val="en-US" w:eastAsia="zh-CN"/>
              </w:rPr>
              <w:t>40x长工作距离相差物镜</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pPr>
            <w:r>
              <w:rPr>
                <w:rFonts w:hint="eastAsia" w:ascii="Times New Roman" w:hAnsi="Times New Roman"/>
                <w:lang w:val="en-US" w:eastAsia="zh-CN"/>
              </w:rPr>
              <w:t>1</w:t>
            </w:r>
            <w:r>
              <w:rPr>
                <w:rFonts w:hint="eastAsia" w:ascii="Times New Roman" w:hAnsi="Times New Roman"/>
              </w:rPr>
              <w:t>个</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32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numPr>
                <w:ilvl w:val="0"/>
                <w:numId w:val="6"/>
              </w:numPr>
              <w:spacing w:line="400" w:lineRule="exact"/>
              <w:ind w:left="425" w:leftChars="0" w:hanging="425" w:firstLineChars="0"/>
              <w:jc w:val="left"/>
              <w:rPr>
                <w:rFonts w:hint="eastAsia" w:ascii="Times New Roman" w:hAnsi="Times New Roman"/>
              </w:rPr>
            </w:pPr>
            <w:r>
              <w:rPr>
                <w:rFonts w:hint="eastAsia"/>
                <w:lang w:val="en-US" w:eastAsia="zh-CN"/>
              </w:rPr>
              <w:t>聚光镜组</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pPr>
            <w:r>
              <w:rPr>
                <w:rFonts w:hint="eastAsia" w:ascii="Times New Roman" w:hAnsi="Times New Roman"/>
              </w:rPr>
              <w:t>1个</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32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numPr>
                <w:ilvl w:val="0"/>
                <w:numId w:val="6"/>
              </w:numPr>
              <w:spacing w:line="400" w:lineRule="exact"/>
              <w:ind w:left="425" w:leftChars="0" w:hanging="425" w:firstLineChars="0"/>
              <w:jc w:val="left"/>
              <w:rPr>
                <w:rFonts w:hint="eastAsia" w:ascii="Times New Roman" w:hAnsi="Times New Roman"/>
              </w:rPr>
            </w:pPr>
            <w:r>
              <w:rPr>
                <w:rFonts w:hint="eastAsia"/>
                <w:lang w:val="en-US" w:eastAsia="zh-CN"/>
              </w:rPr>
              <w:t>显微镜专用相机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pPr>
            <w:r>
              <w:rPr>
                <w:rFonts w:hint="eastAsia" w:ascii="Times New Roman" w:hAnsi="Times New Roman"/>
              </w:rPr>
              <w:t>1个</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32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numPr>
                <w:ilvl w:val="0"/>
                <w:numId w:val="6"/>
              </w:numPr>
              <w:spacing w:line="400" w:lineRule="exact"/>
              <w:ind w:left="425" w:leftChars="0" w:hanging="425" w:firstLineChars="0"/>
              <w:jc w:val="left"/>
              <w:rPr>
                <w:rFonts w:hint="eastAsia"/>
                <w:lang w:val="en-US" w:eastAsia="zh-CN"/>
              </w:rPr>
            </w:pPr>
            <w:r>
              <w:rPr>
                <w:rFonts w:hint="eastAsia"/>
                <w:lang w:val="en-US" w:eastAsia="zh-CN"/>
              </w:rPr>
              <w:t>防尘罩</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Times New Roman" w:hAnsi="Times New Roman"/>
              </w:rPr>
            </w:pPr>
            <w:r>
              <w:rPr>
                <w:rFonts w:hint="eastAsia" w:ascii="Times New Roman" w:hAnsi="Times New Roman"/>
              </w:rPr>
              <w:t>1份</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46" w:hRule="atLeast"/>
          <w:jc w:val="center"/>
        </w:trPr>
        <w:tc>
          <w:tcPr>
            <w:tcW w:w="64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3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32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numPr>
                <w:ilvl w:val="0"/>
                <w:numId w:val="6"/>
              </w:numPr>
              <w:spacing w:line="400" w:lineRule="exact"/>
              <w:ind w:left="425" w:leftChars="0" w:hanging="425" w:firstLineChars="0"/>
              <w:jc w:val="left"/>
              <w:rPr>
                <w:rFonts w:hint="eastAsia"/>
                <w:lang w:val="en-US" w:eastAsia="zh-CN"/>
              </w:rPr>
            </w:pPr>
            <w:r>
              <w:rPr>
                <w:rFonts w:hint="eastAsia"/>
                <w:lang w:val="en-US" w:eastAsia="zh-CN"/>
              </w:rPr>
              <w:t>说明书</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Times New Roman" w:hAnsi="Times New Roman"/>
              </w:rPr>
            </w:pPr>
            <w:r>
              <w:rPr>
                <w:rFonts w:hint="eastAsia" w:ascii="Times New Roman" w:hAnsi="Times New Roman"/>
              </w:rPr>
              <w:t>1份</w:t>
            </w:r>
          </w:p>
        </w:tc>
        <w:tc>
          <w:tcPr>
            <w:tcW w:w="1889" w:type="dxa"/>
            <w:tcBorders>
              <w:top w:val="single" w:color="auto" w:sz="4" w:space="0"/>
              <w:left w:val="single" w:color="auto" w:sz="4" w:space="0"/>
              <w:bottom w:val="single" w:color="auto" w:sz="4" w:space="0"/>
              <w:right w:val="single" w:color="auto" w:sz="4" w:space="0"/>
            </w:tcBorders>
            <w:shd w:val="clear" w:color="000000" w:fill="FFFFFF"/>
          </w:tcPr>
          <w:p>
            <w:pPr>
              <w:widowControl/>
              <w:numPr>
                <w:ilvl w:val="0"/>
                <w:numId w:val="0"/>
              </w:numPr>
              <w:ind w:leftChars="0"/>
              <w:jc w:val="center"/>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c>
          <w:tcPr>
            <w:tcW w:w="784"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hint="eastAsia" w:ascii="宋体" w:hAnsi="宋体" w:cs="宋体"/>
                <w:color w:val="000000"/>
                <w:kern w:val="0"/>
                <w:szCs w:val="21"/>
              </w:rPr>
            </w:pPr>
          </w:p>
        </w:tc>
      </w:tr>
    </w:tbl>
    <w:p>
      <w:pPr>
        <w:rPr>
          <w:sz w:val="24"/>
        </w:rPr>
      </w:pPr>
      <w:r>
        <w:rPr>
          <w:rFonts w:hint="eastAsia"/>
          <w:sz w:val="24"/>
        </w:rPr>
        <w:t>备注：</w:t>
      </w:r>
    </w:p>
    <w:p>
      <w:pPr>
        <w:rPr>
          <w:b/>
          <w:color w:val="FF0000"/>
          <w:sz w:val="24"/>
        </w:rPr>
      </w:pPr>
      <w:r>
        <w:rPr>
          <w:rFonts w:hint="eastAsia"/>
          <w:b/>
          <w:color w:val="FF0000"/>
          <w:sz w:val="24"/>
        </w:rPr>
        <w:t>1. “招标技术条款”一栏必须填写招标文件</w:t>
      </w:r>
      <w:r>
        <w:rPr>
          <w:rFonts w:hint="eastAsia"/>
          <w:b/>
          <w:color w:val="FF0000"/>
          <w:sz w:val="24"/>
          <w:lang w:eastAsia="zh-CN"/>
        </w:rPr>
        <w:t>第二条</w:t>
      </w:r>
      <w:r>
        <w:rPr>
          <w:rFonts w:hint="eastAsia"/>
          <w:b/>
          <w:color w:val="FF0000"/>
          <w:sz w:val="24"/>
        </w:rPr>
        <w:t>“</w:t>
      </w:r>
      <w:r>
        <w:rPr>
          <w:rFonts w:hint="eastAsia"/>
          <w:b/>
          <w:color w:val="FF0000"/>
          <w:sz w:val="24"/>
          <w:lang w:eastAsia="zh-CN"/>
        </w:rPr>
        <w:t>技术需求</w:t>
      </w:r>
      <w:r>
        <w:rPr>
          <w:rFonts w:hint="eastAsia"/>
          <w:b/>
          <w:color w:val="FF0000"/>
          <w:sz w:val="24"/>
        </w:rPr>
        <w:t>”的内容分别对应进行填写。</w:t>
      </w:r>
    </w:p>
    <w:p>
      <w:pPr>
        <w:rPr>
          <w:b/>
          <w:color w:val="FF0000"/>
          <w:sz w:val="24"/>
        </w:rPr>
      </w:pPr>
      <w:r>
        <w:rPr>
          <w:rFonts w:hint="eastAsia"/>
          <w:b/>
          <w:color w:val="FF0000"/>
          <w:sz w:val="24"/>
        </w:rPr>
        <w:t>2. “投标技术条款”一栏必须详细填写投标</w:t>
      </w:r>
      <w:r>
        <w:rPr>
          <w:rFonts w:hint="eastAsia"/>
          <w:b/>
          <w:color w:val="FF0000"/>
          <w:sz w:val="24"/>
          <w:lang w:eastAsia="zh-CN"/>
        </w:rPr>
        <w:t>技术条款</w:t>
      </w:r>
      <w:r>
        <w:rPr>
          <w:rFonts w:hint="eastAsia"/>
          <w:b/>
          <w:color w:val="FF0000"/>
          <w:sz w:val="24"/>
        </w:rPr>
        <w:t>的内容。</w:t>
      </w:r>
    </w:p>
    <w:p>
      <w:pPr>
        <w:rPr>
          <w:rFonts w:hint="eastAsia" w:eastAsia="宋体"/>
          <w:sz w:val="24"/>
          <w:lang w:eastAsia="zh-CN"/>
        </w:rPr>
      </w:pPr>
      <w:r>
        <w:rPr>
          <w:rFonts w:hint="eastAsia"/>
          <w:b/>
          <w:color w:val="FF0000"/>
          <w:sz w:val="24"/>
        </w:rPr>
        <w:t>3. “偏离情况”栏中应如实填写“正偏离”、“负偏离”或“无偏离”</w:t>
      </w:r>
      <w:r>
        <w:rPr>
          <w:rFonts w:hint="eastAsia"/>
          <w:b/>
          <w:color w:val="FF0000"/>
          <w:sz w:val="24"/>
          <w:lang w:eastAsia="zh-CN"/>
        </w:rPr>
        <w:t>。</w:t>
      </w:r>
    </w:p>
    <w:p>
      <w:pPr>
        <w:rPr>
          <w:b/>
          <w:color w:val="FF0000"/>
          <w:sz w:val="24"/>
        </w:rPr>
      </w:pPr>
      <w:r>
        <w:rPr>
          <w:rFonts w:hint="eastAsia"/>
          <w:b/>
          <w:color w:val="FF0000"/>
          <w:sz w:val="24"/>
        </w:rPr>
        <w:t xml:space="preserve">4. </w:t>
      </w:r>
      <w:r>
        <w:rPr>
          <w:rFonts w:hint="eastAsia"/>
          <w:b/>
          <w:color w:val="FF0000"/>
          <w:sz w:val="24"/>
          <w:lang w:eastAsia="zh-CN"/>
        </w:rPr>
        <w:t>技术需求</w:t>
      </w:r>
      <w:r>
        <w:rPr>
          <w:rFonts w:hint="eastAsia"/>
          <w:b/>
          <w:color w:val="FF0000"/>
          <w:sz w:val="24"/>
        </w:rPr>
        <w:t>为不可负偏离条款，投标文件响应为“负偏离”的，投标文件将按无效投标处理。</w:t>
      </w:r>
    </w:p>
    <w:p>
      <w:pPr>
        <w:pStyle w:val="3"/>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pPr>
        <w:widowControl/>
        <w:numPr>
          <w:ilvl w:val="0"/>
          <w:numId w:val="10"/>
        </w:numPr>
        <w:shd w:val="clear" w:color="auto" w:fill="FFFFFF"/>
        <w:spacing w:line="360" w:lineRule="auto"/>
        <w:ind w:left="845" w:leftChars="0" w:hanging="425" w:firstLineChars="0"/>
        <w:jc w:val="left"/>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商务需求响应偏离表</w:t>
      </w:r>
      <w:r>
        <w:rPr>
          <w:rFonts w:hint="eastAsia" w:ascii="宋体" w:hAnsi="宋体" w:cs="宋体"/>
          <w:color w:val="FF0000"/>
          <w:kern w:val="0"/>
          <w:sz w:val="24"/>
          <w:szCs w:val="24"/>
          <w:lang w:val="en-US" w:eastAsia="zh-CN"/>
        </w:rPr>
        <w:t>（ 商务条款为不可负偏离条款，投标文件响应为“负偏离”的，投标文件将按无效投标处理）</w:t>
      </w:r>
    </w:p>
    <w:p>
      <w:pPr>
        <w:pStyle w:val="2"/>
        <w:rPr>
          <w:rFonts w:hint="eastAsia"/>
          <w:lang w:val="en-US" w:eastAsia="zh-CN"/>
        </w:rPr>
      </w:pPr>
    </w:p>
    <w:tbl>
      <w:tblPr>
        <w:tblStyle w:val="12"/>
        <w:tblW w:w="9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3014"/>
        <w:gridCol w:w="1275"/>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tcPr>
          <w:p>
            <w:pPr>
              <w:rPr>
                <w:b/>
              </w:rPr>
            </w:pPr>
            <w:r>
              <w:rPr>
                <w:rFonts w:hint="eastAsia"/>
                <w:b/>
              </w:rPr>
              <w:t>招标商务条款：</w:t>
            </w:r>
          </w:p>
        </w:tc>
        <w:tc>
          <w:tcPr>
            <w:tcW w:w="3014" w:type="dxa"/>
          </w:tcPr>
          <w:p>
            <w:pPr>
              <w:rPr>
                <w:b/>
              </w:rPr>
            </w:pPr>
            <w:r>
              <w:rPr>
                <w:rFonts w:hint="eastAsia"/>
                <w:b/>
              </w:rPr>
              <w:t>投标商务条款</w:t>
            </w:r>
          </w:p>
        </w:tc>
        <w:tc>
          <w:tcPr>
            <w:tcW w:w="1275" w:type="dxa"/>
          </w:tcPr>
          <w:p>
            <w:pPr>
              <w:rPr>
                <w:b/>
              </w:rPr>
            </w:pPr>
            <w:r>
              <w:rPr>
                <w:rFonts w:hint="eastAsia"/>
                <w:b/>
              </w:rPr>
              <w:t>偏离情况</w:t>
            </w:r>
          </w:p>
        </w:tc>
        <w:tc>
          <w:tcPr>
            <w:tcW w:w="1135" w:type="dxa"/>
          </w:tcPr>
          <w:p>
            <w:pPr>
              <w:rPr>
                <w:b/>
              </w:rPr>
            </w:pPr>
            <w:r>
              <w:rPr>
                <w:rFonts w:hint="eastAsia"/>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43" w:type="dxa"/>
            <w:gridSpan w:val="4"/>
          </w:tcPr>
          <w:p>
            <w:r>
              <w:rPr>
                <w:rFonts w:hint="eastAsia"/>
                <w:b/>
                <w:color w:val="000000"/>
                <w:szCs w:val="21"/>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3" w:type="dxa"/>
            <w:gridSpan w:val="4"/>
          </w:tcPr>
          <w:p>
            <w:pPr>
              <w:rPr>
                <w:rFonts w:hint="eastAsia" w:eastAsia="宋体"/>
                <w:lang w:val="en-US" w:eastAsia="zh-CN"/>
              </w:rPr>
            </w:pPr>
            <w:r>
              <w:rPr>
                <w:rFonts w:hint="eastAsia"/>
                <w:lang w:val="en-US" w:eastAsia="zh-CN"/>
              </w:rPr>
              <w:t>1</w:t>
            </w:r>
            <w:r>
              <w:rPr>
                <w:rFonts w:hint="eastAsia" w:ascii="宋体" w:hAnsi="宋体"/>
                <w:b/>
                <w:color w:val="000000"/>
                <w:kern w:val="0"/>
                <w:szCs w:val="21"/>
              </w:rPr>
              <w:t>维修及维护服务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vAlign w:val="top"/>
          </w:tcPr>
          <w:p>
            <w:pPr>
              <w:pageBreakBefore w:val="0"/>
              <w:topLinePunct w:val="0"/>
              <w:bidi w:val="0"/>
              <w:spacing w:line="240" w:lineRule="auto"/>
            </w:pPr>
            <w:r>
              <w:rPr>
                <w:rFonts w:hint="eastAsia" w:ascii="宋体" w:hAnsi="宋体" w:eastAsia="宋体" w:cs="宋体"/>
                <w:sz w:val="21"/>
                <w:szCs w:val="21"/>
              </w:rPr>
              <w:t>★</w:t>
            </w:r>
            <w:r>
              <w:rPr>
                <w:rFonts w:hint="eastAsia" w:ascii="宋体" w:hAnsi="宋体" w:eastAsia="宋体" w:cs="宋体"/>
                <w:color w:val="000000"/>
                <w:kern w:val="0"/>
                <w:sz w:val="21"/>
                <w:szCs w:val="21"/>
              </w:rPr>
              <w:t>1.1</w:t>
            </w:r>
            <w:r>
              <w:rPr>
                <w:rFonts w:hint="eastAsia" w:ascii="宋体" w:hAnsi="宋体" w:eastAsia="宋体" w:cs="宋体"/>
                <w:color w:val="000000"/>
                <w:kern w:val="0"/>
                <w:sz w:val="21"/>
                <w:szCs w:val="21"/>
                <w:lang w:val="en-US" w:eastAsia="zh-CN"/>
              </w:rPr>
              <w:t>主机、配件</w:t>
            </w:r>
            <w:r>
              <w:rPr>
                <w:rFonts w:hint="eastAsia" w:ascii="宋体" w:hAnsi="宋体" w:eastAsia="宋体" w:cs="宋体"/>
                <w:color w:val="000000"/>
                <w:kern w:val="0"/>
                <w:sz w:val="21"/>
                <w:szCs w:val="21"/>
                <w:lang w:bidi="ar"/>
              </w:rPr>
              <w:t>免费保修期</w:t>
            </w:r>
            <w:r>
              <w:rPr>
                <w:rFonts w:hint="eastAsia" w:ascii="宋体" w:hAnsi="宋体" w:cs="宋体"/>
                <w:color w:val="000000"/>
                <w:kern w:val="0"/>
                <w:sz w:val="21"/>
                <w:szCs w:val="21"/>
                <w:lang w:val="en-US" w:eastAsia="zh-CN" w:bidi="ar"/>
              </w:rPr>
              <w:t>5</w:t>
            </w:r>
            <w:r>
              <w:rPr>
                <w:rFonts w:hint="eastAsia" w:ascii="宋体" w:hAnsi="宋体" w:eastAsia="宋体" w:cs="宋体"/>
                <w:color w:val="000000"/>
                <w:kern w:val="0"/>
                <w:sz w:val="21"/>
                <w:szCs w:val="21"/>
                <w:lang w:bidi="ar"/>
              </w:rPr>
              <w:t xml:space="preserve"> 年，时间自最终验收合格并交付使用之日起计算</w:t>
            </w:r>
            <w:r>
              <w:rPr>
                <w:rFonts w:hint="eastAsia" w:ascii="宋体" w:hAnsi="宋体" w:eastAsia="宋体" w:cs="宋体"/>
                <w:b/>
                <w:color w:val="FF0000"/>
                <w:kern w:val="0"/>
                <w:sz w:val="21"/>
                <w:szCs w:val="21"/>
              </w:rPr>
              <w:t>(不可负偏离条款，否则废标)</w:t>
            </w:r>
            <w:r>
              <w:rPr>
                <w:rFonts w:hint="eastAsia" w:ascii="宋体" w:hAnsi="宋体" w:eastAsia="宋体" w:cs="宋体"/>
                <w:color w:val="000000"/>
                <w:kern w:val="0"/>
                <w:sz w:val="21"/>
                <w:szCs w:val="21"/>
                <w:lang w:bidi="ar"/>
              </w:rPr>
              <w:t>。</w:t>
            </w:r>
          </w:p>
        </w:tc>
        <w:tc>
          <w:tcPr>
            <w:tcW w:w="3014" w:type="dxa"/>
          </w:tcPr>
          <w:p/>
        </w:tc>
        <w:tc>
          <w:tcPr>
            <w:tcW w:w="1275" w:type="dxa"/>
          </w:tcPr>
          <w:p/>
        </w:tc>
        <w:tc>
          <w:tcPr>
            <w:tcW w:w="113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vAlign w:val="top"/>
          </w:tcPr>
          <w:p>
            <w:pPr>
              <w:pageBreakBefore w:val="0"/>
              <w:topLinePunct w:val="0"/>
              <w:bidi w:val="0"/>
              <w:spacing w:line="240" w:lineRule="auto"/>
              <w:rPr>
                <w:rFonts w:hint="eastAsia" w:ascii="宋体" w:hAnsi="宋体" w:cs="宋体"/>
                <w:kern w:val="0"/>
                <w:szCs w:val="21"/>
              </w:rPr>
            </w:pPr>
            <w:r>
              <w:rPr>
                <w:rFonts w:hint="eastAsia" w:ascii="宋体" w:hAnsi="宋体" w:eastAsia="宋体" w:cs="宋体"/>
                <w:color w:val="auto"/>
                <w:kern w:val="0"/>
                <w:sz w:val="21"/>
                <w:szCs w:val="21"/>
                <w:lang w:val="en-US" w:eastAsia="zh-CN"/>
              </w:rPr>
              <w:t>1.2 各投标人应在投标文件中列明各主机、配件和易耗品的保修期限,终身维修。 保修期内免费更换零配件、免工时费。设备在保修期内投标人承诺由原厂进行维修， 出原厂维修报告。保修期自采购人签署验收报告之日起开始计算。</w:t>
            </w:r>
          </w:p>
        </w:tc>
        <w:tc>
          <w:tcPr>
            <w:tcW w:w="3014" w:type="dxa"/>
          </w:tcPr>
          <w:p/>
        </w:tc>
        <w:tc>
          <w:tcPr>
            <w:tcW w:w="1275" w:type="dxa"/>
          </w:tcPr>
          <w:p/>
        </w:tc>
        <w:tc>
          <w:tcPr>
            <w:tcW w:w="113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vAlign w:val="top"/>
          </w:tcPr>
          <w:p>
            <w:pPr>
              <w:pageBreakBefore w:val="0"/>
              <w:topLinePunct w:val="0"/>
              <w:bidi w:val="0"/>
              <w:spacing w:line="360" w:lineRule="auto"/>
            </w:pPr>
            <w:r>
              <w:rPr>
                <w:rFonts w:hint="eastAsia" w:ascii="宋体" w:hAnsi="宋体"/>
                <w:color w:val="000000"/>
                <w:kern w:val="0"/>
                <w:szCs w:val="21"/>
              </w:rPr>
              <w:t>1.</w:t>
            </w:r>
            <w:r>
              <w:rPr>
                <w:rFonts w:hint="eastAsia" w:ascii="宋体" w:hAnsi="宋体"/>
                <w:color w:val="000000"/>
                <w:kern w:val="0"/>
                <w:szCs w:val="21"/>
                <w:lang w:val="en-US" w:eastAsia="zh-CN"/>
              </w:rPr>
              <w:t>3</w:t>
            </w:r>
            <w:r>
              <w:rPr>
                <w:rFonts w:hint="eastAsia" w:ascii="宋体" w:hAnsi="宋体"/>
                <w:color w:val="000000"/>
                <w:kern w:val="0"/>
                <w:szCs w:val="21"/>
                <w:lang w:eastAsia="zh-CN"/>
              </w:rPr>
              <w:t>投标人保证</w:t>
            </w:r>
            <w:r>
              <w:rPr>
                <w:rFonts w:hint="eastAsia" w:ascii="宋体" w:hAnsi="宋体"/>
                <w:color w:val="000000"/>
                <w:kern w:val="0"/>
                <w:szCs w:val="21"/>
              </w:rPr>
              <w:t>由设备制造商提供售后服务，一旦发现质量问题，中标方保证在接到通知后</w:t>
            </w:r>
            <w:r>
              <w:rPr>
                <w:rFonts w:hint="eastAsia" w:ascii="宋体" w:hAnsi="宋体"/>
                <w:color w:val="000000"/>
                <w:kern w:val="0"/>
                <w:szCs w:val="21"/>
                <w:lang w:eastAsia="zh-CN"/>
              </w:rPr>
              <w:t>，</w:t>
            </w:r>
            <w:r>
              <w:rPr>
                <w:rFonts w:hint="eastAsia" w:ascii="宋体" w:hAnsi="宋体"/>
                <w:color w:val="000000"/>
                <w:kern w:val="0"/>
                <w:szCs w:val="21"/>
              </w:rPr>
              <w:t>12小时内赶到现场，并承诺在24小时内进行全免费修理或更换。（不可抗力情况除外）。消耗品和零配件供应及时，特殊情况下可提供备用机。</w:t>
            </w:r>
            <w:r>
              <w:rPr>
                <w:rFonts w:hint="eastAsia" w:ascii="宋体" w:hAnsi="宋体" w:cs="宋体"/>
                <w:color w:val="000000"/>
                <w:kern w:val="0"/>
                <w:szCs w:val="21"/>
              </w:rPr>
              <w:t>广东省内有相应的维修机构，并出具证明文件。</w:t>
            </w:r>
          </w:p>
        </w:tc>
        <w:tc>
          <w:tcPr>
            <w:tcW w:w="3014" w:type="dxa"/>
          </w:tcPr>
          <w:p/>
        </w:tc>
        <w:tc>
          <w:tcPr>
            <w:tcW w:w="1275" w:type="dxa"/>
          </w:tcPr>
          <w:p/>
        </w:tc>
        <w:tc>
          <w:tcPr>
            <w:tcW w:w="113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vAlign w:val="top"/>
          </w:tcPr>
          <w:p>
            <w:pPr>
              <w:pageBreakBefore w:val="0"/>
              <w:topLinePunct w:val="0"/>
              <w:bidi w:val="0"/>
              <w:spacing w:line="360" w:lineRule="auto"/>
            </w:pPr>
            <w:r>
              <w:rPr>
                <w:rFonts w:hint="eastAsia" w:ascii="宋体" w:hAnsi="宋体"/>
                <w:color w:val="000000"/>
                <w:kern w:val="0"/>
                <w:szCs w:val="21"/>
              </w:rPr>
              <w:t>1.</w:t>
            </w:r>
            <w:r>
              <w:rPr>
                <w:rFonts w:hint="eastAsia" w:ascii="宋体" w:hAnsi="宋体"/>
                <w:color w:val="000000"/>
                <w:kern w:val="0"/>
                <w:szCs w:val="21"/>
                <w:lang w:val="en-US" w:eastAsia="zh-CN"/>
              </w:rPr>
              <w:t>4</w:t>
            </w:r>
            <w:r>
              <w:rPr>
                <w:rFonts w:hint="eastAsia" w:ascii="宋体" w:hAnsi="宋体"/>
                <w:color w:val="000000"/>
                <w:kern w:val="0"/>
                <w:szCs w:val="21"/>
              </w:rPr>
              <w:t>投标人保证</w:t>
            </w:r>
            <w:r>
              <w:rPr>
                <w:rFonts w:hint="eastAsia" w:ascii="宋体" w:hAnsi="宋体"/>
                <w:bCs/>
                <w:color w:val="000000"/>
                <w:kern w:val="0"/>
                <w:szCs w:val="21"/>
                <w:u w:val="single"/>
              </w:rPr>
              <w:t xml:space="preserve">10 </w:t>
            </w:r>
            <w:r>
              <w:rPr>
                <w:rFonts w:hint="eastAsia" w:ascii="宋体" w:hAnsi="宋体"/>
                <w:color w:val="000000"/>
                <w:kern w:val="0"/>
                <w:szCs w:val="21"/>
              </w:rPr>
              <w:t>年以上供应维修配件，</w:t>
            </w:r>
            <w:r>
              <w:rPr>
                <w:rFonts w:hint="eastAsia" w:ascii="宋体" w:hAnsi="宋体" w:cs="宋体"/>
                <w:color w:val="000000"/>
                <w:kern w:val="0"/>
                <w:szCs w:val="21"/>
              </w:rPr>
              <w:t>如果因机器和配件停产造成设备无法维修者（维修周期同故障处理条款内容），必须无条件免费更换整机保证完好使用。</w:t>
            </w:r>
          </w:p>
        </w:tc>
        <w:tc>
          <w:tcPr>
            <w:tcW w:w="3014" w:type="dxa"/>
          </w:tcPr>
          <w:p/>
        </w:tc>
        <w:tc>
          <w:tcPr>
            <w:tcW w:w="1275" w:type="dxa"/>
          </w:tcPr>
          <w:p/>
        </w:tc>
        <w:tc>
          <w:tcPr>
            <w:tcW w:w="113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vAlign w:val="top"/>
          </w:tcPr>
          <w:p>
            <w:pPr>
              <w:pageBreakBefore w:val="0"/>
              <w:topLinePunct w:val="0"/>
              <w:bidi w:val="0"/>
              <w:spacing w:line="360" w:lineRule="auto"/>
              <w:rPr>
                <w:rFonts w:hint="eastAsia"/>
              </w:rPr>
            </w:pPr>
            <w:r>
              <w:rPr>
                <w:rFonts w:hint="eastAsia" w:ascii="宋体" w:hAnsi="宋体" w:cs="宋体"/>
                <w:color w:val="000000"/>
                <w:kern w:val="0"/>
                <w:szCs w:val="21"/>
              </w:rPr>
              <w:t>1.</w:t>
            </w:r>
            <w:r>
              <w:rPr>
                <w:rFonts w:hint="eastAsia" w:ascii="宋体" w:hAnsi="宋体" w:cs="宋体"/>
                <w:color w:val="000000"/>
                <w:kern w:val="0"/>
                <w:szCs w:val="21"/>
                <w:lang w:val="en-US" w:eastAsia="zh-CN"/>
              </w:rPr>
              <w:t>5</w:t>
            </w:r>
            <w:r>
              <w:rPr>
                <w:rFonts w:hint="eastAsia" w:ascii="宋体" w:hAnsi="宋体" w:cs="宋体"/>
                <w:color w:val="000000"/>
                <w:kern w:val="0"/>
                <w:szCs w:val="21"/>
              </w:rPr>
              <w:t>.</w:t>
            </w:r>
            <w:r>
              <w:rPr>
                <w:rFonts w:hint="eastAsia" w:ascii="宋体" w:hAnsi="宋体" w:cs="宋体"/>
                <w:color w:val="000000"/>
                <w:kern w:val="0"/>
                <w:szCs w:val="21"/>
                <w:lang w:eastAsia="zh-CN"/>
              </w:rPr>
              <w:t>投标人</w:t>
            </w:r>
            <w:r>
              <w:rPr>
                <w:rFonts w:hint="eastAsia" w:ascii="宋体" w:hAnsi="宋体" w:cs="宋体"/>
                <w:color w:val="000000"/>
                <w:kern w:val="0"/>
                <w:szCs w:val="21"/>
              </w:rPr>
              <w:t>免费提供技术咨询及软件升级，提供产品</w:t>
            </w:r>
            <w:r>
              <w:rPr>
                <w:rFonts w:hint="eastAsia" w:ascii="宋体" w:hAnsi="宋体" w:cs="宋体"/>
                <w:color w:val="000000"/>
                <w:kern w:val="0"/>
                <w:szCs w:val="21"/>
                <w:lang w:eastAsia="zh-CN"/>
              </w:rPr>
              <w:t>生命周期内</w:t>
            </w:r>
            <w:r>
              <w:rPr>
                <w:rFonts w:hint="eastAsia" w:ascii="宋体" w:hAnsi="宋体" w:cs="宋体"/>
                <w:color w:val="000000"/>
                <w:kern w:val="0"/>
                <w:szCs w:val="21"/>
              </w:rPr>
              <w:t>技术服务。</w:t>
            </w:r>
          </w:p>
        </w:tc>
        <w:tc>
          <w:tcPr>
            <w:tcW w:w="3014" w:type="dxa"/>
          </w:tcPr>
          <w:p/>
        </w:tc>
        <w:tc>
          <w:tcPr>
            <w:tcW w:w="1275" w:type="dxa"/>
          </w:tcPr>
          <w:p/>
        </w:tc>
        <w:tc>
          <w:tcPr>
            <w:tcW w:w="113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vAlign w:val="top"/>
          </w:tcPr>
          <w:p>
            <w:pPr>
              <w:pageBreakBefore w:val="0"/>
              <w:topLinePunct w:val="0"/>
              <w:bidi w:val="0"/>
              <w:spacing w:line="360" w:lineRule="auto"/>
              <w:rPr>
                <w:rFonts w:hint="eastAsia"/>
              </w:rPr>
            </w:pPr>
            <w:r>
              <w:rPr>
                <w:rFonts w:hint="eastAsia" w:ascii="宋体" w:hAnsi="宋体"/>
                <w:bCs/>
                <w:color w:val="000000"/>
                <w:kern w:val="0"/>
                <w:szCs w:val="21"/>
              </w:rPr>
              <w:t>1.</w:t>
            </w:r>
            <w:r>
              <w:rPr>
                <w:rFonts w:hint="eastAsia" w:ascii="宋体" w:hAnsi="宋体"/>
                <w:bCs/>
                <w:color w:val="000000"/>
                <w:kern w:val="0"/>
                <w:szCs w:val="21"/>
                <w:lang w:val="en-US" w:eastAsia="zh-CN"/>
              </w:rPr>
              <w:t>6</w:t>
            </w:r>
            <w:r>
              <w:rPr>
                <w:rFonts w:hint="eastAsia" w:ascii="宋体" w:hAnsi="宋体"/>
                <w:bCs/>
                <w:color w:val="000000"/>
                <w:kern w:val="0"/>
                <w:szCs w:val="21"/>
                <w:lang w:eastAsia="zh-CN"/>
              </w:rPr>
              <w:t>投标人</w:t>
            </w:r>
            <w:r>
              <w:rPr>
                <w:rFonts w:hint="eastAsia" w:ascii="宋体" w:hAnsi="宋体" w:cs="宋体"/>
                <w:color w:val="000000"/>
                <w:kern w:val="0"/>
                <w:szCs w:val="21"/>
              </w:rPr>
              <w:t>免费开放设备接口参数，无偿派人配合与医院信息系统的连接工作，直至该设备与医院信息系统可进行完整的数据交换；在设备保修期内，当医院信息系统变更并需要与该设备连接时，需无偿派人配合直至该设备与医院信息系统可进行完整的数据交换。</w:t>
            </w:r>
          </w:p>
        </w:tc>
        <w:tc>
          <w:tcPr>
            <w:tcW w:w="3014" w:type="dxa"/>
          </w:tcPr>
          <w:p/>
        </w:tc>
        <w:tc>
          <w:tcPr>
            <w:tcW w:w="1275" w:type="dxa"/>
          </w:tcPr>
          <w:p/>
        </w:tc>
        <w:tc>
          <w:tcPr>
            <w:tcW w:w="113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vAlign w:val="top"/>
          </w:tcPr>
          <w:p>
            <w:pPr>
              <w:pageBreakBefore w:val="0"/>
              <w:topLinePunct w:val="0"/>
              <w:bidi w:val="0"/>
              <w:spacing w:line="360" w:lineRule="auto"/>
              <w:rPr>
                <w:rFonts w:hint="eastAsia"/>
              </w:rPr>
            </w:pPr>
            <w:r>
              <w:rPr>
                <w:rFonts w:hint="eastAsia" w:ascii="宋体" w:hAnsi="宋体" w:cs="宋体"/>
                <w:color w:val="000000"/>
                <w:kern w:val="0"/>
                <w:szCs w:val="21"/>
              </w:rPr>
              <w:t>1.</w:t>
            </w:r>
            <w:r>
              <w:rPr>
                <w:rFonts w:hint="eastAsia" w:ascii="宋体" w:hAnsi="宋体" w:cs="宋体"/>
                <w:color w:val="000000"/>
                <w:kern w:val="0"/>
                <w:szCs w:val="21"/>
                <w:lang w:val="en-US" w:eastAsia="zh-CN"/>
              </w:rPr>
              <w:t>7</w:t>
            </w:r>
            <w:r>
              <w:rPr>
                <w:rFonts w:hint="eastAsia" w:ascii="宋体" w:hAnsi="宋体" w:cs="宋体"/>
                <w:color w:val="000000"/>
                <w:kern w:val="0"/>
                <w:szCs w:val="21"/>
                <w:lang w:eastAsia="zh-CN"/>
              </w:rPr>
              <w:t>投标人中标后</w:t>
            </w:r>
            <w:r>
              <w:rPr>
                <w:rFonts w:hint="eastAsia" w:ascii="宋体" w:hAnsi="宋体" w:cs="宋体"/>
                <w:color w:val="000000"/>
                <w:kern w:val="0"/>
                <w:szCs w:val="21"/>
              </w:rPr>
              <w:t>必须提供与产品原厂签订的售后服务授权协议书</w:t>
            </w:r>
            <w:r>
              <w:rPr>
                <w:rFonts w:hint="eastAsia" w:ascii="宋体" w:hAnsi="宋体" w:cs="宋体"/>
                <w:color w:val="000000"/>
                <w:kern w:val="0"/>
                <w:szCs w:val="21"/>
                <w:lang w:eastAsia="zh-CN"/>
              </w:rPr>
              <w:t>。</w:t>
            </w:r>
          </w:p>
        </w:tc>
        <w:tc>
          <w:tcPr>
            <w:tcW w:w="3014" w:type="dxa"/>
          </w:tcPr>
          <w:p/>
        </w:tc>
        <w:tc>
          <w:tcPr>
            <w:tcW w:w="1275" w:type="dxa"/>
          </w:tcPr>
          <w:p/>
        </w:tc>
        <w:tc>
          <w:tcPr>
            <w:tcW w:w="113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vAlign w:val="top"/>
          </w:tcPr>
          <w:p>
            <w:pPr>
              <w:pageBreakBefore w:val="0"/>
              <w:topLinePunct w:val="0"/>
              <w:bidi w:val="0"/>
              <w:spacing w:line="360" w:lineRule="auto"/>
              <w:rPr>
                <w:rFonts w:hint="eastAsia"/>
              </w:rPr>
            </w:pPr>
            <w:r>
              <w:rPr>
                <w:rFonts w:hint="eastAsia" w:ascii="宋体" w:hAnsi="宋体" w:cs="宋体"/>
                <w:color w:val="000000"/>
                <w:kern w:val="0"/>
                <w:szCs w:val="21"/>
              </w:rPr>
              <w:t>1.</w:t>
            </w:r>
            <w:r>
              <w:rPr>
                <w:rFonts w:hint="eastAsia" w:ascii="宋体" w:hAnsi="宋体" w:cs="宋体"/>
                <w:color w:val="000000"/>
                <w:kern w:val="0"/>
                <w:szCs w:val="21"/>
                <w:lang w:val="en-US" w:eastAsia="zh-CN"/>
              </w:rPr>
              <w:t>8</w:t>
            </w:r>
            <w:r>
              <w:rPr>
                <w:rFonts w:hint="eastAsia" w:ascii="宋体" w:hAnsi="宋体" w:cs="宋体"/>
                <w:color w:val="000000"/>
                <w:kern w:val="0"/>
                <w:szCs w:val="21"/>
              </w:rPr>
              <w:t>.</w:t>
            </w:r>
            <w:r>
              <w:rPr>
                <w:rFonts w:hint="eastAsia" w:ascii="宋体" w:hAnsi="宋体"/>
                <w:color w:val="000000"/>
                <w:kern w:val="0"/>
                <w:szCs w:val="21"/>
              </w:rPr>
              <w:t xml:space="preserve"> 保修期内</w:t>
            </w:r>
            <w:r>
              <w:rPr>
                <w:rFonts w:ascii="宋体" w:hAnsi="宋体"/>
                <w:color w:val="000000"/>
                <w:kern w:val="0"/>
                <w:szCs w:val="21"/>
              </w:rPr>
              <w:t>,</w:t>
            </w:r>
            <w:r>
              <w:rPr>
                <w:rFonts w:hint="eastAsia" w:ascii="宋体" w:hAnsi="宋体"/>
                <w:color w:val="000000"/>
                <w:kern w:val="0"/>
                <w:szCs w:val="21"/>
              </w:rPr>
              <w:t>年度定期预防性维护保养次数应不少于</w:t>
            </w:r>
            <w:r>
              <w:rPr>
                <w:rFonts w:hint="eastAsia" w:ascii="宋体" w:hAnsi="宋体"/>
                <w:bCs/>
                <w:color w:val="000000"/>
                <w:kern w:val="0"/>
                <w:szCs w:val="21"/>
                <w:u w:val="single"/>
              </w:rPr>
              <w:t xml:space="preserve"> 2</w:t>
            </w:r>
            <w:r>
              <w:rPr>
                <w:rFonts w:hint="eastAsia" w:ascii="宋体" w:hAnsi="宋体"/>
                <w:color w:val="000000"/>
                <w:kern w:val="0"/>
                <w:szCs w:val="21"/>
              </w:rPr>
              <w:t>次。</w:t>
            </w:r>
            <w:r>
              <w:rPr>
                <w:rFonts w:hint="eastAsia" w:ascii="宋体" w:hAnsi="宋体" w:cs="宋体"/>
                <w:color w:val="000000"/>
                <w:kern w:val="0"/>
                <w:szCs w:val="21"/>
              </w:rPr>
              <w:t>必须提供产品原厂设备定期维护（日常、中度、深度）服务计划，并附（Check  list</w:t>
            </w:r>
            <w:r>
              <w:rPr>
                <w:rFonts w:ascii="宋体" w:hAnsi="宋体" w:cs="宋体"/>
                <w:color w:val="000000"/>
                <w:kern w:val="0"/>
                <w:szCs w:val="21"/>
              </w:rPr>
              <w:t>）</w:t>
            </w:r>
            <w:r>
              <w:rPr>
                <w:rFonts w:hint="eastAsia" w:ascii="宋体" w:hAnsi="宋体" w:cs="宋体"/>
                <w:color w:val="000000"/>
                <w:kern w:val="0"/>
                <w:szCs w:val="21"/>
              </w:rPr>
              <w:t>维护清单。</w:t>
            </w:r>
          </w:p>
        </w:tc>
        <w:tc>
          <w:tcPr>
            <w:tcW w:w="3014" w:type="dxa"/>
          </w:tcPr>
          <w:p/>
        </w:tc>
        <w:tc>
          <w:tcPr>
            <w:tcW w:w="1275" w:type="dxa"/>
          </w:tcPr>
          <w:p/>
        </w:tc>
        <w:tc>
          <w:tcPr>
            <w:tcW w:w="113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vAlign w:val="top"/>
          </w:tcPr>
          <w:p>
            <w:pPr>
              <w:pageBreakBefore w:val="0"/>
              <w:topLinePunct w:val="0"/>
              <w:bidi w:val="0"/>
              <w:spacing w:line="360" w:lineRule="auto"/>
              <w:rPr>
                <w:rFonts w:hint="eastAsia"/>
              </w:rPr>
            </w:pPr>
            <w:r>
              <w:rPr>
                <w:rFonts w:hint="eastAsia" w:ascii="宋体" w:hAnsi="宋体" w:cs="宋体"/>
                <w:color w:val="000000"/>
                <w:kern w:val="0"/>
                <w:szCs w:val="21"/>
              </w:rPr>
              <w:t>1.</w:t>
            </w:r>
            <w:r>
              <w:rPr>
                <w:rFonts w:hint="eastAsia" w:ascii="宋体" w:hAnsi="宋体" w:cs="宋体"/>
                <w:color w:val="000000"/>
                <w:kern w:val="0"/>
                <w:szCs w:val="21"/>
                <w:lang w:val="en-US" w:eastAsia="zh-CN"/>
              </w:rPr>
              <w:t>9</w:t>
            </w:r>
            <w:r>
              <w:rPr>
                <w:rFonts w:hint="eastAsia" w:ascii="宋体" w:hAnsi="宋体" w:cs="宋体"/>
                <w:color w:val="000000"/>
                <w:kern w:val="0"/>
                <w:szCs w:val="21"/>
                <w:lang w:eastAsia="zh-CN"/>
              </w:rPr>
              <w:t>投标人保证</w:t>
            </w:r>
            <w:r>
              <w:rPr>
                <w:rFonts w:hint="eastAsia" w:ascii="宋体" w:hAnsi="宋体" w:cs="宋体"/>
                <w:color w:val="000000"/>
                <w:kern w:val="0"/>
                <w:szCs w:val="21"/>
              </w:rPr>
              <w:t>需</w:t>
            </w:r>
            <w:r>
              <w:rPr>
                <w:rFonts w:hint="eastAsia" w:ascii="宋体" w:hAnsi="宋体" w:cs="宋体"/>
                <w:color w:val="000000"/>
                <w:kern w:val="0"/>
                <w:szCs w:val="21"/>
                <w:lang w:eastAsia="zh-CN"/>
              </w:rPr>
              <w:t>至少一年</w:t>
            </w:r>
            <w:r>
              <w:rPr>
                <w:rFonts w:hint="eastAsia" w:ascii="宋体" w:hAnsi="宋体" w:cs="宋体"/>
                <w:color w:val="000000"/>
                <w:kern w:val="0"/>
                <w:szCs w:val="21"/>
              </w:rPr>
              <w:t>检测</w:t>
            </w:r>
            <w:r>
              <w:rPr>
                <w:rFonts w:hint="eastAsia" w:ascii="宋体" w:hAnsi="宋体" w:cs="宋体"/>
                <w:color w:val="000000"/>
                <w:kern w:val="0"/>
                <w:szCs w:val="21"/>
                <w:lang w:val="en-US" w:eastAsia="zh-CN"/>
              </w:rPr>
              <w:t>2次</w:t>
            </w:r>
            <w:r>
              <w:rPr>
                <w:rFonts w:hint="eastAsia" w:ascii="宋体" w:hAnsi="宋体" w:cs="宋体"/>
                <w:color w:val="000000"/>
                <w:kern w:val="0"/>
                <w:szCs w:val="21"/>
              </w:rPr>
              <w:t>系统、数据库、以及消息的运行状况，并做好相应的记录报告给院方。</w:t>
            </w:r>
          </w:p>
        </w:tc>
        <w:tc>
          <w:tcPr>
            <w:tcW w:w="3014" w:type="dxa"/>
          </w:tcPr>
          <w:p/>
        </w:tc>
        <w:tc>
          <w:tcPr>
            <w:tcW w:w="1275" w:type="dxa"/>
          </w:tcPr>
          <w:p/>
        </w:tc>
        <w:tc>
          <w:tcPr>
            <w:tcW w:w="113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3" w:type="dxa"/>
            <w:gridSpan w:val="4"/>
          </w:tcPr>
          <w:p>
            <w:r>
              <w:rPr>
                <w:rFonts w:hint="eastAsia"/>
              </w:rPr>
              <w:t>2</w:t>
            </w:r>
            <w:r>
              <w:rPr>
                <w:rFonts w:hint="eastAsia" w:ascii="宋体" w:hAnsi="宋体"/>
                <w:b/>
                <w:color w:val="000000"/>
                <w:kern w:val="0"/>
                <w:szCs w:val="21"/>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219" w:type="dxa"/>
            <w:vAlign w:val="top"/>
          </w:tcPr>
          <w:p>
            <w:pPr>
              <w:pageBreakBefore w:val="0"/>
              <w:topLinePunct w:val="0"/>
              <w:bidi w:val="0"/>
              <w:spacing w:line="360" w:lineRule="auto"/>
              <w:rPr>
                <w:rFonts w:ascii="宋体" w:hAnsi="宋体"/>
                <w:color w:val="000000"/>
                <w:kern w:val="0"/>
                <w:szCs w:val="21"/>
              </w:rPr>
            </w:pPr>
            <w:r>
              <w:rPr>
                <w:rFonts w:hint="eastAsia" w:ascii="宋体" w:hAnsi="宋体"/>
                <w:color w:val="000000"/>
                <w:kern w:val="0"/>
                <w:szCs w:val="21"/>
              </w:rPr>
              <w:t>2.1在保修期内</w:t>
            </w:r>
            <w:r>
              <w:rPr>
                <w:rFonts w:ascii="宋体" w:hAnsi="宋体"/>
                <w:color w:val="000000"/>
                <w:kern w:val="0"/>
                <w:szCs w:val="21"/>
              </w:rPr>
              <w:t>,</w:t>
            </w:r>
            <w:r>
              <w:rPr>
                <w:rFonts w:hint="eastAsia" w:ascii="宋体" w:hAnsi="宋体"/>
                <w:color w:val="000000"/>
                <w:kern w:val="0"/>
                <w:szCs w:val="21"/>
              </w:rPr>
              <w:t xml:space="preserve"> 投标人应确保年开机率在</w:t>
            </w:r>
            <w:r>
              <w:rPr>
                <w:rFonts w:ascii="宋体" w:hAnsi="宋体"/>
                <w:color w:val="000000"/>
                <w:kern w:val="0"/>
                <w:szCs w:val="21"/>
              </w:rPr>
              <w:t>9</w:t>
            </w:r>
            <w:r>
              <w:rPr>
                <w:rFonts w:hint="eastAsia" w:ascii="宋体" w:hAnsi="宋体"/>
                <w:color w:val="000000"/>
                <w:kern w:val="0"/>
                <w:szCs w:val="21"/>
              </w:rPr>
              <w:t>8</w:t>
            </w:r>
            <w:r>
              <w:rPr>
                <w:rFonts w:ascii="宋体" w:hAnsi="宋体"/>
                <w:color w:val="000000"/>
                <w:kern w:val="0"/>
                <w:szCs w:val="21"/>
              </w:rPr>
              <w:t>%</w:t>
            </w:r>
            <w:r>
              <w:rPr>
                <w:rFonts w:hint="eastAsia" w:ascii="宋体" w:hAnsi="宋体"/>
                <w:color w:val="000000"/>
                <w:kern w:val="0"/>
                <w:szCs w:val="21"/>
                <w:lang w:eastAsia="zh-CN"/>
              </w:rPr>
              <w:t>及</w:t>
            </w:r>
            <w:r>
              <w:rPr>
                <w:rFonts w:hint="eastAsia" w:ascii="宋体" w:hAnsi="宋体"/>
                <w:color w:val="000000"/>
                <w:kern w:val="0"/>
                <w:szCs w:val="21"/>
              </w:rPr>
              <w:t>以上</w:t>
            </w:r>
            <w:r>
              <w:rPr>
                <w:rFonts w:ascii="宋体" w:hAnsi="宋体"/>
                <w:color w:val="000000"/>
                <w:kern w:val="0"/>
                <w:szCs w:val="21"/>
              </w:rPr>
              <w:t xml:space="preserve">, </w:t>
            </w:r>
            <w:r>
              <w:rPr>
                <w:rFonts w:hint="eastAsia" w:ascii="宋体" w:hAnsi="宋体"/>
                <w:color w:val="000000"/>
                <w:kern w:val="0"/>
                <w:szCs w:val="21"/>
              </w:rPr>
              <w:t>若不能达到此开机率，将作以下处理：</w:t>
            </w:r>
          </w:p>
          <w:p>
            <w:pPr>
              <w:pageBreakBefore w:val="0"/>
              <w:topLinePunct w:val="0"/>
              <w:bidi w:val="0"/>
              <w:spacing w:line="360" w:lineRule="auto"/>
              <w:rPr>
                <w:rFonts w:ascii="宋体" w:hAnsi="宋体"/>
                <w:color w:val="000000"/>
                <w:kern w:val="0"/>
                <w:szCs w:val="21"/>
              </w:rPr>
            </w:pPr>
            <w:r>
              <w:rPr>
                <w:rFonts w:ascii="宋体" w:hAnsi="宋体"/>
                <w:color w:val="000000"/>
                <w:kern w:val="0"/>
                <w:szCs w:val="21"/>
              </w:rPr>
              <w:t>a.</w:t>
            </w:r>
            <w:r>
              <w:rPr>
                <w:rFonts w:hint="eastAsia" w:ascii="宋体" w:hAnsi="宋体"/>
                <w:color w:val="000000"/>
                <w:kern w:val="0"/>
                <w:szCs w:val="21"/>
              </w:rPr>
              <w:t xml:space="preserve"> </w:t>
            </w:r>
            <w:r>
              <w:rPr>
                <w:rFonts w:ascii="宋体" w:hAnsi="宋体"/>
                <w:color w:val="000000"/>
                <w:kern w:val="0"/>
                <w:szCs w:val="21"/>
              </w:rPr>
              <w:t>90</w:t>
            </w:r>
            <w:r>
              <w:rPr>
                <w:rFonts w:hint="eastAsia" w:ascii="宋体" w:hAnsi="宋体"/>
                <w:color w:val="000000"/>
                <w:kern w:val="0"/>
                <w:szCs w:val="21"/>
                <w:lang w:val="en-US" w:eastAsia="zh-CN"/>
              </w:rPr>
              <w:t>%</w:t>
            </w:r>
            <w:r>
              <w:rPr>
                <w:rFonts w:hint="default" w:ascii="Arial" w:hAnsi="Arial" w:cs="Arial"/>
                <w:color w:val="000000"/>
                <w:kern w:val="0"/>
                <w:szCs w:val="21"/>
              </w:rPr>
              <w:t>≤</w:t>
            </w:r>
            <w:r>
              <w:rPr>
                <w:rFonts w:hint="eastAsia" w:ascii="宋体" w:hAnsi="宋体"/>
                <w:color w:val="000000"/>
                <w:kern w:val="0"/>
                <w:szCs w:val="21"/>
              </w:rPr>
              <w:t>年开机率</w:t>
            </w:r>
            <w:r>
              <w:rPr>
                <w:rFonts w:hint="eastAsia" w:ascii="宋体" w:hAnsi="宋体"/>
                <w:color w:val="000000"/>
                <w:kern w:val="0"/>
                <w:szCs w:val="21"/>
                <w:lang w:eastAsia="zh-CN"/>
              </w:rPr>
              <w:t>＜</w:t>
            </w:r>
            <w:r>
              <w:rPr>
                <w:rFonts w:hint="eastAsia" w:ascii="宋体" w:hAnsi="宋体"/>
                <w:color w:val="000000"/>
                <w:kern w:val="0"/>
                <w:szCs w:val="21"/>
                <w:lang w:val="en-US" w:eastAsia="zh-CN"/>
              </w:rPr>
              <w:t>98%</w:t>
            </w:r>
            <w:r>
              <w:rPr>
                <w:rFonts w:hint="eastAsia" w:ascii="宋体" w:hAnsi="宋体"/>
                <w:color w:val="000000"/>
                <w:kern w:val="0"/>
                <w:szCs w:val="21"/>
              </w:rPr>
              <w:t>，赔</w:t>
            </w:r>
            <w:r>
              <w:rPr>
                <w:rFonts w:hint="eastAsia" w:ascii="宋体" w:hAnsi="宋体"/>
                <w:color w:val="000000"/>
                <w:kern w:val="0"/>
                <w:szCs w:val="21"/>
                <w:u w:val="single"/>
              </w:rPr>
              <w:t xml:space="preserve"> 一年 </w:t>
            </w:r>
            <w:r>
              <w:rPr>
                <w:rFonts w:hint="eastAsia" w:ascii="宋体" w:hAnsi="宋体"/>
                <w:color w:val="000000"/>
                <w:kern w:val="0"/>
                <w:szCs w:val="21"/>
              </w:rPr>
              <w:t>延长保修期；</w:t>
            </w:r>
          </w:p>
          <w:p>
            <w:pPr>
              <w:pageBreakBefore w:val="0"/>
              <w:topLinePunct w:val="0"/>
              <w:bidi w:val="0"/>
              <w:spacing w:line="360" w:lineRule="auto"/>
              <w:rPr>
                <w:rFonts w:ascii="宋体" w:hAnsi="宋体"/>
                <w:color w:val="000000"/>
                <w:kern w:val="0"/>
                <w:szCs w:val="21"/>
              </w:rPr>
            </w:pPr>
            <w:r>
              <w:rPr>
                <w:rFonts w:ascii="宋体" w:hAnsi="宋体"/>
                <w:color w:val="000000"/>
                <w:kern w:val="0"/>
                <w:szCs w:val="21"/>
              </w:rPr>
              <w:t>b.</w:t>
            </w:r>
            <w:r>
              <w:rPr>
                <w:rFonts w:hint="eastAsia" w:ascii="宋体" w:hAnsi="宋体"/>
                <w:color w:val="000000"/>
                <w:kern w:val="0"/>
                <w:szCs w:val="21"/>
              </w:rPr>
              <w:t xml:space="preserve"> </w:t>
            </w:r>
            <w:r>
              <w:rPr>
                <w:rFonts w:ascii="宋体" w:hAnsi="宋体"/>
                <w:color w:val="000000"/>
                <w:kern w:val="0"/>
                <w:szCs w:val="21"/>
              </w:rPr>
              <w:t>85</w:t>
            </w:r>
            <w:r>
              <w:rPr>
                <w:rFonts w:hint="eastAsia" w:ascii="宋体" w:hAnsi="宋体"/>
                <w:color w:val="000000"/>
                <w:kern w:val="0"/>
                <w:szCs w:val="21"/>
                <w:lang w:val="en-US" w:eastAsia="zh-CN"/>
              </w:rPr>
              <w:t>%</w:t>
            </w:r>
            <w:r>
              <w:rPr>
                <w:rFonts w:hint="default" w:ascii="Arial" w:hAnsi="Arial" w:cs="Arial"/>
                <w:color w:val="000000"/>
                <w:kern w:val="0"/>
                <w:szCs w:val="21"/>
              </w:rPr>
              <w:t>≤</w:t>
            </w:r>
            <w:r>
              <w:rPr>
                <w:rFonts w:hint="eastAsia" w:ascii="宋体" w:hAnsi="宋体"/>
                <w:color w:val="000000"/>
                <w:kern w:val="0"/>
                <w:szCs w:val="21"/>
              </w:rPr>
              <w:t>年开机率</w:t>
            </w:r>
            <w:r>
              <w:rPr>
                <w:rFonts w:hint="eastAsia" w:ascii="宋体" w:hAnsi="宋体"/>
                <w:color w:val="000000"/>
                <w:kern w:val="0"/>
                <w:szCs w:val="21"/>
                <w:lang w:eastAsia="zh-CN"/>
              </w:rPr>
              <w:t>＜</w:t>
            </w:r>
            <w:r>
              <w:rPr>
                <w:rFonts w:hint="eastAsia" w:ascii="宋体" w:hAnsi="宋体"/>
                <w:color w:val="000000"/>
                <w:kern w:val="0"/>
                <w:szCs w:val="21"/>
                <w:lang w:val="en-US" w:eastAsia="zh-CN"/>
              </w:rPr>
              <w:t>90%</w:t>
            </w:r>
            <w:r>
              <w:rPr>
                <w:rFonts w:hint="eastAsia" w:ascii="宋体" w:hAnsi="宋体"/>
                <w:color w:val="000000"/>
                <w:kern w:val="0"/>
                <w:szCs w:val="21"/>
              </w:rPr>
              <w:t>，赔</w:t>
            </w:r>
            <w:r>
              <w:rPr>
                <w:rFonts w:hint="eastAsia" w:ascii="宋体" w:hAnsi="宋体"/>
                <w:color w:val="000000"/>
                <w:kern w:val="0"/>
                <w:szCs w:val="21"/>
                <w:u w:val="single"/>
              </w:rPr>
              <w:t xml:space="preserve"> 二年  </w:t>
            </w:r>
            <w:r>
              <w:rPr>
                <w:rFonts w:hint="eastAsia" w:ascii="宋体" w:hAnsi="宋体"/>
                <w:color w:val="000000"/>
                <w:kern w:val="0"/>
                <w:szCs w:val="21"/>
              </w:rPr>
              <w:t>延长保修期；</w:t>
            </w:r>
          </w:p>
          <w:p>
            <w:pPr>
              <w:pageBreakBefore w:val="0"/>
              <w:topLinePunct w:val="0"/>
              <w:bidi w:val="0"/>
              <w:spacing w:line="360" w:lineRule="auto"/>
            </w:pPr>
            <w:r>
              <w:rPr>
                <w:rFonts w:ascii="宋体" w:hAnsi="宋体"/>
                <w:color w:val="000000"/>
                <w:kern w:val="0"/>
                <w:szCs w:val="21"/>
              </w:rPr>
              <w:t>c.</w:t>
            </w:r>
            <w:r>
              <w:rPr>
                <w:rFonts w:hint="eastAsia" w:ascii="宋体" w:hAnsi="宋体"/>
                <w:color w:val="000000"/>
                <w:kern w:val="0"/>
                <w:szCs w:val="21"/>
              </w:rPr>
              <w:t xml:space="preserve"> 年开机率</w:t>
            </w:r>
            <w:r>
              <w:rPr>
                <w:rFonts w:hint="eastAsia" w:ascii="宋体" w:hAnsi="宋体"/>
                <w:color w:val="000000"/>
                <w:kern w:val="0"/>
                <w:szCs w:val="21"/>
                <w:lang w:eastAsia="zh-CN"/>
              </w:rPr>
              <w:t>＜</w:t>
            </w:r>
            <w:r>
              <w:rPr>
                <w:rFonts w:ascii="宋体" w:hAnsi="宋体"/>
                <w:color w:val="000000"/>
                <w:kern w:val="0"/>
                <w:szCs w:val="21"/>
              </w:rPr>
              <w:t>85%</w:t>
            </w:r>
            <w:r>
              <w:rPr>
                <w:rFonts w:hint="eastAsia" w:ascii="宋体" w:hAnsi="宋体"/>
                <w:color w:val="000000"/>
                <w:kern w:val="0"/>
                <w:szCs w:val="21"/>
              </w:rPr>
              <w:t>，投标人必须无条件更换新机，并重新计算保修期，以及赔偿用户的直接经济损失和间接经济损失。注：年开机率=（365-停机天数）/365）。</w:t>
            </w:r>
          </w:p>
        </w:tc>
        <w:tc>
          <w:tcPr>
            <w:tcW w:w="3014" w:type="dxa"/>
          </w:tcPr>
          <w:p>
            <w:pPr>
              <w:rPr>
                <w:b/>
              </w:rPr>
            </w:pPr>
          </w:p>
        </w:tc>
        <w:tc>
          <w:tcPr>
            <w:tcW w:w="1275" w:type="dxa"/>
          </w:tcPr>
          <w:p>
            <w:pPr>
              <w:rPr>
                <w:b/>
              </w:rPr>
            </w:pPr>
          </w:p>
        </w:tc>
        <w:tc>
          <w:tcPr>
            <w:tcW w:w="1135"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vAlign w:val="top"/>
          </w:tcPr>
          <w:p>
            <w:pPr>
              <w:pageBreakBefore w:val="0"/>
              <w:tabs>
                <w:tab w:val="left" w:pos="1815"/>
              </w:tabs>
              <w:topLinePunct w:val="0"/>
              <w:bidi w:val="0"/>
              <w:spacing w:line="360" w:lineRule="auto"/>
              <w:rPr>
                <w:rFonts w:hint="eastAsia"/>
              </w:rPr>
            </w:pPr>
            <w:r>
              <w:rPr>
                <w:rFonts w:hint="eastAsia" w:ascii="宋体" w:hAnsi="宋体"/>
                <w:color w:val="000000"/>
                <w:kern w:val="0"/>
                <w:szCs w:val="21"/>
              </w:rPr>
              <w:t>2.2</w:t>
            </w:r>
            <w:r>
              <w:rPr>
                <w:rFonts w:hint="eastAsia" w:ascii="宋体" w:hAnsi="宋体" w:cs="宋体"/>
                <w:color w:val="000000"/>
                <w:kern w:val="0"/>
                <w:szCs w:val="21"/>
              </w:rPr>
              <w:t>保修期到期前</w:t>
            </w:r>
            <w:r>
              <w:rPr>
                <w:rFonts w:hint="eastAsia" w:ascii="宋体" w:hAnsi="宋体" w:cs="宋体"/>
                <w:color w:val="000000"/>
                <w:kern w:val="0"/>
                <w:szCs w:val="21"/>
                <w:u w:val="single"/>
              </w:rPr>
              <w:t xml:space="preserve"> 3 </w:t>
            </w:r>
            <w:r>
              <w:rPr>
                <w:rFonts w:hint="eastAsia" w:ascii="宋体" w:hAnsi="宋体" w:cs="宋体"/>
                <w:color w:val="000000"/>
                <w:kern w:val="0"/>
                <w:szCs w:val="21"/>
              </w:rPr>
              <w:t>个月内投标人需提供设备运行状态评估报告及过保后设备维护方案，保证提供有效的非现场技术支持服务和联系方式。</w:t>
            </w:r>
          </w:p>
        </w:tc>
        <w:tc>
          <w:tcPr>
            <w:tcW w:w="3014" w:type="dxa"/>
          </w:tcPr>
          <w:p>
            <w:pPr>
              <w:rPr>
                <w:b/>
              </w:rPr>
            </w:pPr>
          </w:p>
        </w:tc>
        <w:tc>
          <w:tcPr>
            <w:tcW w:w="1275" w:type="dxa"/>
          </w:tcPr>
          <w:p>
            <w:pPr>
              <w:rPr>
                <w:b/>
              </w:rPr>
            </w:pPr>
          </w:p>
        </w:tc>
        <w:tc>
          <w:tcPr>
            <w:tcW w:w="1135"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3" w:type="dxa"/>
            <w:gridSpan w:val="4"/>
          </w:tcPr>
          <w:p>
            <w:pPr>
              <w:rPr>
                <w:b/>
              </w:rPr>
            </w:pPr>
            <w:r>
              <w:rPr>
                <w:rFonts w:hint="eastAsia"/>
                <w:b/>
                <w:color w:val="000000"/>
                <w:szCs w:val="21"/>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3" w:type="dxa"/>
            <w:gridSpan w:val="4"/>
          </w:tcPr>
          <w:p>
            <w:pPr>
              <w:rPr>
                <w:rFonts w:hint="eastAsia" w:eastAsia="宋体"/>
                <w:b/>
                <w:color w:val="000000"/>
                <w:szCs w:val="21"/>
                <w:lang w:val="en-US" w:eastAsia="zh-CN"/>
              </w:rPr>
            </w:pPr>
            <w:r>
              <w:rPr>
                <w:rFonts w:hint="eastAsia"/>
                <w:b/>
                <w:color w:val="000000"/>
                <w:szCs w:val="21"/>
                <w:lang w:val="en-US" w:eastAsia="zh-CN"/>
              </w:rPr>
              <w:t>1</w:t>
            </w:r>
            <w:r>
              <w:rPr>
                <w:rFonts w:hint="eastAsia" w:ascii="宋体" w:hAnsi="宋体"/>
                <w:b/>
                <w:color w:val="000000"/>
                <w:kern w:val="0"/>
                <w:szCs w:val="21"/>
              </w:rPr>
              <w:t>维修零配件、消耗品和延续保修合同的报价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vAlign w:val="top"/>
          </w:tcPr>
          <w:p>
            <w:pPr>
              <w:pageBreakBefore w:val="0"/>
              <w:topLinePunct w:val="0"/>
              <w:bidi w:val="0"/>
              <w:spacing w:line="360" w:lineRule="auto"/>
              <w:rPr>
                <w:rFonts w:hint="eastAsia"/>
              </w:rPr>
            </w:pPr>
            <w:r>
              <w:rPr>
                <w:rFonts w:hint="eastAsia" w:ascii="宋体" w:hAnsi="宋体"/>
                <w:color w:val="000000"/>
                <w:kern w:val="0"/>
                <w:szCs w:val="21"/>
              </w:rPr>
              <w:t>1.1</w:t>
            </w:r>
            <w:r>
              <w:rPr>
                <w:rFonts w:hint="eastAsia" w:ascii="宋体" w:hAnsi="宋体"/>
                <w:color w:val="000000"/>
                <w:kern w:val="0"/>
                <w:szCs w:val="21"/>
                <w:lang w:eastAsia="zh-CN"/>
              </w:rPr>
              <w:t>投标人保证</w:t>
            </w:r>
            <w:r>
              <w:rPr>
                <w:rFonts w:hint="eastAsia" w:ascii="宋体" w:hAnsi="宋体"/>
                <w:color w:val="000000"/>
                <w:kern w:val="0"/>
                <w:szCs w:val="21"/>
              </w:rPr>
              <w:t>由设备制造商提供售后服务，</w:t>
            </w:r>
            <w:r>
              <w:rPr>
                <w:rFonts w:hint="eastAsia" w:ascii="宋体" w:hAnsi="宋体"/>
                <w:bCs/>
                <w:color w:val="000000"/>
                <w:kern w:val="0"/>
                <w:szCs w:val="21"/>
                <w:u w:val="single"/>
              </w:rPr>
              <w:t xml:space="preserve"> 1 </w:t>
            </w:r>
            <w:r>
              <w:rPr>
                <w:rFonts w:hint="eastAsia" w:ascii="宋体" w:hAnsi="宋体"/>
                <w:color w:val="000000"/>
                <w:kern w:val="0"/>
                <w:szCs w:val="21"/>
              </w:rPr>
              <w:t>小时内响应，</w:t>
            </w:r>
            <w:r>
              <w:rPr>
                <w:rFonts w:hint="eastAsia" w:ascii="宋体" w:hAnsi="宋体"/>
                <w:bCs/>
                <w:color w:val="000000"/>
                <w:kern w:val="0"/>
                <w:szCs w:val="21"/>
                <w:u w:val="single"/>
              </w:rPr>
              <w:t xml:space="preserve"> 8 </w:t>
            </w:r>
            <w:r>
              <w:rPr>
                <w:rFonts w:hint="eastAsia" w:ascii="宋体" w:hAnsi="宋体"/>
                <w:color w:val="000000"/>
                <w:kern w:val="0"/>
                <w:szCs w:val="21"/>
              </w:rPr>
              <w:t>小时维修到位，并在</w:t>
            </w:r>
            <w:r>
              <w:rPr>
                <w:rFonts w:hint="eastAsia" w:ascii="宋体" w:hAnsi="宋体"/>
                <w:color w:val="000000"/>
                <w:kern w:val="0"/>
                <w:szCs w:val="21"/>
                <w:u w:val="single"/>
              </w:rPr>
              <w:t xml:space="preserve"> 24</w:t>
            </w:r>
            <w:r>
              <w:rPr>
                <w:rFonts w:hint="eastAsia" w:ascii="宋体" w:hAnsi="宋体"/>
                <w:color w:val="000000"/>
                <w:kern w:val="0"/>
                <w:szCs w:val="21"/>
              </w:rPr>
              <w:t>小时内消除故障（不可抗力情况除外）。消耗品和零配件供应及时，特殊情况下可提供备用机。</w:t>
            </w:r>
            <w:r>
              <w:rPr>
                <w:rFonts w:ascii="宋体" w:hAnsi="宋体"/>
                <w:color w:val="000000"/>
                <w:kern w:val="0"/>
                <w:szCs w:val="21"/>
              </w:rPr>
              <w:t>在境内有相应的零配件保税库,并出具证明文件。</w:t>
            </w:r>
          </w:p>
        </w:tc>
        <w:tc>
          <w:tcPr>
            <w:tcW w:w="3014" w:type="dxa"/>
          </w:tcPr>
          <w:p>
            <w:pPr>
              <w:rPr>
                <w:b/>
              </w:rPr>
            </w:pPr>
          </w:p>
        </w:tc>
        <w:tc>
          <w:tcPr>
            <w:tcW w:w="1275" w:type="dxa"/>
          </w:tcPr>
          <w:p>
            <w:pPr>
              <w:rPr>
                <w:b/>
              </w:rPr>
            </w:pPr>
          </w:p>
        </w:tc>
        <w:tc>
          <w:tcPr>
            <w:tcW w:w="1135"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vAlign w:val="top"/>
          </w:tcPr>
          <w:p>
            <w:pPr>
              <w:pageBreakBefore w:val="0"/>
              <w:topLinePunct w:val="0"/>
              <w:bidi w:val="0"/>
              <w:spacing w:line="360" w:lineRule="auto"/>
              <w:rPr>
                <w:rFonts w:hint="eastAsia"/>
              </w:rPr>
            </w:pPr>
            <w:r>
              <w:rPr>
                <w:rFonts w:hint="eastAsia" w:ascii="宋体" w:hAnsi="宋体"/>
                <w:color w:val="000000"/>
                <w:kern w:val="0"/>
                <w:szCs w:val="21"/>
              </w:rPr>
              <w:t>1.2保修期满后，投标人应以</w:t>
            </w:r>
            <w:r>
              <w:rPr>
                <w:rFonts w:hint="eastAsia" w:ascii="宋体" w:hAnsi="宋体"/>
                <w:color w:val="000000"/>
                <w:kern w:val="0"/>
                <w:szCs w:val="21"/>
                <w:lang w:eastAsia="zh-CN"/>
              </w:rPr>
              <w:t>不高于市场价</w:t>
            </w:r>
            <w:r>
              <w:rPr>
                <w:rFonts w:hint="eastAsia" w:ascii="宋体" w:hAnsi="宋体"/>
                <w:color w:val="000000"/>
                <w:kern w:val="0"/>
                <w:szCs w:val="21"/>
              </w:rPr>
              <w:t>供应维修零配件、消耗品和延续保修合同。价格最高的前5项零配件、消耗品和延续保修合同的报价明细必须填写于《零配件、消耗品和延续保修合同报价明清单》中。</w:t>
            </w:r>
          </w:p>
        </w:tc>
        <w:tc>
          <w:tcPr>
            <w:tcW w:w="3014" w:type="dxa"/>
          </w:tcPr>
          <w:p>
            <w:pPr>
              <w:rPr>
                <w:b/>
              </w:rPr>
            </w:pPr>
          </w:p>
        </w:tc>
        <w:tc>
          <w:tcPr>
            <w:tcW w:w="1275" w:type="dxa"/>
          </w:tcPr>
          <w:p>
            <w:pPr>
              <w:rPr>
                <w:b/>
              </w:rPr>
            </w:pPr>
          </w:p>
        </w:tc>
        <w:tc>
          <w:tcPr>
            <w:tcW w:w="1135"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vAlign w:val="top"/>
          </w:tcPr>
          <w:p>
            <w:pPr>
              <w:pageBreakBefore w:val="0"/>
              <w:topLinePunct w:val="0"/>
              <w:bidi w:val="0"/>
              <w:spacing w:line="360" w:lineRule="auto"/>
              <w:rPr>
                <w:rFonts w:hint="eastAsia"/>
              </w:rPr>
            </w:pPr>
            <w:r>
              <w:rPr>
                <w:rFonts w:hint="eastAsia" w:ascii="宋体" w:hAnsi="宋体"/>
                <w:color w:val="000000"/>
                <w:kern w:val="0"/>
                <w:szCs w:val="21"/>
              </w:rPr>
              <w:t>1.3</w:t>
            </w:r>
            <w:r>
              <w:rPr>
                <w:rFonts w:hint="eastAsia" w:ascii="宋体" w:hAnsi="宋体"/>
                <w:color w:val="000000"/>
                <w:kern w:val="0"/>
                <w:szCs w:val="21"/>
                <w:lang w:eastAsia="zh-CN"/>
              </w:rPr>
              <w:t>投标人保证由</w:t>
            </w:r>
            <w:r>
              <w:rPr>
                <w:rFonts w:hint="eastAsia" w:ascii="宋体" w:hAnsi="宋体"/>
                <w:color w:val="000000"/>
                <w:kern w:val="0"/>
                <w:szCs w:val="21"/>
              </w:rPr>
              <w:t>设备制造商维修的货物经采购人验收合格，且设备制造商提供维修专用发票后，采购人支付维修费用。</w:t>
            </w:r>
          </w:p>
        </w:tc>
        <w:tc>
          <w:tcPr>
            <w:tcW w:w="3014" w:type="dxa"/>
          </w:tcPr>
          <w:p>
            <w:pPr>
              <w:rPr>
                <w:b/>
              </w:rPr>
            </w:pPr>
          </w:p>
        </w:tc>
        <w:tc>
          <w:tcPr>
            <w:tcW w:w="1275" w:type="dxa"/>
          </w:tcPr>
          <w:p>
            <w:pPr>
              <w:rPr>
                <w:b/>
              </w:rPr>
            </w:pPr>
          </w:p>
        </w:tc>
        <w:tc>
          <w:tcPr>
            <w:tcW w:w="1135"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vAlign w:val="top"/>
          </w:tcPr>
          <w:p>
            <w:pPr>
              <w:pageBreakBefore w:val="0"/>
              <w:topLinePunct w:val="0"/>
              <w:bidi w:val="0"/>
              <w:spacing w:line="360" w:lineRule="auto"/>
              <w:rPr>
                <w:rFonts w:hint="eastAsia"/>
              </w:rPr>
            </w:pPr>
            <w:r>
              <w:rPr>
                <w:rFonts w:hint="eastAsia" w:ascii="宋体" w:hAnsi="宋体"/>
                <w:color w:val="000000"/>
                <w:kern w:val="0"/>
                <w:szCs w:val="21"/>
              </w:rPr>
              <w:t>1.4</w:t>
            </w:r>
            <w:r>
              <w:rPr>
                <w:rFonts w:hint="eastAsia" w:ascii="宋体" w:hAnsi="宋体"/>
                <w:color w:val="000000"/>
                <w:kern w:val="0"/>
                <w:szCs w:val="21"/>
                <w:lang w:eastAsia="zh-CN"/>
              </w:rPr>
              <w:t>投标人保证</w:t>
            </w:r>
            <w:r>
              <w:rPr>
                <w:rFonts w:hint="eastAsia" w:ascii="宋体" w:hAnsi="宋体"/>
                <w:color w:val="000000"/>
                <w:kern w:val="0"/>
                <w:szCs w:val="21"/>
              </w:rPr>
              <w:t>设备制造商不得以任何理由不按时进行维修，不得</w:t>
            </w:r>
            <w:r>
              <w:rPr>
                <w:rFonts w:hint="eastAsia" w:ascii="宋体" w:hAnsi="宋体"/>
                <w:color w:val="000000"/>
                <w:kern w:val="0"/>
                <w:szCs w:val="21"/>
                <w:lang w:eastAsia="zh-CN"/>
              </w:rPr>
              <w:t>强制</w:t>
            </w:r>
            <w:r>
              <w:rPr>
                <w:rFonts w:hint="eastAsia" w:ascii="宋体" w:hAnsi="宋体"/>
                <w:color w:val="000000"/>
                <w:kern w:val="0"/>
                <w:szCs w:val="21"/>
              </w:rPr>
              <w:t>要求采购人购买所谓“保修服务”（即：不论设备有无故障先买保修服务），不得在设备中嵌设任何不利于采购人使用与维修设备的障碍。</w:t>
            </w:r>
          </w:p>
        </w:tc>
        <w:tc>
          <w:tcPr>
            <w:tcW w:w="3014" w:type="dxa"/>
          </w:tcPr>
          <w:p>
            <w:pPr>
              <w:rPr>
                <w:b/>
              </w:rPr>
            </w:pPr>
          </w:p>
        </w:tc>
        <w:tc>
          <w:tcPr>
            <w:tcW w:w="1275" w:type="dxa"/>
          </w:tcPr>
          <w:p>
            <w:pPr>
              <w:rPr>
                <w:b/>
              </w:rPr>
            </w:pPr>
          </w:p>
        </w:tc>
        <w:tc>
          <w:tcPr>
            <w:tcW w:w="1135"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3" w:type="dxa"/>
            <w:gridSpan w:val="4"/>
            <w:vAlign w:val="top"/>
          </w:tcPr>
          <w:p>
            <w:pPr>
              <w:rPr>
                <w:b/>
              </w:rPr>
            </w:pPr>
            <w:r>
              <w:rPr>
                <w:rFonts w:hint="eastAsia"/>
                <w:b/>
                <w:color w:val="000000"/>
                <w:szCs w:val="21"/>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3" w:type="dxa"/>
            <w:gridSpan w:val="4"/>
            <w:vAlign w:val="top"/>
          </w:tcPr>
          <w:p>
            <w:pPr>
              <w:rPr>
                <w:b/>
              </w:rPr>
            </w:pPr>
            <w:r>
              <w:rPr>
                <w:rFonts w:hint="eastAsia"/>
                <w:b/>
                <w:color w:val="000000"/>
                <w:szCs w:val="21"/>
                <w:lang w:val="en-US" w:eastAsia="zh-CN"/>
              </w:rPr>
              <w:t>1.</w:t>
            </w:r>
            <w:r>
              <w:rPr>
                <w:rFonts w:hint="eastAsia" w:ascii="宋体" w:hAnsi="宋体"/>
                <w:b/>
                <w:color w:val="000000"/>
                <w:szCs w:val="21"/>
              </w:rPr>
              <w:t>交货要求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vAlign w:val="top"/>
          </w:tcPr>
          <w:p>
            <w:pPr>
              <w:pageBreakBefore w:val="0"/>
              <w:topLinePunct w:val="0"/>
              <w:bidi w:val="0"/>
              <w:spacing w:line="360" w:lineRule="auto"/>
              <w:rPr>
                <w:rFonts w:hint="eastAsia" w:ascii="宋体" w:hAnsi="宋体"/>
                <w:color w:val="000000"/>
                <w:kern w:val="0"/>
                <w:szCs w:val="21"/>
              </w:rPr>
            </w:pPr>
            <w:r>
              <w:rPr>
                <w:rFonts w:hint="eastAsia" w:ascii="宋体" w:hAnsi="宋体" w:cs="宋体"/>
                <w:kern w:val="0"/>
                <w:szCs w:val="21"/>
              </w:rPr>
              <w:t>★</w:t>
            </w:r>
            <w:r>
              <w:rPr>
                <w:rFonts w:hint="eastAsia"/>
                <w:bCs/>
                <w:color w:val="000000"/>
                <w:szCs w:val="21"/>
              </w:rPr>
              <w:t xml:space="preserve">1.1 </w:t>
            </w:r>
            <w:r>
              <w:rPr>
                <w:rFonts w:hint="eastAsia" w:ascii="宋体" w:hAnsi="宋体"/>
                <w:bCs/>
                <w:color w:val="000000"/>
                <w:kern w:val="0"/>
                <w:szCs w:val="21"/>
              </w:rPr>
              <w:t>投标人在签订合同之日起</w:t>
            </w:r>
            <w:r>
              <w:rPr>
                <w:rFonts w:hint="eastAsia" w:ascii="宋体" w:hAnsi="宋体"/>
                <w:bCs/>
                <w:color w:val="000000"/>
                <w:kern w:val="0"/>
                <w:szCs w:val="21"/>
                <w:u w:val="single"/>
              </w:rPr>
              <w:t xml:space="preserve"> </w:t>
            </w:r>
            <w:r>
              <w:rPr>
                <w:rFonts w:hint="eastAsia" w:ascii="宋体" w:hAnsi="宋体"/>
                <w:bCs/>
                <w:color w:val="000000"/>
                <w:kern w:val="0"/>
                <w:szCs w:val="21"/>
                <w:u w:val="single"/>
                <w:lang w:val="en-US" w:eastAsia="zh-CN"/>
              </w:rPr>
              <w:t>60</w:t>
            </w:r>
            <w:r>
              <w:rPr>
                <w:rFonts w:hint="eastAsia" w:ascii="宋体" w:hAnsi="宋体"/>
                <w:bCs/>
                <w:color w:val="000000"/>
                <w:kern w:val="0"/>
                <w:szCs w:val="21"/>
                <w:u w:val="single"/>
              </w:rPr>
              <w:t xml:space="preserve"> </w:t>
            </w:r>
            <w:r>
              <w:rPr>
                <w:rFonts w:hint="eastAsia" w:ascii="宋体" w:hAnsi="宋体"/>
                <w:bCs/>
                <w:color w:val="000000"/>
                <w:kern w:val="0"/>
                <w:szCs w:val="21"/>
              </w:rPr>
              <w:t>天内交货。</w:t>
            </w:r>
          </w:p>
        </w:tc>
        <w:tc>
          <w:tcPr>
            <w:tcW w:w="3014" w:type="dxa"/>
          </w:tcPr>
          <w:p>
            <w:pPr>
              <w:rPr>
                <w:b/>
              </w:rPr>
            </w:pPr>
          </w:p>
        </w:tc>
        <w:tc>
          <w:tcPr>
            <w:tcW w:w="1275" w:type="dxa"/>
          </w:tcPr>
          <w:p>
            <w:pPr>
              <w:rPr>
                <w:b/>
              </w:rPr>
            </w:pPr>
          </w:p>
        </w:tc>
        <w:tc>
          <w:tcPr>
            <w:tcW w:w="1135"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vAlign w:val="top"/>
          </w:tcPr>
          <w:p>
            <w:pPr>
              <w:pageBreakBefore w:val="0"/>
              <w:topLinePunct w:val="0"/>
              <w:bidi w:val="0"/>
              <w:spacing w:line="360" w:lineRule="auto"/>
              <w:rPr>
                <w:rFonts w:hint="eastAsia" w:ascii="宋体" w:hAnsi="宋体"/>
                <w:color w:val="000000"/>
                <w:kern w:val="0"/>
                <w:szCs w:val="21"/>
              </w:rPr>
            </w:pPr>
            <w:r>
              <w:rPr>
                <w:rFonts w:hint="eastAsia"/>
                <w:bCs/>
                <w:color w:val="000000"/>
                <w:szCs w:val="21"/>
              </w:rPr>
              <w:t>1.2投标人</w:t>
            </w:r>
            <w:r>
              <w:rPr>
                <w:rFonts w:hint="eastAsia" w:ascii="宋体" w:hAnsi="宋体"/>
                <w:color w:val="000000"/>
                <w:kern w:val="0"/>
                <w:szCs w:val="21"/>
              </w:rPr>
              <w:t>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c>
          <w:tcPr>
            <w:tcW w:w="3014" w:type="dxa"/>
          </w:tcPr>
          <w:p>
            <w:pPr>
              <w:rPr>
                <w:b/>
              </w:rPr>
            </w:pPr>
          </w:p>
        </w:tc>
        <w:tc>
          <w:tcPr>
            <w:tcW w:w="1275" w:type="dxa"/>
          </w:tcPr>
          <w:p>
            <w:pPr>
              <w:rPr>
                <w:b/>
              </w:rPr>
            </w:pPr>
          </w:p>
        </w:tc>
        <w:tc>
          <w:tcPr>
            <w:tcW w:w="1135"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vAlign w:val="center"/>
          </w:tcPr>
          <w:p>
            <w:pPr>
              <w:pageBreakBefore w:val="0"/>
              <w:topLinePunct w:val="0"/>
              <w:bidi w:val="0"/>
              <w:spacing w:line="360" w:lineRule="auto"/>
              <w:rPr>
                <w:rFonts w:hint="eastAsia" w:ascii="宋体" w:hAnsi="宋体"/>
                <w:color w:val="000000"/>
                <w:kern w:val="0"/>
                <w:szCs w:val="21"/>
              </w:rPr>
            </w:pPr>
            <w:r>
              <w:rPr>
                <w:rFonts w:hint="eastAsia" w:ascii="宋体" w:hAnsi="宋体"/>
                <w:color w:val="000000"/>
                <w:spacing w:val="-3"/>
                <w:szCs w:val="21"/>
              </w:rPr>
              <w:t>1.3</w:t>
            </w:r>
            <w:r>
              <w:rPr>
                <w:rFonts w:hint="eastAsia" w:ascii="宋体" w:hAnsi="宋体"/>
                <w:color w:val="000000"/>
                <w:spacing w:val="-3"/>
                <w:szCs w:val="21"/>
                <w:lang w:eastAsia="zh-CN"/>
              </w:rPr>
              <w:t>投标人保证</w:t>
            </w:r>
            <w:r>
              <w:rPr>
                <w:rFonts w:hint="eastAsia" w:ascii="宋体" w:hAnsi="宋体"/>
                <w:color w:val="000000"/>
                <w:spacing w:val="-3"/>
                <w:szCs w:val="21"/>
              </w:rPr>
              <w:t>提供的货物必须为全新、经检验合格的产品。产品如需要计量检定的应提供相关计量检定部门出具的合法检定报告。其中，进口设备必须具有报关证明文件、原产地证明和商检合格证明文件。</w:t>
            </w:r>
          </w:p>
        </w:tc>
        <w:tc>
          <w:tcPr>
            <w:tcW w:w="3014" w:type="dxa"/>
          </w:tcPr>
          <w:p>
            <w:pPr>
              <w:rPr>
                <w:b/>
              </w:rPr>
            </w:pPr>
          </w:p>
        </w:tc>
        <w:tc>
          <w:tcPr>
            <w:tcW w:w="1275" w:type="dxa"/>
          </w:tcPr>
          <w:p>
            <w:pPr>
              <w:rPr>
                <w:b/>
              </w:rPr>
            </w:pPr>
          </w:p>
        </w:tc>
        <w:tc>
          <w:tcPr>
            <w:tcW w:w="1135"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vAlign w:val="top"/>
          </w:tcPr>
          <w:p>
            <w:pPr>
              <w:pageBreakBefore w:val="0"/>
              <w:topLinePunct w:val="0"/>
              <w:bidi w:val="0"/>
              <w:spacing w:line="360" w:lineRule="auto"/>
              <w:rPr>
                <w:rFonts w:hint="eastAsia" w:ascii="宋体" w:hAnsi="宋体"/>
                <w:color w:val="000000"/>
                <w:kern w:val="0"/>
                <w:szCs w:val="21"/>
              </w:rPr>
            </w:pPr>
            <w:r>
              <w:rPr>
                <w:rFonts w:hint="eastAsia" w:ascii="宋体" w:hAnsi="宋体"/>
                <w:color w:val="000000"/>
                <w:spacing w:val="-3"/>
                <w:szCs w:val="21"/>
              </w:rPr>
              <w:t>1.4</w:t>
            </w:r>
            <w:r>
              <w:rPr>
                <w:rFonts w:hint="eastAsia" w:ascii="宋体" w:hAnsi="宋体" w:cs="宋体"/>
                <w:color w:val="000000"/>
                <w:kern w:val="0"/>
                <w:szCs w:val="21"/>
              </w:rPr>
              <w:t>.投标产品必须为整机原厂生产产品。</w:t>
            </w:r>
          </w:p>
        </w:tc>
        <w:tc>
          <w:tcPr>
            <w:tcW w:w="3014" w:type="dxa"/>
          </w:tcPr>
          <w:p>
            <w:pPr>
              <w:rPr>
                <w:b/>
              </w:rPr>
            </w:pPr>
          </w:p>
        </w:tc>
        <w:tc>
          <w:tcPr>
            <w:tcW w:w="1275" w:type="dxa"/>
          </w:tcPr>
          <w:p>
            <w:pPr>
              <w:rPr>
                <w:b/>
              </w:rPr>
            </w:pPr>
          </w:p>
        </w:tc>
        <w:tc>
          <w:tcPr>
            <w:tcW w:w="1135"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3" w:type="dxa"/>
            <w:gridSpan w:val="4"/>
            <w:vAlign w:val="top"/>
          </w:tcPr>
          <w:p>
            <w:pPr>
              <w:rPr>
                <w:rFonts w:hint="default" w:eastAsia="宋体"/>
                <w:b/>
                <w:lang w:val="en-US" w:eastAsia="zh-CN"/>
              </w:rPr>
            </w:pPr>
            <w:r>
              <w:rPr>
                <w:rFonts w:hint="eastAsia"/>
                <w:b/>
                <w:lang w:val="en-US" w:eastAsia="zh-CN"/>
              </w:rPr>
              <w:t>2.</w:t>
            </w:r>
            <w:r>
              <w:rPr>
                <w:rFonts w:hint="eastAsia" w:ascii="宋体" w:hAnsi="宋体"/>
                <w:b/>
                <w:bCs/>
                <w:color w:val="000000"/>
                <w:kern w:val="0"/>
                <w:szCs w:val="21"/>
              </w:rPr>
              <w:t>运输、安装和验收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vAlign w:val="top"/>
          </w:tcPr>
          <w:p>
            <w:pPr>
              <w:pageBreakBefore w:val="0"/>
              <w:topLinePunct w:val="0"/>
              <w:bidi w:val="0"/>
              <w:spacing w:line="360" w:lineRule="auto"/>
              <w:rPr>
                <w:rFonts w:hint="eastAsia" w:ascii="宋体" w:hAnsi="宋体"/>
                <w:color w:val="000000"/>
                <w:kern w:val="0"/>
                <w:szCs w:val="21"/>
              </w:rPr>
            </w:pPr>
            <w:r>
              <w:rPr>
                <w:rFonts w:hint="eastAsia" w:ascii="宋体" w:hAnsi="宋体" w:cs="宋体"/>
                <w:color w:val="000000"/>
                <w:kern w:val="0"/>
                <w:szCs w:val="21"/>
              </w:rPr>
              <w:t>2.1投标人</w:t>
            </w:r>
            <w:r>
              <w:rPr>
                <w:rFonts w:ascii="宋体" w:hAnsi="宋体" w:cs="宋体"/>
                <w:color w:val="000000"/>
                <w:kern w:val="0"/>
                <w:szCs w:val="21"/>
              </w:rPr>
              <w:t>须</w:t>
            </w:r>
            <w:r>
              <w:rPr>
                <w:rFonts w:hint="eastAsia" w:ascii="宋体" w:hAnsi="宋体"/>
                <w:bCs/>
                <w:color w:val="000000"/>
                <w:kern w:val="0"/>
                <w:szCs w:val="21"/>
              </w:rPr>
              <w:t>在签订合同之日起</w:t>
            </w:r>
            <w:r>
              <w:rPr>
                <w:rFonts w:hint="eastAsia" w:ascii="宋体" w:hAnsi="宋体"/>
                <w:bCs/>
                <w:color w:val="000000"/>
                <w:kern w:val="0"/>
                <w:szCs w:val="21"/>
                <w:u w:val="single"/>
              </w:rPr>
              <w:t xml:space="preserve"> 3 </w:t>
            </w:r>
            <w:r>
              <w:rPr>
                <w:rFonts w:hint="eastAsia" w:ascii="宋体" w:hAnsi="宋体"/>
                <w:bCs/>
                <w:color w:val="000000"/>
                <w:kern w:val="0"/>
                <w:szCs w:val="21"/>
              </w:rPr>
              <w:t>天内</w:t>
            </w:r>
            <w:r>
              <w:rPr>
                <w:rFonts w:ascii="宋体" w:hAnsi="宋体" w:cs="宋体"/>
                <w:color w:val="000000"/>
                <w:kern w:val="0"/>
                <w:szCs w:val="21"/>
              </w:rPr>
              <w:t>向</w:t>
            </w:r>
            <w:r>
              <w:rPr>
                <w:rFonts w:hint="eastAsia" w:ascii="宋体" w:hAnsi="宋体" w:cs="宋体"/>
                <w:color w:val="000000"/>
                <w:kern w:val="0"/>
                <w:szCs w:val="21"/>
              </w:rPr>
              <w:t>采购人</w:t>
            </w:r>
            <w:r>
              <w:rPr>
                <w:rFonts w:ascii="宋体" w:hAnsi="宋体" w:cs="宋体"/>
                <w:color w:val="000000"/>
                <w:kern w:val="0"/>
                <w:szCs w:val="21"/>
              </w:rPr>
              <w:t>提供设备的运行、安装、使用环境要求。</w:t>
            </w:r>
          </w:p>
        </w:tc>
        <w:tc>
          <w:tcPr>
            <w:tcW w:w="3014" w:type="dxa"/>
          </w:tcPr>
          <w:p>
            <w:pPr>
              <w:rPr>
                <w:b/>
              </w:rPr>
            </w:pPr>
          </w:p>
        </w:tc>
        <w:tc>
          <w:tcPr>
            <w:tcW w:w="1275" w:type="dxa"/>
          </w:tcPr>
          <w:p>
            <w:pPr>
              <w:rPr>
                <w:b/>
              </w:rPr>
            </w:pPr>
          </w:p>
        </w:tc>
        <w:tc>
          <w:tcPr>
            <w:tcW w:w="1135"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vAlign w:val="top"/>
          </w:tcPr>
          <w:p>
            <w:pPr>
              <w:pageBreakBefore w:val="0"/>
              <w:topLinePunct w:val="0"/>
              <w:bidi w:val="0"/>
              <w:spacing w:line="360" w:lineRule="auto"/>
              <w:rPr>
                <w:rFonts w:hint="eastAsia" w:ascii="宋体" w:hAnsi="宋体"/>
                <w:color w:val="000000"/>
                <w:kern w:val="0"/>
                <w:szCs w:val="21"/>
              </w:rPr>
            </w:pPr>
            <w:r>
              <w:rPr>
                <w:rFonts w:hint="eastAsia" w:ascii="等线" w:hAnsi="等线" w:eastAsia="等线"/>
                <w:bCs/>
                <w:color w:val="000000"/>
                <w:szCs w:val="21"/>
              </w:rPr>
              <w:t>2.2</w:t>
            </w:r>
            <w:r>
              <w:rPr>
                <w:rFonts w:hint="eastAsia"/>
                <w:bCs/>
                <w:color w:val="000000"/>
                <w:szCs w:val="21"/>
              </w:rPr>
              <w:t>投标人</w:t>
            </w:r>
            <w:r>
              <w:rPr>
                <w:rFonts w:hint="eastAsia" w:ascii="宋体" w:hAnsi="宋体"/>
                <w:bCs/>
                <w:color w:val="000000"/>
                <w:kern w:val="0"/>
                <w:szCs w:val="21"/>
              </w:rPr>
              <w:t>负责将</w:t>
            </w:r>
            <w:r>
              <w:rPr>
                <w:rFonts w:hint="eastAsia" w:ascii="宋体" w:hAnsi="宋体"/>
                <w:color w:val="000000"/>
                <w:kern w:val="0"/>
                <w:szCs w:val="21"/>
              </w:rPr>
              <w:t>货物</w:t>
            </w:r>
            <w:r>
              <w:rPr>
                <w:rFonts w:hint="eastAsia" w:ascii="宋体" w:hAnsi="宋体"/>
                <w:bCs/>
                <w:color w:val="000000"/>
                <w:kern w:val="0"/>
                <w:szCs w:val="21"/>
              </w:rPr>
              <w:t>安全无损运抵采购人指定地点,并承担设备的设计、包装、仓储、运输、保险、装卸、报装、安装调试、验收、培训、商检及计量检测和保修期届满前备品备件等与采购设备及服务相关的所有含税费用。</w:t>
            </w:r>
          </w:p>
        </w:tc>
        <w:tc>
          <w:tcPr>
            <w:tcW w:w="3014" w:type="dxa"/>
          </w:tcPr>
          <w:p>
            <w:pPr>
              <w:rPr>
                <w:b/>
              </w:rPr>
            </w:pPr>
          </w:p>
        </w:tc>
        <w:tc>
          <w:tcPr>
            <w:tcW w:w="1275" w:type="dxa"/>
          </w:tcPr>
          <w:p>
            <w:pPr>
              <w:rPr>
                <w:b/>
              </w:rPr>
            </w:pPr>
          </w:p>
        </w:tc>
        <w:tc>
          <w:tcPr>
            <w:tcW w:w="1135"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vAlign w:val="top"/>
          </w:tcPr>
          <w:p>
            <w:pPr>
              <w:pageBreakBefore w:val="0"/>
              <w:tabs>
                <w:tab w:val="left" w:pos="1260"/>
              </w:tabs>
              <w:topLinePunct w:val="0"/>
              <w:bidi w:val="0"/>
              <w:spacing w:line="360" w:lineRule="auto"/>
              <w:rPr>
                <w:rFonts w:hint="eastAsia" w:ascii="宋体" w:hAnsi="宋体"/>
                <w:color w:val="000000"/>
                <w:kern w:val="0"/>
                <w:szCs w:val="21"/>
              </w:rPr>
            </w:pPr>
            <w:r>
              <w:rPr>
                <w:rFonts w:hint="eastAsia" w:ascii="等线" w:hAnsi="等线" w:eastAsia="等线"/>
                <w:bCs/>
                <w:color w:val="000000"/>
                <w:szCs w:val="21"/>
              </w:rPr>
              <w:t>2.3</w:t>
            </w:r>
            <w:r>
              <w:rPr>
                <w:rFonts w:hint="eastAsia" w:ascii="宋体" w:hAnsi="宋体"/>
                <w:bCs/>
                <w:color w:val="000000"/>
                <w:kern w:val="0"/>
                <w:szCs w:val="21"/>
              </w:rPr>
              <w:t>采购人有权检验或测试货物，以确认货物是否符合合同规格的要求，并且不承担额外的费用。如果发现所交货物与投标文件中所</w:t>
            </w:r>
            <w:r>
              <w:rPr>
                <w:rFonts w:hint="eastAsia" w:ascii="宋体" w:hAnsi="宋体"/>
                <w:bCs/>
                <w:color w:val="000000"/>
                <w:kern w:val="0"/>
                <w:szCs w:val="21"/>
                <w:lang w:eastAsia="zh-CN"/>
              </w:rPr>
              <w:t>保证</w:t>
            </w:r>
            <w:r>
              <w:rPr>
                <w:rFonts w:hint="eastAsia" w:ascii="宋体" w:hAnsi="宋体"/>
                <w:bCs/>
                <w:color w:val="000000"/>
                <w:kern w:val="0"/>
                <w:szCs w:val="21"/>
              </w:rPr>
              <w:t>的不符或存在质量、技术缺陷等</w:t>
            </w:r>
            <w:r>
              <w:rPr>
                <w:rFonts w:ascii="宋体" w:hAnsi="宋体"/>
                <w:bCs/>
                <w:color w:val="000000"/>
                <w:kern w:val="0"/>
                <w:szCs w:val="21"/>
              </w:rPr>
              <w:t>,</w:t>
            </w:r>
            <w:r>
              <w:rPr>
                <w:rFonts w:hint="eastAsia" w:ascii="宋体" w:hAnsi="宋体"/>
                <w:bCs/>
                <w:color w:val="000000"/>
                <w:kern w:val="0"/>
                <w:szCs w:val="21"/>
              </w:rPr>
              <w:t>采购人可以拒绝接收该货物</w:t>
            </w:r>
            <w:r>
              <w:rPr>
                <w:rFonts w:ascii="宋体" w:hAnsi="宋体"/>
                <w:bCs/>
                <w:color w:val="000000"/>
                <w:kern w:val="0"/>
                <w:szCs w:val="21"/>
              </w:rPr>
              <w:t>,</w:t>
            </w:r>
            <w:r>
              <w:rPr>
                <w:rFonts w:hint="eastAsia" w:ascii="宋体" w:hAnsi="宋体"/>
                <w:bCs/>
                <w:color w:val="000000"/>
                <w:kern w:val="0"/>
                <w:szCs w:val="21"/>
              </w:rPr>
              <w:t>投标人应在</w:t>
            </w:r>
            <w:r>
              <w:rPr>
                <w:rFonts w:hint="eastAsia" w:ascii="宋体" w:hAnsi="宋体"/>
                <w:bCs/>
                <w:color w:val="000000"/>
                <w:kern w:val="0"/>
                <w:szCs w:val="21"/>
                <w:u w:val="single"/>
              </w:rPr>
              <w:t xml:space="preserve"> 7 </w:t>
            </w:r>
            <w:r>
              <w:rPr>
                <w:rFonts w:hint="eastAsia" w:ascii="宋体" w:hAnsi="宋体"/>
                <w:bCs/>
                <w:color w:val="000000"/>
                <w:kern w:val="0"/>
                <w:szCs w:val="21"/>
              </w:rPr>
              <w:t>天内采取补足、更换或退货等措施</w:t>
            </w:r>
            <w:r>
              <w:rPr>
                <w:rFonts w:ascii="宋体" w:hAnsi="宋体"/>
                <w:bCs/>
                <w:color w:val="000000"/>
                <w:kern w:val="0"/>
                <w:szCs w:val="21"/>
              </w:rPr>
              <w:t>,</w:t>
            </w:r>
            <w:r>
              <w:rPr>
                <w:rFonts w:hint="eastAsia" w:ascii="宋体" w:hAnsi="宋体"/>
                <w:bCs/>
                <w:color w:val="000000"/>
                <w:kern w:val="0"/>
                <w:szCs w:val="21"/>
              </w:rPr>
              <w:t>以满足规格的要求，由此发生的一切损失和费用由投标人承担。</w:t>
            </w:r>
          </w:p>
        </w:tc>
        <w:tc>
          <w:tcPr>
            <w:tcW w:w="3014" w:type="dxa"/>
          </w:tcPr>
          <w:p>
            <w:pPr>
              <w:rPr>
                <w:b/>
              </w:rPr>
            </w:pPr>
          </w:p>
        </w:tc>
        <w:tc>
          <w:tcPr>
            <w:tcW w:w="1275" w:type="dxa"/>
          </w:tcPr>
          <w:p>
            <w:pPr>
              <w:rPr>
                <w:b/>
              </w:rPr>
            </w:pPr>
          </w:p>
        </w:tc>
        <w:tc>
          <w:tcPr>
            <w:tcW w:w="1135"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vAlign w:val="top"/>
          </w:tcPr>
          <w:p>
            <w:pPr>
              <w:pageBreakBefore w:val="0"/>
              <w:tabs>
                <w:tab w:val="left" w:pos="1260"/>
              </w:tabs>
              <w:topLinePunct w:val="0"/>
              <w:bidi w:val="0"/>
              <w:spacing w:line="360" w:lineRule="auto"/>
              <w:rPr>
                <w:rFonts w:hint="eastAsia" w:ascii="宋体" w:hAnsi="宋体"/>
                <w:color w:val="000000"/>
                <w:kern w:val="0"/>
                <w:szCs w:val="21"/>
              </w:rPr>
            </w:pPr>
            <w:r>
              <w:rPr>
                <w:rFonts w:hint="eastAsia" w:ascii="宋体" w:hAnsi="宋体"/>
                <w:color w:val="000000"/>
                <w:spacing w:val="-3"/>
                <w:szCs w:val="21"/>
              </w:rPr>
              <w:t>2.4 投标人负责货物的现场安装和调试</w:t>
            </w:r>
            <w:r>
              <w:rPr>
                <w:rFonts w:ascii="宋体" w:hAnsi="宋体"/>
                <w:color w:val="000000"/>
                <w:spacing w:val="-3"/>
                <w:szCs w:val="21"/>
              </w:rPr>
              <w:t>,</w:t>
            </w:r>
            <w:r>
              <w:rPr>
                <w:rFonts w:hint="eastAsia" w:ascii="宋体" w:hAnsi="宋体"/>
                <w:color w:val="000000"/>
                <w:spacing w:val="-3"/>
                <w:szCs w:val="21"/>
              </w:rPr>
              <w:t>提供货物安装、调试和维修所需的专用工具和辅助材料。投标人应在货物运至指定地点后一周内开始安装调试</w:t>
            </w:r>
            <w:r>
              <w:rPr>
                <w:rFonts w:ascii="宋体" w:hAnsi="宋体"/>
                <w:color w:val="000000"/>
                <w:spacing w:val="-3"/>
                <w:szCs w:val="21"/>
              </w:rPr>
              <w:t>,</w:t>
            </w:r>
            <w:r>
              <w:rPr>
                <w:rFonts w:hint="eastAsia" w:ascii="宋体" w:hAnsi="宋体"/>
                <w:color w:val="000000"/>
                <w:spacing w:val="-3"/>
                <w:szCs w:val="21"/>
              </w:rPr>
              <w:t>并在</w:t>
            </w:r>
            <w:r>
              <w:rPr>
                <w:rFonts w:hint="eastAsia" w:ascii="宋体" w:hAnsi="宋体"/>
                <w:bCs/>
                <w:color w:val="000000"/>
                <w:kern w:val="0"/>
                <w:szCs w:val="21"/>
                <w:u w:val="single"/>
              </w:rPr>
              <w:t xml:space="preserve"> 7 </w:t>
            </w:r>
            <w:r>
              <w:rPr>
                <w:rFonts w:hint="eastAsia" w:ascii="宋体" w:hAnsi="宋体"/>
                <w:color w:val="000000"/>
                <w:spacing w:val="-3"/>
                <w:szCs w:val="21"/>
              </w:rPr>
              <w:t>天内安装调试完毕。</w:t>
            </w:r>
          </w:p>
        </w:tc>
        <w:tc>
          <w:tcPr>
            <w:tcW w:w="3014" w:type="dxa"/>
          </w:tcPr>
          <w:p>
            <w:pPr>
              <w:rPr>
                <w:b/>
              </w:rPr>
            </w:pPr>
          </w:p>
        </w:tc>
        <w:tc>
          <w:tcPr>
            <w:tcW w:w="1275" w:type="dxa"/>
          </w:tcPr>
          <w:p>
            <w:pPr>
              <w:rPr>
                <w:b/>
              </w:rPr>
            </w:pPr>
          </w:p>
        </w:tc>
        <w:tc>
          <w:tcPr>
            <w:tcW w:w="1135"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vAlign w:val="top"/>
          </w:tcPr>
          <w:p>
            <w:pPr>
              <w:pageBreakBefore w:val="0"/>
              <w:tabs>
                <w:tab w:val="left" w:pos="1260"/>
              </w:tabs>
              <w:topLinePunct w:val="0"/>
              <w:bidi w:val="0"/>
              <w:spacing w:line="360" w:lineRule="auto"/>
              <w:rPr>
                <w:rFonts w:hint="eastAsia" w:ascii="宋体" w:hAnsi="宋体"/>
                <w:color w:val="000000"/>
                <w:kern w:val="0"/>
                <w:szCs w:val="21"/>
              </w:rPr>
            </w:pPr>
            <w:r>
              <w:rPr>
                <w:rFonts w:hint="eastAsia" w:ascii="宋体" w:hAnsi="宋体"/>
                <w:color w:val="000000"/>
                <w:spacing w:val="-3"/>
                <w:szCs w:val="21"/>
              </w:rPr>
              <w:t>2.5合同设备安装调试完毕后，投标人应及时书面提请验收。由投标人代表和采购人组成验收小组对产品进行验收。验收标准按照</w:t>
            </w:r>
            <w:r>
              <w:rPr>
                <w:rFonts w:hint="eastAsia" w:ascii="宋体" w:hAnsi="宋体"/>
                <w:color w:val="000000"/>
                <w:spacing w:val="-3"/>
                <w:szCs w:val="21"/>
                <w:lang w:eastAsia="zh-CN"/>
              </w:rPr>
              <w:t>采购人</w:t>
            </w:r>
            <w:r>
              <w:rPr>
                <w:rFonts w:hint="eastAsia" w:ascii="宋体" w:hAnsi="宋体"/>
                <w:color w:val="000000"/>
                <w:spacing w:val="-3"/>
                <w:szCs w:val="21"/>
              </w:rPr>
              <w:t>规定标准执行。投标人保证设备自到货之日起（指第一次交货）</w:t>
            </w:r>
            <w:r>
              <w:rPr>
                <w:rFonts w:hint="eastAsia" w:ascii="宋体" w:hAnsi="宋体"/>
                <w:color w:val="000000"/>
                <w:spacing w:val="-3"/>
                <w:szCs w:val="21"/>
                <w:u w:val="single"/>
              </w:rPr>
              <w:t xml:space="preserve"> 30 </w:t>
            </w:r>
            <w:r>
              <w:rPr>
                <w:rFonts w:hint="eastAsia" w:ascii="宋体" w:hAnsi="宋体"/>
                <w:color w:val="000000"/>
                <w:spacing w:val="-3"/>
                <w:szCs w:val="21"/>
              </w:rPr>
              <w:t>日内通过设备运行、性能及技术参数、指标等的技术预验收，以保证临床使用。采购人</w:t>
            </w:r>
            <w:r>
              <w:rPr>
                <w:rFonts w:ascii="宋体" w:hAnsi="宋体"/>
                <w:color w:val="000000"/>
                <w:spacing w:val="-3"/>
                <w:szCs w:val="21"/>
              </w:rPr>
              <w:t>有权委托有资格的单位对上述仪器进行</w:t>
            </w:r>
            <w:r>
              <w:rPr>
                <w:rFonts w:hint="eastAsia" w:ascii="宋体" w:hAnsi="宋体"/>
                <w:color w:val="000000"/>
                <w:spacing w:val="-3"/>
                <w:szCs w:val="21"/>
              </w:rPr>
              <w:t>性能</w:t>
            </w:r>
            <w:r>
              <w:rPr>
                <w:rFonts w:ascii="宋体" w:hAnsi="宋体"/>
                <w:color w:val="000000"/>
                <w:spacing w:val="-3"/>
                <w:szCs w:val="21"/>
              </w:rPr>
              <w:t>校核。</w:t>
            </w:r>
            <w:r>
              <w:rPr>
                <w:rFonts w:hint="eastAsia" w:ascii="宋体" w:hAnsi="宋体" w:cs="宋体"/>
                <w:color w:val="000000"/>
                <w:kern w:val="0"/>
                <w:szCs w:val="21"/>
              </w:rPr>
              <w:t>医院正式投入使用1个月后，无故障方签署项目验收报告，保修期自采购人签署验收报告之日起开始计算。</w:t>
            </w:r>
          </w:p>
        </w:tc>
        <w:tc>
          <w:tcPr>
            <w:tcW w:w="3014" w:type="dxa"/>
          </w:tcPr>
          <w:p>
            <w:pPr>
              <w:rPr>
                <w:b/>
              </w:rPr>
            </w:pPr>
          </w:p>
        </w:tc>
        <w:tc>
          <w:tcPr>
            <w:tcW w:w="1275" w:type="dxa"/>
          </w:tcPr>
          <w:p>
            <w:pPr>
              <w:rPr>
                <w:b/>
              </w:rPr>
            </w:pPr>
          </w:p>
        </w:tc>
        <w:tc>
          <w:tcPr>
            <w:tcW w:w="1135"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3" w:type="dxa"/>
            <w:gridSpan w:val="4"/>
            <w:vAlign w:val="top"/>
          </w:tcPr>
          <w:p>
            <w:pPr>
              <w:rPr>
                <w:rFonts w:hint="eastAsia" w:eastAsia="宋体"/>
                <w:b/>
                <w:lang w:val="en-US" w:eastAsia="zh-CN"/>
              </w:rPr>
            </w:pPr>
            <w:r>
              <w:rPr>
                <w:rFonts w:hint="eastAsia"/>
                <w:b/>
                <w:lang w:val="en-US" w:eastAsia="zh-CN"/>
              </w:rPr>
              <w:t>3</w:t>
            </w:r>
            <w:r>
              <w:rPr>
                <w:rFonts w:hint="eastAsia" w:ascii="宋体" w:hAnsi="宋体"/>
                <w:b/>
                <w:color w:val="000000"/>
                <w:kern w:val="0"/>
                <w:szCs w:val="21"/>
              </w:rPr>
              <w:t>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vAlign w:val="top"/>
          </w:tcPr>
          <w:p>
            <w:pPr>
              <w:pageBreakBefore w:val="0"/>
              <w:topLinePunct w:val="0"/>
              <w:bidi w:val="0"/>
              <w:spacing w:line="360" w:lineRule="auto"/>
              <w:outlineLvl w:val="0"/>
              <w:rPr>
                <w:rFonts w:hint="eastAsia" w:ascii="宋体" w:hAnsi="宋体"/>
                <w:color w:val="000000"/>
                <w:kern w:val="0"/>
                <w:szCs w:val="21"/>
              </w:rPr>
            </w:pPr>
            <w:bookmarkStart w:id="16" w:name="_Toc17410"/>
            <w:bookmarkStart w:id="17" w:name="_Toc10474"/>
            <w:bookmarkStart w:id="18" w:name="_Toc23824"/>
            <w:r>
              <w:rPr>
                <w:rFonts w:hint="eastAsia" w:ascii="宋体" w:hAnsi="宋体"/>
                <w:bCs/>
                <w:color w:val="000000"/>
                <w:kern w:val="0"/>
                <w:szCs w:val="21"/>
              </w:rPr>
              <w:t>3.1投标人应派专业技术人员免费对采购单位指定人员进行定期培训及指导，直至其完全掌握设备的基本故障处理技术。</w:t>
            </w:r>
            <w:bookmarkEnd w:id="16"/>
            <w:bookmarkEnd w:id="17"/>
            <w:bookmarkEnd w:id="18"/>
          </w:p>
        </w:tc>
        <w:tc>
          <w:tcPr>
            <w:tcW w:w="3014" w:type="dxa"/>
          </w:tcPr>
          <w:p>
            <w:pPr>
              <w:rPr>
                <w:b/>
              </w:rPr>
            </w:pPr>
          </w:p>
        </w:tc>
        <w:tc>
          <w:tcPr>
            <w:tcW w:w="1275" w:type="dxa"/>
          </w:tcPr>
          <w:p>
            <w:pPr>
              <w:rPr>
                <w:b/>
              </w:rPr>
            </w:pPr>
          </w:p>
        </w:tc>
        <w:tc>
          <w:tcPr>
            <w:tcW w:w="1135"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vAlign w:val="top"/>
          </w:tcPr>
          <w:p>
            <w:pPr>
              <w:pageBreakBefore w:val="0"/>
              <w:topLinePunct w:val="0"/>
              <w:bidi w:val="0"/>
              <w:spacing w:line="360" w:lineRule="auto"/>
              <w:outlineLvl w:val="0"/>
              <w:rPr>
                <w:rFonts w:hint="eastAsia" w:ascii="宋体" w:hAnsi="宋体"/>
                <w:color w:val="000000"/>
                <w:kern w:val="0"/>
                <w:szCs w:val="21"/>
              </w:rPr>
            </w:pPr>
            <w:bookmarkStart w:id="19" w:name="_Toc435"/>
            <w:bookmarkStart w:id="20" w:name="_Toc7072"/>
            <w:bookmarkStart w:id="21" w:name="_Toc1702"/>
            <w:r>
              <w:rPr>
                <w:rFonts w:hint="eastAsia" w:ascii="宋体" w:hAnsi="宋体" w:cs="宋体"/>
                <w:color w:val="000000"/>
                <w:kern w:val="0"/>
                <w:szCs w:val="21"/>
              </w:rPr>
              <w:t>3.2</w:t>
            </w:r>
            <w:r>
              <w:rPr>
                <w:rFonts w:hint="eastAsia" w:ascii="宋体" w:hAnsi="宋体" w:cs="宋体"/>
                <w:color w:val="000000"/>
                <w:kern w:val="0"/>
                <w:szCs w:val="21"/>
              </w:rPr>
              <w:tab/>
            </w:r>
            <w:r>
              <w:rPr>
                <w:rFonts w:hint="eastAsia" w:ascii="宋体" w:hAnsi="宋体" w:cs="宋体"/>
                <w:color w:val="000000"/>
                <w:kern w:val="0"/>
                <w:szCs w:val="21"/>
              </w:rPr>
              <w:t>现场培训：投标人应提供现场技术培训，保证使用人员正常操作设备的各种功能。</w:t>
            </w:r>
            <w:bookmarkEnd w:id="19"/>
            <w:bookmarkEnd w:id="20"/>
            <w:bookmarkEnd w:id="21"/>
          </w:p>
        </w:tc>
        <w:tc>
          <w:tcPr>
            <w:tcW w:w="3014" w:type="dxa"/>
          </w:tcPr>
          <w:p>
            <w:pPr>
              <w:rPr>
                <w:b/>
              </w:rPr>
            </w:pPr>
          </w:p>
        </w:tc>
        <w:tc>
          <w:tcPr>
            <w:tcW w:w="1275" w:type="dxa"/>
          </w:tcPr>
          <w:p>
            <w:pPr>
              <w:rPr>
                <w:b/>
              </w:rPr>
            </w:pPr>
          </w:p>
        </w:tc>
        <w:tc>
          <w:tcPr>
            <w:tcW w:w="1135"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vAlign w:val="top"/>
          </w:tcPr>
          <w:p>
            <w:pPr>
              <w:pageBreakBefore w:val="0"/>
              <w:topLinePunct w:val="0"/>
              <w:bidi w:val="0"/>
              <w:spacing w:line="360" w:lineRule="auto"/>
              <w:outlineLvl w:val="0"/>
              <w:rPr>
                <w:rFonts w:hint="eastAsia" w:ascii="宋体" w:hAnsi="宋体"/>
                <w:color w:val="000000"/>
                <w:kern w:val="0"/>
                <w:szCs w:val="21"/>
              </w:rPr>
            </w:pPr>
            <w:bookmarkStart w:id="22" w:name="_Toc10120"/>
            <w:bookmarkStart w:id="23" w:name="_Toc268"/>
            <w:bookmarkStart w:id="24" w:name="_Toc29751"/>
            <w:r>
              <w:rPr>
                <w:rFonts w:hint="eastAsia" w:ascii="宋体" w:hAnsi="宋体" w:cs="宋体"/>
                <w:color w:val="000000"/>
                <w:kern w:val="0"/>
                <w:szCs w:val="21"/>
              </w:rPr>
              <w:t>3.3</w:t>
            </w:r>
            <w:r>
              <w:rPr>
                <w:rFonts w:hint="eastAsia" w:ascii="宋体" w:hAnsi="宋体" w:cs="宋体"/>
                <w:color w:val="000000"/>
                <w:kern w:val="0"/>
                <w:szCs w:val="21"/>
              </w:rPr>
              <w:tab/>
            </w:r>
            <w:r>
              <w:rPr>
                <w:rFonts w:hint="eastAsia" w:ascii="宋体" w:hAnsi="宋体" w:cs="宋体"/>
                <w:color w:val="000000"/>
                <w:kern w:val="0"/>
                <w:szCs w:val="21"/>
              </w:rPr>
              <w:t>集中培训：根据设备技术要求，可向投标人提供使用和维修技术人员培训。</w:t>
            </w:r>
            <w:bookmarkEnd w:id="22"/>
            <w:bookmarkEnd w:id="23"/>
            <w:bookmarkEnd w:id="24"/>
          </w:p>
        </w:tc>
        <w:tc>
          <w:tcPr>
            <w:tcW w:w="3014" w:type="dxa"/>
          </w:tcPr>
          <w:p>
            <w:pPr>
              <w:rPr>
                <w:b/>
              </w:rPr>
            </w:pPr>
          </w:p>
        </w:tc>
        <w:tc>
          <w:tcPr>
            <w:tcW w:w="1275" w:type="dxa"/>
          </w:tcPr>
          <w:p>
            <w:pPr>
              <w:rPr>
                <w:b/>
              </w:rPr>
            </w:pPr>
          </w:p>
        </w:tc>
        <w:tc>
          <w:tcPr>
            <w:tcW w:w="1135"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vAlign w:val="top"/>
          </w:tcPr>
          <w:p>
            <w:pPr>
              <w:pageBreakBefore w:val="0"/>
              <w:topLinePunct w:val="0"/>
              <w:bidi w:val="0"/>
              <w:spacing w:line="360" w:lineRule="auto"/>
              <w:outlineLvl w:val="0"/>
              <w:rPr>
                <w:rFonts w:hint="eastAsia" w:ascii="宋体" w:hAnsi="宋体"/>
                <w:color w:val="000000"/>
                <w:kern w:val="0"/>
                <w:szCs w:val="21"/>
              </w:rPr>
            </w:pPr>
            <w:bookmarkStart w:id="25" w:name="_Toc2035"/>
            <w:bookmarkStart w:id="26" w:name="_Toc7766"/>
            <w:bookmarkStart w:id="27" w:name="_Toc28858"/>
            <w:r>
              <w:rPr>
                <w:rFonts w:hint="eastAsia" w:ascii="宋体" w:hAnsi="宋体" w:cs="宋体"/>
                <w:color w:val="000000"/>
                <w:kern w:val="0"/>
                <w:szCs w:val="21"/>
              </w:rPr>
              <w:t>3.4</w:t>
            </w:r>
            <w:r>
              <w:rPr>
                <w:rFonts w:hint="eastAsia" w:ascii="宋体" w:hAnsi="宋体" w:cs="宋体"/>
                <w:color w:val="000000"/>
                <w:kern w:val="0"/>
                <w:szCs w:val="21"/>
              </w:rPr>
              <w:tab/>
            </w:r>
            <w:r>
              <w:rPr>
                <w:rFonts w:hint="eastAsia" w:ascii="宋体" w:hAnsi="宋体" w:cs="宋体"/>
                <w:color w:val="000000"/>
                <w:kern w:val="0"/>
                <w:szCs w:val="21"/>
              </w:rPr>
              <w:t>计算机辅助培训：针对该机型的多媒体互动操作教学软件，方便学习掌握基本操作和各项高级功能</w:t>
            </w:r>
            <w:bookmarkEnd w:id="25"/>
            <w:bookmarkEnd w:id="26"/>
            <w:bookmarkEnd w:id="27"/>
          </w:p>
        </w:tc>
        <w:tc>
          <w:tcPr>
            <w:tcW w:w="3014" w:type="dxa"/>
          </w:tcPr>
          <w:p>
            <w:pPr>
              <w:rPr>
                <w:b/>
              </w:rPr>
            </w:pPr>
          </w:p>
        </w:tc>
        <w:tc>
          <w:tcPr>
            <w:tcW w:w="1275" w:type="dxa"/>
          </w:tcPr>
          <w:p>
            <w:pPr>
              <w:rPr>
                <w:b/>
              </w:rPr>
            </w:pPr>
          </w:p>
        </w:tc>
        <w:tc>
          <w:tcPr>
            <w:tcW w:w="1135"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vAlign w:val="top"/>
          </w:tcPr>
          <w:p>
            <w:pPr>
              <w:pageBreakBefore w:val="0"/>
              <w:topLinePunct w:val="0"/>
              <w:bidi w:val="0"/>
              <w:spacing w:line="360" w:lineRule="auto"/>
              <w:outlineLvl w:val="0"/>
              <w:rPr>
                <w:rFonts w:hint="eastAsia" w:ascii="宋体" w:hAnsi="宋体"/>
                <w:color w:val="000000"/>
                <w:kern w:val="0"/>
                <w:szCs w:val="21"/>
              </w:rPr>
            </w:pPr>
            <w:bookmarkStart w:id="28" w:name="_Toc2853"/>
            <w:bookmarkStart w:id="29" w:name="_Toc2428"/>
            <w:bookmarkStart w:id="30" w:name="_Toc14973"/>
            <w:r>
              <w:rPr>
                <w:rFonts w:hint="eastAsia" w:ascii="宋体" w:hAnsi="宋体" w:cs="宋体"/>
                <w:color w:val="000000"/>
                <w:kern w:val="0"/>
                <w:szCs w:val="21"/>
              </w:rPr>
              <w:t>3.5</w:t>
            </w:r>
            <w:r>
              <w:rPr>
                <w:rFonts w:hint="eastAsia" w:ascii="宋体" w:hAnsi="宋体" w:cs="宋体"/>
                <w:color w:val="000000"/>
                <w:kern w:val="0"/>
                <w:szCs w:val="21"/>
              </w:rPr>
              <w:tab/>
            </w:r>
            <w:r>
              <w:rPr>
                <w:rFonts w:hint="eastAsia" w:ascii="宋体" w:hAnsi="宋体" w:cs="宋体"/>
                <w:color w:val="000000"/>
                <w:kern w:val="0"/>
                <w:szCs w:val="21"/>
              </w:rPr>
              <w:t>网络教育：专业化产品俱乐部网站，提供与世界各地用户和专家进行网上交流和学习的平台，并随时了解最新的技术进展和各种教育课程、会议信息</w:t>
            </w:r>
            <w:bookmarkEnd w:id="28"/>
            <w:bookmarkEnd w:id="29"/>
            <w:bookmarkEnd w:id="30"/>
          </w:p>
        </w:tc>
        <w:tc>
          <w:tcPr>
            <w:tcW w:w="3014" w:type="dxa"/>
          </w:tcPr>
          <w:p>
            <w:pPr>
              <w:rPr>
                <w:b/>
              </w:rPr>
            </w:pPr>
          </w:p>
        </w:tc>
        <w:tc>
          <w:tcPr>
            <w:tcW w:w="1275" w:type="dxa"/>
          </w:tcPr>
          <w:p>
            <w:pPr>
              <w:rPr>
                <w:b/>
              </w:rPr>
            </w:pPr>
          </w:p>
        </w:tc>
        <w:tc>
          <w:tcPr>
            <w:tcW w:w="1135"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3" w:type="dxa"/>
            <w:gridSpan w:val="4"/>
            <w:vAlign w:val="top"/>
          </w:tcPr>
          <w:p>
            <w:pPr>
              <w:rPr>
                <w:rFonts w:hint="eastAsia" w:eastAsia="宋体"/>
                <w:b/>
                <w:lang w:val="en-US" w:eastAsia="zh-CN"/>
              </w:rPr>
            </w:pPr>
            <w:r>
              <w:rPr>
                <w:rFonts w:hint="eastAsia"/>
                <w:b/>
                <w:lang w:val="en-US" w:eastAsia="zh-CN"/>
              </w:rPr>
              <w:t>4</w:t>
            </w:r>
            <w:r>
              <w:rPr>
                <w:rFonts w:hint="eastAsia" w:ascii="宋体" w:hAnsi="宋体"/>
                <w:b/>
                <w:color w:val="000000"/>
                <w:kern w:val="0"/>
                <w:szCs w:val="21"/>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vAlign w:val="top"/>
          </w:tcPr>
          <w:p>
            <w:pPr>
              <w:pageBreakBefore w:val="0"/>
              <w:tabs>
                <w:tab w:val="left" w:pos="1260"/>
              </w:tabs>
              <w:topLinePunct w:val="0"/>
              <w:bidi w:val="0"/>
              <w:spacing w:line="360" w:lineRule="auto"/>
              <w:rPr>
                <w:rFonts w:hint="eastAsia" w:ascii="宋体" w:hAnsi="宋体"/>
                <w:color w:val="000000"/>
                <w:kern w:val="0"/>
                <w:szCs w:val="21"/>
              </w:rPr>
            </w:pPr>
            <w:r>
              <w:rPr>
                <w:rFonts w:hint="eastAsia" w:ascii="宋体" w:hAnsi="宋体"/>
                <w:color w:val="000000"/>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r>
              <w:rPr>
                <w:rFonts w:hint="eastAsia"/>
              </w:rPr>
              <w:t>若因为知识产权纠纷造成的一切损害赔偿及损失由投标人承担，包括但不限于实际损失、预期损失和对方要求赔偿损失及支出的律师费、交通费和差旅费等。</w:t>
            </w:r>
          </w:p>
        </w:tc>
        <w:tc>
          <w:tcPr>
            <w:tcW w:w="3014" w:type="dxa"/>
          </w:tcPr>
          <w:p>
            <w:pPr>
              <w:rPr>
                <w:b/>
              </w:rPr>
            </w:pPr>
          </w:p>
        </w:tc>
        <w:tc>
          <w:tcPr>
            <w:tcW w:w="1275" w:type="dxa"/>
          </w:tcPr>
          <w:p>
            <w:pPr>
              <w:rPr>
                <w:b/>
              </w:rPr>
            </w:pPr>
          </w:p>
        </w:tc>
        <w:tc>
          <w:tcPr>
            <w:tcW w:w="1135"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vAlign w:val="top"/>
          </w:tcPr>
          <w:p>
            <w:pPr>
              <w:pageBreakBefore w:val="0"/>
              <w:topLinePunct w:val="0"/>
              <w:bidi w:val="0"/>
              <w:spacing w:line="360" w:lineRule="auto"/>
              <w:rPr>
                <w:rFonts w:hint="eastAsia" w:ascii="宋体" w:hAnsi="宋体"/>
                <w:color w:val="000000"/>
                <w:kern w:val="0"/>
                <w:szCs w:val="21"/>
              </w:rPr>
            </w:pPr>
            <w:r>
              <w:rPr>
                <w:rFonts w:hint="eastAsia" w:ascii="宋体" w:hAnsi="宋体"/>
                <w:color w:val="000000"/>
                <w:kern w:val="0"/>
                <w:szCs w:val="21"/>
              </w:rPr>
              <w:t>4.2采购人购买产品后，有权对该产品与其他设备进行配套、整合或适当改进，而免受侵犯专利权的起诉。</w:t>
            </w:r>
          </w:p>
        </w:tc>
        <w:tc>
          <w:tcPr>
            <w:tcW w:w="3014" w:type="dxa"/>
          </w:tcPr>
          <w:p>
            <w:pPr>
              <w:rPr>
                <w:b/>
              </w:rPr>
            </w:pPr>
          </w:p>
        </w:tc>
        <w:tc>
          <w:tcPr>
            <w:tcW w:w="1275" w:type="dxa"/>
          </w:tcPr>
          <w:p>
            <w:pPr>
              <w:rPr>
                <w:b/>
              </w:rPr>
            </w:pPr>
          </w:p>
        </w:tc>
        <w:tc>
          <w:tcPr>
            <w:tcW w:w="1135"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3" w:type="dxa"/>
            <w:gridSpan w:val="4"/>
            <w:vAlign w:val="top"/>
          </w:tcPr>
          <w:p>
            <w:pPr>
              <w:rPr>
                <w:rFonts w:hint="eastAsia" w:eastAsia="宋体"/>
                <w:b/>
                <w:lang w:val="en-US" w:eastAsia="zh-CN"/>
              </w:rPr>
            </w:pPr>
            <w:r>
              <w:rPr>
                <w:rFonts w:hint="eastAsia"/>
                <w:b/>
                <w:lang w:val="en-US" w:eastAsia="zh-CN"/>
              </w:rPr>
              <w:t>5</w:t>
            </w:r>
            <w:r>
              <w:rPr>
                <w:rFonts w:hint="eastAsia" w:ascii="宋体" w:hAnsi="宋体"/>
                <w:b/>
                <w:bCs/>
                <w:color w:val="000000"/>
                <w:kern w:val="0"/>
                <w:szCs w:val="21"/>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vAlign w:val="top"/>
          </w:tcPr>
          <w:p>
            <w:pPr>
              <w:pageBreakBefore w:val="0"/>
              <w:topLinePunct w:val="0"/>
              <w:bidi w:val="0"/>
              <w:spacing w:line="360" w:lineRule="auto"/>
              <w:rPr>
                <w:rFonts w:hint="eastAsia" w:ascii="宋体" w:hAnsi="宋体"/>
                <w:color w:val="000000"/>
                <w:kern w:val="0"/>
                <w:szCs w:val="21"/>
              </w:rPr>
            </w:pPr>
            <w:r>
              <w:rPr>
                <w:rFonts w:hint="eastAsia" w:ascii="宋体" w:hAnsi="宋体"/>
                <w:color w:val="000000"/>
                <w:kern w:val="0"/>
                <w:szCs w:val="21"/>
              </w:rPr>
              <w:t>5.1</w:t>
            </w:r>
            <w:r>
              <w:rPr>
                <w:rFonts w:hint="eastAsia" w:ascii="宋体" w:hAnsi="宋体" w:eastAsia="宋体" w:cs="宋体"/>
                <w:bCs/>
                <w:color w:val="auto"/>
                <w:kern w:val="0"/>
                <w:sz w:val="21"/>
                <w:szCs w:val="21"/>
              </w:rPr>
              <w:t>5.1</w:t>
            </w:r>
            <w:r>
              <w:rPr>
                <w:rFonts w:hint="eastAsia" w:ascii="宋体" w:hAnsi="宋体" w:eastAsia="宋体" w:cs="宋体"/>
                <w:bCs/>
                <w:color w:val="auto"/>
                <w:kern w:val="0"/>
                <w:sz w:val="21"/>
                <w:szCs w:val="21"/>
                <w:lang w:val="en-US" w:eastAsia="zh-CN"/>
              </w:rPr>
              <w:t>货到指定地点、验收合格并提供全额发票后，采购人即向投标人支付合同总价9</w:t>
            </w:r>
            <w:r>
              <w:rPr>
                <w:rFonts w:hint="eastAsia" w:ascii="宋体" w:hAnsi="宋体" w:cs="宋体"/>
                <w:bCs/>
                <w:color w:val="auto"/>
                <w:kern w:val="0"/>
                <w:sz w:val="21"/>
                <w:szCs w:val="21"/>
                <w:lang w:val="en-US" w:eastAsia="zh-CN"/>
              </w:rPr>
              <w:t>0</w:t>
            </w:r>
            <w:r>
              <w:rPr>
                <w:rFonts w:hint="eastAsia" w:ascii="宋体" w:hAnsi="宋体" w:eastAsia="宋体" w:cs="宋体"/>
                <w:bCs/>
                <w:color w:val="auto"/>
                <w:kern w:val="0"/>
                <w:sz w:val="21"/>
                <w:szCs w:val="21"/>
                <w:lang w:val="en-US" w:eastAsia="zh-CN"/>
              </w:rPr>
              <w:t>%款项，因投标人提供的设备质量问题或投标人不履行/不适当履行合同 义务而蒙受的损失，如投标人提供的设备质量出现问题或投标人不履行/不适当履行任何一项合同义务的，采购人有权直接从剩余款项中扣除相应违约金/损失赔偿款项。如果未发生设备质量问题或无投标人不履行或不适当履行合同义务的情况，投标人在合同设备免费保修期满</w:t>
            </w:r>
            <w:r>
              <w:rPr>
                <w:rFonts w:hint="eastAsia" w:ascii="宋体" w:hAnsi="宋体" w:cs="宋体"/>
                <w:bCs/>
                <w:color w:val="auto"/>
                <w:kern w:val="0"/>
                <w:sz w:val="21"/>
                <w:szCs w:val="21"/>
                <w:lang w:val="en-US" w:eastAsia="zh-CN"/>
              </w:rPr>
              <w:t>三年</w:t>
            </w:r>
            <w:r>
              <w:rPr>
                <w:rFonts w:hint="eastAsia" w:ascii="宋体" w:hAnsi="宋体" w:eastAsia="宋体" w:cs="宋体"/>
                <w:bCs/>
                <w:color w:val="auto"/>
                <w:kern w:val="0"/>
                <w:sz w:val="21"/>
                <w:szCs w:val="21"/>
                <w:lang w:val="en-US" w:eastAsia="zh-CN"/>
              </w:rPr>
              <w:t>后按照采购人的相关要求提出正式申请，采购人六十天内将合同总价</w:t>
            </w:r>
            <w:r>
              <w:rPr>
                <w:rFonts w:hint="eastAsia" w:ascii="宋体" w:hAnsi="宋体" w:cs="宋体"/>
                <w:bCs/>
                <w:color w:val="auto"/>
                <w:kern w:val="0"/>
                <w:sz w:val="21"/>
                <w:szCs w:val="21"/>
                <w:lang w:val="en-US" w:eastAsia="zh-CN"/>
              </w:rPr>
              <w:t>10</w:t>
            </w:r>
            <w:r>
              <w:rPr>
                <w:rFonts w:hint="eastAsia" w:ascii="宋体" w:hAnsi="宋体" w:eastAsia="宋体" w:cs="宋体"/>
                <w:bCs/>
                <w:color w:val="auto"/>
                <w:kern w:val="0"/>
                <w:sz w:val="21"/>
                <w:szCs w:val="21"/>
                <w:lang w:val="en-US" w:eastAsia="zh-CN"/>
              </w:rPr>
              <w:t>%款项支付给投标人。</w:t>
            </w:r>
            <w:r>
              <w:rPr>
                <w:rFonts w:hint="eastAsia" w:ascii="宋体" w:hAnsi="宋体"/>
                <w:kern w:val="0"/>
                <w:szCs w:val="21"/>
              </w:rPr>
              <w:t xml:space="preserve"> </w:t>
            </w:r>
          </w:p>
        </w:tc>
        <w:tc>
          <w:tcPr>
            <w:tcW w:w="3014" w:type="dxa"/>
          </w:tcPr>
          <w:p>
            <w:pPr>
              <w:rPr>
                <w:b/>
              </w:rPr>
            </w:pPr>
          </w:p>
        </w:tc>
        <w:tc>
          <w:tcPr>
            <w:tcW w:w="1275" w:type="dxa"/>
          </w:tcPr>
          <w:p>
            <w:pPr>
              <w:rPr>
                <w:b/>
              </w:rPr>
            </w:pPr>
          </w:p>
        </w:tc>
        <w:tc>
          <w:tcPr>
            <w:tcW w:w="1135"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3" w:type="dxa"/>
            <w:gridSpan w:val="4"/>
            <w:vAlign w:val="top"/>
          </w:tcPr>
          <w:p>
            <w:pPr>
              <w:rPr>
                <w:rFonts w:hint="default" w:eastAsia="宋体"/>
                <w:b/>
                <w:lang w:val="en-US" w:eastAsia="zh-CN"/>
              </w:rPr>
            </w:pPr>
            <w:r>
              <w:rPr>
                <w:rFonts w:hint="eastAsia"/>
                <w:b/>
                <w:lang w:val="en-US" w:eastAsia="zh-CN"/>
              </w:rPr>
              <w:t>6.</w:t>
            </w:r>
            <w:r>
              <w:rPr>
                <w:rFonts w:hint="eastAsia" w:ascii="宋体" w:hAnsi="宋体"/>
                <w:b/>
                <w:color w:val="000000"/>
                <w:kern w:val="0"/>
                <w:szCs w:val="21"/>
              </w:rPr>
              <w:t>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vAlign w:val="top"/>
          </w:tcPr>
          <w:p>
            <w:pPr>
              <w:pageBreakBefore w:val="0"/>
              <w:topLinePunct w:val="0"/>
              <w:bidi w:val="0"/>
              <w:spacing w:line="360" w:lineRule="auto"/>
              <w:rPr>
                <w:rFonts w:hint="eastAsia" w:ascii="宋体" w:hAnsi="宋体"/>
                <w:color w:val="000000"/>
                <w:kern w:val="0"/>
                <w:szCs w:val="21"/>
              </w:rPr>
            </w:pPr>
            <w:r>
              <w:rPr>
                <w:rFonts w:hint="eastAsia" w:ascii="宋体" w:hAnsi="宋体"/>
                <w:bCs/>
                <w:color w:val="000000"/>
                <w:kern w:val="0"/>
                <w:szCs w:val="21"/>
              </w:rPr>
              <w:t>6.2</w:t>
            </w:r>
            <w:r>
              <w:rPr>
                <w:rFonts w:hint="eastAsia" w:ascii="宋体" w:hAnsi="宋体"/>
                <w:bCs/>
                <w:color w:val="000000"/>
                <w:kern w:val="0"/>
                <w:szCs w:val="21"/>
                <w:lang w:val="en-US" w:eastAsia="zh-CN"/>
              </w:rPr>
              <w:t>1</w:t>
            </w:r>
            <w:r>
              <w:rPr>
                <w:rFonts w:hint="eastAsia" w:ascii="宋体" w:hAnsi="宋体"/>
                <w:bCs/>
                <w:color w:val="000000"/>
                <w:kern w:val="0"/>
                <w:szCs w:val="21"/>
              </w:rPr>
              <w:t>如投标人未按照投标文件中</w:t>
            </w:r>
            <w:r>
              <w:rPr>
                <w:rFonts w:hint="eastAsia" w:ascii="宋体" w:hAnsi="宋体"/>
                <w:bCs/>
                <w:color w:val="000000"/>
                <w:kern w:val="0"/>
                <w:szCs w:val="21"/>
                <w:lang w:eastAsia="zh-CN"/>
              </w:rPr>
              <w:t>保证</w:t>
            </w:r>
            <w:r>
              <w:rPr>
                <w:rFonts w:hint="eastAsia" w:ascii="宋体" w:hAnsi="宋体"/>
                <w:bCs/>
                <w:color w:val="000000"/>
                <w:kern w:val="0"/>
                <w:szCs w:val="21"/>
              </w:rPr>
              <w:t>的时间交货或提供服务，投标人应承担延期交货和延期服务的违约责任，向采购人每日偿付设备款</w:t>
            </w:r>
            <w:r>
              <w:rPr>
                <w:rFonts w:hint="eastAsia" w:ascii="宋体" w:hAnsi="宋体"/>
                <w:bCs/>
                <w:color w:val="000000"/>
                <w:kern w:val="0"/>
                <w:szCs w:val="21"/>
                <w:u w:val="single"/>
              </w:rPr>
              <w:t xml:space="preserve"> 0.5 </w:t>
            </w:r>
            <w:r>
              <w:rPr>
                <w:rFonts w:hint="eastAsia" w:ascii="宋体" w:hAnsi="宋体"/>
                <w:bCs/>
                <w:color w:val="000000"/>
                <w:kern w:val="0"/>
                <w:szCs w:val="21"/>
              </w:rPr>
              <w:t>%的违约金。逾期超过30日的，投标人需向采购人另行支付合同总价的</w:t>
            </w:r>
            <w:r>
              <w:rPr>
                <w:rFonts w:hint="eastAsia" w:ascii="宋体" w:hAnsi="宋体"/>
                <w:bCs/>
                <w:color w:val="000000"/>
                <w:kern w:val="0"/>
                <w:szCs w:val="21"/>
                <w:u w:val="single"/>
              </w:rPr>
              <w:t xml:space="preserve"> </w:t>
            </w:r>
            <w:r>
              <w:rPr>
                <w:rFonts w:hint="eastAsia" w:ascii="宋体" w:hAnsi="宋体"/>
                <w:color w:val="000000"/>
                <w:kern w:val="0"/>
                <w:szCs w:val="21"/>
                <w:u w:val="single"/>
              </w:rPr>
              <w:t xml:space="preserve">30 </w:t>
            </w:r>
            <w:r>
              <w:rPr>
                <w:rFonts w:hint="eastAsia" w:ascii="宋体" w:hAnsi="宋体"/>
                <w:color w:val="000000"/>
                <w:kern w:val="0"/>
                <w:szCs w:val="21"/>
              </w:rPr>
              <w:t>%</w:t>
            </w:r>
            <w:r>
              <w:rPr>
                <w:rFonts w:hint="eastAsia" w:ascii="宋体" w:hAnsi="宋体"/>
                <w:bCs/>
                <w:color w:val="000000"/>
                <w:kern w:val="0"/>
                <w:szCs w:val="21"/>
              </w:rPr>
              <w:t>的违约金，且采购人有权单方解除采购合同。另外，投标人赔偿采购人因此造成的实际经济损失。</w:t>
            </w:r>
          </w:p>
        </w:tc>
        <w:tc>
          <w:tcPr>
            <w:tcW w:w="3014" w:type="dxa"/>
          </w:tcPr>
          <w:p>
            <w:pPr>
              <w:rPr>
                <w:b/>
              </w:rPr>
            </w:pPr>
          </w:p>
        </w:tc>
        <w:tc>
          <w:tcPr>
            <w:tcW w:w="1275" w:type="dxa"/>
          </w:tcPr>
          <w:p>
            <w:pPr>
              <w:rPr>
                <w:b/>
              </w:rPr>
            </w:pPr>
          </w:p>
        </w:tc>
        <w:tc>
          <w:tcPr>
            <w:tcW w:w="1135"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vAlign w:val="top"/>
          </w:tcPr>
          <w:p>
            <w:pPr>
              <w:pageBreakBefore w:val="0"/>
              <w:topLinePunct w:val="0"/>
              <w:bidi w:val="0"/>
              <w:spacing w:line="360" w:lineRule="auto"/>
              <w:rPr>
                <w:rFonts w:hint="eastAsia" w:ascii="宋体" w:hAnsi="宋体"/>
                <w:color w:val="000000"/>
                <w:kern w:val="0"/>
                <w:szCs w:val="21"/>
              </w:rPr>
            </w:pPr>
            <w:r>
              <w:rPr>
                <w:rFonts w:hint="eastAsia" w:ascii="宋体" w:hAnsi="宋体"/>
                <w:bCs/>
                <w:color w:val="000000"/>
                <w:kern w:val="0"/>
                <w:szCs w:val="21"/>
              </w:rPr>
              <w:t>6.</w:t>
            </w:r>
            <w:r>
              <w:rPr>
                <w:rFonts w:hint="eastAsia" w:ascii="宋体" w:hAnsi="宋体"/>
                <w:bCs/>
                <w:color w:val="000000"/>
                <w:kern w:val="0"/>
                <w:szCs w:val="21"/>
                <w:lang w:val="en-US" w:eastAsia="zh-CN"/>
              </w:rPr>
              <w:t>2</w:t>
            </w:r>
            <w:r>
              <w:rPr>
                <w:rFonts w:hint="eastAsia" w:ascii="宋体" w:hAnsi="宋体"/>
                <w:bCs/>
                <w:color w:val="000000"/>
                <w:kern w:val="0"/>
                <w:szCs w:val="21"/>
              </w:rPr>
              <w:t>投标人所交设备的品种、型号、规格、质量、功能、技术参数等方面不能实质性满足招标文件要约的，采购人有权拒绝收货，投标人向采购人偿付项目采购金额</w:t>
            </w:r>
            <w:r>
              <w:rPr>
                <w:rFonts w:hint="eastAsia" w:ascii="宋体" w:hAnsi="宋体"/>
                <w:bCs/>
                <w:color w:val="000000"/>
                <w:kern w:val="0"/>
                <w:szCs w:val="21"/>
                <w:u w:val="single"/>
              </w:rPr>
              <w:t xml:space="preserve"> </w:t>
            </w:r>
            <w:r>
              <w:rPr>
                <w:rFonts w:hint="eastAsia" w:ascii="宋体" w:hAnsi="宋体"/>
                <w:color w:val="000000"/>
                <w:kern w:val="0"/>
                <w:szCs w:val="21"/>
                <w:u w:val="single"/>
              </w:rPr>
              <w:t xml:space="preserve">30 </w:t>
            </w:r>
            <w:r>
              <w:rPr>
                <w:rFonts w:hint="eastAsia" w:ascii="宋体" w:hAnsi="宋体"/>
                <w:color w:val="000000"/>
                <w:kern w:val="0"/>
                <w:szCs w:val="21"/>
              </w:rPr>
              <w:t>%</w:t>
            </w:r>
            <w:r>
              <w:rPr>
                <w:rFonts w:hint="eastAsia" w:ascii="宋体" w:hAnsi="宋体"/>
                <w:bCs/>
                <w:color w:val="000000"/>
                <w:kern w:val="0"/>
                <w:szCs w:val="21"/>
              </w:rPr>
              <w:t>的违约金；造成严重后果的，根据《</w:t>
            </w:r>
            <w:r>
              <w:rPr>
                <w:rFonts w:ascii="宋体" w:hAnsi="宋体"/>
                <w:bCs/>
                <w:color w:val="000000"/>
                <w:kern w:val="0"/>
                <w:szCs w:val="21"/>
              </w:rPr>
              <w:t>深圳经济特区政府采购条例</w:t>
            </w:r>
            <w:r>
              <w:rPr>
                <w:rFonts w:hint="eastAsia" w:ascii="宋体" w:hAnsi="宋体"/>
                <w:bCs/>
                <w:color w:val="000000"/>
                <w:kern w:val="0"/>
                <w:szCs w:val="21"/>
              </w:rPr>
              <w:t>》第五十七条第（二）款规定，由主管部门对投标人进行处罚。</w:t>
            </w:r>
          </w:p>
        </w:tc>
        <w:tc>
          <w:tcPr>
            <w:tcW w:w="3014" w:type="dxa"/>
          </w:tcPr>
          <w:p>
            <w:pPr>
              <w:rPr>
                <w:b/>
              </w:rPr>
            </w:pPr>
          </w:p>
        </w:tc>
        <w:tc>
          <w:tcPr>
            <w:tcW w:w="1275" w:type="dxa"/>
          </w:tcPr>
          <w:p>
            <w:pPr>
              <w:rPr>
                <w:b/>
              </w:rPr>
            </w:pPr>
          </w:p>
        </w:tc>
        <w:tc>
          <w:tcPr>
            <w:tcW w:w="1135"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vAlign w:val="top"/>
          </w:tcPr>
          <w:p>
            <w:pPr>
              <w:pageBreakBefore w:val="0"/>
              <w:topLinePunct w:val="0"/>
              <w:bidi w:val="0"/>
              <w:spacing w:line="360" w:lineRule="auto"/>
              <w:rPr>
                <w:rFonts w:hint="eastAsia" w:ascii="宋体" w:hAnsi="宋体"/>
                <w:color w:val="000000"/>
                <w:kern w:val="0"/>
                <w:szCs w:val="21"/>
              </w:rPr>
            </w:pPr>
            <w:r>
              <w:rPr>
                <w:rFonts w:hint="eastAsia" w:ascii="宋体" w:hAnsi="宋体"/>
                <w:bCs/>
                <w:color w:val="000000"/>
                <w:kern w:val="0"/>
                <w:szCs w:val="21"/>
              </w:rPr>
              <w:t>6.3 由于供应商的原因，在货到一周内未进行安装调试，或安装调试时间超过正常要求，按每超过一天罚款合同总额的</w:t>
            </w:r>
            <w:r>
              <w:rPr>
                <w:rFonts w:hint="eastAsia" w:ascii="宋体" w:hAnsi="宋体"/>
                <w:bCs/>
                <w:color w:val="000000"/>
                <w:kern w:val="0"/>
                <w:szCs w:val="21"/>
                <w:u w:val="single"/>
              </w:rPr>
              <w:t xml:space="preserve">0.5 </w:t>
            </w:r>
            <w:r>
              <w:rPr>
                <w:rFonts w:hint="eastAsia" w:ascii="宋体" w:hAnsi="宋体"/>
                <w:bCs/>
                <w:color w:val="000000"/>
                <w:kern w:val="0"/>
                <w:szCs w:val="21"/>
              </w:rPr>
              <w:t>%。情节严重者，将依法律程序对供应商进行索赔。</w:t>
            </w:r>
          </w:p>
        </w:tc>
        <w:tc>
          <w:tcPr>
            <w:tcW w:w="3014" w:type="dxa"/>
          </w:tcPr>
          <w:p>
            <w:pPr>
              <w:rPr>
                <w:b/>
              </w:rPr>
            </w:pPr>
          </w:p>
        </w:tc>
        <w:tc>
          <w:tcPr>
            <w:tcW w:w="1275" w:type="dxa"/>
          </w:tcPr>
          <w:p>
            <w:pPr>
              <w:rPr>
                <w:b/>
              </w:rPr>
            </w:pPr>
          </w:p>
        </w:tc>
        <w:tc>
          <w:tcPr>
            <w:tcW w:w="1135"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vAlign w:val="top"/>
          </w:tcPr>
          <w:p>
            <w:pPr>
              <w:pageBreakBefore w:val="0"/>
              <w:topLinePunct w:val="0"/>
              <w:bidi w:val="0"/>
              <w:spacing w:line="360" w:lineRule="auto"/>
              <w:rPr>
                <w:rFonts w:hint="eastAsia" w:ascii="宋体" w:hAnsi="宋体"/>
                <w:color w:val="000000"/>
                <w:kern w:val="0"/>
                <w:szCs w:val="21"/>
              </w:rPr>
            </w:pPr>
            <w:r>
              <w:rPr>
                <w:rFonts w:hint="eastAsia" w:ascii="宋体" w:hAnsi="宋体"/>
                <w:bCs/>
                <w:color w:val="000000"/>
                <w:kern w:val="0"/>
                <w:szCs w:val="21"/>
              </w:rPr>
              <w:t>6.4违约金先从由投标人</w:t>
            </w:r>
            <w:r>
              <w:rPr>
                <w:rFonts w:hint="eastAsia" w:ascii="宋体" w:hAnsi="宋体"/>
                <w:color w:val="000000"/>
                <w:kern w:val="0"/>
                <w:szCs w:val="21"/>
                <w:lang w:val="en-US" w:eastAsia="zh-CN"/>
              </w:rPr>
              <w:t>货款</w:t>
            </w:r>
            <w:r>
              <w:rPr>
                <w:rFonts w:hint="eastAsia" w:ascii="宋体" w:hAnsi="宋体"/>
                <w:bCs/>
                <w:color w:val="000000"/>
                <w:kern w:val="0"/>
                <w:szCs w:val="21"/>
              </w:rPr>
              <w:t>中扣除，若有不足部分则由投标人补齐。</w:t>
            </w:r>
          </w:p>
        </w:tc>
        <w:tc>
          <w:tcPr>
            <w:tcW w:w="3014" w:type="dxa"/>
          </w:tcPr>
          <w:p>
            <w:pPr>
              <w:rPr>
                <w:b/>
              </w:rPr>
            </w:pPr>
          </w:p>
        </w:tc>
        <w:tc>
          <w:tcPr>
            <w:tcW w:w="1275" w:type="dxa"/>
          </w:tcPr>
          <w:p>
            <w:pPr>
              <w:rPr>
                <w:b/>
              </w:rPr>
            </w:pPr>
          </w:p>
        </w:tc>
        <w:tc>
          <w:tcPr>
            <w:tcW w:w="1135"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3" w:type="dxa"/>
            <w:gridSpan w:val="4"/>
            <w:vAlign w:val="top"/>
          </w:tcPr>
          <w:p>
            <w:pPr>
              <w:rPr>
                <w:rFonts w:hint="eastAsia" w:eastAsia="宋体"/>
                <w:b/>
                <w:lang w:val="en-US" w:eastAsia="zh-CN"/>
              </w:rPr>
            </w:pPr>
            <w:r>
              <w:rPr>
                <w:rFonts w:hint="eastAsia"/>
                <w:b/>
                <w:lang w:val="en-US" w:eastAsia="zh-CN"/>
              </w:rPr>
              <w:t>7</w:t>
            </w:r>
            <w:r>
              <w:rPr>
                <w:rFonts w:hint="eastAsia" w:ascii="宋体" w:hAnsi="宋体"/>
                <w:b/>
                <w:color w:val="000000"/>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vAlign w:val="center"/>
          </w:tcPr>
          <w:p>
            <w:pPr>
              <w:pageBreakBefore w:val="0"/>
              <w:topLinePunct w:val="0"/>
              <w:bidi w:val="0"/>
              <w:spacing w:line="360" w:lineRule="auto"/>
              <w:rPr>
                <w:rFonts w:hint="eastAsia" w:ascii="宋体" w:hAnsi="宋体"/>
                <w:color w:val="000000"/>
                <w:kern w:val="0"/>
                <w:szCs w:val="21"/>
              </w:rPr>
            </w:pPr>
            <w:r>
              <w:rPr>
                <w:rFonts w:hint="eastAsia" w:ascii="宋体" w:hAnsi="宋体"/>
                <w:bCs/>
                <w:color w:val="000000"/>
                <w:szCs w:val="21"/>
              </w:rPr>
              <w:t xml:space="preserve">7.1 </w:t>
            </w:r>
            <w:r>
              <w:rPr>
                <w:rFonts w:hint="eastAsia"/>
                <w:bCs/>
                <w:color w:val="000000"/>
                <w:szCs w:val="21"/>
              </w:rPr>
              <w:t>投标人应按其投标文件中的</w:t>
            </w:r>
            <w:r>
              <w:rPr>
                <w:rFonts w:hint="eastAsia"/>
                <w:bCs/>
                <w:color w:val="000000"/>
                <w:szCs w:val="21"/>
                <w:lang w:eastAsia="zh-CN"/>
              </w:rPr>
              <w:t>保证</w:t>
            </w:r>
            <w:r>
              <w:rPr>
                <w:rFonts w:hint="eastAsia"/>
                <w:bCs/>
                <w:color w:val="000000"/>
                <w:szCs w:val="21"/>
              </w:rPr>
              <w:t>，进行其他售后服务工作。</w:t>
            </w:r>
          </w:p>
        </w:tc>
        <w:tc>
          <w:tcPr>
            <w:tcW w:w="3014" w:type="dxa"/>
          </w:tcPr>
          <w:p>
            <w:pPr>
              <w:rPr>
                <w:b/>
              </w:rPr>
            </w:pPr>
          </w:p>
        </w:tc>
        <w:tc>
          <w:tcPr>
            <w:tcW w:w="1275" w:type="dxa"/>
          </w:tcPr>
          <w:p>
            <w:pPr>
              <w:rPr>
                <w:b/>
              </w:rPr>
            </w:pPr>
          </w:p>
        </w:tc>
        <w:tc>
          <w:tcPr>
            <w:tcW w:w="1135"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vAlign w:val="center"/>
          </w:tcPr>
          <w:p>
            <w:pPr>
              <w:pageBreakBefore w:val="0"/>
              <w:topLinePunct w:val="0"/>
              <w:bidi w:val="0"/>
              <w:spacing w:line="360" w:lineRule="auto"/>
              <w:rPr>
                <w:rFonts w:hint="eastAsia" w:ascii="宋体" w:hAnsi="宋体"/>
                <w:color w:val="000000"/>
                <w:kern w:val="0"/>
                <w:szCs w:val="21"/>
              </w:rPr>
            </w:pPr>
            <w:r>
              <w:rPr>
                <w:rFonts w:hint="eastAsia" w:ascii="宋体" w:hAnsi="宋体" w:cs="宋体"/>
                <w:color w:val="000000"/>
                <w:kern w:val="0"/>
                <w:szCs w:val="21"/>
              </w:rPr>
              <w:t>7.2.每年维保服务期结束后，厂家或其指定维保服务商应向采购人提交年度服务总结报告，报告内容包括但不限于维修情况、PM情况、设备运行情况分析、维保成本分析、设备存在问题及建议等。</w:t>
            </w:r>
          </w:p>
        </w:tc>
        <w:tc>
          <w:tcPr>
            <w:tcW w:w="3014" w:type="dxa"/>
          </w:tcPr>
          <w:p>
            <w:pPr>
              <w:rPr>
                <w:b/>
              </w:rPr>
            </w:pPr>
          </w:p>
        </w:tc>
        <w:tc>
          <w:tcPr>
            <w:tcW w:w="1275" w:type="dxa"/>
          </w:tcPr>
          <w:p>
            <w:pPr>
              <w:rPr>
                <w:b/>
              </w:rPr>
            </w:pPr>
          </w:p>
        </w:tc>
        <w:tc>
          <w:tcPr>
            <w:tcW w:w="1135"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vAlign w:val="center"/>
          </w:tcPr>
          <w:p>
            <w:pPr>
              <w:pageBreakBefore w:val="0"/>
              <w:topLinePunct w:val="0"/>
              <w:bidi w:val="0"/>
              <w:spacing w:line="360" w:lineRule="auto"/>
              <w:jc w:val="left"/>
              <w:rPr>
                <w:rFonts w:hint="eastAsia" w:ascii="宋体" w:hAnsi="宋体"/>
                <w:color w:val="000000"/>
                <w:kern w:val="0"/>
                <w:szCs w:val="21"/>
              </w:rPr>
            </w:pPr>
            <w:r>
              <w:rPr>
                <w:rFonts w:hint="eastAsia" w:ascii="宋体" w:hAnsi="宋体"/>
                <w:szCs w:val="21"/>
                <w:lang w:val="en-US" w:eastAsia="zh-CN"/>
              </w:rPr>
              <w:t>7.3.</w:t>
            </w:r>
            <w:r>
              <w:rPr>
                <w:rFonts w:hint="eastAsia" w:ascii="宋体" w:hAnsi="宋体"/>
                <w:szCs w:val="21"/>
              </w:rPr>
              <w:t>本项目预算控制总金额为人民币</w:t>
            </w:r>
            <w:r>
              <w:rPr>
                <w:rFonts w:hint="eastAsia" w:ascii="宋体" w:hAnsi="宋体"/>
                <w:szCs w:val="21"/>
                <w:lang w:val="en-US" w:eastAsia="zh-CN"/>
              </w:rPr>
              <w:t>捌万叁仟</w:t>
            </w:r>
            <w:r>
              <w:rPr>
                <w:rFonts w:hint="eastAsia" w:ascii="宋体" w:hAnsi="宋体"/>
                <w:szCs w:val="21"/>
                <w:highlight w:val="none"/>
                <w:lang w:val="en-US" w:eastAsia="zh-CN"/>
              </w:rPr>
              <w:t>元</w:t>
            </w:r>
            <w:r>
              <w:rPr>
                <w:rFonts w:hint="eastAsia" w:ascii="宋体" w:hAnsi="宋体"/>
                <w:szCs w:val="21"/>
                <w:highlight w:val="none"/>
              </w:rPr>
              <w:t>整（¥</w:t>
            </w:r>
            <w:r>
              <w:rPr>
                <w:rFonts w:hint="eastAsia" w:ascii="宋体" w:hAnsi="宋体"/>
                <w:szCs w:val="21"/>
                <w:highlight w:val="none"/>
                <w:lang w:val="en-US" w:eastAsia="zh-CN"/>
              </w:rPr>
              <w:t>83000</w:t>
            </w:r>
            <w:r>
              <w:rPr>
                <w:rFonts w:hint="eastAsia" w:ascii="宋体" w:hAnsi="宋体"/>
                <w:szCs w:val="21"/>
                <w:highlight w:val="none"/>
              </w:rPr>
              <w:t>.00）</w:t>
            </w:r>
            <w:r>
              <w:rPr>
                <w:rFonts w:hint="eastAsia" w:ascii="宋体" w:hAnsi="宋体"/>
                <w:szCs w:val="21"/>
              </w:rPr>
              <w:t>，超过本预算控制总金额及货物需求表中列明的条目控制单价和总价的投标报价将作废标处理。</w:t>
            </w:r>
          </w:p>
        </w:tc>
        <w:tc>
          <w:tcPr>
            <w:tcW w:w="3014" w:type="dxa"/>
          </w:tcPr>
          <w:p>
            <w:pPr>
              <w:rPr>
                <w:b/>
              </w:rPr>
            </w:pPr>
          </w:p>
        </w:tc>
        <w:tc>
          <w:tcPr>
            <w:tcW w:w="1275" w:type="dxa"/>
          </w:tcPr>
          <w:p>
            <w:pPr>
              <w:rPr>
                <w:b/>
              </w:rPr>
            </w:pPr>
          </w:p>
        </w:tc>
        <w:tc>
          <w:tcPr>
            <w:tcW w:w="1135" w:type="dxa"/>
          </w:tcPr>
          <w:p>
            <w:pPr>
              <w:rPr>
                <w:b/>
              </w:rPr>
            </w:pPr>
          </w:p>
        </w:tc>
      </w:tr>
    </w:tbl>
    <w:p>
      <w:pPr>
        <w:rPr>
          <w:rFonts w:hint="eastAsia"/>
          <w:lang w:val="en-US" w:eastAsia="zh-CN"/>
        </w:rPr>
      </w:pPr>
    </w:p>
    <w:p>
      <w:pPr>
        <w:rPr>
          <w:sz w:val="24"/>
        </w:rPr>
      </w:pPr>
      <w:r>
        <w:rPr>
          <w:rFonts w:hint="eastAsia"/>
          <w:sz w:val="24"/>
        </w:rPr>
        <w:t>备注：</w:t>
      </w:r>
    </w:p>
    <w:p>
      <w:pPr>
        <w:rPr>
          <w:b/>
          <w:color w:val="FF0000"/>
          <w:sz w:val="24"/>
        </w:rPr>
      </w:pPr>
      <w:r>
        <w:rPr>
          <w:rFonts w:hint="eastAsia"/>
          <w:b/>
          <w:color w:val="FF0000"/>
          <w:sz w:val="24"/>
        </w:rPr>
        <w:t>1. “招标商务条款”一栏必须填写招标文件</w:t>
      </w:r>
      <w:r>
        <w:rPr>
          <w:rFonts w:hint="eastAsia"/>
          <w:b/>
          <w:color w:val="FF0000"/>
          <w:sz w:val="24"/>
          <w:lang w:eastAsia="zh-CN"/>
        </w:rPr>
        <w:t>第五条</w:t>
      </w:r>
      <w:r>
        <w:rPr>
          <w:rFonts w:hint="eastAsia"/>
          <w:b/>
          <w:color w:val="FF0000"/>
          <w:sz w:val="24"/>
        </w:rPr>
        <w:t>“</w:t>
      </w:r>
      <w:r>
        <w:rPr>
          <w:rFonts w:hint="eastAsia"/>
          <w:b/>
          <w:color w:val="FF0000"/>
          <w:sz w:val="24"/>
          <w:lang w:eastAsia="zh-CN"/>
        </w:rPr>
        <w:t>商务需求</w:t>
      </w:r>
      <w:r>
        <w:rPr>
          <w:rFonts w:hint="eastAsia"/>
          <w:b/>
          <w:color w:val="FF0000"/>
          <w:sz w:val="24"/>
        </w:rPr>
        <w:t>”的内容分别对应进行填写。</w:t>
      </w:r>
    </w:p>
    <w:p>
      <w:pPr>
        <w:rPr>
          <w:b/>
          <w:color w:val="FF0000"/>
          <w:sz w:val="24"/>
        </w:rPr>
      </w:pPr>
      <w:r>
        <w:rPr>
          <w:rFonts w:hint="eastAsia"/>
          <w:b/>
          <w:color w:val="FF0000"/>
          <w:sz w:val="24"/>
        </w:rPr>
        <w:t>2. “投标商务条款”一栏必须详细填写投标商务条款的内容。</w:t>
      </w:r>
    </w:p>
    <w:p>
      <w:pPr>
        <w:rPr>
          <w:rFonts w:hint="eastAsia" w:eastAsia="宋体"/>
          <w:sz w:val="24"/>
          <w:lang w:eastAsia="zh-CN"/>
        </w:rPr>
      </w:pPr>
      <w:r>
        <w:rPr>
          <w:rFonts w:hint="eastAsia"/>
          <w:b/>
          <w:color w:val="FF0000"/>
          <w:sz w:val="24"/>
        </w:rPr>
        <w:t>3. “偏离情况”栏中应如实填写“正偏离”、“负偏离”或“无偏离”</w:t>
      </w:r>
      <w:r>
        <w:rPr>
          <w:rFonts w:hint="eastAsia"/>
          <w:b/>
          <w:color w:val="FF0000"/>
          <w:sz w:val="24"/>
          <w:lang w:eastAsia="zh-CN"/>
        </w:rPr>
        <w:t>。</w:t>
      </w:r>
    </w:p>
    <w:p>
      <w:pPr>
        <w:rPr>
          <w:b/>
          <w:color w:val="FF0000"/>
          <w:sz w:val="24"/>
        </w:rPr>
      </w:pPr>
      <w:r>
        <w:rPr>
          <w:rFonts w:hint="eastAsia"/>
          <w:b/>
          <w:color w:val="FF0000"/>
          <w:sz w:val="24"/>
        </w:rPr>
        <w:t xml:space="preserve">4. </w:t>
      </w:r>
      <w:r>
        <w:rPr>
          <w:rFonts w:hint="eastAsia"/>
          <w:b/>
          <w:color w:val="FF0000"/>
          <w:sz w:val="24"/>
          <w:lang w:eastAsia="zh-CN"/>
        </w:rPr>
        <w:t>商务</w:t>
      </w:r>
      <w:r>
        <w:rPr>
          <w:rFonts w:hint="eastAsia"/>
          <w:b/>
          <w:color w:val="FF0000"/>
          <w:sz w:val="24"/>
        </w:rPr>
        <w:t>条款为不可负偏离条款，投标文件响应为“负偏离”的，投标文件将按无效投标处理。</w:t>
      </w:r>
    </w:p>
    <w:p>
      <w:pPr>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pPr>
        <w:widowControl/>
        <w:numPr>
          <w:ilvl w:val="0"/>
          <w:numId w:val="10"/>
        </w:numPr>
        <w:shd w:val="clear" w:color="auto" w:fill="FFFFFF"/>
        <w:spacing w:line="360" w:lineRule="auto"/>
        <w:ind w:left="845" w:leftChars="0" w:hanging="425" w:firstLineChars="0"/>
        <w:jc w:val="left"/>
        <w:rPr>
          <w:rFonts w:hint="default" w:ascii="宋体" w:hAnsi="宋体" w:cs="宋体"/>
          <w:color w:val="333333"/>
          <w:kern w:val="0"/>
          <w:sz w:val="24"/>
          <w:szCs w:val="24"/>
          <w:lang w:val="en-US" w:eastAsia="zh-CN"/>
        </w:rPr>
      </w:pPr>
    </w:p>
    <w:p>
      <w:pPr>
        <w:pStyle w:val="4"/>
        <w:numPr>
          <w:ilvl w:val="1"/>
          <w:numId w:val="0"/>
        </w:numPr>
        <w:ind w:leftChars="0"/>
        <w:jc w:val="center"/>
        <w:outlineLvl w:val="0"/>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承诺函</w:t>
      </w:r>
    </w:p>
    <w:p>
      <w:pPr>
        <w:rPr>
          <w:rFonts w:hint="eastAsia" w:ascii="宋体" w:hAnsi="宋体" w:eastAsia="宋体" w:cs="宋体"/>
          <w:color w:val="auto"/>
          <w:szCs w:val="21"/>
          <w:highlight w:val="none"/>
        </w:rPr>
      </w:pPr>
    </w:p>
    <w:p>
      <w:pPr>
        <w:spacing w:line="360" w:lineRule="auto"/>
        <w:jc w:val="left"/>
        <w:rPr>
          <w:rFonts w:hint="eastAsia" w:ascii="宋体" w:hAnsi="宋体" w:eastAsia="宋体" w:cs="宋体"/>
          <w:sz w:val="21"/>
          <w:szCs w:val="21"/>
          <w:highlight w:val="none"/>
        </w:rPr>
      </w:pPr>
      <w:r>
        <w:rPr>
          <w:rFonts w:hint="eastAsia" w:ascii="宋体" w:hAnsi="宋体" w:eastAsia="宋体" w:cs="宋体"/>
          <w:color w:val="auto"/>
          <w:sz w:val="24"/>
          <w:szCs w:val="24"/>
          <w:highlight w:val="none"/>
          <w:lang w:val="en-US" w:eastAsia="zh-CN"/>
        </w:rPr>
        <w:t>致：</w:t>
      </w:r>
      <w:r>
        <w:rPr>
          <w:rFonts w:hint="eastAsia" w:ascii="宋体" w:hAnsi="宋体" w:eastAsia="宋体" w:cs="宋体"/>
          <w:sz w:val="21"/>
          <w:szCs w:val="21"/>
          <w:highlight w:val="none"/>
        </w:rPr>
        <w:t>致：中山大学附属第七医院</w:t>
      </w:r>
      <w:r>
        <w:rPr>
          <w:rFonts w:hint="eastAsia" w:ascii="宋体" w:hAnsi="宋体" w:cs="宋体"/>
          <w:sz w:val="21"/>
          <w:szCs w:val="21"/>
          <w:highlight w:val="none"/>
          <w:lang w:eastAsia="zh-CN"/>
        </w:rPr>
        <w:t>（深圳）</w:t>
      </w:r>
    </w:p>
    <w:p>
      <w:pPr>
        <w:spacing w:line="360" w:lineRule="auto"/>
        <w:jc w:val="left"/>
        <w:rPr>
          <w:rFonts w:hint="eastAsia"/>
          <w:sz w:val="21"/>
          <w:szCs w:val="21"/>
          <w:highlight w:val="none"/>
        </w:rPr>
      </w:pPr>
      <w:r>
        <w:rPr>
          <w:rFonts w:hint="eastAsia" w:ascii="宋体" w:hAnsi="宋体" w:eastAsia="宋体" w:cs="宋体"/>
          <w:sz w:val="21"/>
          <w:szCs w:val="21"/>
          <w:highlight w:val="none"/>
        </w:rPr>
        <w:t>我公司参与本项目谈判就以下事项进行承诺：</w:t>
      </w:r>
    </w:p>
    <w:p>
      <w:pPr>
        <w:numPr>
          <w:ilvl w:val="0"/>
          <w:numId w:val="11"/>
        </w:numPr>
        <w:spacing w:line="240" w:lineRule="auto"/>
        <w:ind w:left="420" w:leftChars="20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本项目所提供的货物及服务均未侵犯知识产权。</w:t>
      </w:r>
    </w:p>
    <w:p>
      <w:pPr>
        <w:numPr>
          <w:ilvl w:val="0"/>
          <w:numId w:val="11"/>
        </w:numPr>
        <w:spacing w:line="240" w:lineRule="auto"/>
        <w:ind w:left="0" w:leftChars="0" w:firstLine="367" w:firstLineChars="17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我公司</w:t>
      </w:r>
      <w:r>
        <w:rPr>
          <w:rFonts w:hint="eastAsia" w:ascii="宋体" w:hAnsi="宋体" w:cs="宋体"/>
          <w:sz w:val="21"/>
          <w:szCs w:val="21"/>
          <w:highlight w:val="none"/>
          <w:lang w:eastAsia="zh-CN"/>
        </w:rPr>
        <w:t>承诺</w:t>
      </w:r>
      <w:r>
        <w:rPr>
          <w:rFonts w:hint="eastAsia" w:ascii="宋体" w:hAnsi="宋体" w:eastAsia="宋体" w:cs="宋体"/>
          <w:sz w:val="21"/>
          <w:szCs w:val="21"/>
          <w:highlight w:val="none"/>
        </w:rPr>
        <w:t>保证无行贿犯罪记录</w:t>
      </w:r>
      <w:r>
        <w:rPr>
          <w:rFonts w:hint="eastAsia" w:ascii="宋体" w:hAnsi="宋体" w:cs="宋体"/>
          <w:sz w:val="21"/>
          <w:szCs w:val="21"/>
          <w:highlight w:val="none"/>
          <w:lang w:eastAsia="zh-CN"/>
        </w:rPr>
        <w:t>；且</w:t>
      </w:r>
      <w:r>
        <w:rPr>
          <w:rFonts w:hint="eastAsia" w:ascii="宋体" w:hAnsi="宋体" w:eastAsia="宋体" w:cs="宋体"/>
          <w:sz w:val="21"/>
          <w:szCs w:val="21"/>
          <w:highlight w:val="none"/>
        </w:rPr>
        <w:t>参与本项目投标前三年内，在经营活动中没有重大违法记录</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无骗取中标、无严重违约及重大安全及质量问题。</w:t>
      </w:r>
    </w:p>
    <w:p>
      <w:pPr>
        <w:numPr>
          <w:ilvl w:val="0"/>
          <w:numId w:val="11"/>
        </w:numPr>
        <w:spacing w:line="240" w:lineRule="auto"/>
        <w:ind w:left="0" w:leftChars="0" w:firstLine="367" w:firstLineChars="17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我公司参与本项目政府采购活动时不存在被有关部门禁止参与政府采购活动且在有效期内的情况。</w:t>
      </w:r>
    </w:p>
    <w:p>
      <w:pPr>
        <w:numPr>
          <w:ilvl w:val="0"/>
          <w:numId w:val="11"/>
        </w:numPr>
        <w:spacing w:line="240" w:lineRule="auto"/>
        <w:ind w:left="0" w:leftChars="0" w:firstLine="367" w:firstLineChars="17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我公司具备《中华人民共和国政府采购法》第二十二条列明的各项条件。</w:t>
      </w:r>
    </w:p>
    <w:p>
      <w:pPr>
        <w:numPr>
          <w:ilvl w:val="0"/>
          <w:numId w:val="11"/>
        </w:numPr>
        <w:spacing w:line="240" w:lineRule="auto"/>
        <w:ind w:left="0" w:leftChars="0" w:firstLine="367" w:firstLineChars="17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我公司未被列入失信被执行人、重大税收违法案件当事人名单、政府采购严重违法失信行为记录名单。</w:t>
      </w:r>
    </w:p>
    <w:p>
      <w:pPr>
        <w:numPr>
          <w:ilvl w:val="0"/>
          <w:numId w:val="11"/>
        </w:numPr>
        <w:spacing w:line="240" w:lineRule="auto"/>
        <w:ind w:left="0" w:leftChars="0" w:firstLine="367" w:firstLineChars="17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严格遵守政府采购相关法律，投标做到诚实，不造假，不围标、串标、陪标。我公司已清楚，如违反上述要求，其投标应答将作无效处理，被将记入</w:t>
      </w:r>
      <w:r>
        <w:rPr>
          <w:rFonts w:hint="eastAsia" w:ascii="宋体" w:hAnsi="宋体" w:cs="宋体"/>
          <w:sz w:val="21"/>
          <w:szCs w:val="21"/>
          <w:highlight w:val="none"/>
          <w:lang w:eastAsia="zh-CN"/>
        </w:rPr>
        <w:t>贵院</w:t>
      </w:r>
      <w:r>
        <w:rPr>
          <w:rFonts w:hint="eastAsia" w:ascii="宋体" w:hAnsi="宋体" w:eastAsia="宋体" w:cs="宋体"/>
          <w:sz w:val="21"/>
          <w:szCs w:val="21"/>
          <w:highlight w:val="none"/>
        </w:rPr>
        <w:t>供应商诚信档案并</w:t>
      </w:r>
      <w:r>
        <w:rPr>
          <w:rFonts w:hint="eastAsia" w:ascii="宋体" w:hAnsi="宋体" w:cs="宋体"/>
          <w:sz w:val="21"/>
          <w:szCs w:val="21"/>
          <w:highlight w:val="none"/>
          <w:lang w:eastAsia="zh-CN"/>
        </w:rPr>
        <w:t>允许公示</w:t>
      </w:r>
      <w:r>
        <w:rPr>
          <w:rFonts w:hint="eastAsia" w:ascii="宋体" w:hAnsi="宋体" w:eastAsia="宋体" w:cs="宋体"/>
          <w:sz w:val="21"/>
          <w:szCs w:val="21"/>
          <w:highlight w:val="none"/>
        </w:rPr>
        <w:t>，同时将被提请给予一定年限内禁止参与禁止其参与</w:t>
      </w:r>
      <w:r>
        <w:rPr>
          <w:rFonts w:hint="eastAsia" w:ascii="宋体" w:hAnsi="宋体" w:cs="宋体"/>
          <w:sz w:val="21"/>
          <w:szCs w:val="21"/>
          <w:highlight w:val="none"/>
          <w:lang w:eastAsia="zh-CN"/>
        </w:rPr>
        <w:t>贵院</w:t>
      </w:r>
      <w:r>
        <w:rPr>
          <w:rFonts w:hint="eastAsia" w:ascii="宋体" w:hAnsi="宋体" w:eastAsia="宋体" w:cs="宋体"/>
          <w:sz w:val="21"/>
          <w:szCs w:val="21"/>
          <w:highlight w:val="none"/>
        </w:rPr>
        <w:t>的招标采购等经济活动或其他处罚。</w:t>
      </w:r>
    </w:p>
    <w:p>
      <w:pPr>
        <w:numPr>
          <w:ilvl w:val="0"/>
          <w:numId w:val="11"/>
        </w:numPr>
        <w:spacing w:line="240" w:lineRule="auto"/>
        <w:ind w:left="0" w:leftChars="0" w:firstLine="367" w:firstLineChars="17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我公司如果获得中标（成交）资格，将做到守信，不偷工减料，依照本项目招标文件需求内容、签署的采购合同及本公司在投标中所作的一切承诺履约。项目验收达到全部指标合格，力争优良。</w:t>
      </w:r>
    </w:p>
    <w:p>
      <w:pPr>
        <w:numPr>
          <w:ilvl w:val="0"/>
          <w:numId w:val="11"/>
        </w:numPr>
        <w:spacing w:line="240" w:lineRule="auto"/>
        <w:ind w:left="0" w:leftChars="0" w:firstLine="367" w:firstLineChars="17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我公司承诺本项目的报价不低于我公司的成本价，否则，我公司清楚将面临应答无效的风险；我公司承诺不恶意低价谋取中标（成交）资格；我公司对本项目的报价负责，中标（成交）后将严格按照本项目采购文件需求、签署的采购合同及我公司在应答中所作的全部承诺履行。我公司清楚，若我公司以“报价太低而无法履约”为理由放弃本项目中标（成交）资格时，愿意接受</w:t>
      </w:r>
      <w:r>
        <w:rPr>
          <w:rFonts w:hint="eastAsia" w:ascii="宋体" w:hAnsi="宋体" w:cs="宋体"/>
          <w:sz w:val="21"/>
          <w:szCs w:val="21"/>
          <w:highlight w:val="none"/>
          <w:lang w:eastAsia="zh-CN"/>
        </w:rPr>
        <w:t>贵院</w:t>
      </w:r>
      <w:r>
        <w:rPr>
          <w:rFonts w:hint="eastAsia" w:ascii="宋体" w:hAnsi="宋体" w:eastAsia="宋体" w:cs="宋体"/>
          <w:sz w:val="21"/>
          <w:szCs w:val="21"/>
          <w:highlight w:val="none"/>
        </w:rPr>
        <w:t>的处理处罚。若我公司获得中标（成交）资格且报价明显低于其他供应商的报价时，我公司清楚，本项目将成为重点监管、重点验收项目，我公司将按时保质保量完成，并全力配合有关监管、验收工作；若我公司未按上述要求履约，我公司愿意接受</w:t>
      </w:r>
      <w:r>
        <w:rPr>
          <w:rFonts w:hint="eastAsia" w:ascii="宋体" w:hAnsi="宋体" w:cs="宋体"/>
          <w:sz w:val="21"/>
          <w:szCs w:val="21"/>
          <w:highlight w:val="none"/>
          <w:lang w:eastAsia="zh-CN"/>
        </w:rPr>
        <w:t>贵院</w:t>
      </w:r>
      <w:r>
        <w:rPr>
          <w:rFonts w:hint="eastAsia" w:ascii="宋体" w:hAnsi="宋体" w:eastAsia="宋体" w:cs="宋体"/>
          <w:sz w:val="21"/>
          <w:szCs w:val="21"/>
          <w:highlight w:val="none"/>
        </w:rPr>
        <w:t>的处理处罚。</w:t>
      </w:r>
    </w:p>
    <w:p>
      <w:pPr>
        <w:numPr>
          <w:ilvl w:val="0"/>
          <w:numId w:val="11"/>
        </w:numPr>
        <w:spacing w:line="240" w:lineRule="auto"/>
        <w:ind w:left="0" w:leftChars="0" w:firstLine="367" w:firstLineChars="17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我公司已认真核实了</w:t>
      </w:r>
      <w:r>
        <w:rPr>
          <w:rFonts w:hint="eastAsia" w:ascii="宋体" w:hAnsi="宋体" w:cs="宋体"/>
          <w:sz w:val="21"/>
          <w:szCs w:val="21"/>
          <w:highlight w:val="none"/>
          <w:lang w:eastAsia="zh-CN"/>
        </w:rPr>
        <w:t>投标应答</w:t>
      </w:r>
      <w:r>
        <w:rPr>
          <w:rFonts w:hint="eastAsia" w:ascii="宋体" w:hAnsi="宋体" w:eastAsia="宋体" w:cs="宋体"/>
          <w:sz w:val="21"/>
          <w:szCs w:val="21"/>
          <w:highlight w:val="none"/>
        </w:rPr>
        <w:t>文件的全部内容，所有资料均为真实资料。我公司对</w:t>
      </w:r>
      <w:r>
        <w:rPr>
          <w:rFonts w:hint="eastAsia" w:ascii="宋体" w:hAnsi="宋体" w:cs="宋体"/>
          <w:sz w:val="21"/>
          <w:szCs w:val="21"/>
          <w:highlight w:val="none"/>
          <w:lang w:eastAsia="zh-CN"/>
        </w:rPr>
        <w:t>投标应答</w:t>
      </w:r>
      <w:r>
        <w:rPr>
          <w:rFonts w:hint="eastAsia" w:ascii="宋体" w:hAnsi="宋体" w:eastAsia="宋体" w:cs="宋体"/>
          <w:sz w:val="21"/>
          <w:szCs w:val="21"/>
          <w:highlight w:val="none"/>
        </w:rPr>
        <w:t>文件中全部资料的真实性负责，如被证实我公司的</w:t>
      </w:r>
      <w:r>
        <w:rPr>
          <w:rFonts w:hint="eastAsia" w:ascii="宋体" w:hAnsi="宋体" w:cs="宋体"/>
          <w:sz w:val="21"/>
          <w:szCs w:val="21"/>
          <w:highlight w:val="none"/>
          <w:lang w:eastAsia="zh-CN"/>
        </w:rPr>
        <w:t>投标应答</w:t>
      </w:r>
      <w:r>
        <w:rPr>
          <w:rFonts w:hint="eastAsia" w:ascii="宋体" w:hAnsi="宋体" w:eastAsia="宋体" w:cs="宋体"/>
          <w:sz w:val="21"/>
          <w:szCs w:val="21"/>
          <w:highlight w:val="none"/>
        </w:rPr>
        <w:t>文件中存在虚假资料的，则视为我公司隐瞒真实情况、提供虚假资料，我公司愿意接受</w:t>
      </w:r>
      <w:r>
        <w:rPr>
          <w:rFonts w:hint="eastAsia" w:ascii="宋体" w:hAnsi="宋体" w:cs="宋体"/>
          <w:sz w:val="21"/>
          <w:szCs w:val="21"/>
          <w:highlight w:val="none"/>
          <w:lang w:eastAsia="zh-CN"/>
        </w:rPr>
        <w:t>贵院</w:t>
      </w:r>
      <w:r>
        <w:rPr>
          <w:rFonts w:hint="eastAsia" w:ascii="宋体" w:hAnsi="宋体" w:eastAsia="宋体" w:cs="宋体"/>
          <w:sz w:val="21"/>
          <w:szCs w:val="21"/>
          <w:highlight w:val="none"/>
        </w:rPr>
        <w:t>作出的处罚</w:t>
      </w:r>
      <w:r>
        <w:rPr>
          <w:rFonts w:hint="eastAsia" w:ascii="宋体" w:hAnsi="宋体" w:cs="宋体"/>
          <w:sz w:val="21"/>
          <w:szCs w:val="21"/>
          <w:highlight w:val="none"/>
          <w:lang w:eastAsia="zh-CN"/>
        </w:rPr>
        <w:t>处理</w:t>
      </w:r>
      <w:r>
        <w:rPr>
          <w:rFonts w:hint="eastAsia" w:ascii="宋体" w:hAnsi="宋体" w:eastAsia="宋体" w:cs="宋体"/>
          <w:sz w:val="21"/>
          <w:szCs w:val="21"/>
          <w:highlight w:val="none"/>
        </w:rPr>
        <w:t>。</w:t>
      </w:r>
    </w:p>
    <w:p>
      <w:pPr>
        <w:numPr>
          <w:ilvl w:val="0"/>
          <w:numId w:val="11"/>
        </w:numPr>
        <w:spacing w:line="240" w:lineRule="auto"/>
        <w:ind w:left="0" w:leftChars="0" w:firstLine="367" w:firstLineChars="17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我公司承诺不非法转包或分包</w:t>
      </w:r>
      <w:r>
        <w:rPr>
          <w:rFonts w:hint="eastAsia" w:ascii="宋体" w:hAnsi="宋体" w:cs="宋体"/>
          <w:sz w:val="21"/>
          <w:szCs w:val="21"/>
          <w:highlight w:val="none"/>
          <w:lang w:val="en-US" w:eastAsia="zh-CN"/>
        </w:rPr>
        <w:t>,不进行联合体投标</w:t>
      </w:r>
      <w:r>
        <w:rPr>
          <w:rFonts w:hint="eastAsia" w:ascii="宋体" w:hAnsi="宋体" w:eastAsia="宋体" w:cs="宋体"/>
          <w:sz w:val="21"/>
          <w:szCs w:val="21"/>
          <w:highlight w:val="none"/>
        </w:rPr>
        <w:t>。</w:t>
      </w:r>
    </w:p>
    <w:p>
      <w:pPr>
        <w:spacing w:line="240" w:lineRule="auto"/>
        <w:ind w:firstLine="420" w:firstLineChars="0"/>
        <w:jc w:val="left"/>
        <w:rPr>
          <w:rFonts w:hint="eastAsia" w:ascii="宋体" w:hAnsi="宋体" w:eastAsia="宋体" w:cs="宋体"/>
          <w:sz w:val="21"/>
          <w:szCs w:val="21"/>
          <w:highlight w:val="none"/>
        </w:rPr>
      </w:pPr>
    </w:p>
    <w:p>
      <w:pPr>
        <w:spacing w:line="360" w:lineRule="auto"/>
        <w:ind w:firstLine="42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以上承诺，如有违反，愿依照国家相关法律</w:t>
      </w:r>
      <w:r>
        <w:rPr>
          <w:rFonts w:hint="eastAsia" w:ascii="宋体" w:hAnsi="宋体" w:cs="宋体"/>
          <w:sz w:val="21"/>
          <w:szCs w:val="21"/>
          <w:highlight w:val="none"/>
          <w:lang w:eastAsia="zh-CN"/>
        </w:rPr>
        <w:t>及</w:t>
      </w:r>
      <w:bookmarkStart w:id="31" w:name="OLE_LINK2"/>
      <w:r>
        <w:rPr>
          <w:rFonts w:hint="eastAsia" w:ascii="宋体" w:hAnsi="宋体" w:cs="宋体"/>
          <w:sz w:val="21"/>
          <w:szCs w:val="21"/>
          <w:highlight w:val="none"/>
          <w:lang w:eastAsia="zh-CN"/>
        </w:rPr>
        <w:t>贵院</w:t>
      </w:r>
      <w:bookmarkEnd w:id="31"/>
      <w:r>
        <w:rPr>
          <w:rFonts w:hint="eastAsia" w:ascii="宋体" w:hAnsi="宋体" w:cs="宋体"/>
          <w:sz w:val="21"/>
          <w:szCs w:val="21"/>
          <w:highlight w:val="none"/>
          <w:lang w:eastAsia="zh-CN"/>
        </w:rPr>
        <w:t>相关采购管理办法</w:t>
      </w:r>
      <w:r>
        <w:rPr>
          <w:rFonts w:hint="eastAsia" w:ascii="宋体" w:hAnsi="宋体" w:eastAsia="宋体" w:cs="宋体"/>
          <w:sz w:val="21"/>
          <w:szCs w:val="21"/>
          <w:highlight w:val="none"/>
        </w:rPr>
        <w:t>处理，并承担由此给采购人带来的损失。</w:t>
      </w:r>
    </w:p>
    <w:p>
      <w:pPr>
        <w:spacing w:line="360" w:lineRule="auto"/>
        <w:ind w:firstLine="42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特此承诺。</w:t>
      </w:r>
    </w:p>
    <w:p>
      <w:pPr>
        <w:wordWrap w:val="0"/>
        <w:spacing w:line="360" w:lineRule="auto"/>
        <w:jc w:val="righ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供应商名称：（公章）</w:t>
      </w:r>
      <w:r>
        <w:rPr>
          <w:rFonts w:hint="eastAsia" w:ascii="宋体" w:hAnsi="宋体" w:cs="宋体"/>
          <w:sz w:val="21"/>
          <w:szCs w:val="21"/>
          <w:highlight w:val="none"/>
          <w:lang w:val="en-US" w:eastAsia="zh-CN"/>
        </w:rPr>
        <w:t xml:space="preserve">                 </w:t>
      </w:r>
    </w:p>
    <w:p>
      <w:pPr>
        <w:wordWrap w:val="0"/>
        <w:spacing w:line="360" w:lineRule="auto"/>
        <w:ind w:right="480"/>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投标代表签名</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 xml:space="preserve">                   </w:t>
      </w:r>
    </w:p>
    <w:p>
      <w:pPr>
        <w:spacing w:line="360" w:lineRule="auto"/>
        <w:rPr>
          <w:rFonts w:hint="default"/>
          <w:lang w:val="en-US" w:eastAsia="zh-CN"/>
        </w:rPr>
      </w:pP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日期：      年   月   </w:t>
      </w:r>
      <w:r>
        <w:rPr>
          <w:rFonts w:hint="eastAsia" w:ascii="宋体" w:hAnsi="宋体" w:eastAsia="宋体" w:cs="宋体"/>
          <w:sz w:val="24"/>
          <w:highlight w:val="none"/>
        </w:rPr>
        <w:t>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A2DA7"/>
    <w:multiLevelType w:val="singleLevel"/>
    <w:tmpl w:val="8C5A2DA7"/>
    <w:lvl w:ilvl="0" w:tentative="0">
      <w:start w:val="1"/>
      <w:numFmt w:val="decimal"/>
      <w:lvlText w:val="%1."/>
      <w:lvlJc w:val="left"/>
      <w:pPr>
        <w:ind w:left="425" w:hanging="425"/>
      </w:pPr>
      <w:rPr>
        <w:rFonts w:hint="default"/>
      </w:rPr>
    </w:lvl>
  </w:abstractNum>
  <w:abstractNum w:abstractNumId="1">
    <w:nsid w:val="C21BD535"/>
    <w:multiLevelType w:val="singleLevel"/>
    <w:tmpl w:val="C21BD535"/>
    <w:lvl w:ilvl="0" w:tentative="0">
      <w:start w:val="5"/>
      <w:numFmt w:val="chineseCounting"/>
      <w:suff w:val="nothing"/>
      <w:lvlText w:val="%1、"/>
      <w:lvlJc w:val="left"/>
      <w:rPr>
        <w:rFonts w:hint="eastAsia"/>
      </w:rPr>
    </w:lvl>
  </w:abstractNum>
  <w:abstractNum w:abstractNumId="2">
    <w:nsid w:val="CCA29244"/>
    <w:multiLevelType w:val="singleLevel"/>
    <w:tmpl w:val="CCA29244"/>
    <w:lvl w:ilvl="0" w:tentative="0">
      <w:start w:val="1"/>
      <w:numFmt w:val="decimal"/>
      <w:suff w:val="space"/>
      <w:lvlText w:val="%1."/>
      <w:lvlJc w:val="left"/>
    </w:lvl>
  </w:abstractNum>
  <w:abstractNum w:abstractNumId="3">
    <w:nsid w:val="EDA27C98"/>
    <w:multiLevelType w:val="multilevel"/>
    <w:tmpl w:val="EDA27C98"/>
    <w:lvl w:ilvl="0" w:tentative="0">
      <w:start w:val="1"/>
      <w:numFmt w:val="decimal"/>
      <w:suff w:val="space"/>
      <w:lvlText w:val="2.1.2.%1."/>
      <w:lvlJc w:val="left"/>
      <w:pPr>
        <w:tabs>
          <w:tab w:val="left" w:pos="420"/>
        </w:tabs>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FBE9E365"/>
    <w:multiLevelType w:val="singleLevel"/>
    <w:tmpl w:val="FBE9E365"/>
    <w:lvl w:ilvl="0" w:tentative="0">
      <w:start w:val="1"/>
      <w:numFmt w:val="decimal"/>
      <w:lvlText w:val="%1."/>
      <w:lvlJc w:val="left"/>
      <w:pPr>
        <w:ind w:left="425" w:hanging="425"/>
      </w:pPr>
      <w:rPr>
        <w:rFonts w:hint="default"/>
      </w:rPr>
    </w:lvl>
  </w:abstractNum>
  <w:abstractNum w:abstractNumId="5">
    <w:nsid w:val="01234CD8"/>
    <w:multiLevelType w:val="multilevel"/>
    <w:tmpl w:val="01234CD8"/>
    <w:lvl w:ilvl="0" w:tentative="0">
      <w:start w:val="1"/>
      <w:numFmt w:val="decimal"/>
      <w:lvlText w:val="1.1.2.%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54F212C"/>
    <w:multiLevelType w:val="singleLevel"/>
    <w:tmpl w:val="054F212C"/>
    <w:lvl w:ilvl="0" w:tentative="0">
      <w:start w:val="1"/>
      <w:numFmt w:val="decimal"/>
      <w:lvlText w:val="%1."/>
      <w:lvlJc w:val="left"/>
      <w:pPr>
        <w:ind w:left="425" w:hanging="425"/>
      </w:pPr>
      <w:rPr>
        <w:rFonts w:hint="default"/>
      </w:rPr>
    </w:lvl>
  </w:abstractNum>
  <w:abstractNum w:abstractNumId="7">
    <w:nsid w:val="09F06F1C"/>
    <w:multiLevelType w:val="multilevel"/>
    <w:tmpl w:val="09F06F1C"/>
    <w:lvl w:ilvl="0" w:tentative="0">
      <w:start w:val="1"/>
      <w:numFmt w:val="decimal"/>
      <w:lvlText w:val="1.1.1.%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182C13D7"/>
    <w:multiLevelType w:val="multilevel"/>
    <w:tmpl w:val="182C13D7"/>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2EEE22C2"/>
    <w:multiLevelType w:val="multilevel"/>
    <w:tmpl w:val="2EEE22C2"/>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0">
    <w:nsid w:val="43E6D495"/>
    <w:multiLevelType w:val="multilevel"/>
    <w:tmpl w:val="43E6D495"/>
    <w:lvl w:ilvl="0" w:tentative="0">
      <w:start w:val="1"/>
      <w:numFmt w:val="decimal"/>
      <w:suff w:val="space"/>
      <w:lvlText w:val="2.1.1.%1."/>
      <w:lvlJc w:val="left"/>
      <w:pPr>
        <w:tabs>
          <w:tab w:val="left" w:pos="420"/>
        </w:tabs>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9"/>
  </w:num>
  <w:num w:numId="2">
    <w:abstractNumId w:val="8"/>
  </w:num>
  <w:num w:numId="3">
    <w:abstractNumId w:val="7"/>
  </w:num>
  <w:num w:numId="4">
    <w:abstractNumId w:val="5"/>
  </w:num>
  <w:num w:numId="5">
    <w:abstractNumId w:val="10"/>
  </w:num>
  <w:num w:numId="6">
    <w:abstractNumId w:val="3"/>
  </w:num>
  <w:num w:numId="7">
    <w:abstractNumId w:val="1"/>
  </w:num>
  <w:num w:numId="8">
    <w:abstractNumId w:val="0"/>
  </w:num>
  <w:num w:numId="9">
    <w:abstractNumId w:val="6"/>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DC4"/>
    <w:rsid w:val="00074DC4"/>
    <w:rsid w:val="001D0EC8"/>
    <w:rsid w:val="0030610F"/>
    <w:rsid w:val="004A09C8"/>
    <w:rsid w:val="00525128"/>
    <w:rsid w:val="00713EFE"/>
    <w:rsid w:val="00A35394"/>
    <w:rsid w:val="00CF1107"/>
    <w:rsid w:val="00DC4969"/>
    <w:rsid w:val="00DD3BC8"/>
    <w:rsid w:val="00F0040A"/>
    <w:rsid w:val="00F150EB"/>
    <w:rsid w:val="02097AB9"/>
    <w:rsid w:val="02F0677D"/>
    <w:rsid w:val="0355626F"/>
    <w:rsid w:val="03EA3D03"/>
    <w:rsid w:val="045B4B85"/>
    <w:rsid w:val="060F1424"/>
    <w:rsid w:val="06295318"/>
    <w:rsid w:val="07493068"/>
    <w:rsid w:val="0A541AD4"/>
    <w:rsid w:val="0A5911C6"/>
    <w:rsid w:val="0C751E4B"/>
    <w:rsid w:val="0CBE1811"/>
    <w:rsid w:val="0D455107"/>
    <w:rsid w:val="0DC34864"/>
    <w:rsid w:val="10FE6F36"/>
    <w:rsid w:val="134613DF"/>
    <w:rsid w:val="13FE4427"/>
    <w:rsid w:val="15627AD9"/>
    <w:rsid w:val="18716912"/>
    <w:rsid w:val="1AC421B3"/>
    <w:rsid w:val="1D4A435C"/>
    <w:rsid w:val="1D57587D"/>
    <w:rsid w:val="1EC94DC3"/>
    <w:rsid w:val="1FBA4FB2"/>
    <w:rsid w:val="209B7DAA"/>
    <w:rsid w:val="2245215E"/>
    <w:rsid w:val="22A44625"/>
    <w:rsid w:val="22ED3024"/>
    <w:rsid w:val="23850D78"/>
    <w:rsid w:val="23E05ACA"/>
    <w:rsid w:val="273F679A"/>
    <w:rsid w:val="28341900"/>
    <w:rsid w:val="28963E60"/>
    <w:rsid w:val="28B7310B"/>
    <w:rsid w:val="2AC9429A"/>
    <w:rsid w:val="2ACC118E"/>
    <w:rsid w:val="2B291BDF"/>
    <w:rsid w:val="2D702A5E"/>
    <w:rsid w:val="2E9655D5"/>
    <w:rsid w:val="2EB355B8"/>
    <w:rsid w:val="2EFF1328"/>
    <w:rsid w:val="2FC524E5"/>
    <w:rsid w:val="2FDF4477"/>
    <w:rsid w:val="32753DBC"/>
    <w:rsid w:val="337B3B12"/>
    <w:rsid w:val="337E435E"/>
    <w:rsid w:val="34AA1CF6"/>
    <w:rsid w:val="36042855"/>
    <w:rsid w:val="37AA4279"/>
    <w:rsid w:val="38AB5566"/>
    <w:rsid w:val="3C372247"/>
    <w:rsid w:val="3C4B7893"/>
    <w:rsid w:val="3E1D5723"/>
    <w:rsid w:val="3E89630E"/>
    <w:rsid w:val="3FB24B82"/>
    <w:rsid w:val="418C23C5"/>
    <w:rsid w:val="4281498D"/>
    <w:rsid w:val="43A5585E"/>
    <w:rsid w:val="45BA62D0"/>
    <w:rsid w:val="466761F4"/>
    <w:rsid w:val="47160EBD"/>
    <w:rsid w:val="4750151E"/>
    <w:rsid w:val="478E1468"/>
    <w:rsid w:val="492D6726"/>
    <w:rsid w:val="4A331A31"/>
    <w:rsid w:val="4C7426E8"/>
    <w:rsid w:val="4F9B19F6"/>
    <w:rsid w:val="525F1B23"/>
    <w:rsid w:val="527332E3"/>
    <w:rsid w:val="55277E59"/>
    <w:rsid w:val="56DB604B"/>
    <w:rsid w:val="57940024"/>
    <w:rsid w:val="5AD82FF7"/>
    <w:rsid w:val="5AE00893"/>
    <w:rsid w:val="5B6A363E"/>
    <w:rsid w:val="5BC0692C"/>
    <w:rsid w:val="5D29674B"/>
    <w:rsid w:val="633D1B5C"/>
    <w:rsid w:val="648C1B90"/>
    <w:rsid w:val="65240217"/>
    <w:rsid w:val="65E078F4"/>
    <w:rsid w:val="673E61C3"/>
    <w:rsid w:val="684E492B"/>
    <w:rsid w:val="6C0A1C54"/>
    <w:rsid w:val="706A7BFF"/>
    <w:rsid w:val="727B38D5"/>
    <w:rsid w:val="731E5457"/>
    <w:rsid w:val="73BB1F5D"/>
    <w:rsid w:val="74067AF3"/>
    <w:rsid w:val="74381824"/>
    <w:rsid w:val="752E0A64"/>
    <w:rsid w:val="762C6CB4"/>
    <w:rsid w:val="77143729"/>
    <w:rsid w:val="78506CB4"/>
    <w:rsid w:val="7997652C"/>
    <w:rsid w:val="7D2934A1"/>
    <w:rsid w:val="7E002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2"/>
    <w:qFormat/>
    <w:uiPriority w:val="9"/>
    <w:pPr>
      <w:jc w:val="center"/>
      <w:outlineLvl w:val="0"/>
    </w:pPr>
    <w:rPr>
      <w:bCs/>
      <w:kern w:val="44"/>
      <w:sz w:val="36"/>
      <w:szCs w:val="44"/>
    </w:rPr>
  </w:style>
  <w:style w:type="paragraph" w:styleId="4">
    <w:name w:val="heading 2"/>
    <w:basedOn w:val="1"/>
    <w:next w:val="1"/>
    <w:link w:val="18"/>
    <w:qFormat/>
    <w:uiPriority w:val="0"/>
    <w:pPr>
      <w:adjustRightInd w:val="0"/>
      <w:spacing w:line="240" w:lineRule="auto"/>
      <w:jc w:val="center"/>
      <w:textAlignment w:val="baseline"/>
      <w:outlineLvl w:val="1"/>
    </w:pPr>
    <w:rPr>
      <w:rFonts w:ascii="宋体" w:hAnsi="宋体"/>
      <w:kern w:val="0"/>
      <w:sz w:val="24"/>
      <w:szCs w:val="20"/>
    </w:rPr>
  </w:style>
  <w:style w:type="paragraph" w:styleId="5">
    <w:name w:val="heading 3"/>
    <w:basedOn w:val="1"/>
    <w:next w:val="1"/>
    <w:link w:val="20"/>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19"/>
    <w:qFormat/>
    <w:uiPriority w:val="9"/>
    <w:pPr>
      <w:keepNext/>
      <w:keepLines/>
      <w:spacing w:before="280" w:after="290" w:line="376" w:lineRule="auto"/>
      <w:outlineLvl w:val="3"/>
    </w:pPr>
    <w:rPr>
      <w:rFonts w:ascii="Cambria" w:hAnsi="Cambria"/>
      <w:b/>
      <w:bCs/>
      <w:sz w:val="28"/>
      <w:szCs w:val="28"/>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7">
    <w:name w:val="Normal Indent"/>
    <w:basedOn w:val="1"/>
    <w:semiHidden/>
    <w:unhideWhenUsed/>
    <w:qFormat/>
    <w:uiPriority w:val="99"/>
    <w:pPr>
      <w:ind w:firstLine="420" w:firstLineChars="200"/>
    </w:pPr>
  </w:style>
  <w:style w:type="paragraph" w:styleId="8">
    <w:name w:val="annotation text"/>
    <w:basedOn w:val="1"/>
    <w:semiHidden/>
    <w:unhideWhenUsed/>
    <w:qFormat/>
    <w:uiPriority w:val="99"/>
    <w:pPr>
      <w:jc w:val="left"/>
    </w:pPr>
  </w:style>
  <w:style w:type="paragraph" w:styleId="9">
    <w:name w:val="footer"/>
    <w:basedOn w:val="1"/>
    <w:link w:val="1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5">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6">
    <w:name w:val="页眉 Char"/>
    <w:basedOn w:val="14"/>
    <w:link w:val="10"/>
    <w:semiHidden/>
    <w:qFormat/>
    <w:uiPriority w:val="99"/>
    <w:rPr>
      <w:sz w:val="18"/>
      <w:szCs w:val="18"/>
    </w:rPr>
  </w:style>
  <w:style w:type="character" w:customStyle="1" w:styleId="17">
    <w:name w:val="页脚 Char"/>
    <w:basedOn w:val="14"/>
    <w:link w:val="9"/>
    <w:semiHidden/>
    <w:qFormat/>
    <w:uiPriority w:val="99"/>
    <w:rPr>
      <w:sz w:val="18"/>
      <w:szCs w:val="18"/>
    </w:rPr>
  </w:style>
  <w:style w:type="character" w:customStyle="1" w:styleId="18">
    <w:name w:val="标题 2 Char"/>
    <w:basedOn w:val="14"/>
    <w:link w:val="4"/>
    <w:qFormat/>
    <w:uiPriority w:val="0"/>
    <w:rPr>
      <w:rFonts w:ascii="宋体" w:hAnsi="宋体" w:eastAsia="宋体" w:cs="Times New Roman"/>
      <w:b/>
      <w:kern w:val="0"/>
      <w:sz w:val="24"/>
      <w:szCs w:val="20"/>
    </w:rPr>
  </w:style>
  <w:style w:type="character" w:customStyle="1" w:styleId="19">
    <w:name w:val="标题 4 Char"/>
    <w:basedOn w:val="14"/>
    <w:link w:val="6"/>
    <w:qFormat/>
    <w:uiPriority w:val="9"/>
    <w:rPr>
      <w:rFonts w:ascii="Cambria" w:hAnsi="Cambria" w:eastAsia="宋体" w:cs="Times New Roman"/>
      <w:b/>
      <w:bCs/>
      <w:sz w:val="28"/>
      <w:szCs w:val="28"/>
    </w:rPr>
  </w:style>
  <w:style w:type="character" w:customStyle="1" w:styleId="20">
    <w:name w:val="标题 3 Char"/>
    <w:basedOn w:val="14"/>
    <w:link w:val="5"/>
    <w:semiHidden/>
    <w:qFormat/>
    <w:uiPriority w:val="9"/>
    <w:rPr>
      <w:rFonts w:ascii="Calibri" w:hAnsi="Calibri" w:eastAsia="宋体" w:cs="Times New Roman"/>
      <w:b/>
      <w:bCs/>
      <w:sz w:val="32"/>
      <w:szCs w:val="32"/>
    </w:rPr>
  </w:style>
  <w:style w:type="paragraph" w:styleId="21">
    <w:name w:val="List Paragraph"/>
    <w:basedOn w:val="1"/>
    <w:qFormat/>
    <w:uiPriority w:val="34"/>
    <w:pPr>
      <w:ind w:firstLine="420" w:firstLineChars="200"/>
    </w:pPr>
  </w:style>
  <w:style w:type="character" w:customStyle="1" w:styleId="22">
    <w:name w:val="标题 1 字符"/>
    <w:link w:val="3"/>
    <w:qFormat/>
    <w:uiPriority w:val="9"/>
    <w:rPr>
      <w:bCs/>
      <w:kern w:val="44"/>
      <w:sz w:val="36"/>
      <w:szCs w:val="44"/>
    </w:rPr>
  </w:style>
  <w:style w:type="paragraph" w:customStyle="1" w:styleId="23">
    <w:name w:val="表格文字"/>
    <w:basedOn w:val="1"/>
    <w:unhideWhenUsed/>
    <w:qFormat/>
    <w:uiPriority w:val="0"/>
    <w:pPr>
      <w:jc w:val="left"/>
    </w:pPr>
    <w:rPr>
      <w:rFonts w:ascii="Calibri" w:hAnsi="Calibri"/>
      <w:spacing w:val="1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425</Words>
  <Characters>2425</Characters>
  <Lines>20</Lines>
  <Paragraphs>5</Paragraphs>
  <TotalTime>0</TotalTime>
  <ScaleCrop>false</ScaleCrop>
  <LinksUpToDate>false</LinksUpToDate>
  <CharactersWithSpaces>2845</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2019-04-08T07:10:00Z</dcterms:created>
  <dc:creator>admin</dc:creator>
  <cp:lastModifiedBy>FMH</cp:lastModifiedBy>
  <cp:lastPrinted>2019-10-16T01:51:00Z</cp:lastPrinted>
  <dcterms:modified xsi:type="dcterms:W3CDTF">2022-03-14T09:27:10Z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558432EE0E9B426ABA51F6ECAEBAFF01</vt:lpwstr>
  </property>
</Properties>
</file>