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1"/>
          <w:numId w:val="0"/>
        </w:numPr>
        <w:ind w:leftChars="0"/>
        <w:jc w:val="both"/>
        <w:rPr>
          <w:rFonts w:hint="eastAsia" w:ascii="宋体" w:hAnsi="宋体" w:eastAsia="宋体" w:cs="宋体"/>
          <w:i/>
          <w:iCs/>
          <w:color w:val="auto"/>
          <w:sz w:val="24"/>
          <w:szCs w:val="24"/>
          <w:highlight w:val="none"/>
          <w:shd w:val="clear" w:color="FFFFFF" w:fill="D9D9D9"/>
          <w:lang w:val="en-US" w:eastAsia="zh-CN"/>
        </w:rPr>
      </w:pPr>
      <w:bookmarkStart w:id="0" w:name="_Toc22094"/>
      <w:bookmarkStart w:id="1" w:name="_Toc4664136"/>
      <w:r>
        <w:rPr>
          <w:rFonts w:hint="eastAsia" w:ascii="宋体" w:hAnsi="宋体" w:eastAsia="宋体" w:cs="宋体"/>
          <w:i/>
          <w:iCs/>
          <w:color w:val="auto"/>
          <w:sz w:val="24"/>
          <w:szCs w:val="24"/>
          <w:highlight w:val="none"/>
          <w:shd w:val="clear" w:color="FFFFFF" w:fill="D9D9D9"/>
          <w:lang w:eastAsia="zh-CN"/>
        </w:rPr>
        <w:t>附件</w:t>
      </w:r>
      <w:r>
        <w:rPr>
          <w:rFonts w:hint="eastAsia" w:ascii="宋体" w:hAnsi="宋体" w:eastAsia="宋体" w:cs="宋体"/>
          <w:i/>
          <w:iCs/>
          <w:color w:val="auto"/>
          <w:sz w:val="24"/>
          <w:szCs w:val="24"/>
          <w:highlight w:val="none"/>
          <w:shd w:val="clear" w:color="FFFFFF" w:fill="D9D9D9"/>
          <w:lang w:val="en-US" w:eastAsia="zh-CN"/>
        </w:rPr>
        <w:t>:投标文件模板</w:t>
      </w:r>
    </w:p>
    <w:bookmarkEnd w:id="0"/>
    <w:bookmarkEnd w:id="1"/>
    <w:p>
      <w:pPr>
        <w:spacing w:line="360" w:lineRule="auto"/>
        <w:rPr>
          <w:rFonts w:hint="eastAsia" w:ascii="宋体" w:hAnsi="宋体" w:eastAsia="宋体" w:cs="宋体"/>
          <w:sz w:val="24"/>
          <w:szCs w:val="24"/>
        </w:rPr>
      </w:pPr>
    </w:p>
    <w:p>
      <w:pPr>
        <w:rPr>
          <w:rFonts w:hint="eastAsia" w:ascii="微软雅黑" w:hAnsi="微软雅黑" w:eastAsia="微软雅黑" w:cs="微软雅黑"/>
          <w:b/>
          <w:bCs/>
          <w:sz w:val="28"/>
          <w:lang w:val="en-US" w:eastAsia="zh-CN"/>
        </w:rPr>
      </w:pPr>
      <w:r>
        <w:rPr>
          <w:rFonts w:hint="eastAsia" w:ascii="微软雅黑" w:hAnsi="微软雅黑" w:eastAsia="微软雅黑" w:cs="微软雅黑"/>
          <w:b/>
          <w:bCs/>
          <w:sz w:val="28"/>
          <w:lang w:val="en-US" w:eastAsia="zh-CN"/>
        </w:rPr>
        <w:t>一、法定代表人资格证明书</w:t>
      </w:r>
    </w:p>
    <w:p>
      <w:pPr>
        <w:pStyle w:val="2"/>
        <w:numPr>
          <w:ilvl w:val="0"/>
          <w:numId w:val="0"/>
        </w:numPr>
        <w:spacing w:line="360" w:lineRule="auto"/>
        <w:jc w:val="left"/>
        <w:rPr>
          <w:rFonts w:hint="eastAsia" w:ascii="宋体" w:hAnsi="宋体" w:eastAsia="宋体" w:cs="宋体"/>
          <w:b/>
          <w:bCs/>
          <w:sz w:val="24"/>
          <w:szCs w:val="24"/>
          <w:lang w:val="en-US" w:eastAsia="zh-CN"/>
        </w:rPr>
      </w:pPr>
    </w:p>
    <w:p>
      <w:pPr>
        <w:pStyle w:val="2"/>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单位名称：</w:t>
      </w:r>
    </w:p>
    <w:p>
      <w:pPr>
        <w:pStyle w:val="2"/>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地    址：</w:t>
      </w:r>
    </w:p>
    <w:p>
      <w:pPr>
        <w:pStyle w:val="2"/>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姓    名：</w:t>
      </w:r>
    </w:p>
    <w:p>
      <w:pPr>
        <w:pStyle w:val="2"/>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性    别：</w:t>
      </w:r>
    </w:p>
    <w:p>
      <w:pPr>
        <w:pStyle w:val="2"/>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年    龄：</w:t>
      </w:r>
    </w:p>
    <w:p>
      <w:pPr>
        <w:pStyle w:val="2"/>
        <w:spacing w:line="360" w:lineRule="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职    务：</w:t>
      </w:r>
    </w:p>
    <w:p>
      <w:pPr>
        <w:pStyle w:val="2"/>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4"/>
          <w:szCs w:val="24"/>
          <w:u w:val="single"/>
          <w:lang w:val="en-US" w:eastAsia="zh-CN"/>
        </w:rPr>
        <w:t xml:space="preserve">     （姓名、职务）      </w:t>
      </w:r>
      <w:r>
        <w:rPr>
          <w:rFonts w:hint="eastAsia" w:ascii="宋体" w:hAnsi="宋体" w:eastAsia="宋体" w:cs="宋体"/>
          <w:b w:val="0"/>
          <w:bCs w:val="0"/>
          <w:sz w:val="24"/>
          <w:szCs w:val="24"/>
          <w:lang w:val="en-US" w:eastAsia="zh-CN"/>
        </w:rPr>
        <w:t>系</w:t>
      </w:r>
      <w:r>
        <w:rPr>
          <w:rFonts w:hint="eastAsia" w:ascii="宋体" w:hAnsi="宋体" w:eastAsia="宋体" w:cs="宋体"/>
          <w:b w:val="0"/>
          <w:bCs w:val="0"/>
          <w:sz w:val="24"/>
          <w:szCs w:val="24"/>
          <w:u w:val="single"/>
          <w:lang w:val="en-US" w:eastAsia="zh-CN"/>
        </w:rPr>
        <w:t xml:space="preserve">    （公司名称全称）    </w:t>
      </w:r>
      <w:r>
        <w:rPr>
          <w:rFonts w:hint="eastAsia" w:ascii="宋体" w:hAnsi="宋体" w:eastAsia="宋体" w:cs="宋体"/>
          <w:b w:val="0"/>
          <w:bCs w:val="0"/>
          <w:sz w:val="24"/>
          <w:szCs w:val="24"/>
          <w:lang w:val="en-US" w:eastAsia="zh-CN"/>
        </w:rPr>
        <w:t>的法定代表人。为</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4"/>
          <w:szCs w:val="24"/>
          <w:u w:val="single"/>
          <w:lang w:val="en-US" w:eastAsia="zh-CN"/>
        </w:rPr>
        <w:t xml:space="preserve">     项目名称      </w:t>
      </w:r>
      <w:r>
        <w:rPr>
          <w:rFonts w:hint="eastAsia" w:ascii="宋体" w:hAnsi="宋体" w:eastAsia="宋体" w:cs="宋体"/>
          <w:b w:val="0"/>
          <w:bCs w:val="0"/>
          <w:sz w:val="24"/>
          <w:szCs w:val="24"/>
          <w:lang w:val="en-US" w:eastAsia="zh-CN"/>
        </w:rPr>
        <w:t>的项目，签署上述项目的投标文件、进行合同投标、签署合同和处理与之有关的一切事务。</w:t>
      </w:r>
    </w:p>
    <w:p>
      <w:pPr>
        <w:pStyle w:val="2"/>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特此证明。</w:t>
      </w:r>
    </w:p>
    <w:p>
      <w:pPr>
        <w:pStyle w:val="2"/>
        <w:spacing w:line="360" w:lineRule="auto"/>
        <w:rPr>
          <w:rFonts w:hint="eastAsia" w:ascii="宋体" w:hAnsi="宋体" w:eastAsia="宋体" w:cs="宋体"/>
          <w:b w:val="0"/>
          <w:bCs w:val="0"/>
          <w:sz w:val="24"/>
          <w:szCs w:val="24"/>
          <w:lang w:val="en-US" w:eastAsia="zh-CN"/>
        </w:rPr>
      </w:pPr>
    </w:p>
    <w:p>
      <w:pPr>
        <w:pStyle w:val="2"/>
        <w:wordWrap w:val="0"/>
        <w:spacing w:line="360" w:lineRule="auto"/>
        <w:jc w:val="righ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供应商（盖章）：                </w:t>
      </w:r>
    </w:p>
    <w:p>
      <w:pPr>
        <w:pStyle w:val="2"/>
        <w:spacing w:line="360" w:lineRule="auto"/>
        <w:jc w:val="righ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日  期：   年    月   日</w:t>
      </w:r>
    </w:p>
    <w:p>
      <w:pPr>
        <w:pStyle w:val="2"/>
        <w:spacing w:line="360" w:lineRule="auto"/>
        <w:rPr>
          <w:rFonts w:hint="eastAsia" w:ascii="宋体" w:hAnsi="宋体" w:eastAsia="宋体" w:cs="宋体"/>
          <w:b w:val="0"/>
          <w:bCs w:val="0"/>
          <w:sz w:val="24"/>
          <w:szCs w:val="24"/>
          <w:lang w:val="en-US" w:eastAsia="zh-CN"/>
        </w:rPr>
      </w:pPr>
    </w:p>
    <w:p>
      <w:pPr>
        <w:pStyle w:val="2"/>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-336550</wp:posOffset>
                </wp:positionH>
                <wp:positionV relativeFrom="paragraph">
                  <wp:posOffset>85725</wp:posOffset>
                </wp:positionV>
                <wp:extent cx="3310890" cy="1732280"/>
                <wp:effectExtent l="4445" t="4445" r="18415" b="1587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反面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5pt;margin-top:6.75pt;height:136.4pt;width:260.7pt;z-index:251659264;mso-width-relative:page;mso-height-relative:page;" fillcolor="#FFFFFF" filled="t" stroked="t" coordsize="21600,21600" o:gfxdata="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&#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83yXNgAAAAKAQAADwAAAAAAAAABACAAAAAiAAAA&#10;ZHJzL2Rvd25yZXYueG1sUEsBAhQAFAAAAAgAh07iQJnNov1AAgAAiQQAAA4AAAAAAAAAAQAgAAAA&#10;JwEAAGRycy9lMm9Eb2MueG1sUEsFBgAAAAAGAAYAWQEAANkFAAAAAA==&#10;">
                <v:fill on="t" focussize="0,0"/>
                <v:stroke color="#000000" miterlimit="8" joinstyle="miter"/>
                <v:imagedata o:title=""/>
                <o:lock v:ext="edit" aspectratio="f"/>
                <v:textbo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反面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v:textbox>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3131820</wp:posOffset>
                </wp:positionH>
                <wp:positionV relativeFrom="paragraph">
                  <wp:posOffset>78740</wp:posOffset>
                </wp:positionV>
                <wp:extent cx="3310890" cy="1732280"/>
                <wp:effectExtent l="4445" t="4445" r="18415" b="15875"/>
                <wp:wrapNone/>
                <wp:docPr id="1" name="矩形 6"/>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正面面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46.6pt;margin-top:6.2pt;height:136.4pt;width:260.7pt;z-index:251660288;mso-width-relative:page;mso-height-relative:page;" fillcolor="#FFFFFF" filled="t" stroked="t" coordsize="21600,21600" o:gfxdata="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rilijZAAAACwEAAA8AAAAAAAAAAQAgAAAAIgAA&#10;AGRycy9kb3ducmV2LnhtbFBLAQIUABQAAAAIAIdO4kCgXCFjQAIAAIkEAAAOAAAAAAAAAAEAIAAA&#10;ACgBAABkcnMvZTJvRG9jLnhtbFBLBQYAAAAABgAGAFkBAADaBQAAAAA=&#10;">
                <v:fill on="t" focussize="0,0"/>
                <v:stroke color="#000000" miterlimit="8" joinstyle="miter"/>
                <v:imagedata o:title=""/>
                <o:lock v:ext="edit" aspectratio="f"/>
                <v:textbo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正面面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v:textbox>
              </v:rect>
            </w:pict>
          </mc:Fallback>
        </mc:AlternateContent>
      </w:r>
    </w:p>
    <w:p>
      <w:pPr>
        <w:pStyle w:val="2"/>
        <w:spacing w:line="360" w:lineRule="auto"/>
        <w:rPr>
          <w:rFonts w:hint="eastAsia" w:ascii="宋体" w:hAnsi="宋体" w:eastAsia="宋体" w:cs="宋体"/>
          <w:b/>
          <w:bCs/>
          <w:sz w:val="24"/>
          <w:szCs w:val="24"/>
          <w:lang w:val="en-US" w:eastAsia="zh-CN"/>
        </w:rPr>
      </w:pPr>
    </w:p>
    <w:p>
      <w:pPr>
        <w:pStyle w:val="2"/>
        <w:spacing w:line="360" w:lineRule="auto"/>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br w:type="page"/>
      </w:r>
    </w:p>
    <w:p>
      <w:pPr>
        <w:rPr>
          <w:rFonts w:hint="eastAsia" w:ascii="微软雅黑" w:hAnsi="微软雅黑" w:eastAsia="微软雅黑" w:cs="微软雅黑"/>
          <w:b/>
          <w:bCs/>
          <w:sz w:val="28"/>
          <w:lang w:val="en-US" w:eastAsia="zh-CN"/>
        </w:rPr>
      </w:pPr>
      <w:r>
        <w:rPr>
          <w:rFonts w:hint="eastAsia" w:ascii="微软雅黑" w:hAnsi="微软雅黑" w:eastAsia="微软雅黑" w:cs="微软雅黑"/>
          <w:b/>
          <w:bCs/>
          <w:sz w:val="28"/>
          <w:lang w:val="en-US" w:eastAsia="zh-CN"/>
        </w:rPr>
        <w:t>二、法定代表人授权书</w:t>
      </w:r>
    </w:p>
    <w:p>
      <w:pPr>
        <w:pStyle w:val="2"/>
        <w:spacing w:line="360" w:lineRule="auto"/>
        <w:jc w:val="center"/>
        <w:rPr>
          <w:rFonts w:hint="eastAsia" w:ascii="宋体" w:hAnsi="宋体" w:eastAsia="宋体" w:cs="宋体"/>
          <w:sz w:val="24"/>
          <w:szCs w:val="24"/>
        </w:rPr>
      </w:pPr>
    </w:p>
    <w:p>
      <w:pPr>
        <w:pStyle w:val="2"/>
        <w:spacing w:line="360" w:lineRule="auto"/>
        <w:jc w:val="center"/>
        <w:rPr>
          <w:rFonts w:hint="eastAsia" w:ascii="宋体" w:hAnsi="宋体" w:eastAsia="宋体" w:cs="宋体"/>
          <w:sz w:val="24"/>
          <w:szCs w:val="24"/>
        </w:rPr>
      </w:pPr>
    </w:p>
    <w:p>
      <w:pPr>
        <w:snapToGrid w:val="0"/>
        <w:spacing w:line="360" w:lineRule="auto"/>
        <w:ind w:firstLine="584"/>
        <w:jc w:val="left"/>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（公司地址）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（公司名称）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（法定代表人姓名）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代表本公司授权</w:t>
      </w:r>
      <w:r>
        <w:rPr>
          <w:rFonts w:hint="eastAsia" w:ascii="宋体" w:hAnsi="宋体" w:eastAsia="宋体" w:cs="宋体"/>
          <w:sz w:val="24"/>
          <w:szCs w:val="24"/>
          <w:u w:val="single"/>
        </w:rPr>
        <w:t xml:space="preserve">    （被授权人姓名、身份证号码）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为本公司的唯一合法代理人，就本公司投标的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（设备仪器名称）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在中山大学附属第七医院进行投标。并在整个招标采购活动中，以本公司名义全权处理包括报名、提交</w:t>
      </w:r>
      <w:r>
        <w:rPr>
          <w:rFonts w:hint="eastAsia" w:ascii="宋体" w:hAnsi="宋体" w:eastAsia="宋体" w:cs="宋体"/>
          <w:sz w:val="24"/>
          <w:szCs w:val="24"/>
          <w:lang w:eastAsia="zh-CN"/>
        </w:rPr>
        <w:t>调研及</w:t>
      </w:r>
      <w:r>
        <w:rPr>
          <w:rFonts w:hint="eastAsia" w:ascii="宋体" w:hAnsi="宋体" w:eastAsia="宋体" w:cs="宋体"/>
          <w:sz w:val="24"/>
          <w:szCs w:val="24"/>
        </w:rPr>
        <w:t>投标文件和产品资质材料，确认</w:t>
      </w:r>
      <w:r>
        <w:rPr>
          <w:rFonts w:hint="eastAsia" w:ascii="宋体" w:hAnsi="宋体" w:eastAsia="宋体" w:cs="宋体"/>
          <w:sz w:val="24"/>
          <w:szCs w:val="24"/>
          <w:lang w:eastAsia="zh-CN"/>
        </w:rPr>
        <w:t>调研及</w:t>
      </w:r>
      <w:r>
        <w:rPr>
          <w:rFonts w:hint="eastAsia" w:ascii="宋体" w:hAnsi="宋体" w:eastAsia="宋体" w:cs="宋体"/>
          <w:sz w:val="24"/>
          <w:szCs w:val="24"/>
        </w:rPr>
        <w:t>投标相关信息，</w:t>
      </w:r>
      <w:r>
        <w:rPr>
          <w:rFonts w:hint="eastAsia" w:ascii="宋体" w:hAnsi="宋体" w:eastAsia="宋体" w:cs="宋体"/>
          <w:sz w:val="24"/>
          <w:szCs w:val="24"/>
          <w:lang w:eastAsia="zh-CN"/>
        </w:rPr>
        <w:t>调研及</w:t>
      </w:r>
      <w:r>
        <w:rPr>
          <w:rFonts w:hint="eastAsia" w:ascii="宋体" w:hAnsi="宋体" w:eastAsia="宋体" w:cs="宋体"/>
          <w:sz w:val="24"/>
          <w:szCs w:val="24"/>
        </w:rPr>
        <w:t>投标产品报价、议价，签订购销合同，执行和完成采购周期内的售后服务等一切与之有关的事务，并保证所提供的</w:t>
      </w:r>
      <w:r>
        <w:rPr>
          <w:rFonts w:hint="eastAsia" w:ascii="宋体" w:hAnsi="宋体" w:eastAsia="宋体" w:cs="宋体"/>
          <w:sz w:val="24"/>
          <w:szCs w:val="24"/>
          <w:lang w:eastAsia="zh-CN"/>
        </w:rPr>
        <w:t>所有</w:t>
      </w:r>
      <w:r>
        <w:rPr>
          <w:rFonts w:hint="eastAsia" w:ascii="宋体" w:hAnsi="宋体" w:eastAsia="宋体" w:cs="宋体"/>
          <w:sz w:val="24"/>
          <w:szCs w:val="24"/>
        </w:rPr>
        <w:t>材料真实、合法、完整。</w:t>
      </w:r>
    </w:p>
    <w:p>
      <w:pPr>
        <w:snapToGrid w:val="0"/>
        <w:spacing w:line="360" w:lineRule="auto"/>
        <w:ind w:left="420" w:firstLine="420" w:firstLineChars="0"/>
        <w:jc w:val="left"/>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p>
      <w:pPr>
        <w:spacing w:line="360" w:lineRule="auto"/>
        <w:ind w:left="420" w:firstLine="420" w:firstLineChars="0"/>
        <w:jc w:val="left"/>
        <w:rPr>
          <w:rFonts w:hint="eastAsia" w:ascii="宋体" w:hAnsi="宋体" w:eastAsia="宋体" w:cs="宋体"/>
          <w:sz w:val="24"/>
          <w:szCs w:val="24"/>
        </w:rPr>
      </w:pPr>
      <w:r>
        <w:rPr>
          <w:rFonts w:hint="eastAsia" w:ascii="宋体" w:hAnsi="宋体" w:eastAsia="宋体" w:cs="宋体"/>
          <w:sz w:val="24"/>
          <w:szCs w:val="24"/>
        </w:rPr>
        <w:t>授权期限为：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月起至本次招标采购期结束。授权期限内无特殊情况不得变更合法代理人（被授权人）。</w:t>
      </w:r>
    </w:p>
    <w:p>
      <w:pPr>
        <w:wordWrap w:val="0"/>
        <w:snapToGrid w:val="0"/>
        <w:spacing w:line="360" w:lineRule="auto"/>
        <w:ind w:firstLine="480" w:firstLineChars="200"/>
        <w:jc w:val="right"/>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法定代表人签字和盖章</w:t>
      </w:r>
      <w:r>
        <w:rPr>
          <w:rFonts w:hint="eastAsia" w:ascii="宋体" w:hAnsi="宋体" w:eastAsia="宋体" w:cs="宋体"/>
          <w:sz w:val="24"/>
          <w:szCs w:val="24"/>
          <w:lang w:val="en-US" w:eastAsia="zh-CN"/>
        </w:rPr>
        <w:t xml:space="preserve">:               </w:t>
      </w:r>
    </w:p>
    <w:p>
      <w:pPr>
        <w:wordWrap w:val="0"/>
        <w:snapToGrid w:val="0"/>
        <w:spacing w:line="360" w:lineRule="auto"/>
        <w:ind w:firstLine="480" w:firstLineChars="200"/>
        <w:jc w:val="right"/>
        <w:rPr>
          <w:rFonts w:hint="default" w:ascii="宋体" w:hAnsi="宋体" w:eastAsia="宋体" w:cs="宋体"/>
          <w:sz w:val="24"/>
          <w:szCs w:val="24"/>
          <w:u w:val="single"/>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               </w:t>
      </w:r>
    </w:p>
    <w:p>
      <w:pPr>
        <w:wordWrap w:val="0"/>
        <w:snapToGrid w:val="0"/>
        <w:spacing w:line="360" w:lineRule="auto"/>
        <w:ind w:firstLine="480" w:firstLineChars="200"/>
        <w:jc w:val="right"/>
        <w:rPr>
          <w:rFonts w:hint="default" w:ascii="宋体" w:hAnsi="宋体" w:eastAsia="宋体" w:cs="宋体"/>
          <w:sz w:val="24"/>
          <w:szCs w:val="24"/>
          <w:u w:val="single"/>
          <w:lang w:val="en-US" w:eastAsia="zh-CN"/>
        </w:rPr>
      </w:pPr>
      <w:r>
        <w:rPr>
          <w:rFonts w:hint="eastAsia" w:ascii="宋体" w:hAnsi="宋体" w:eastAsia="宋体" w:cs="宋体"/>
          <w:sz w:val="24"/>
          <w:szCs w:val="24"/>
        </w:rPr>
        <w:t>授权单位名称和盖章</w:t>
      </w:r>
      <w:r>
        <w:rPr>
          <w:rFonts w:hint="eastAsia" w:ascii="宋体" w:hAnsi="宋体" w:eastAsia="宋体" w:cs="宋体"/>
          <w:sz w:val="24"/>
          <w:szCs w:val="24"/>
          <w:lang w:val="en-US" w:eastAsia="zh-CN"/>
        </w:rPr>
        <w:t xml:space="preserve">:               </w:t>
      </w:r>
    </w:p>
    <w:p>
      <w:pPr>
        <w:wordWrap w:val="0"/>
        <w:snapToGrid w:val="0"/>
        <w:spacing w:line="360" w:lineRule="auto"/>
        <w:ind w:firstLine="480" w:firstLineChars="200"/>
        <w:jc w:val="right"/>
        <w:rPr>
          <w:rFonts w:hint="default" w:ascii="宋体" w:hAnsi="宋体" w:eastAsia="宋体" w:cs="宋体"/>
          <w:sz w:val="24"/>
          <w:szCs w:val="24"/>
          <w:u w:val="single"/>
          <w:lang w:val="en-US" w:eastAsia="zh-CN"/>
        </w:rPr>
      </w:pPr>
      <w:r>
        <w:rPr>
          <w:rFonts w:hint="eastAsia" w:ascii="宋体" w:hAnsi="宋体" w:eastAsia="宋体" w:cs="宋体"/>
          <w:sz w:val="24"/>
          <w:szCs w:val="24"/>
        </w:rPr>
        <w:t>被授权人签字或盖章</w:t>
      </w:r>
      <w:r>
        <w:rPr>
          <w:rFonts w:hint="eastAsia" w:ascii="宋体" w:hAnsi="宋体" w:eastAsia="宋体" w:cs="宋体"/>
          <w:sz w:val="24"/>
          <w:szCs w:val="24"/>
          <w:lang w:val="en-US" w:eastAsia="zh-CN"/>
        </w:rPr>
        <w:t xml:space="preserve">:               </w:t>
      </w:r>
    </w:p>
    <w:p>
      <w:pPr>
        <w:pStyle w:val="2"/>
        <w:wordWrap w:val="0"/>
        <w:spacing w:line="360" w:lineRule="auto"/>
        <w:jc w:val="righ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供应商（盖章）：           </w:t>
      </w:r>
    </w:p>
    <w:p>
      <w:pPr>
        <w:tabs>
          <w:tab w:val="left" w:pos="4860"/>
          <w:tab w:val="left" w:pos="5400"/>
          <w:tab w:val="left" w:pos="5580"/>
        </w:tabs>
        <w:wordWrap/>
        <w:spacing w:line="360" w:lineRule="auto"/>
        <w:ind w:left="0"/>
        <w:jc w:val="right"/>
        <w:rPr>
          <w:rFonts w:hint="eastAsia" w:ascii="宋体" w:hAnsi="宋体" w:eastAsia="宋体" w:cs="宋体"/>
          <w:b/>
          <w:bCs/>
          <w:sz w:val="24"/>
          <w:szCs w:val="24"/>
          <w:lang w:val="en-US"/>
        </w:rPr>
      </w:pPr>
      <w:r>
        <w:rPr>
          <w:rFonts w:hint="eastAsia" w:ascii="宋体" w:hAnsi="宋体" w:eastAsia="宋体" w:cs="宋体"/>
          <w:b w:val="0"/>
          <w:bCs w:val="0"/>
          <w:sz w:val="24"/>
          <w:szCs w:val="24"/>
          <w:lang w:val="en-US" w:eastAsia="zh-CN"/>
        </w:rPr>
        <w:t>日  期：   年    月   日</w:t>
      </w:r>
    </w:p>
    <w:p>
      <w:pPr>
        <w:spacing w:line="360" w:lineRule="auto"/>
        <w:ind w:firstLine="720" w:firstLineChars="300"/>
        <w:rPr>
          <w:rFonts w:hint="eastAsia" w:ascii="宋体" w:hAnsi="宋体" w:eastAsia="宋体" w:cs="宋体"/>
          <w:bCs/>
          <w:color w:val="auto"/>
          <w:sz w:val="24"/>
          <w:szCs w:val="24"/>
          <w:highlight w:val="none"/>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-219710</wp:posOffset>
                </wp:positionH>
                <wp:positionV relativeFrom="paragraph">
                  <wp:posOffset>793750</wp:posOffset>
                </wp:positionV>
                <wp:extent cx="3310890" cy="1732280"/>
                <wp:effectExtent l="4445" t="4445" r="18415" b="15875"/>
                <wp:wrapNone/>
                <wp:docPr id="2" name="矩形 6"/>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反面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17.3pt;margin-top:62.5pt;height:136.4pt;width:260.7pt;z-index:251661312;mso-width-relative:page;mso-height-relative:page;" fillcolor="#FFFFFF" filled="t" stroked="t" coordsize="21600,21600" o:gfxdata="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YP5aDZAAAACwEAAA8AAAAAAAAAAQAgAAAAIgAA&#10;AGRycy9kb3ducmV2LnhtbFBLAQIUABQAAAAIAIdO4kDVuns1QAIAAIkEAAAOAAAAAAAAAAEAIAAA&#10;ACgBAABkcnMvZTJvRG9jLnhtbFBLBQYAAAAABgAGAFkBAADaBQAAAAA=&#10;">
                <v:fill on="t" focussize="0,0"/>
                <v:stroke color="#000000" miterlimit="8" joinstyle="miter"/>
                <v:imagedata o:title=""/>
                <o:lock v:ext="edit" aspectratio="f"/>
                <v:textbo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反面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v:textbox>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3216275</wp:posOffset>
                </wp:positionH>
                <wp:positionV relativeFrom="paragraph">
                  <wp:posOffset>829310</wp:posOffset>
                </wp:positionV>
                <wp:extent cx="3310890" cy="1732280"/>
                <wp:effectExtent l="4445" t="4445" r="18415" b="15875"/>
                <wp:wrapNone/>
                <wp:docPr id="3" name="矩形 6"/>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正面面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53.25pt;margin-top:65.3pt;height:136.4pt;width:260.7pt;z-index:251662336;mso-width-relative:page;mso-height-relative:page;" fillcolor="#FFFFFF" filled="t" stroked="t" coordsize="21600,21600" o:gfxdata="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3v/jHZAAAADAEAAA8AAAAAAAAAAQAgAAAAIgAA&#10;AGRycy9kb3ducmV2LnhtbFBLAQIUABQAAAAIAIdO4kAG500HQAIAAIkEAAAOAAAAAAAAAAEAIAAA&#10;ACgBAABkcnMvZTJvRG9jLnhtbFBLBQYAAAAABgAGAFkBAADaBQAAAAA=&#10;">
                <v:fill on="t" focussize="0,0"/>
                <v:stroke color="#000000" miterlimit="8" joinstyle="miter"/>
                <v:imagedata o:title=""/>
                <o:lock v:ext="edit" aspectratio="f"/>
                <v:textbo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正面面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v:textbox>
              </v:rect>
            </w:pict>
          </mc:Fallback>
        </mc:AlternateContent>
      </w:r>
      <w:r>
        <w:rPr>
          <w:rFonts w:hint="eastAsia" w:ascii="宋体" w:hAnsi="宋体" w:eastAsia="宋体" w:cs="宋体"/>
          <w:b/>
          <w:bCs/>
          <w:sz w:val="24"/>
          <w:szCs w:val="24"/>
        </w:rPr>
        <w:br w:type="page"/>
      </w:r>
    </w:p>
    <w:p>
      <w:pPr>
        <w:rPr>
          <w:rFonts w:hint="eastAsia" w:ascii="微软雅黑" w:hAnsi="微软雅黑" w:eastAsia="微软雅黑" w:cs="微软雅黑"/>
          <w:b/>
          <w:bCs/>
          <w:sz w:val="28"/>
          <w:lang w:val="en-US" w:eastAsia="zh-CN"/>
        </w:rPr>
      </w:pPr>
      <w:r>
        <w:rPr>
          <w:rFonts w:hint="eastAsia" w:ascii="微软雅黑" w:hAnsi="微软雅黑" w:eastAsia="微软雅黑" w:cs="微软雅黑"/>
          <w:b/>
          <w:bCs/>
          <w:sz w:val="28"/>
          <w:lang w:val="en-US" w:eastAsia="zh-CN"/>
        </w:rPr>
        <w:t>三、</w:t>
      </w:r>
      <w:r>
        <w:rPr>
          <w:rFonts w:hint="eastAsia" w:ascii="微软雅黑" w:hAnsi="微软雅黑" w:eastAsia="微软雅黑" w:cs="微软雅黑"/>
          <w:b/>
          <w:bCs/>
          <w:sz w:val="28"/>
          <w:lang w:eastAsia="zh-CN"/>
        </w:rPr>
        <w:t>投标人及上游所有环节企业</w:t>
      </w:r>
      <w:r>
        <w:rPr>
          <w:rFonts w:hint="eastAsia" w:ascii="微软雅黑" w:hAnsi="微软雅黑" w:eastAsia="微软雅黑" w:cs="微软雅黑"/>
          <w:b/>
          <w:bCs/>
          <w:sz w:val="28"/>
          <w:lang w:val="en-US" w:eastAsia="zh-CN"/>
        </w:rPr>
        <w:t>营业执照</w:t>
      </w:r>
    </w:p>
    <w:p>
      <w:pPr>
        <w:tabs>
          <w:tab w:val="left" w:pos="4860"/>
          <w:tab w:val="left" w:pos="5400"/>
          <w:tab w:val="left" w:pos="5580"/>
        </w:tabs>
        <w:ind w:left="0"/>
        <w:rPr>
          <w:rFonts w:hint="default" w:ascii="微软雅黑" w:hAnsi="微软雅黑" w:eastAsia="微软雅黑" w:cs="微软雅黑"/>
          <w:bCs/>
          <w:sz w:val="28"/>
          <w:lang w:val="en-US" w:eastAsia="zh-CN"/>
        </w:rPr>
      </w:pPr>
      <w:r>
        <w:rPr>
          <w:rFonts w:hint="eastAsia" w:ascii="微软雅黑" w:hAnsi="微软雅黑" w:eastAsia="微软雅黑" w:cs="微软雅黑"/>
          <w:b/>
          <w:bCs/>
          <w:sz w:val="28"/>
          <w:lang w:val="en-US" w:eastAsia="zh-CN"/>
        </w:rPr>
        <w:br w:type="page"/>
      </w:r>
      <w:r>
        <w:rPr>
          <w:rFonts w:hint="eastAsia" w:ascii="微软雅黑" w:hAnsi="微软雅黑" w:eastAsia="微软雅黑" w:cs="微软雅黑"/>
          <w:b/>
          <w:bCs/>
          <w:sz w:val="28"/>
          <w:lang w:val="en-US" w:eastAsia="zh-CN"/>
        </w:rPr>
        <w:t>四、</w:t>
      </w:r>
      <w:r>
        <w:rPr>
          <w:rFonts w:hint="eastAsia" w:ascii="微软雅黑" w:hAnsi="微软雅黑" w:eastAsia="微软雅黑" w:cs="微软雅黑"/>
          <w:b/>
          <w:bCs/>
          <w:sz w:val="28"/>
          <w:lang w:eastAsia="zh-CN"/>
        </w:rPr>
        <w:t>投标人及上游所有环节企业</w:t>
      </w:r>
      <w:r>
        <w:rPr>
          <w:rFonts w:hint="eastAsia" w:ascii="微软雅黑" w:hAnsi="微软雅黑" w:eastAsia="微软雅黑" w:cs="微软雅黑"/>
          <w:b/>
          <w:bCs/>
          <w:sz w:val="28"/>
          <w:lang w:val="en-US" w:eastAsia="zh-CN"/>
        </w:rPr>
        <w:t>《医疗器械经营许可证》、《医疗器械经营备案凭证》、《医疗器械生产许可证》、《医疗器械生产备案凭证》</w:t>
      </w:r>
    </w:p>
    <w:p>
      <w:pPr>
        <w:tabs>
          <w:tab w:val="left" w:pos="4860"/>
          <w:tab w:val="left" w:pos="5400"/>
          <w:tab w:val="left" w:pos="5580"/>
        </w:tabs>
        <w:ind w:left="0"/>
        <w:rPr>
          <w:rFonts w:hint="eastAsia" w:ascii="微软雅黑" w:hAnsi="微软雅黑" w:eastAsia="微软雅黑" w:cs="微软雅黑"/>
          <w:b/>
          <w:bCs w:val="0"/>
          <w:sz w:val="28"/>
          <w:lang w:val="en-US" w:eastAsia="zh-CN"/>
        </w:rPr>
      </w:pPr>
      <w:r>
        <w:rPr>
          <w:rFonts w:hint="eastAsia" w:ascii="微软雅黑" w:hAnsi="微软雅黑" w:eastAsia="微软雅黑" w:cs="微软雅黑"/>
          <w:bCs/>
          <w:sz w:val="28"/>
          <w:lang w:val="en-US" w:eastAsia="zh-CN"/>
        </w:rPr>
        <w:br w:type="page"/>
      </w:r>
      <w:r>
        <w:rPr>
          <w:rFonts w:hint="eastAsia" w:ascii="微软雅黑" w:hAnsi="微软雅黑" w:eastAsia="微软雅黑" w:cs="微软雅黑"/>
          <w:b/>
          <w:bCs w:val="0"/>
          <w:sz w:val="28"/>
          <w:lang w:val="en-US" w:eastAsia="zh-CN"/>
        </w:rPr>
        <w:t>五、授权书或代理证（进口产品必须提供）</w:t>
      </w:r>
    </w:p>
    <w:p>
      <w:pPr>
        <w:rPr>
          <w:rFonts w:hint="eastAsia" w:ascii="微软雅黑" w:hAnsi="微软雅黑" w:eastAsia="微软雅黑" w:cs="微软雅黑"/>
          <w:b/>
          <w:bCs w:val="0"/>
          <w:sz w:val="28"/>
          <w:lang w:val="en-US" w:eastAsia="zh-CN"/>
        </w:rPr>
      </w:pPr>
      <w:r>
        <w:rPr>
          <w:rFonts w:hint="eastAsia" w:ascii="微软雅黑" w:hAnsi="微软雅黑" w:eastAsia="微软雅黑" w:cs="微软雅黑"/>
          <w:b/>
          <w:bCs w:val="0"/>
          <w:sz w:val="28"/>
          <w:lang w:val="en-US" w:eastAsia="zh-CN"/>
        </w:rPr>
        <w:br w:type="page"/>
      </w:r>
    </w:p>
    <w:p>
      <w:pPr>
        <w:pStyle w:val="2"/>
        <w:numPr>
          <w:ilvl w:val="0"/>
          <w:numId w:val="2"/>
        </w:numPr>
        <w:rPr>
          <w:rFonts w:hint="eastAsia" w:ascii="微软雅黑" w:hAnsi="微软雅黑" w:eastAsia="微软雅黑" w:cs="微软雅黑"/>
          <w:b/>
          <w:bCs/>
          <w:sz w:val="28"/>
          <w:lang w:val="en-US" w:eastAsia="zh-CN"/>
        </w:rPr>
      </w:pPr>
      <w:r>
        <w:rPr>
          <w:rFonts w:hint="eastAsia" w:ascii="微软雅黑" w:hAnsi="微软雅黑" w:eastAsia="微软雅黑" w:cs="微软雅黑"/>
          <w:b/>
          <w:bCs/>
          <w:sz w:val="28"/>
          <w:lang w:val="en-US" w:eastAsia="zh-CN"/>
        </w:rPr>
        <w:t>消毒产品生产企业卫生许可证（消毒产品必须提供）</w:t>
      </w:r>
    </w:p>
    <w:p>
      <w:pPr>
        <w:rPr>
          <w:rFonts w:hint="eastAsia" w:ascii="微软雅黑" w:hAnsi="微软雅黑" w:eastAsia="微软雅黑" w:cs="微软雅黑"/>
          <w:b/>
          <w:bCs/>
          <w:sz w:val="28"/>
          <w:lang w:val="en-US" w:eastAsia="zh-CN"/>
        </w:rPr>
      </w:pPr>
      <w:r>
        <w:rPr>
          <w:rFonts w:hint="eastAsia" w:ascii="微软雅黑" w:hAnsi="微软雅黑" w:eastAsia="微软雅黑" w:cs="微软雅黑"/>
          <w:b/>
          <w:bCs/>
          <w:sz w:val="28"/>
          <w:lang w:val="en-US" w:eastAsia="zh-CN"/>
        </w:rPr>
        <w:br w:type="page"/>
      </w:r>
    </w:p>
    <w:p>
      <w:pPr>
        <w:pStyle w:val="2"/>
        <w:numPr>
          <w:ilvl w:val="0"/>
          <w:numId w:val="0"/>
        </w:numPr>
        <w:rPr>
          <w:rFonts w:hint="eastAsia" w:ascii="微软雅黑" w:hAnsi="微软雅黑" w:eastAsia="微软雅黑" w:cs="微软雅黑"/>
          <w:b/>
          <w:bCs/>
          <w:sz w:val="28"/>
          <w:lang w:val="en-US" w:eastAsia="zh-CN"/>
        </w:rPr>
      </w:pPr>
      <w:r>
        <w:rPr>
          <w:rFonts w:hint="eastAsia" w:ascii="微软雅黑" w:hAnsi="微软雅黑" w:eastAsia="微软雅黑" w:cs="微软雅黑"/>
          <w:b/>
          <w:bCs/>
          <w:sz w:val="28"/>
          <w:lang w:val="en-US" w:eastAsia="zh-CN"/>
        </w:rPr>
        <w:t>七、报价表</w:t>
      </w:r>
    </w:p>
    <w:tbl>
      <w:tblPr>
        <w:tblStyle w:val="6"/>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27"/>
        <w:gridCol w:w="1174"/>
        <w:gridCol w:w="589"/>
        <w:gridCol w:w="683"/>
        <w:gridCol w:w="1240"/>
        <w:gridCol w:w="1150"/>
        <w:gridCol w:w="2452"/>
        <w:gridCol w:w="911"/>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2695" w:type="pct"/>
            <w:gridSpan w:val="6"/>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招标人信息</w:t>
            </w:r>
          </w:p>
        </w:tc>
        <w:tc>
          <w:tcPr>
            <w:tcW w:w="2304" w:type="pct"/>
            <w:gridSpan w:val="3"/>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投标人报价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1" w:hRule="atLeast"/>
        </w:trPr>
        <w:tc>
          <w:tcPr>
            <w:tcW w:w="265"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序号</w:t>
            </w:r>
          </w:p>
        </w:tc>
        <w:tc>
          <w:tcPr>
            <w:tcW w:w="590"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品名</w:t>
            </w:r>
          </w:p>
        </w:tc>
        <w:tc>
          <w:tcPr>
            <w:tcW w:w="296"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eastAsia="zh-CN"/>
              </w:rPr>
              <w:t>单位</w:t>
            </w:r>
          </w:p>
        </w:tc>
        <w:tc>
          <w:tcPr>
            <w:tcW w:w="343"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eastAsia="zh-CN"/>
              </w:rPr>
              <w:t>数量</w:t>
            </w:r>
          </w:p>
        </w:tc>
        <w:tc>
          <w:tcPr>
            <w:tcW w:w="620"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参考单价</w:t>
            </w:r>
          </w:p>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（元）</w:t>
            </w:r>
          </w:p>
        </w:tc>
        <w:tc>
          <w:tcPr>
            <w:tcW w:w="578"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eastAsia="zh-CN"/>
              </w:rPr>
              <w:t>单项参考总价（元）</w:t>
            </w:r>
          </w:p>
        </w:tc>
        <w:tc>
          <w:tcPr>
            <w:tcW w:w="1232"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设备品牌及型号</w:t>
            </w:r>
          </w:p>
        </w:tc>
        <w:tc>
          <w:tcPr>
            <w:tcW w:w="458"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单价（元）</w:t>
            </w:r>
          </w:p>
        </w:tc>
        <w:tc>
          <w:tcPr>
            <w:tcW w:w="612"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单项总价（元）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5" w:type="pct"/>
            <w:shd w:val="clear" w:color="auto" w:fill="auto"/>
            <w:vAlign w:val="center"/>
          </w:tcPr>
          <w:p>
            <w:pPr>
              <w:widowControl/>
              <w:shd w:val="clear" w:color="auto" w:fill="FFFFFF"/>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590"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心电图机</w:t>
            </w:r>
          </w:p>
        </w:tc>
        <w:tc>
          <w:tcPr>
            <w:tcW w:w="296"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台</w:t>
            </w:r>
          </w:p>
        </w:tc>
        <w:tc>
          <w:tcPr>
            <w:tcW w:w="34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i w:val="0"/>
                <w:color w:val="000000"/>
                <w:kern w:val="0"/>
                <w:sz w:val="21"/>
                <w:szCs w:val="21"/>
                <w:highlight w:val="none"/>
                <w:u w:val="none"/>
                <w:lang w:val="en-US" w:eastAsia="zh-CN" w:bidi="ar"/>
              </w:rPr>
              <w:t>1</w:t>
            </w:r>
          </w:p>
        </w:tc>
        <w:tc>
          <w:tcPr>
            <w:tcW w:w="620" w:type="pct"/>
            <w:shd w:val="clear" w:color="auto" w:fill="auto"/>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36700</w:t>
            </w:r>
          </w:p>
        </w:tc>
        <w:tc>
          <w:tcPr>
            <w:tcW w:w="578" w:type="pct"/>
            <w:shd w:val="clear" w:color="auto" w:fill="auto"/>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36700</w:t>
            </w:r>
          </w:p>
        </w:tc>
        <w:tc>
          <w:tcPr>
            <w:tcW w:w="123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458"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1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pct"/>
            <w:gridSpan w:val="5"/>
            <w:shd w:val="clear" w:color="auto" w:fill="auto"/>
            <w:vAlign w:val="center"/>
          </w:tcPr>
          <w:p>
            <w:pPr>
              <w:widowControl/>
              <w:shd w:val="clear" w:color="auto" w:fill="FFFFFF"/>
              <w:spacing w:line="36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项目预算</w:t>
            </w:r>
          </w:p>
        </w:tc>
        <w:tc>
          <w:tcPr>
            <w:tcW w:w="578" w:type="pct"/>
            <w:shd w:val="clear" w:color="auto" w:fill="auto"/>
            <w:vAlign w:val="center"/>
          </w:tcPr>
          <w:p>
            <w:pPr>
              <w:widowControl/>
              <w:shd w:val="clear" w:color="auto" w:fill="FFFFFF"/>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36700</w:t>
            </w:r>
          </w:p>
        </w:tc>
        <w:tc>
          <w:tcPr>
            <w:tcW w:w="1232" w:type="pct"/>
            <w:shd w:val="clear" w:color="auto" w:fill="auto"/>
            <w:vAlign w:val="center"/>
          </w:tcPr>
          <w:p>
            <w:pPr>
              <w:widowControl/>
              <w:shd w:val="clear" w:color="auto" w:fill="FFFFFF"/>
              <w:spacing w:line="360" w:lineRule="auto"/>
              <w:jc w:val="center"/>
              <w:rPr>
                <w:rFonts w:hint="eastAsia" w:ascii="宋体" w:hAnsi="宋体" w:eastAsia="宋体" w:cs="宋体"/>
                <w:b/>
                <w:bCs/>
                <w:color w:val="auto"/>
                <w:kern w:val="0"/>
                <w:sz w:val="21"/>
                <w:szCs w:val="21"/>
                <w:highlight w:val="none"/>
                <w:lang w:val="en-US" w:eastAsia="zh-CN"/>
              </w:rPr>
            </w:pPr>
          </w:p>
        </w:tc>
        <w:tc>
          <w:tcPr>
            <w:tcW w:w="458" w:type="pct"/>
            <w:shd w:val="clear" w:color="auto" w:fill="auto"/>
            <w:vAlign w:val="center"/>
          </w:tcPr>
          <w:p>
            <w:pPr>
              <w:widowControl/>
              <w:shd w:val="clear" w:color="auto" w:fill="FFFFFF"/>
              <w:spacing w:line="360" w:lineRule="auto"/>
              <w:jc w:val="center"/>
              <w:rPr>
                <w:rFonts w:hint="eastAsia" w:ascii="宋体" w:hAnsi="宋体" w:eastAsia="宋体" w:cs="宋体"/>
                <w:b/>
                <w:bCs/>
                <w:color w:val="auto"/>
                <w:kern w:val="0"/>
                <w:sz w:val="21"/>
                <w:szCs w:val="21"/>
                <w:highlight w:val="none"/>
                <w:lang w:val="en-US" w:eastAsia="zh-CN"/>
              </w:rPr>
            </w:pPr>
          </w:p>
        </w:tc>
        <w:tc>
          <w:tcPr>
            <w:tcW w:w="612" w:type="pct"/>
            <w:shd w:val="clear" w:color="auto" w:fill="auto"/>
            <w:vAlign w:val="center"/>
          </w:tcPr>
          <w:p>
            <w:pPr>
              <w:widowControl/>
              <w:shd w:val="clear" w:color="auto" w:fill="FFFFFF"/>
              <w:spacing w:line="360" w:lineRule="auto"/>
              <w:jc w:val="center"/>
              <w:rPr>
                <w:rFonts w:hint="eastAsia" w:ascii="宋体" w:hAnsi="宋体" w:eastAsia="宋体" w:cs="宋体"/>
                <w:b/>
                <w:bCs/>
                <w:color w:val="auto"/>
                <w:kern w:val="0"/>
                <w:sz w:val="21"/>
                <w:szCs w:val="21"/>
                <w:highlight w:val="none"/>
                <w:lang w:val="en-US" w:eastAsia="zh-CN"/>
              </w:rPr>
            </w:pPr>
          </w:p>
        </w:tc>
      </w:tr>
    </w:tbl>
    <w:p>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注意：</w:t>
      </w:r>
    </w:p>
    <w:p>
      <w:pPr>
        <w:numPr>
          <w:ilvl w:val="0"/>
          <w:numId w:val="0"/>
        </w:numPr>
        <w:spacing w:line="360" w:lineRule="auto"/>
        <w:ind w:firstLine="420" w:firstLineChars="0"/>
        <w:rPr>
          <w:rFonts w:hint="eastAsia"/>
          <w:sz w:val="21"/>
          <w:szCs w:val="21"/>
          <w:highlight w:val="none"/>
          <w:lang w:eastAsia="zh-CN"/>
        </w:rPr>
      </w:pPr>
      <w:r>
        <w:rPr>
          <w:rFonts w:hint="eastAsia" w:ascii="宋体" w:hAnsi="宋体" w:eastAsia="宋体" w:cs="宋体"/>
          <w:spacing w:val="-3"/>
          <w:sz w:val="21"/>
          <w:szCs w:val="21"/>
          <w:highlight w:val="none"/>
          <w:lang w:eastAsia="zh-CN"/>
        </w:rPr>
        <w:t>1.投标人填写各项产品的单价、总单价及合计总价（项目及数量出现少报或多报，作废标处理；商品名称及</w:t>
      </w:r>
      <w:r>
        <w:rPr>
          <w:rFonts w:hint="eastAsia" w:ascii="宋体" w:hAnsi="宋体" w:cs="宋体"/>
          <w:spacing w:val="-3"/>
          <w:sz w:val="21"/>
          <w:szCs w:val="21"/>
          <w:highlight w:val="none"/>
          <w:lang w:eastAsia="zh-CN"/>
        </w:rPr>
        <w:t>技术</w:t>
      </w:r>
      <w:r>
        <w:rPr>
          <w:rFonts w:hint="eastAsia" w:ascii="宋体" w:hAnsi="宋体" w:eastAsia="宋体" w:cs="宋体"/>
          <w:spacing w:val="-3"/>
          <w:sz w:val="21"/>
          <w:szCs w:val="21"/>
          <w:highlight w:val="none"/>
          <w:lang w:eastAsia="zh-CN"/>
        </w:rPr>
        <w:t>参数要求发生变化或不符合要求，作废标处理；报价超过参考单价或单项参考总价视为无效报价，作废标处理）。报价为全包价，采购人不需再支付其他费用。  </w:t>
      </w:r>
    </w:p>
    <w:p>
      <w:pPr>
        <w:numPr>
          <w:ilvl w:val="0"/>
          <w:numId w:val="0"/>
        </w:numPr>
        <w:spacing w:line="360" w:lineRule="auto"/>
        <w:ind w:firstLine="420" w:firstLineChars="0"/>
        <w:rPr>
          <w:rFonts w:hint="eastAsia" w:ascii="宋体" w:hAnsi="宋体" w:eastAsia="宋体" w:cs="宋体"/>
          <w:b/>
          <w:color w:val="FF0000"/>
          <w:spacing w:val="-3"/>
          <w:kern w:val="2"/>
          <w:sz w:val="21"/>
          <w:szCs w:val="21"/>
          <w:highlight w:val="none"/>
          <w:lang w:val="en-US" w:eastAsia="zh-CN" w:bidi="ar-SA"/>
        </w:rPr>
      </w:pPr>
      <w:r>
        <w:rPr>
          <w:rFonts w:hint="eastAsia" w:ascii="宋体" w:hAnsi="宋体" w:cs="宋体"/>
          <w:color w:val="FF0000"/>
          <w:spacing w:val="-3"/>
          <w:sz w:val="21"/>
          <w:szCs w:val="21"/>
          <w:highlight w:val="none"/>
          <w:lang w:val="en-US" w:eastAsia="zh-CN"/>
        </w:rPr>
        <w:t xml:space="preserve">2. </w:t>
      </w:r>
      <w:r>
        <w:rPr>
          <w:rFonts w:hint="eastAsia" w:ascii="宋体" w:hAnsi="宋体" w:cs="宋体"/>
          <w:color w:val="FF0000"/>
          <w:spacing w:val="-3"/>
          <w:sz w:val="21"/>
          <w:szCs w:val="21"/>
          <w:highlight w:val="none"/>
          <w:lang w:eastAsia="zh-CN"/>
        </w:rPr>
        <w:t>本项目预算限额为</w:t>
      </w:r>
      <w:r>
        <w:rPr>
          <w:rFonts w:hint="eastAsia" w:ascii="宋体" w:hAnsi="宋体" w:cs="宋体"/>
          <w:color w:val="FF0000"/>
          <w:spacing w:val="-3"/>
          <w:sz w:val="21"/>
          <w:szCs w:val="21"/>
          <w:highlight w:val="none"/>
          <w:lang w:val="en-US" w:eastAsia="zh-CN"/>
        </w:rPr>
        <w:t>36700</w:t>
      </w:r>
      <w:r>
        <w:rPr>
          <w:rFonts w:hint="eastAsia" w:ascii="宋体" w:hAnsi="宋体" w:cs="宋体"/>
          <w:color w:val="FF0000"/>
          <w:spacing w:val="-3"/>
          <w:sz w:val="21"/>
          <w:szCs w:val="21"/>
          <w:highlight w:val="none"/>
          <w:lang w:eastAsia="zh-CN"/>
        </w:rPr>
        <w:t>元，超过（即大于）</w:t>
      </w:r>
      <w:r>
        <w:rPr>
          <w:rFonts w:hint="eastAsia" w:ascii="宋体" w:hAnsi="宋体" w:cs="宋体"/>
          <w:color w:val="FF0000"/>
          <w:spacing w:val="-3"/>
          <w:sz w:val="21"/>
          <w:szCs w:val="21"/>
          <w:highlight w:val="none"/>
          <w:lang w:val="en-US" w:eastAsia="zh-CN"/>
        </w:rPr>
        <w:t>36700</w:t>
      </w:r>
      <w:r>
        <w:rPr>
          <w:rFonts w:hint="eastAsia" w:ascii="宋体" w:hAnsi="宋体" w:cs="宋体"/>
          <w:color w:val="FF0000"/>
          <w:spacing w:val="-3"/>
          <w:sz w:val="21"/>
          <w:szCs w:val="21"/>
          <w:highlight w:val="none"/>
          <w:lang w:eastAsia="zh-CN"/>
        </w:rPr>
        <w:t>元的报价均视为无效报价,作废标处理。本项目预算单价限额为</w:t>
      </w:r>
      <w:r>
        <w:rPr>
          <w:rFonts w:hint="eastAsia" w:ascii="宋体" w:hAnsi="宋体" w:cs="宋体"/>
          <w:color w:val="FF0000"/>
          <w:spacing w:val="-3"/>
          <w:sz w:val="21"/>
          <w:szCs w:val="21"/>
          <w:highlight w:val="none"/>
          <w:lang w:val="en-US" w:eastAsia="zh-CN"/>
        </w:rPr>
        <w:t>36700</w:t>
      </w:r>
      <w:r>
        <w:rPr>
          <w:rFonts w:hint="eastAsia" w:ascii="宋体" w:hAnsi="宋体" w:cs="宋体"/>
          <w:color w:val="FF0000"/>
          <w:spacing w:val="-3"/>
          <w:sz w:val="21"/>
          <w:szCs w:val="21"/>
          <w:highlight w:val="none"/>
          <w:lang w:eastAsia="zh-CN"/>
        </w:rPr>
        <w:t>元，超过（即大于）</w:t>
      </w:r>
      <w:r>
        <w:rPr>
          <w:rFonts w:hint="eastAsia" w:ascii="宋体" w:hAnsi="宋体" w:cs="宋体"/>
          <w:color w:val="FF0000"/>
          <w:spacing w:val="-3"/>
          <w:sz w:val="21"/>
          <w:szCs w:val="21"/>
          <w:highlight w:val="none"/>
          <w:lang w:val="en-US" w:eastAsia="zh-CN"/>
        </w:rPr>
        <w:t>36700</w:t>
      </w:r>
      <w:r>
        <w:rPr>
          <w:rFonts w:hint="eastAsia" w:ascii="宋体" w:hAnsi="宋体" w:cs="宋体"/>
          <w:color w:val="FF0000"/>
          <w:spacing w:val="-3"/>
          <w:sz w:val="21"/>
          <w:szCs w:val="21"/>
          <w:highlight w:val="none"/>
          <w:lang w:eastAsia="zh-CN"/>
        </w:rPr>
        <w:t>元的报价均视为无效报价,作废标处理。</w:t>
      </w:r>
    </w:p>
    <w:p>
      <w:pPr>
        <w:rPr>
          <w:rFonts w:hint="eastAsia"/>
          <w:lang w:val="en-US" w:eastAsia="zh-CN"/>
        </w:rPr>
      </w:pPr>
      <w:r>
        <w:rPr>
          <w:rFonts w:hint="eastAsia" w:ascii="微软雅黑" w:hAnsi="微软雅黑" w:eastAsia="微软雅黑" w:cs="微软雅黑"/>
          <w:b/>
          <w:bCs/>
          <w:sz w:val="24"/>
          <w:szCs w:val="24"/>
          <w:lang w:val="en-US" w:eastAsia="zh-CN"/>
        </w:rPr>
        <w:br w:type="page"/>
      </w:r>
    </w:p>
    <w:p>
      <w:pPr>
        <w:pStyle w:val="2"/>
        <w:numPr>
          <w:ilvl w:val="0"/>
          <w:numId w:val="0"/>
        </w:numPr>
        <w:rPr>
          <w:rFonts w:hint="eastAsia" w:ascii="微软雅黑" w:hAnsi="微软雅黑" w:eastAsia="微软雅黑" w:cs="微软雅黑"/>
          <w:b/>
          <w:bCs/>
          <w:color w:val="FF0000"/>
          <w:sz w:val="21"/>
          <w:szCs w:val="20"/>
          <w:lang w:val="en-US" w:eastAsia="zh-CN"/>
        </w:rPr>
      </w:pPr>
      <w:r>
        <w:rPr>
          <w:rFonts w:hint="eastAsia" w:ascii="微软雅黑" w:hAnsi="微软雅黑" w:eastAsia="微软雅黑" w:cs="微软雅黑"/>
          <w:b/>
          <w:bCs/>
          <w:sz w:val="28"/>
          <w:lang w:val="en-US" w:eastAsia="zh-CN"/>
        </w:rPr>
        <w:t>八、技术参数应答表</w:t>
      </w:r>
      <w:r>
        <w:rPr>
          <w:rFonts w:hint="eastAsia" w:ascii="宋体" w:hAnsi="宋体" w:eastAsia="宋体" w:cs="宋体"/>
          <w:b/>
          <w:bCs/>
          <w:color w:val="FF0000"/>
          <w:kern w:val="0"/>
          <w:sz w:val="22"/>
          <w:szCs w:val="22"/>
          <w:highlight w:val="none"/>
          <w:lang w:eastAsia="zh-CN"/>
        </w:rPr>
        <w:t>（</w:t>
      </w:r>
      <w:r>
        <w:rPr>
          <w:rFonts w:hint="eastAsia" w:ascii="宋体" w:hAnsi="宋体" w:eastAsia="宋体" w:cs="宋体"/>
          <w:b/>
          <w:bCs/>
          <w:color w:val="FF0000"/>
          <w:kern w:val="0"/>
          <w:sz w:val="22"/>
          <w:szCs w:val="22"/>
          <w:highlight w:val="none"/>
          <w:lang w:val="en-US" w:eastAsia="zh-CN"/>
        </w:rPr>
        <w:t>※所有招标技术参数条款需完全满足，若有负偏离则按废标处理。）</w:t>
      </w:r>
    </w:p>
    <w:tbl>
      <w:tblPr>
        <w:tblStyle w:val="5"/>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17"/>
        <w:gridCol w:w="3103"/>
        <w:gridCol w:w="1285"/>
        <w:gridCol w:w="2847"/>
        <w:gridCol w:w="857"/>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Align w:val="center"/>
          </w:tcPr>
          <w:p>
            <w:pPr>
              <w:spacing w:line="240" w:lineRule="auto"/>
              <w:jc w:val="center"/>
              <w:rPr>
                <w:rFonts w:hint="eastAsia" w:ascii="宋体" w:hAnsi="宋体" w:eastAsia="宋体" w:cs="宋体"/>
                <w:b/>
                <w:bCs/>
                <w:sz w:val="20"/>
                <w:szCs w:val="20"/>
              </w:rPr>
            </w:pPr>
            <w:r>
              <w:rPr>
                <w:rFonts w:hint="eastAsia" w:ascii="宋体" w:hAnsi="宋体" w:eastAsia="宋体" w:cs="宋体"/>
                <w:b/>
                <w:bCs/>
                <w:sz w:val="20"/>
                <w:szCs w:val="20"/>
              </w:rPr>
              <w:t>序号</w:t>
            </w:r>
          </w:p>
        </w:tc>
        <w:tc>
          <w:tcPr>
            <w:tcW w:w="209" w:type="pct"/>
            <w:vAlign w:val="center"/>
          </w:tcPr>
          <w:p>
            <w:pPr>
              <w:spacing w:line="240" w:lineRule="auto"/>
              <w:jc w:val="center"/>
              <w:rPr>
                <w:rFonts w:hint="eastAsia" w:ascii="宋体" w:hAnsi="宋体" w:eastAsia="宋体" w:cs="宋体"/>
                <w:b/>
                <w:bCs/>
                <w:sz w:val="20"/>
                <w:szCs w:val="20"/>
              </w:rPr>
            </w:pPr>
            <w:r>
              <w:rPr>
                <w:rFonts w:hint="eastAsia" w:ascii="宋体" w:hAnsi="宋体" w:eastAsia="宋体" w:cs="宋体"/>
                <w:b/>
                <w:bCs/>
                <w:sz w:val="20"/>
                <w:szCs w:val="20"/>
              </w:rPr>
              <w:t>货物名称</w:t>
            </w:r>
          </w:p>
        </w:tc>
        <w:tc>
          <w:tcPr>
            <w:tcW w:w="2208" w:type="pct"/>
            <w:gridSpan w:val="2"/>
            <w:vAlign w:val="center"/>
          </w:tcPr>
          <w:p>
            <w:pPr>
              <w:spacing w:line="240" w:lineRule="auto"/>
              <w:jc w:val="center"/>
              <w:rPr>
                <w:rFonts w:hint="eastAsia" w:ascii="宋体" w:hAnsi="宋体" w:eastAsia="宋体" w:cs="宋体"/>
                <w:b/>
                <w:bCs/>
                <w:sz w:val="20"/>
                <w:szCs w:val="20"/>
              </w:rPr>
            </w:pPr>
            <w:r>
              <w:rPr>
                <w:rFonts w:hint="eastAsia" w:ascii="宋体" w:hAnsi="宋体" w:eastAsia="宋体" w:cs="宋体"/>
                <w:b/>
                <w:bCs/>
                <w:sz w:val="20"/>
                <w:szCs w:val="20"/>
              </w:rPr>
              <w:t>招标技术要求</w:t>
            </w:r>
          </w:p>
        </w:tc>
        <w:tc>
          <w:tcPr>
            <w:tcW w:w="1432" w:type="pct"/>
            <w:vAlign w:val="center"/>
          </w:tcPr>
          <w:p>
            <w:pPr>
              <w:jc w:val="center"/>
              <w:rPr>
                <w:rFonts w:hint="eastAsia" w:ascii="宋体" w:hAnsi="宋体" w:eastAsia="宋体" w:cs="宋体"/>
                <w:b/>
                <w:bCs/>
                <w:sz w:val="20"/>
                <w:szCs w:val="20"/>
              </w:rPr>
            </w:pPr>
            <w:r>
              <w:rPr>
                <w:rFonts w:hint="eastAsia" w:ascii="宋体" w:hAnsi="宋体" w:eastAsia="宋体" w:cs="宋体"/>
                <w:b/>
                <w:bCs/>
                <w:sz w:val="21"/>
                <w:szCs w:val="21"/>
                <w:lang w:eastAsia="zh-CN"/>
              </w:rPr>
              <w:t>投标</w:t>
            </w:r>
            <w:r>
              <w:rPr>
                <w:rFonts w:hint="eastAsia" w:ascii="宋体" w:hAnsi="宋体" w:cs="宋体"/>
                <w:b/>
                <w:bCs/>
                <w:sz w:val="21"/>
                <w:szCs w:val="21"/>
                <w:lang w:eastAsia="zh-CN"/>
              </w:rPr>
              <w:t>技术</w:t>
            </w:r>
            <w:r>
              <w:rPr>
                <w:rFonts w:hint="eastAsia" w:ascii="宋体" w:hAnsi="宋体" w:eastAsia="宋体" w:cs="宋体"/>
                <w:b/>
                <w:bCs/>
                <w:sz w:val="21"/>
                <w:szCs w:val="21"/>
                <w:lang w:eastAsia="zh-CN"/>
              </w:rPr>
              <w:t>条款</w:t>
            </w:r>
          </w:p>
        </w:tc>
        <w:tc>
          <w:tcPr>
            <w:tcW w:w="431" w:type="pct"/>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偏离</w:t>
            </w:r>
          </w:p>
          <w:p>
            <w:pPr>
              <w:jc w:val="center"/>
              <w:rPr>
                <w:rFonts w:hint="eastAsia" w:ascii="宋体" w:hAnsi="宋体" w:eastAsia="宋体" w:cs="宋体"/>
                <w:b/>
                <w:bCs/>
                <w:sz w:val="20"/>
                <w:szCs w:val="20"/>
              </w:rPr>
            </w:pPr>
            <w:r>
              <w:rPr>
                <w:rFonts w:hint="eastAsia" w:ascii="宋体" w:hAnsi="宋体" w:eastAsia="宋体" w:cs="宋体"/>
                <w:b/>
                <w:bCs/>
                <w:sz w:val="21"/>
                <w:szCs w:val="21"/>
                <w:lang w:eastAsia="zh-CN"/>
              </w:rPr>
              <w:t>情况</w:t>
            </w:r>
          </w:p>
        </w:tc>
        <w:tc>
          <w:tcPr>
            <w:tcW w:w="508" w:type="pct"/>
            <w:vAlign w:val="center"/>
          </w:tcPr>
          <w:p>
            <w:pPr>
              <w:jc w:val="center"/>
              <w:rPr>
                <w:rFonts w:hint="eastAsia" w:ascii="宋体" w:hAnsi="宋体" w:eastAsia="宋体" w:cs="宋体"/>
                <w:b/>
                <w:bCs/>
                <w:sz w:val="20"/>
                <w:szCs w:val="20"/>
              </w:rPr>
            </w:pPr>
            <w:r>
              <w:rPr>
                <w:rFonts w:hint="eastAsia" w:ascii="宋体" w:hAnsi="宋体" w:eastAsia="宋体" w:cs="宋体"/>
                <w:b/>
                <w:bCs/>
                <w:sz w:val="21"/>
                <w:szCs w:val="21"/>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restart"/>
            <w:vAlign w:val="center"/>
          </w:tcPr>
          <w:p>
            <w:pPr>
              <w:spacing w:line="240" w:lineRule="auto"/>
              <w:rPr>
                <w:rFonts w:hint="eastAsia" w:ascii="宋体" w:hAnsi="宋体" w:eastAsia="宋体" w:cs="宋体"/>
                <w:sz w:val="20"/>
                <w:szCs w:val="20"/>
              </w:rPr>
            </w:pPr>
            <w:r>
              <w:rPr>
                <w:rFonts w:hint="eastAsia" w:ascii="宋体" w:hAnsi="宋体" w:eastAsia="宋体" w:cs="宋体"/>
                <w:sz w:val="20"/>
                <w:szCs w:val="20"/>
              </w:rPr>
              <w:t>1</w:t>
            </w:r>
          </w:p>
        </w:tc>
        <w:tc>
          <w:tcPr>
            <w:tcW w:w="209" w:type="pct"/>
            <w:vMerge w:val="restart"/>
            <w:vAlign w:val="center"/>
          </w:tcPr>
          <w:p>
            <w:pPr>
              <w:spacing w:line="240" w:lineRule="auto"/>
              <w:rPr>
                <w:rFonts w:hint="eastAsia" w:ascii="宋体" w:hAnsi="宋体" w:eastAsia="宋体" w:cs="宋体"/>
                <w:sz w:val="20"/>
                <w:szCs w:val="20"/>
              </w:rPr>
            </w:pPr>
            <w:r>
              <w:rPr>
                <w:rFonts w:hint="eastAsia" w:ascii="宋体" w:hAnsi="宋体" w:eastAsia="宋体" w:cs="宋体"/>
                <w:sz w:val="20"/>
                <w:szCs w:val="20"/>
              </w:rPr>
              <w:t>多道心电图机</w:t>
            </w:r>
          </w:p>
        </w:tc>
        <w:tc>
          <w:tcPr>
            <w:tcW w:w="2208" w:type="pct"/>
            <w:gridSpan w:val="2"/>
            <w:vAlign w:val="center"/>
          </w:tcPr>
          <w:p>
            <w:pPr>
              <w:numPr>
                <w:ilvl w:val="1"/>
                <w:numId w:val="3"/>
              </w:numPr>
              <w:spacing w:line="240" w:lineRule="auto"/>
              <w:rPr>
                <w:rFonts w:hint="eastAsia" w:ascii="宋体" w:hAnsi="宋体" w:eastAsia="宋体" w:cs="宋体"/>
                <w:b/>
                <w:sz w:val="20"/>
                <w:szCs w:val="20"/>
              </w:rPr>
            </w:pPr>
            <w:r>
              <w:rPr>
                <w:rFonts w:hint="eastAsia" w:ascii="宋体" w:hAnsi="宋体" w:eastAsia="宋体" w:cs="宋体"/>
                <w:b/>
                <w:sz w:val="20"/>
                <w:szCs w:val="20"/>
              </w:rPr>
              <w:t>多道心电图机</w:t>
            </w:r>
          </w:p>
        </w:tc>
        <w:tc>
          <w:tcPr>
            <w:tcW w:w="1432" w:type="pct"/>
            <w:vAlign w:val="center"/>
          </w:tcPr>
          <w:p>
            <w:pPr>
              <w:numPr>
                <w:ilvl w:val="0"/>
                <w:numId w:val="0"/>
              </w:numPr>
              <w:spacing w:line="240" w:lineRule="auto"/>
              <w:ind w:leftChars="0"/>
              <w:rPr>
                <w:rFonts w:hint="eastAsia" w:ascii="宋体" w:hAnsi="宋体" w:eastAsia="宋体" w:cs="宋体"/>
                <w:b/>
                <w:sz w:val="20"/>
                <w:szCs w:val="20"/>
              </w:rPr>
            </w:pPr>
          </w:p>
        </w:tc>
        <w:tc>
          <w:tcPr>
            <w:tcW w:w="431" w:type="pct"/>
            <w:vAlign w:val="center"/>
          </w:tcPr>
          <w:p>
            <w:pPr>
              <w:numPr>
                <w:ilvl w:val="0"/>
                <w:numId w:val="0"/>
              </w:numPr>
              <w:spacing w:line="240" w:lineRule="auto"/>
              <w:ind w:leftChars="0"/>
              <w:rPr>
                <w:rFonts w:hint="eastAsia" w:ascii="宋体" w:hAnsi="宋体" w:eastAsia="宋体" w:cs="宋体"/>
                <w:b/>
                <w:sz w:val="20"/>
                <w:szCs w:val="20"/>
              </w:rPr>
            </w:pPr>
          </w:p>
        </w:tc>
        <w:tc>
          <w:tcPr>
            <w:tcW w:w="508" w:type="pct"/>
            <w:vAlign w:val="center"/>
          </w:tcPr>
          <w:p>
            <w:pPr>
              <w:numPr>
                <w:ilvl w:val="0"/>
                <w:numId w:val="0"/>
              </w:numPr>
              <w:spacing w:line="240" w:lineRule="auto"/>
              <w:ind w:leftChars="0"/>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vAlign w:val="center"/>
          </w:tcPr>
          <w:p>
            <w:pPr>
              <w:spacing w:line="240" w:lineRule="auto"/>
              <w:rPr>
                <w:rFonts w:hint="eastAsia" w:ascii="宋体" w:hAnsi="宋体" w:eastAsia="宋体" w:cs="宋体"/>
                <w:sz w:val="20"/>
                <w:szCs w:val="20"/>
              </w:rPr>
            </w:pPr>
          </w:p>
        </w:tc>
        <w:tc>
          <w:tcPr>
            <w:tcW w:w="209" w:type="pct"/>
            <w:vMerge w:val="continue"/>
            <w:vAlign w:val="center"/>
          </w:tcPr>
          <w:p>
            <w:pPr>
              <w:spacing w:line="240" w:lineRule="auto"/>
              <w:rPr>
                <w:rFonts w:hint="eastAsia" w:ascii="宋体" w:hAnsi="宋体" w:eastAsia="宋体" w:cs="宋体"/>
                <w:sz w:val="20"/>
                <w:szCs w:val="20"/>
              </w:rPr>
            </w:pPr>
          </w:p>
        </w:tc>
        <w:tc>
          <w:tcPr>
            <w:tcW w:w="2208" w:type="pct"/>
            <w:gridSpan w:val="2"/>
            <w:tcBorders>
              <w:bottom w:val="single" w:color="auto" w:sz="4" w:space="0"/>
            </w:tcBorders>
            <w:vAlign w:val="center"/>
          </w:tcPr>
          <w:p>
            <w:pPr>
              <w:numPr>
                <w:ilvl w:val="2"/>
                <w:numId w:val="4"/>
              </w:numPr>
              <w:spacing w:line="240" w:lineRule="auto"/>
              <w:rPr>
                <w:rFonts w:hint="eastAsia" w:ascii="宋体" w:hAnsi="宋体" w:eastAsia="宋体" w:cs="宋体"/>
                <w:b/>
                <w:sz w:val="20"/>
                <w:szCs w:val="20"/>
              </w:rPr>
            </w:pPr>
            <w:r>
              <w:rPr>
                <w:rFonts w:hint="eastAsia" w:ascii="宋体" w:hAnsi="宋体" w:eastAsia="宋体" w:cs="宋体"/>
                <w:b/>
                <w:sz w:val="20"/>
                <w:szCs w:val="20"/>
              </w:rPr>
              <w:t>技术参数</w:t>
            </w:r>
          </w:p>
        </w:tc>
        <w:tc>
          <w:tcPr>
            <w:tcW w:w="1432" w:type="pct"/>
            <w:tcBorders>
              <w:bottom w:val="single" w:color="auto" w:sz="4" w:space="0"/>
            </w:tcBorders>
            <w:vAlign w:val="center"/>
          </w:tcPr>
          <w:p>
            <w:pPr>
              <w:numPr>
                <w:ilvl w:val="0"/>
                <w:numId w:val="0"/>
              </w:numPr>
              <w:spacing w:line="240" w:lineRule="auto"/>
              <w:ind w:leftChars="0"/>
              <w:rPr>
                <w:rFonts w:hint="eastAsia" w:ascii="宋体" w:hAnsi="宋体" w:eastAsia="宋体" w:cs="宋体"/>
                <w:b/>
                <w:sz w:val="20"/>
                <w:szCs w:val="20"/>
              </w:rPr>
            </w:pPr>
          </w:p>
        </w:tc>
        <w:tc>
          <w:tcPr>
            <w:tcW w:w="431" w:type="pct"/>
            <w:tcBorders>
              <w:bottom w:val="single" w:color="auto" w:sz="4" w:space="0"/>
            </w:tcBorders>
            <w:vAlign w:val="center"/>
          </w:tcPr>
          <w:p>
            <w:pPr>
              <w:numPr>
                <w:ilvl w:val="0"/>
                <w:numId w:val="0"/>
              </w:numPr>
              <w:spacing w:line="240" w:lineRule="auto"/>
              <w:ind w:leftChars="0"/>
              <w:rPr>
                <w:rFonts w:hint="eastAsia" w:ascii="宋体" w:hAnsi="宋体" w:eastAsia="宋体" w:cs="宋体"/>
                <w:b/>
                <w:sz w:val="20"/>
                <w:szCs w:val="20"/>
              </w:rPr>
            </w:pPr>
          </w:p>
        </w:tc>
        <w:tc>
          <w:tcPr>
            <w:tcW w:w="508" w:type="pct"/>
            <w:tcBorders>
              <w:bottom w:val="single" w:color="auto" w:sz="4" w:space="0"/>
            </w:tcBorders>
            <w:vAlign w:val="center"/>
          </w:tcPr>
          <w:p>
            <w:pPr>
              <w:numPr>
                <w:ilvl w:val="0"/>
                <w:numId w:val="0"/>
              </w:numPr>
              <w:spacing w:line="240" w:lineRule="auto"/>
              <w:ind w:leftChars="0"/>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主要功能：12导联心电图、二阶梯实验、运动后检查、RR间期检查</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心电输入：12导联、18导联同步采集，10电极</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导联选择：自动或手动</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输入方式：浮地输入；输入保护：标配导联线内附除颤保护电路</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采集模式：成人、小儿、新生儿</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bCs/>
                <w:sz w:val="20"/>
                <w:szCs w:val="20"/>
              </w:rPr>
              <w:t>▲</w:t>
            </w:r>
            <w:r>
              <w:rPr>
                <w:rFonts w:hint="eastAsia" w:ascii="宋体" w:hAnsi="宋体" w:eastAsia="宋体" w:cs="宋体"/>
                <w:kern w:val="0"/>
                <w:sz w:val="20"/>
                <w:szCs w:val="20"/>
              </w:rPr>
              <w:t>采样率：16000 Hz，起搏器采样率≥80000Hz</w:t>
            </w:r>
          </w:p>
        </w:tc>
        <w:tc>
          <w:tcPr>
            <w:tcW w:w="1432" w:type="pct"/>
          </w:tcPr>
          <w:p>
            <w:pPr>
              <w:pStyle w:val="9"/>
              <w:numPr>
                <w:ilvl w:val="0"/>
                <w:numId w:val="0"/>
              </w:numPr>
              <w:spacing w:line="240" w:lineRule="auto"/>
              <w:ind w:leftChars="0"/>
              <w:rPr>
                <w:rFonts w:hint="eastAsia" w:ascii="宋体" w:hAnsi="宋体" w:eastAsia="宋体" w:cs="宋体"/>
                <w:bCs/>
                <w:sz w:val="20"/>
                <w:szCs w:val="20"/>
              </w:rPr>
            </w:pPr>
          </w:p>
        </w:tc>
        <w:tc>
          <w:tcPr>
            <w:tcW w:w="431" w:type="pct"/>
          </w:tcPr>
          <w:p>
            <w:pPr>
              <w:pStyle w:val="9"/>
              <w:numPr>
                <w:ilvl w:val="0"/>
                <w:numId w:val="0"/>
              </w:numPr>
              <w:spacing w:line="240" w:lineRule="auto"/>
              <w:ind w:leftChars="0"/>
              <w:rPr>
                <w:rFonts w:hint="eastAsia" w:ascii="宋体" w:hAnsi="宋体" w:eastAsia="宋体" w:cs="宋体"/>
                <w:bCs/>
                <w:sz w:val="20"/>
                <w:szCs w:val="20"/>
              </w:rPr>
            </w:pPr>
          </w:p>
        </w:tc>
        <w:tc>
          <w:tcPr>
            <w:tcW w:w="508" w:type="pct"/>
          </w:tcPr>
          <w:p>
            <w:pPr>
              <w:pStyle w:val="9"/>
              <w:numPr>
                <w:ilvl w:val="0"/>
                <w:numId w:val="0"/>
              </w:numPr>
              <w:spacing w:line="240" w:lineRule="auto"/>
              <w:ind w:leftChars="0"/>
              <w:rPr>
                <w:rFonts w:hint="eastAsia" w:ascii="宋体" w:hAnsi="宋体" w:eastAsia="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模数转换精度: ≤1.25 μV</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输入阻抗：≥50MΩ</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耐极化电压：≥±550mV</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共模抑制比：≥105dB</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频率响应：0.05Hz-150Hz（+0.4/-3 dB）</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标准灵敏度：10mm/mV, 误差≤±5%</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时间常数：≥3.2秒</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滤波器：低通滤波、肌电滤波、交流滤波、基线抑制滤波</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低通滤波: 75Hz, 100Hz, 150Hz 三档</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肌电滤波:25Hz/35Hz 二档</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交流滤波:50Hz或60Hz</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基线抑制: -20dB,-34dB 两档可选</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增益/灵敏度选择：5，10，20mm/mV，手动或自动</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不正常状态检测：电极脱落报警，高频噪声过高报警</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电极脱落：液晶显示器显示脱落部位</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bCs/>
                <w:sz w:val="20"/>
                <w:szCs w:val="20"/>
              </w:rPr>
              <w:t>▲</w:t>
            </w:r>
            <w:r>
              <w:rPr>
                <w:rFonts w:hint="eastAsia" w:ascii="宋体" w:hAnsi="宋体" w:eastAsia="宋体" w:cs="宋体"/>
                <w:kern w:val="0"/>
                <w:sz w:val="20"/>
                <w:szCs w:val="20"/>
              </w:rPr>
              <w:t>键盘输入：全键盘设计，支持中文拼音输入姓名、年龄、性别、身高等患者信息（非区位码输入）</w:t>
            </w:r>
          </w:p>
        </w:tc>
        <w:tc>
          <w:tcPr>
            <w:tcW w:w="1432" w:type="pct"/>
          </w:tcPr>
          <w:p>
            <w:pPr>
              <w:pStyle w:val="9"/>
              <w:numPr>
                <w:ilvl w:val="0"/>
                <w:numId w:val="0"/>
              </w:numPr>
              <w:spacing w:line="240" w:lineRule="auto"/>
              <w:ind w:leftChars="0"/>
              <w:rPr>
                <w:rFonts w:hint="eastAsia" w:ascii="宋体" w:hAnsi="宋体" w:eastAsia="宋体" w:cs="宋体"/>
                <w:bCs/>
                <w:sz w:val="20"/>
                <w:szCs w:val="20"/>
              </w:rPr>
            </w:pPr>
          </w:p>
        </w:tc>
        <w:tc>
          <w:tcPr>
            <w:tcW w:w="431" w:type="pct"/>
          </w:tcPr>
          <w:p>
            <w:pPr>
              <w:pStyle w:val="9"/>
              <w:numPr>
                <w:ilvl w:val="0"/>
                <w:numId w:val="0"/>
              </w:numPr>
              <w:spacing w:line="240" w:lineRule="auto"/>
              <w:ind w:leftChars="0"/>
              <w:rPr>
                <w:rFonts w:hint="eastAsia" w:ascii="宋体" w:hAnsi="宋体" w:eastAsia="宋体" w:cs="宋体"/>
                <w:bCs/>
                <w:sz w:val="20"/>
                <w:szCs w:val="20"/>
              </w:rPr>
            </w:pPr>
          </w:p>
        </w:tc>
        <w:tc>
          <w:tcPr>
            <w:tcW w:w="508" w:type="pct"/>
          </w:tcPr>
          <w:p>
            <w:pPr>
              <w:pStyle w:val="9"/>
              <w:numPr>
                <w:ilvl w:val="0"/>
                <w:numId w:val="0"/>
              </w:numPr>
              <w:spacing w:line="240" w:lineRule="auto"/>
              <w:ind w:leftChars="0"/>
              <w:rPr>
                <w:rFonts w:hint="eastAsia" w:ascii="宋体" w:hAnsi="宋体" w:eastAsia="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显示方式：≥7"液晶显示</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显示分辨率：不低于800*480</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显示导联数：同屏12导联，每导联显示时间≥5s</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bCs/>
                <w:sz w:val="20"/>
                <w:szCs w:val="20"/>
              </w:rPr>
              <w:t>▲</w:t>
            </w:r>
            <w:r>
              <w:rPr>
                <w:rFonts w:hint="eastAsia" w:ascii="宋体" w:hAnsi="宋体" w:eastAsia="宋体" w:cs="宋体"/>
                <w:kern w:val="0"/>
                <w:sz w:val="20"/>
                <w:szCs w:val="20"/>
              </w:rPr>
              <w:t>支持右胸后壁导联独立分析及18导联ST-Map电压图显示</w:t>
            </w:r>
          </w:p>
        </w:tc>
        <w:tc>
          <w:tcPr>
            <w:tcW w:w="1432" w:type="pct"/>
          </w:tcPr>
          <w:p>
            <w:pPr>
              <w:pStyle w:val="9"/>
              <w:numPr>
                <w:ilvl w:val="0"/>
                <w:numId w:val="0"/>
              </w:numPr>
              <w:spacing w:line="240" w:lineRule="auto"/>
              <w:ind w:leftChars="0"/>
              <w:rPr>
                <w:rFonts w:hint="eastAsia" w:ascii="宋体" w:hAnsi="宋体" w:eastAsia="宋体" w:cs="宋体"/>
                <w:bCs/>
                <w:sz w:val="20"/>
                <w:szCs w:val="20"/>
              </w:rPr>
            </w:pPr>
          </w:p>
        </w:tc>
        <w:tc>
          <w:tcPr>
            <w:tcW w:w="431" w:type="pct"/>
          </w:tcPr>
          <w:p>
            <w:pPr>
              <w:pStyle w:val="9"/>
              <w:numPr>
                <w:ilvl w:val="0"/>
                <w:numId w:val="0"/>
              </w:numPr>
              <w:spacing w:line="240" w:lineRule="auto"/>
              <w:ind w:leftChars="0"/>
              <w:rPr>
                <w:rFonts w:hint="eastAsia" w:ascii="宋体" w:hAnsi="宋体" w:eastAsia="宋体" w:cs="宋体"/>
                <w:bCs/>
                <w:sz w:val="20"/>
                <w:szCs w:val="20"/>
              </w:rPr>
            </w:pPr>
          </w:p>
        </w:tc>
        <w:tc>
          <w:tcPr>
            <w:tcW w:w="508" w:type="pct"/>
          </w:tcPr>
          <w:p>
            <w:pPr>
              <w:pStyle w:val="9"/>
              <w:numPr>
                <w:ilvl w:val="0"/>
                <w:numId w:val="0"/>
              </w:numPr>
              <w:spacing w:line="240" w:lineRule="auto"/>
              <w:ind w:leftChars="0"/>
              <w:rPr>
                <w:rFonts w:hint="eastAsia" w:ascii="宋体" w:hAnsi="宋体" w:eastAsia="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记录器：内置高分辨率热线阵打印</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走纸速度：10, 12.5, 25，50mm/S</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无纸检出：记录纸用完后自动停止走纸并报警</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电极噪声标记：双模式（屏幕，报告）提示，点划线热敏标记打印</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模拟信号打印：可打印心音脉波放大器等外部机器的模拟信号</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网络数据打印：支持访问外部文件服务器，本机热敏打印服务器报告</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操作模式：可自动或手动。自动操作时支持实时或回顾记录，具备自动检测并延长记录心律失常波形，且支持全自动开始记录，记录波形10-24秒可调</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▲冻结记录：支持3分钟波形冻结记录模式，具备小儿、新生儿模式切换；可选配用新生儿专用导联线及电极片采集新生儿心电图</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测量分析：支持区分性别年龄特异性算法，支持超过40种心电相关参数自动测量</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自动测量参数：包括心率、PR间期、QT/QTc、P/QRS/T电轴、RV5/SV1电压等值</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▲自动分析结果：ECG分析程序：全球通用的ECAPS 12C智能自动分析算法程序，可分析长达3分钟的12导联心电波形，并具有最适合亚洲人的心电分析数据库，分析算法有5种判断类型241种病倒分析；分析结果支持中英文切换。5大类240种以上分析结论支持；支持右胸后壁导联独立分析；支持18导联ST-Map电压图分析输出；分析结果支持中文或英文切换（可包含原因说明）显示和打印语言可分别设置，支持两版本明尼苏达码表示</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外部输入：10mm/0.5V±5%，输入阻抗≥100kΩ</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信号输出：0.5V/1mV±5%，输出阻抗≤100Ω，输出短路时不损坏心电图机</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其它输出接口：USB/SD</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▲存储和传输：内置400份心电图，扩展支持3000份以上SD卡存储</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网络：标配LAN有线网络接口，支持WIFI网络连接</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提示音：QRS同步或热笔拟笔音</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▲打印网格：具备在无网格纸上打印网格功能</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心律失常检测：具备心律失常检测并自动延长记录的功能</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QTc算法：4种可选</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重量：≤2.3Kg</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安全性：电击防护类型: I类CF型</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交流：100-240±10%</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直流：长效可充电电池，充满电可连续工作60分钟以上</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输入设备：可连接条码枪、读卡器</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▲输出设备：可直连打印机，打印A4尺寸报告</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▲数据通讯方式：ECTP/DICOM</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tcPr>
          <w:p>
            <w:pPr>
              <w:pStyle w:val="9"/>
              <w:numPr>
                <w:ilvl w:val="0"/>
                <w:numId w:val="5"/>
              </w:numPr>
              <w:spacing w:line="240" w:lineRule="auto"/>
              <w:ind w:firstLineChars="0"/>
              <w:rPr>
                <w:rFonts w:hint="eastAsia" w:ascii="宋体" w:hAnsi="宋体" w:eastAsia="宋体" w:cs="宋体"/>
                <w:sz w:val="20"/>
                <w:szCs w:val="20"/>
              </w:rPr>
            </w:pPr>
            <w:r>
              <w:rPr>
                <w:rFonts w:hint="eastAsia" w:ascii="宋体" w:hAnsi="宋体" w:eastAsia="宋体" w:cs="宋体"/>
                <w:kern w:val="0"/>
                <w:sz w:val="20"/>
                <w:szCs w:val="20"/>
              </w:rPr>
              <w:t>▲患者信息：自动获取检查列表功能</w:t>
            </w:r>
          </w:p>
        </w:tc>
        <w:tc>
          <w:tcPr>
            <w:tcW w:w="1432" w:type="pct"/>
          </w:tcPr>
          <w:p>
            <w:pPr>
              <w:pStyle w:val="9"/>
              <w:numPr>
                <w:ilvl w:val="0"/>
                <w:numId w:val="0"/>
              </w:numPr>
              <w:spacing w:line="240" w:lineRule="auto"/>
              <w:ind w:leftChars="0"/>
              <w:rPr>
                <w:rFonts w:hint="eastAsia" w:ascii="宋体" w:hAnsi="宋体" w:eastAsia="宋体" w:cs="宋体"/>
                <w:kern w:val="0"/>
                <w:sz w:val="20"/>
                <w:szCs w:val="20"/>
              </w:rPr>
            </w:pPr>
          </w:p>
        </w:tc>
        <w:tc>
          <w:tcPr>
            <w:tcW w:w="431" w:type="pct"/>
          </w:tcPr>
          <w:p>
            <w:pPr>
              <w:pStyle w:val="9"/>
              <w:numPr>
                <w:ilvl w:val="0"/>
                <w:numId w:val="0"/>
              </w:numPr>
              <w:spacing w:line="240" w:lineRule="auto"/>
              <w:ind w:leftChars="0"/>
              <w:rPr>
                <w:rFonts w:hint="eastAsia" w:ascii="宋体" w:hAnsi="宋体" w:eastAsia="宋体" w:cs="宋体"/>
                <w:kern w:val="0"/>
                <w:sz w:val="20"/>
                <w:szCs w:val="20"/>
              </w:rPr>
            </w:pPr>
          </w:p>
        </w:tc>
        <w:tc>
          <w:tcPr>
            <w:tcW w:w="508" w:type="pct"/>
          </w:tcPr>
          <w:p>
            <w:pPr>
              <w:pStyle w:val="9"/>
              <w:numPr>
                <w:ilvl w:val="0"/>
                <w:numId w:val="0"/>
              </w:numPr>
              <w:spacing w:line="240" w:lineRule="auto"/>
              <w:ind w:leftChars="0"/>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2208" w:type="pct"/>
            <w:gridSpan w:val="2"/>
            <w:vAlign w:val="center"/>
          </w:tcPr>
          <w:p>
            <w:pPr>
              <w:numPr>
                <w:ilvl w:val="2"/>
                <w:numId w:val="4"/>
              </w:numPr>
              <w:spacing w:line="240" w:lineRule="auto"/>
              <w:rPr>
                <w:rFonts w:hint="eastAsia" w:ascii="宋体" w:hAnsi="宋体" w:eastAsia="宋体" w:cs="宋体"/>
                <w:sz w:val="20"/>
                <w:szCs w:val="20"/>
              </w:rPr>
            </w:pPr>
            <w:r>
              <w:rPr>
                <w:rFonts w:hint="eastAsia" w:ascii="宋体" w:hAnsi="宋体" w:eastAsia="宋体" w:cs="宋体"/>
                <w:b/>
                <w:sz w:val="20"/>
                <w:szCs w:val="20"/>
                <w:lang w:eastAsia="zh-CN"/>
              </w:rPr>
              <w:t>单台设备</w:t>
            </w:r>
            <w:r>
              <w:rPr>
                <w:rFonts w:hint="eastAsia" w:ascii="宋体" w:hAnsi="宋体" w:eastAsia="宋体" w:cs="宋体"/>
                <w:b/>
                <w:sz w:val="20"/>
                <w:szCs w:val="20"/>
              </w:rPr>
              <w:t>配置要求</w:t>
            </w:r>
          </w:p>
        </w:tc>
        <w:tc>
          <w:tcPr>
            <w:tcW w:w="1432" w:type="pct"/>
            <w:vAlign w:val="center"/>
          </w:tcPr>
          <w:p>
            <w:pPr>
              <w:numPr>
                <w:ilvl w:val="0"/>
                <w:numId w:val="0"/>
              </w:numPr>
              <w:spacing w:line="240" w:lineRule="auto"/>
              <w:ind w:leftChars="0"/>
              <w:rPr>
                <w:rFonts w:hint="eastAsia" w:ascii="宋体" w:hAnsi="宋体" w:eastAsia="宋体" w:cs="宋体"/>
                <w:b/>
                <w:sz w:val="20"/>
                <w:szCs w:val="20"/>
                <w:lang w:eastAsia="zh-CN"/>
              </w:rPr>
            </w:pPr>
          </w:p>
        </w:tc>
        <w:tc>
          <w:tcPr>
            <w:tcW w:w="431" w:type="pct"/>
            <w:vAlign w:val="center"/>
          </w:tcPr>
          <w:p>
            <w:pPr>
              <w:numPr>
                <w:ilvl w:val="0"/>
                <w:numId w:val="0"/>
              </w:numPr>
              <w:spacing w:line="240" w:lineRule="auto"/>
              <w:ind w:leftChars="0"/>
              <w:rPr>
                <w:rFonts w:hint="eastAsia" w:ascii="宋体" w:hAnsi="宋体" w:eastAsia="宋体" w:cs="宋体"/>
                <w:b/>
                <w:sz w:val="20"/>
                <w:szCs w:val="20"/>
                <w:lang w:eastAsia="zh-CN"/>
              </w:rPr>
            </w:pPr>
          </w:p>
        </w:tc>
        <w:tc>
          <w:tcPr>
            <w:tcW w:w="508" w:type="pct"/>
            <w:vAlign w:val="center"/>
          </w:tcPr>
          <w:p>
            <w:pPr>
              <w:numPr>
                <w:ilvl w:val="0"/>
                <w:numId w:val="0"/>
              </w:numPr>
              <w:spacing w:line="240" w:lineRule="auto"/>
              <w:ind w:leftChars="0"/>
              <w:rPr>
                <w:rFonts w:hint="eastAsia" w:ascii="宋体" w:hAnsi="宋体" w:eastAsia="宋体" w:cs="宋体"/>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spacing w:line="240" w:lineRule="auto"/>
              <w:ind w:firstLine="787" w:firstLineChars="392"/>
              <w:rPr>
                <w:rFonts w:hint="eastAsia" w:ascii="宋体" w:hAnsi="宋体" w:eastAsia="宋体" w:cs="宋体"/>
                <w:sz w:val="20"/>
                <w:szCs w:val="20"/>
              </w:rPr>
            </w:pPr>
            <w:r>
              <w:rPr>
                <w:rFonts w:hint="eastAsia" w:ascii="宋体" w:hAnsi="宋体" w:eastAsia="宋体" w:cs="宋体"/>
                <w:b/>
                <w:sz w:val="20"/>
                <w:szCs w:val="20"/>
              </w:rPr>
              <w:t>类别</w:t>
            </w:r>
          </w:p>
        </w:tc>
        <w:tc>
          <w:tcPr>
            <w:tcW w:w="647" w:type="pct"/>
            <w:vAlign w:val="center"/>
          </w:tcPr>
          <w:p>
            <w:pPr>
              <w:spacing w:line="240" w:lineRule="auto"/>
              <w:rPr>
                <w:rFonts w:hint="eastAsia" w:ascii="宋体" w:hAnsi="宋体" w:eastAsia="宋体" w:cs="宋体"/>
                <w:sz w:val="20"/>
                <w:szCs w:val="20"/>
              </w:rPr>
            </w:pPr>
            <w:r>
              <w:rPr>
                <w:rFonts w:hint="eastAsia" w:ascii="宋体" w:hAnsi="宋体" w:eastAsia="宋体" w:cs="宋体"/>
                <w:b/>
                <w:sz w:val="20"/>
                <w:szCs w:val="20"/>
              </w:rPr>
              <w:t>数量（/个）</w:t>
            </w:r>
          </w:p>
        </w:tc>
        <w:tc>
          <w:tcPr>
            <w:tcW w:w="1432" w:type="pct"/>
            <w:vAlign w:val="center"/>
          </w:tcPr>
          <w:p>
            <w:pPr>
              <w:spacing w:line="240" w:lineRule="auto"/>
              <w:rPr>
                <w:rFonts w:hint="eastAsia" w:ascii="宋体" w:hAnsi="宋体" w:eastAsia="宋体" w:cs="宋体"/>
                <w:b/>
                <w:sz w:val="20"/>
                <w:szCs w:val="20"/>
              </w:rPr>
            </w:pPr>
          </w:p>
        </w:tc>
        <w:tc>
          <w:tcPr>
            <w:tcW w:w="431" w:type="pct"/>
            <w:vAlign w:val="center"/>
          </w:tcPr>
          <w:p>
            <w:pPr>
              <w:spacing w:line="240" w:lineRule="auto"/>
              <w:rPr>
                <w:rFonts w:hint="eastAsia" w:ascii="宋体" w:hAnsi="宋体" w:eastAsia="宋体" w:cs="宋体"/>
                <w:b/>
                <w:sz w:val="20"/>
                <w:szCs w:val="20"/>
              </w:rPr>
            </w:pPr>
          </w:p>
        </w:tc>
        <w:tc>
          <w:tcPr>
            <w:tcW w:w="508" w:type="pct"/>
            <w:vAlign w:val="center"/>
          </w:tcPr>
          <w:p>
            <w:pPr>
              <w:spacing w:line="240" w:lineRule="auto"/>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pStyle w:val="9"/>
              <w:numPr>
                <w:ilvl w:val="0"/>
                <w:numId w:val="6"/>
              </w:numPr>
              <w:spacing w:line="240" w:lineRule="auto"/>
              <w:ind w:firstLineChars="0"/>
              <w:jc w:val="left"/>
              <w:rPr>
                <w:rFonts w:hint="eastAsia" w:ascii="宋体" w:hAnsi="宋体" w:eastAsia="宋体" w:cs="宋体"/>
                <w:sz w:val="20"/>
                <w:szCs w:val="20"/>
              </w:rPr>
            </w:pPr>
            <w:r>
              <w:rPr>
                <w:rFonts w:hint="eastAsia" w:ascii="宋体" w:hAnsi="宋体" w:eastAsia="宋体" w:cs="宋体"/>
                <w:kern w:val="0"/>
                <w:sz w:val="20"/>
                <w:szCs w:val="20"/>
              </w:rPr>
              <w:t>心电图机主机</w:t>
            </w:r>
          </w:p>
        </w:tc>
        <w:tc>
          <w:tcPr>
            <w:tcW w:w="647" w:type="pct"/>
            <w:vAlign w:val="center"/>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rPr>
              <w:t>1台</w:t>
            </w:r>
          </w:p>
        </w:tc>
        <w:tc>
          <w:tcPr>
            <w:tcW w:w="1432" w:type="pct"/>
            <w:vAlign w:val="center"/>
          </w:tcPr>
          <w:p>
            <w:pPr>
              <w:spacing w:line="240" w:lineRule="auto"/>
              <w:jc w:val="center"/>
              <w:rPr>
                <w:rFonts w:hint="eastAsia" w:ascii="宋体" w:hAnsi="宋体" w:eastAsia="宋体" w:cs="宋体"/>
                <w:sz w:val="20"/>
                <w:szCs w:val="20"/>
              </w:rPr>
            </w:pPr>
          </w:p>
        </w:tc>
        <w:tc>
          <w:tcPr>
            <w:tcW w:w="431" w:type="pct"/>
            <w:vAlign w:val="center"/>
          </w:tcPr>
          <w:p>
            <w:pPr>
              <w:spacing w:line="240" w:lineRule="auto"/>
              <w:jc w:val="center"/>
              <w:rPr>
                <w:rFonts w:hint="eastAsia" w:ascii="宋体" w:hAnsi="宋体" w:eastAsia="宋体" w:cs="宋体"/>
                <w:sz w:val="20"/>
                <w:szCs w:val="20"/>
              </w:rPr>
            </w:pPr>
          </w:p>
        </w:tc>
        <w:tc>
          <w:tcPr>
            <w:tcW w:w="508" w:type="pct"/>
            <w:vAlign w:val="center"/>
          </w:tcPr>
          <w:p>
            <w:pPr>
              <w:spacing w:line="24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pStyle w:val="9"/>
              <w:numPr>
                <w:ilvl w:val="0"/>
                <w:numId w:val="6"/>
              </w:numPr>
              <w:spacing w:line="240" w:lineRule="auto"/>
              <w:ind w:firstLineChars="0"/>
              <w:jc w:val="left"/>
              <w:rPr>
                <w:rFonts w:hint="eastAsia" w:ascii="宋体" w:hAnsi="宋体" w:eastAsia="宋体" w:cs="宋体"/>
                <w:sz w:val="20"/>
                <w:szCs w:val="20"/>
              </w:rPr>
            </w:pPr>
            <w:r>
              <w:rPr>
                <w:rFonts w:hint="eastAsia" w:ascii="宋体" w:hAnsi="宋体" w:eastAsia="宋体" w:cs="宋体"/>
                <w:kern w:val="0"/>
                <w:sz w:val="20"/>
                <w:szCs w:val="20"/>
              </w:rPr>
              <w:t>长效热敏纸</w:t>
            </w:r>
          </w:p>
        </w:tc>
        <w:tc>
          <w:tcPr>
            <w:tcW w:w="647" w:type="pct"/>
            <w:vAlign w:val="center"/>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rPr>
              <w:t>1本</w:t>
            </w:r>
          </w:p>
        </w:tc>
        <w:tc>
          <w:tcPr>
            <w:tcW w:w="1432" w:type="pct"/>
            <w:vAlign w:val="center"/>
          </w:tcPr>
          <w:p>
            <w:pPr>
              <w:spacing w:line="240" w:lineRule="auto"/>
              <w:jc w:val="center"/>
              <w:rPr>
                <w:rFonts w:hint="eastAsia" w:ascii="宋体" w:hAnsi="宋体" w:eastAsia="宋体" w:cs="宋体"/>
                <w:sz w:val="20"/>
                <w:szCs w:val="20"/>
              </w:rPr>
            </w:pPr>
          </w:p>
        </w:tc>
        <w:tc>
          <w:tcPr>
            <w:tcW w:w="431" w:type="pct"/>
            <w:vAlign w:val="center"/>
          </w:tcPr>
          <w:p>
            <w:pPr>
              <w:spacing w:line="240" w:lineRule="auto"/>
              <w:jc w:val="center"/>
              <w:rPr>
                <w:rFonts w:hint="eastAsia" w:ascii="宋体" w:hAnsi="宋体" w:eastAsia="宋体" w:cs="宋体"/>
                <w:sz w:val="20"/>
                <w:szCs w:val="20"/>
              </w:rPr>
            </w:pPr>
          </w:p>
        </w:tc>
        <w:tc>
          <w:tcPr>
            <w:tcW w:w="508" w:type="pct"/>
            <w:vAlign w:val="center"/>
          </w:tcPr>
          <w:p>
            <w:pPr>
              <w:spacing w:line="24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pStyle w:val="9"/>
              <w:numPr>
                <w:ilvl w:val="0"/>
                <w:numId w:val="6"/>
              </w:numPr>
              <w:spacing w:line="240" w:lineRule="auto"/>
              <w:ind w:firstLineChars="0"/>
              <w:jc w:val="left"/>
              <w:rPr>
                <w:rFonts w:hint="eastAsia" w:ascii="宋体" w:hAnsi="宋体" w:eastAsia="宋体" w:cs="宋体"/>
                <w:sz w:val="20"/>
                <w:szCs w:val="20"/>
              </w:rPr>
            </w:pPr>
            <w:r>
              <w:rPr>
                <w:rFonts w:hint="eastAsia" w:ascii="宋体" w:hAnsi="宋体" w:eastAsia="宋体" w:cs="宋体"/>
                <w:kern w:val="0"/>
                <w:sz w:val="20"/>
                <w:szCs w:val="20"/>
              </w:rPr>
              <w:t>热印头清洁笔</w:t>
            </w:r>
          </w:p>
        </w:tc>
        <w:tc>
          <w:tcPr>
            <w:tcW w:w="647" w:type="pct"/>
            <w:vAlign w:val="center"/>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rPr>
              <w:t>1支</w:t>
            </w:r>
          </w:p>
        </w:tc>
        <w:tc>
          <w:tcPr>
            <w:tcW w:w="1432" w:type="pct"/>
            <w:vAlign w:val="center"/>
          </w:tcPr>
          <w:p>
            <w:pPr>
              <w:spacing w:line="240" w:lineRule="auto"/>
              <w:jc w:val="center"/>
              <w:rPr>
                <w:rFonts w:hint="eastAsia" w:ascii="宋体" w:hAnsi="宋体" w:eastAsia="宋体" w:cs="宋体"/>
                <w:sz w:val="20"/>
                <w:szCs w:val="20"/>
              </w:rPr>
            </w:pPr>
          </w:p>
        </w:tc>
        <w:tc>
          <w:tcPr>
            <w:tcW w:w="431" w:type="pct"/>
            <w:vAlign w:val="center"/>
          </w:tcPr>
          <w:p>
            <w:pPr>
              <w:spacing w:line="240" w:lineRule="auto"/>
              <w:jc w:val="center"/>
              <w:rPr>
                <w:rFonts w:hint="eastAsia" w:ascii="宋体" w:hAnsi="宋体" w:eastAsia="宋体" w:cs="宋体"/>
                <w:sz w:val="20"/>
                <w:szCs w:val="20"/>
              </w:rPr>
            </w:pPr>
          </w:p>
        </w:tc>
        <w:tc>
          <w:tcPr>
            <w:tcW w:w="508" w:type="pct"/>
            <w:vAlign w:val="center"/>
          </w:tcPr>
          <w:p>
            <w:pPr>
              <w:spacing w:line="24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pStyle w:val="9"/>
              <w:numPr>
                <w:ilvl w:val="0"/>
                <w:numId w:val="6"/>
              </w:numPr>
              <w:spacing w:line="240" w:lineRule="auto"/>
              <w:ind w:firstLineChars="0"/>
              <w:jc w:val="left"/>
              <w:rPr>
                <w:rFonts w:hint="eastAsia" w:ascii="宋体" w:hAnsi="宋体" w:eastAsia="宋体" w:cs="宋体"/>
                <w:sz w:val="20"/>
                <w:szCs w:val="20"/>
              </w:rPr>
            </w:pPr>
            <w:r>
              <w:rPr>
                <w:rFonts w:hint="eastAsia" w:ascii="宋体" w:hAnsi="宋体" w:eastAsia="宋体" w:cs="宋体"/>
                <w:kern w:val="0"/>
                <w:sz w:val="20"/>
                <w:szCs w:val="20"/>
              </w:rPr>
              <w:t>输入检查用导电橡皮</w:t>
            </w:r>
          </w:p>
        </w:tc>
        <w:tc>
          <w:tcPr>
            <w:tcW w:w="647" w:type="pct"/>
            <w:vAlign w:val="center"/>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rPr>
              <w:t>1块</w:t>
            </w:r>
          </w:p>
        </w:tc>
        <w:tc>
          <w:tcPr>
            <w:tcW w:w="1432" w:type="pct"/>
            <w:vAlign w:val="center"/>
          </w:tcPr>
          <w:p>
            <w:pPr>
              <w:spacing w:line="240" w:lineRule="auto"/>
              <w:jc w:val="center"/>
              <w:rPr>
                <w:rFonts w:hint="eastAsia" w:ascii="宋体" w:hAnsi="宋体" w:eastAsia="宋体" w:cs="宋体"/>
                <w:sz w:val="20"/>
                <w:szCs w:val="20"/>
              </w:rPr>
            </w:pPr>
          </w:p>
        </w:tc>
        <w:tc>
          <w:tcPr>
            <w:tcW w:w="431" w:type="pct"/>
            <w:vAlign w:val="center"/>
          </w:tcPr>
          <w:p>
            <w:pPr>
              <w:spacing w:line="240" w:lineRule="auto"/>
              <w:jc w:val="center"/>
              <w:rPr>
                <w:rFonts w:hint="eastAsia" w:ascii="宋体" w:hAnsi="宋体" w:eastAsia="宋体" w:cs="宋体"/>
                <w:sz w:val="20"/>
                <w:szCs w:val="20"/>
              </w:rPr>
            </w:pPr>
          </w:p>
        </w:tc>
        <w:tc>
          <w:tcPr>
            <w:tcW w:w="508" w:type="pct"/>
            <w:vAlign w:val="center"/>
          </w:tcPr>
          <w:p>
            <w:pPr>
              <w:spacing w:line="24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pStyle w:val="9"/>
              <w:numPr>
                <w:ilvl w:val="0"/>
                <w:numId w:val="6"/>
              </w:numPr>
              <w:spacing w:line="240" w:lineRule="auto"/>
              <w:ind w:firstLineChars="0"/>
              <w:jc w:val="left"/>
              <w:rPr>
                <w:rFonts w:hint="eastAsia" w:ascii="宋体" w:hAnsi="宋体" w:eastAsia="宋体" w:cs="宋体"/>
                <w:sz w:val="20"/>
                <w:szCs w:val="20"/>
              </w:rPr>
            </w:pPr>
            <w:r>
              <w:rPr>
                <w:rFonts w:hint="eastAsia" w:ascii="宋体" w:hAnsi="宋体" w:eastAsia="宋体" w:cs="宋体"/>
                <w:kern w:val="0"/>
                <w:sz w:val="20"/>
                <w:szCs w:val="20"/>
              </w:rPr>
              <w:t>电源线</w:t>
            </w:r>
          </w:p>
        </w:tc>
        <w:tc>
          <w:tcPr>
            <w:tcW w:w="647" w:type="pct"/>
            <w:vAlign w:val="center"/>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rPr>
              <w:t>1根</w:t>
            </w:r>
          </w:p>
        </w:tc>
        <w:tc>
          <w:tcPr>
            <w:tcW w:w="1432" w:type="pct"/>
            <w:vAlign w:val="center"/>
          </w:tcPr>
          <w:p>
            <w:pPr>
              <w:spacing w:line="240" w:lineRule="auto"/>
              <w:jc w:val="center"/>
              <w:rPr>
                <w:rFonts w:hint="eastAsia" w:ascii="宋体" w:hAnsi="宋体" w:eastAsia="宋体" w:cs="宋体"/>
                <w:sz w:val="20"/>
                <w:szCs w:val="20"/>
              </w:rPr>
            </w:pPr>
          </w:p>
        </w:tc>
        <w:tc>
          <w:tcPr>
            <w:tcW w:w="431" w:type="pct"/>
            <w:vAlign w:val="center"/>
          </w:tcPr>
          <w:p>
            <w:pPr>
              <w:spacing w:line="240" w:lineRule="auto"/>
              <w:jc w:val="center"/>
              <w:rPr>
                <w:rFonts w:hint="eastAsia" w:ascii="宋体" w:hAnsi="宋体" w:eastAsia="宋体" w:cs="宋体"/>
                <w:sz w:val="20"/>
                <w:szCs w:val="20"/>
              </w:rPr>
            </w:pPr>
          </w:p>
        </w:tc>
        <w:tc>
          <w:tcPr>
            <w:tcW w:w="508" w:type="pct"/>
            <w:vAlign w:val="center"/>
          </w:tcPr>
          <w:p>
            <w:pPr>
              <w:spacing w:line="24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pStyle w:val="9"/>
              <w:numPr>
                <w:ilvl w:val="0"/>
                <w:numId w:val="6"/>
              </w:numPr>
              <w:spacing w:line="240" w:lineRule="auto"/>
              <w:ind w:firstLineChars="0"/>
              <w:jc w:val="left"/>
              <w:rPr>
                <w:rFonts w:hint="eastAsia" w:ascii="宋体" w:hAnsi="宋体" w:eastAsia="宋体" w:cs="宋体"/>
                <w:sz w:val="20"/>
                <w:szCs w:val="20"/>
              </w:rPr>
            </w:pPr>
            <w:r>
              <w:rPr>
                <w:rFonts w:hint="eastAsia" w:ascii="宋体" w:hAnsi="宋体" w:eastAsia="宋体" w:cs="宋体"/>
                <w:kern w:val="0"/>
                <w:sz w:val="20"/>
                <w:szCs w:val="20"/>
              </w:rPr>
              <w:t>导联线</w:t>
            </w:r>
          </w:p>
        </w:tc>
        <w:tc>
          <w:tcPr>
            <w:tcW w:w="647" w:type="pct"/>
            <w:vAlign w:val="center"/>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rPr>
              <w:t>1付</w:t>
            </w:r>
          </w:p>
        </w:tc>
        <w:tc>
          <w:tcPr>
            <w:tcW w:w="1432" w:type="pct"/>
            <w:vAlign w:val="center"/>
          </w:tcPr>
          <w:p>
            <w:pPr>
              <w:spacing w:line="240" w:lineRule="auto"/>
              <w:jc w:val="center"/>
              <w:rPr>
                <w:rFonts w:hint="eastAsia" w:ascii="宋体" w:hAnsi="宋体" w:eastAsia="宋体" w:cs="宋体"/>
                <w:sz w:val="20"/>
                <w:szCs w:val="20"/>
              </w:rPr>
            </w:pPr>
          </w:p>
        </w:tc>
        <w:tc>
          <w:tcPr>
            <w:tcW w:w="431" w:type="pct"/>
            <w:vAlign w:val="center"/>
          </w:tcPr>
          <w:p>
            <w:pPr>
              <w:spacing w:line="240" w:lineRule="auto"/>
              <w:jc w:val="center"/>
              <w:rPr>
                <w:rFonts w:hint="eastAsia" w:ascii="宋体" w:hAnsi="宋体" w:eastAsia="宋体" w:cs="宋体"/>
                <w:sz w:val="20"/>
                <w:szCs w:val="20"/>
              </w:rPr>
            </w:pPr>
          </w:p>
        </w:tc>
        <w:tc>
          <w:tcPr>
            <w:tcW w:w="508" w:type="pct"/>
            <w:vAlign w:val="center"/>
          </w:tcPr>
          <w:p>
            <w:pPr>
              <w:spacing w:line="24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pStyle w:val="9"/>
              <w:numPr>
                <w:ilvl w:val="0"/>
                <w:numId w:val="6"/>
              </w:numPr>
              <w:spacing w:line="240" w:lineRule="auto"/>
              <w:ind w:firstLineChars="0"/>
              <w:jc w:val="left"/>
              <w:rPr>
                <w:rFonts w:hint="eastAsia" w:ascii="宋体" w:hAnsi="宋体" w:eastAsia="宋体" w:cs="宋体"/>
                <w:sz w:val="20"/>
                <w:szCs w:val="20"/>
              </w:rPr>
            </w:pPr>
            <w:r>
              <w:rPr>
                <w:rFonts w:hint="eastAsia" w:ascii="宋体" w:hAnsi="宋体" w:eastAsia="宋体" w:cs="宋体"/>
                <w:kern w:val="0"/>
                <w:sz w:val="20"/>
                <w:szCs w:val="20"/>
              </w:rPr>
              <w:t>吸咐电极</w:t>
            </w:r>
          </w:p>
        </w:tc>
        <w:tc>
          <w:tcPr>
            <w:tcW w:w="647" w:type="pct"/>
            <w:vAlign w:val="center"/>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12</w:t>
            </w:r>
            <w:r>
              <w:rPr>
                <w:rFonts w:hint="eastAsia" w:ascii="宋体" w:hAnsi="宋体" w:eastAsia="宋体" w:cs="宋体"/>
                <w:sz w:val="20"/>
                <w:szCs w:val="20"/>
              </w:rPr>
              <w:t>只</w:t>
            </w:r>
          </w:p>
        </w:tc>
        <w:tc>
          <w:tcPr>
            <w:tcW w:w="1432" w:type="pct"/>
            <w:vAlign w:val="center"/>
          </w:tcPr>
          <w:p>
            <w:pPr>
              <w:spacing w:line="240" w:lineRule="auto"/>
              <w:jc w:val="center"/>
              <w:rPr>
                <w:rFonts w:hint="eastAsia" w:ascii="宋体" w:hAnsi="宋体" w:eastAsia="宋体" w:cs="宋体"/>
                <w:sz w:val="20"/>
                <w:szCs w:val="20"/>
                <w:lang w:val="en-US" w:eastAsia="zh-CN"/>
              </w:rPr>
            </w:pPr>
          </w:p>
        </w:tc>
        <w:tc>
          <w:tcPr>
            <w:tcW w:w="431" w:type="pct"/>
            <w:vAlign w:val="center"/>
          </w:tcPr>
          <w:p>
            <w:pPr>
              <w:spacing w:line="240" w:lineRule="auto"/>
              <w:jc w:val="center"/>
              <w:rPr>
                <w:rFonts w:hint="eastAsia" w:ascii="宋体" w:hAnsi="宋体" w:eastAsia="宋体" w:cs="宋体"/>
                <w:sz w:val="20"/>
                <w:szCs w:val="20"/>
                <w:lang w:val="en-US" w:eastAsia="zh-CN"/>
              </w:rPr>
            </w:pPr>
          </w:p>
        </w:tc>
        <w:tc>
          <w:tcPr>
            <w:tcW w:w="508" w:type="pct"/>
            <w:vAlign w:val="center"/>
          </w:tcPr>
          <w:p>
            <w:pPr>
              <w:spacing w:line="240" w:lineRule="auto"/>
              <w:jc w:val="center"/>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pStyle w:val="9"/>
              <w:numPr>
                <w:ilvl w:val="0"/>
                <w:numId w:val="6"/>
              </w:numPr>
              <w:spacing w:line="240" w:lineRule="auto"/>
              <w:ind w:firstLineChars="0"/>
              <w:jc w:val="left"/>
              <w:rPr>
                <w:rFonts w:hint="eastAsia" w:ascii="宋体" w:hAnsi="宋体" w:eastAsia="宋体" w:cs="宋体"/>
                <w:sz w:val="20"/>
                <w:szCs w:val="20"/>
              </w:rPr>
            </w:pPr>
            <w:r>
              <w:rPr>
                <w:rFonts w:hint="eastAsia" w:ascii="宋体" w:hAnsi="宋体" w:eastAsia="宋体" w:cs="宋体"/>
                <w:kern w:val="0"/>
                <w:sz w:val="20"/>
                <w:szCs w:val="20"/>
              </w:rPr>
              <w:t>电极夹</w:t>
            </w:r>
          </w:p>
        </w:tc>
        <w:tc>
          <w:tcPr>
            <w:tcW w:w="647" w:type="pct"/>
            <w:vAlign w:val="center"/>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8</w:t>
            </w:r>
            <w:r>
              <w:rPr>
                <w:rFonts w:hint="eastAsia" w:ascii="宋体" w:hAnsi="宋体" w:eastAsia="宋体" w:cs="宋体"/>
                <w:sz w:val="20"/>
                <w:szCs w:val="20"/>
              </w:rPr>
              <w:t>个</w:t>
            </w:r>
          </w:p>
        </w:tc>
        <w:tc>
          <w:tcPr>
            <w:tcW w:w="1432" w:type="pct"/>
            <w:vAlign w:val="center"/>
          </w:tcPr>
          <w:p>
            <w:pPr>
              <w:spacing w:line="240" w:lineRule="auto"/>
              <w:jc w:val="center"/>
              <w:rPr>
                <w:rFonts w:hint="eastAsia" w:ascii="宋体" w:hAnsi="宋体" w:eastAsia="宋体" w:cs="宋体"/>
                <w:sz w:val="20"/>
                <w:szCs w:val="20"/>
                <w:lang w:val="en-US" w:eastAsia="zh-CN"/>
              </w:rPr>
            </w:pPr>
          </w:p>
        </w:tc>
        <w:tc>
          <w:tcPr>
            <w:tcW w:w="431" w:type="pct"/>
            <w:vAlign w:val="center"/>
          </w:tcPr>
          <w:p>
            <w:pPr>
              <w:spacing w:line="240" w:lineRule="auto"/>
              <w:jc w:val="center"/>
              <w:rPr>
                <w:rFonts w:hint="eastAsia" w:ascii="宋体" w:hAnsi="宋体" w:eastAsia="宋体" w:cs="宋体"/>
                <w:sz w:val="20"/>
                <w:szCs w:val="20"/>
                <w:lang w:val="en-US" w:eastAsia="zh-CN"/>
              </w:rPr>
            </w:pPr>
          </w:p>
        </w:tc>
        <w:tc>
          <w:tcPr>
            <w:tcW w:w="508" w:type="pct"/>
            <w:vAlign w:val="center"/>
          </w:tcPr>
          <w:p>
            <w:pPr>
              <w:spacing w:line="240" w:lineRule="auto"/>
              <w:jc w:val="center"/>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pStyle w:val="9"/>
              <w:numPr>
                <w:ilvl w:val="0"/>
                <w:numId w:val="6"/>
              </w:numPr>
              <w:spacing w:line="240" w:lineRule="auto"/>
              <w:ind w:firstLineChars="0"/>
              <w:jc w:val="left"/>
              <w:rPr>
                <w:rFonts w:hint="eastAsia" w:ascii="宋体" w:hAnsi="宋体" w:eastAsia="宋体" w:cs="宋体"/>
                <w:sz w:val="20"/>
                <w:szCs w:val="20"/>
              </w:rPr>
            </w:pPr>
            <w:r>
              <w:rPr>
                <w:rFonts w:hint="eastAsia" w:ascii="宋体" w:hAnsi="宋体" w:eastAsia="宋体" w:cs="宋体"/>
                <w:kern w:val="0"/>
                <w:sz w:val="20"/>
                <w:szCs w:val="20"/>
              </w:rPr>
              <w:t>充电电池</w:t>
            </w:r>
          </w:p>
        </w:tc>
        <w:tc>
          <w:tcPr>
            <w:tcW w:w="647" w:type="pct"/>
            <w:vAlign w:val="center"/>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rPr>
              <w:t>1块</w:t>
            </w:r>
          </w:p>
        </w:tc>
        <w:tc>
          <w:tcPr>
            <w:tcW w:w="1432" w:type="pct"/>
            <w:vAlign w:val="center"/>
          </w:tcPr>
          <w:p>
            <w:pPr>
              <w:spacing w:line="240" w:lineRule="auto"/>
              <w:jc w:val="center"/>
              <w:rPr>
                <w:rFonts w:hint="eastAsia" w:ascii="宋体" w:hAnsi="宋体" w:eastAsia="宋体" w:cs="宋体"/>
                <w:sz w:val="20"/>
                <w:szCs w:val="20"/>
              </w:rPr>
            </w:pPr>
          </w:p>
        </w:tc>
        <w:tc>
          <w:tcPr>
            <w:tcW w:w="431" w:type="pct"/>
            <w:vAlign w:val="center"/>
          </w:tcPr>
          <w:p>
            <w:pPr>
              <w:spacing w:line="240" w:lineRule="auto"/>
              <w:jc w:val="center"/>
              <w:rPr>
                <w:rFonts w:hint="eastAsia" w:ascii="宋体" w:hAnsi="宋体" w:eastAsia="宋体" w:cs="宋体"/>
                <w:sz w:val="20"/>
                <w:szCs w:val="20"/>
              </w:rPr>
            </w:pPr>
          </w:p>
        </w:tc>
        <w:tc>
          <w:tcPr>
            <w:tcW w:w="508" w:type="pct"/>
            <w:vAlign w:val="center"/>
          </w:tcPr>
          <w:p>
            <w:pPr>
              <w:spacing w:line="24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pStyle w:val="9"/>
              <w:numPr>
                <w:ilvl w:val="0"/>
                <w:numId w:val="6"/>
              </w:numPr>
              <w:spacing w:line="240" w:lineRule="auto"/>
              <w:ind w:firstLineChars="0"/>
              <w:jc w:val="left"/>
              <w:rPr>
                <w:rFonts w:hint="eastAsia" w:ascii="宋体" w:hAnsi="宋体" w:eastAsia="宋体" w:cs="宋体"/>
                <w:sz w:val="20"/>
                <w:szCs w:val="20"/>
              </w:rPr>
            </w:pPr>
            <w:r>
              <w:rPr>
                <w:rFonts w:hint="eastAsia" w:ascii="宋体" w:hAnsi="宋体" w:eastAsia="宋体" w:cs="宋体"/>
                <w:kern w:val="0"/>
                <w:sz w:val="20"/>
                <w:szCs w:val="20"/>
              </w:rPr>
              <w:t>技术、使用说明书</w:t>
            </w:r>
          </w:p>
        </w:tc>
        <w:tc>
          <w:tcPr>
            <w:tcW w:w="647" w:type="pct"/>
            <w:vAlign w:val="center"/>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rPr>
              <w:t>1份</w:t>
            </w:r>
          </w:p>
        </w:tc>
        <w:tc>
          <w:tcPr>
            <w:tcW w:w="1432" w:type="pct"/>
            <w:vAlign w:val="center"/>
          </w:tcPr>
          <w:p>
            <w:pPr>
              <w:spacing w:line="240" w:lineRule="auto"/>
              <w:jc w:val="center"/>
              <w:rPr>
                <w:rFonts w:hint="eastAsia" w:ascii="宋体" w:hAnsi="宋体" w:eastAsia="宋体" w:cs="宋体"/>
                <w:sz w:val="20"/>
                <w:szCs w:val="20"/>
              </w:rPr>
            </w:pPr>
          </w:p>
        </w:tc>
        <w:tc>
          <w:tcPr>
            <w:tcW w:w="431" w:type="pct"/>
            <w:vAlign w:val="center"/>
          </w:tcPr>
          <w:p>
            <w:pPr>
              <w:spacing w:line="240" w:lineRule="auto"/>
              <w:jc w:val="center"/>
              <w:rPr>
                <w:rFonts w:hint="eastAsia" w:ascii="宋体" w:hAnsi="宋体" w:eastAsia="宋体" w:cs="宋体"/>
                <w:sz w:val="20"/>
                <w:szCs w:val="20"/>
              </w:rPr>
            </w:pPr>
          </w:p>
        </w:tc>
        <w:tc>
          <w:tcPr>
            <w:tcW w:w="508" w:type="pct"/>
            <w:vAlign w:val="center"/>
          </w:tcPr>
          <w:p>
            <w:pPr>
              <w:spacing w:line="24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pStyle w:val="9"/>
              <w:numPr>
                <w:ilvl w:val="0"/>
                <w:numId w:val="6"/>
              </w:numPr>
              <w:spacing w:line="240" w:lineRule="auto"/>
              <w:ind w:firstLineChars="0"/>
              <w:jc w:val="left"/>
              <w:rPr>
                <w:rFonts w:hint="eastAsia" w:ascii="宋体" w:hAnsi="宋体" w:eastAsia="宋体" w:cs="宋体"/>
                <w:sz w:val="20"/>
                <w:szCs w:val="20"/>
              </w:rPr>
            </w:pPr>
            <w:r>
              <w:rPr>
                <w:rFonts w:hint="eastAsia" w:ascii="宋体" w:hAnsi="宋体" w:eastAsia="宋体" w:cs="宋体"/>
                <w:kern w:val="0"/>
                <w:sz w:val="20"/>
                <w:szCs w:val="20"/>
              </w:rPr>
              <w:t>地线</w:t>
            </w:r>
          </w:p>
        </w:tc>
        <w:tc>
          <w:tcPr>
            <w:tcW w:w="647" w:type="pct"/>
            <w:vAlign w:val="center"/>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rPr>
              <w:t>1根</w:t>
            </w:r>
          </w:p>
        </w:tc>
        <w:tc>
          <w:tcPr>
            <w:tcW w:w="1432" w:type="pct"/>
            <w:vAlign w:val="center"/>
          </w:tcPr>
          <w:p>
            <w:pPr>
              <w:spacing w:line="240" w:lineRule="auto"/>
              <w:jc w:val="center"/>
              <w:rPr>
                <w:rFonts w:hint="eastAsia" w:ascii="宋体" w:hAnsi="宋体" w:eastAsia="宋体" w:cs="宋体"/>
                <w:sz w:val="20"/>
                <w:szCs w:val="20"/>
              </w:rPr>
            </w:pPr>
          </w:p>
        </w:tc>
        <w:tc>
          <w:tcPr>
            <w:tcW w:w="431" w:type="pct"/>
            <w:vAlign w:val="center"/>
          </w:tcPr>
          <w:p>
            <w:pPr>
              <w:spacing w:line="240" w:lineRule="auto"/>
              <w:jc w:val="center"/>
              <w:rPr>
                <w:rFonts w:hint="eastAsia" w:ascii="宋体" w:hAnsi="宋体" w:eastAsia="宋体" w:cs="宋体"/>
                <w:sz w:val="20"/>
                <w:szCs w:val="20"/>
              </w:rPr>
            </w:pPr>
          </w:p>
        </w:tc>
        <w:tc>
          <w:tcPr>
            <w:tcW w:w="508" w:type="pct"/>
            <w:vAlign w:val="center"/>
          </w:tcPr>
          <w:p>
            <w:pPr>
              <w:spacing w:line="240" w:lineRule="auto"/>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pStyle w:val="9"/>
              <w:numPr>
                <w:ilvl w:val="0"/>
                <w:numId w:val="6"/>
              </w:numPr>
              <w:spacing w:line="240" w:lineRule="auto"/>
              <w:ind w:firstLineChars="0"/>
              <w:jc w:val="left"/>
              <w:rPr>
                <w:rFonts w:hint="eastAsia" w:ascii="宋体" w:hAnsi="宋体" w:eastAsia="宋体" w:cs="宋体"/>
                <w:kern w:val="0"/>
                <w:sz w:val="20"/>
                <w:szCs w:val="20"/>
              </w:rPr>
            </w:pPr>
            <w:r>
              <w:rPr>
                <w:rFonts w:hint="eastAsia" w:ascii="宋体" w:hAnsi="宋体" w:eastAsia="宋体" w:cs="宋体"/>
                <w:kern w:val="0"/>
                <w:sz w:val="20"/>
                <w:szCs w:val="20"/>
                <w:lang w:eastAsia="zh-CN"/>
              </w:rPr>
              <w:t>心电图机推车</w:t>
            </w:r>
          </w:p>
        </w:tc>
        <w:tc>
          <w:tcPr>
            <w:tcW w:w="647" w:type="pct"/>
            <w:vAlign w:val="center"/>
          </w:tcPr>
          <w:p>
            <w:pPr>
              <w:spacing w:line="24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1台</w:t>
            </w:r>
          </w:p>
        </w:tc>
        <w:tc>
          <w:tcPr>
            <w:tcW w:w="1432" w:type="pct"/>
            <w:vAlign w:val="center"/>
          </w:tcPr>
          <w:p>
            <w:pPr>
              <w:spacing w:line="240" w:lineRule="auto"/>
              <w:jc w:val="center"/>
              <w:rPr>
                <w:rFonts w:hint="eastAsia" w:ascii="宋体" w:hAnsi="宋体" w:eastAsia="宋体" w:cs="宋体"/>
                <w:sz w:val="20"/>
                <w:szCs w:val="20"/>
                <w:lang w:val="en-US" w:eastAsia="zh-CN"/>
              </w:rPr>
            </w:pPr>
          </w:p>
        </w:tc>
        <w:tc>
          <w:tcPr>
            <w:tcW w:w="431" w:type="pct"/>
            <w:vAlign w:val="center"/>
          </w:tcPr>
          <w:p>
            <w:pPr>
              <w:spacing w:line="240" w:lineRule="auto"/>
              <w:jc w:val="center"/>
              <w:rPr>
                <w:rFonts w:hint="eastAsia" w:ascii="宋体" w:hAnsi="宋体" w:eastAsia="宋体" w:cs="宋体"/>
                <w:sz w:val="20"/>
                <w:szCs w:val="20"/>
                <w:lang w:val="en-US" w:eastAsia="zh-CN"/>
              </w:rPr>
            </w:pPr>
          </w:p>
        </w:tc>
        <w:tc>
          <w:tcPr>
            <w:tcW w:w="508" w:type="pct"/>
            <w:vAlign w:val="center"/>
          </w:tcPr>
          <w:p>
            <w:pPr>
              <w:spacing w:line="240" w:lineRule="auto"/>
              <w:jc w:val="center"/>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tcPr>
          <w:p>
            <w:pPr>
              <w:spacing w:line="240" w:lineRule="auto"/>
              <w:rPr>
                <w:rFonts w:hint="eastAsia" w:ascii="宋体" w:hAnsi="宋体" w:eastAsia="宋体" w:cs="宋体"/>
                <w:sz w:val="20"/>
                <w:szCs w:val="20"/>
              </w:rPr>
            </w:pPr>
          </w:p>
        </w:tc>
        <w:tc>
          <w:tcPr>
            <w:tcW w:w="209" w:type="pct"/>
            <w:vMerge w:val="continue"/>
          </w:tcPr>
          <w:p>
            <w:pPr>
              <w:spacing w:line="240" w:lineRule="auto"/>
              <w:rPr>
                <w:rFonts w:hint="eastAsia" w:ascii="宋体" w:hAnsi="宋体" w:eastAsia="宋体" w:cs="宋体"/>
                <w:sz w:val="20"/>
                <w:szCs w:val="20"/>
              </w:rPr>
            </w:pPr>
          </w:p>
        </w:tc>
        <w:tc>
          <w:tcPr>
            <w:tcW w:w="1561" w:type="pct"/>
            <w:vAlign w:val="center"/>
          </w:tcPr>
          <w:p>
            <w:pPr>
              <w:pStyle w:val="9"/>
              <w:numPr>
                <w:ilvl w:val="0"/>
                <w:numId w:val="6"/>
              </w:numPr>
              <w:spacing w:line="240" w:lineRule="auto"/>
              <w:ind w:firstLineChars="0"/>
              <w:jc w:val="left"/>
              <w:rPr>
                <w:rFonts w:hint="eastAsia" w:ascii="宋体" w:hAnsi="宋体" w:eastAsia="宋体" w:cs="宋体"/>
                <w:sz w:val="20"/>
                <w:szCs w:val="20"/>
              </w:rPr>
            </w:pPr>
            <w:r>
              <w:rPr>
                <w:rFonts w:hint="eastAsia" w:ascii="宋体" w:hAnsi="宋体" w:eastAsia="宋体" w:cs="宋体"/>
                <w:sz w:val="20"/>
                <w:szCs w:val="20"/>
              </w:rPr>
              <w:t>合格证</w:t>
            </w:r>
          </w:p>
        </w:tc>
        <w:tc>
          <w:tcPr>
            <w:tcW w:w="647" w:type="pct"/>
            <w:vAlign w:val="center"/>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rPr>
              <w:t>1张</w:t>
            </w:r>
          </w:p>
        </w:tc>
        <w:tc>
          <w:tcPr>
            <w:tcW w:w="1432" w:type="pct"/>
            <w:vAlign w:val="center"/>
          </w:tcPr>
          <w:p>
            <w:pPr>
              <w:spacing w:line="240" w:lineRule="auto"/>
              <w:jc w:val="center"/>
              <w:rPr>
                <w:rFonts w:hint="eastAsia" w:ascii="宋体" w:hAnsi="宋体" w:eastAsia="宋体" w:cs="宋体"/>
                <w:sz w:val="20"/>
                <w:szCs w:val="20"/>
              </w:rPr>
            </w:pPr>
          </w:p>
        </w:tc>
        <w:tc>
          <w:tcPr>
            <w:tcW w:w="431" w:type="pct"/>
            <w:vAlign w:val="center"/>
          </w:tcPr>
          <w:p>
            <w:pPr>
              <w:spacing w:line="240" w:lineRule="auto"/>
              <w:jc w:val="center"/>
              <w:rPr>
                <w:rFonts w:hint="eastAsia" w:ascii="宋体" w:hAnsi="宋体" w:eastAsia="宋体" w:cs="宋体"/>
                <w:sz w:val="20"/>
                <w:szCs w:val="20"/>
              </w:rPr>
            </w:pPr>
          </w:p>
        </w:tc>
        <w:tc>
          <w:tcPr>
            <w:tcW w:w="508" w:type="pct"/>
            <w:vAlign w:val="center"/>
          </w:tcPr>
          <w:p>
            <w:pPr>
              <w:spacing w:line="240" w:lineRule="auto"/>
              <w:jc w:val="center"/>
              <w:rPr>
                <w:rFonts w:hint="eastAsia" w:ascii="宋体" w:hAnsi="宋体" w:eastAsia="宋体" w:cs="宋体"/>
                <w:sz w:val="20"/>
                <w:szCs w:val="20"/>
              </w:rPr>
            </w:pPr>
          </w:p>
        </w:tc>
      </w:tr>
    </w:tbl>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pStyle w:val="2"/>
        <w:numPr>
          <w:ilvl w:val="0"/>
          <w:numId w:val="0"/>
        </w:numPr>
        <w:rPr>
          <w:rFonts w:hint="eastAsia" w:ascii="微软雅黑" w:hAnsi="微软雅黑" w:eastAsia="微软雅黑" w:cs="微软雅黑"/>
          <w:b w:val="0"/>
          <w:bCs w:val="0"/>
          <w:sz w:val="28"/>
          <w:lang w:val="en-US" w:eastAsia="zh-CN"/>
        </w:rPr>
      </w:pPr>
      <w:r>
        <w:rPr>
          <w:rFonts w:hint="eastAsia" w:ascii="微软雅黑" w:hAnsi="微软雅黑" w:eastAsia="微软雅黑" w:cs="微软雅黑"/>
          <w:b/>
          <w:bCs/>
          <w:sz w:val="28"/>
          <w:lang w:val="en-US" w:eastAsia="zh-CN"/>
        </w:rPr>
        <w:t>九、商务应答表</w:t>
      </w:r>
      <w:r>
        <w:rPr>
          <w:rFonts w:hint="eastAsia" w:ascii="宋体" w:hAnsi="宋体" w:eastAsia="宋体" w:cs="宋体"/>
          <w:b/>
          <w:bCs/>
          <w:color w:val="FF0000"/>
          <w:kern w:val="0"/>
          <w:sz w:val="24"/>
          <w:szCs w:val="24"/>
          <w:highlight w:val="none"/>
          <w:lang w:val="en-US" w:eastAsia="zh-CN"/>
        </w:rPr>
        <w:t>（※所有招标商务条款需完全满足，若有负偏离则按废标处理。）</w:t>
      </w:r>
    </w:p>
    <w:p>
      <w:pPr>
        <w:rPr>
          <w:rFonts w:hint="eastAsia" w:ascii="宋体" w:hAnsi="宋体" w:eastAsia="宋体" w:cs="宋体"/>
          <w:color w:val="auto"/>
          <w:sz w:val="24"/>
          <w:szCs w:val="24"/>
          <w:highlight w:val="none"/>
          <w:lang w:val="en-US" w:eastAsia="zh-CN"/>
        </w:rPr>
      </w:pPr>
    </w:p>
    <w:tbl>
      <w:tblPr>
        <w:tblStyle w:val="5"/>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5066"/>
        <w:gridCol w:w="2149"/>
        <w:gridCol w:w="76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1" w:type="pct"/>
            <w:vAlign w:val="center"/>
          </w:tcPr>
          <w:p>
            <w:pPr>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项目</w:t>
            </w:r>
          </w:p>
        </w:tc>
        <w:tc>
          <w:tcPr>
            <w:tcW w:w="2547" w:type="pct"/>
            <w:vAlign w:val="center"/>
          </w:tcPr>
          <w:p>
            <w:pPr>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招标商务条款要求</w:t>
            </w:r>
          </w:p>
        </w:tc>
        <w:tc>
          <w:tcPr>
            <w:tcW w:w="1080" w:type="pct"/>
            <w:vAlign w:val="center"/>
          </w:tcPr>
          <w:p>
            <w:pPr>
              <w:spacing w:line="240" w:lineRule="auto"/>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投标商务条款</w:t>
            </w:r>
          </w:p>
        </w:tc>
        <w:tc>
          <w:tcPr>
            <w:tcW w:w="382" w:type="pct"/>
            <w:vAlign w:val="center"/>
          </w:tcPr>
          <w:p>
            <w:pPr>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偏离</w:t>
            </w:r>
          </w:p>
          <w:p>
            <w:pPr>
              <w:spacing w:line="240" w:lineRule="auto"/>
              <w:jc w:val="center"/>
              <w:rPr>
                <w:rFonts w:hint="eastAsia" w:ascii="宋体" w:hAnsi="宋体" w:eastAsia="宋体" w:cs="宋体"/>
                <w:sz w:val="21"/>
                <w:szCs w:val="21"/>
              </w:rPr>
            </w:pPr>
            <w:r>
              <w:rPr>
                <w:rFonts w:hint="eastAsia" w:ascii="宋体" w:hAnsi="宋体" w:eastAsia="宋体" w:cs="宋体"/>
                <w:b/>
                <w:bCs/>
                <w:sz w:val="21"/>
                <w:szCs w:val="21"/>
                <w:lang w:eastAsia="zh-CN"/>
              </w:rPr>
              <w:t>情况</w:t>
            </w:r>
          </w:p>
        </w:tc>
        <w:tc>
          <w:tcPr>
            <w:tcW w:w="518" w:type="pct"/>
            <w:vAlign w:val="center"/>
          </w:tcPr>
          <w:p>
            <w:pPr>
              <w:spacing w:line="240" w:lineRule="auto"/>
              <w:jc w:val="center"/>
              <w:rPr>
                <w:rFonts w:hint="eastAsia" w:ascii="宋体" w:hAnsi="宋体" w:eastAsia="宋体" w:cs="宋体"/>
                <w:sz w:val="21"/>
                <w:szCs w:val="21"/>
              </w:rPr>
            </w:pPr>
            <w:r>
              <w:rPr>
                <w:rFonts w:hint="eastAsia" w:ascii="宋体" w:hAnsi="宋体" w:eastAsia="宋体" w:cs="宋体"/>
                <w:b/>
                <w:bCs/>
                <w:sz w:val="21"/>
                <w:szCs w:val="21"/>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restart"/>
            <w:vAlign w:val="center"/>
          </w:tcPr>
          <w:p>
            <w:pPr>
              <w:pStyle w:val="2"/>
              <w:numPr>
                <w:ilvl w:val="0"/>
                <w:numId w:val="7"/>
              </w:numPr>
              <w:spacing w:line="240" w:lineRule="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维修及维护服务</w:t>
            </w:r>
          </w:p>
          <w:p>
            <w:pPr>
              <w:spacing w:line="240" w:lineRule="auto"/>
              <w:jc w:val="center"/>
              <w:rPr>
                <w:rFonts w:hint="eastAsia" w:ascii="宋体" w:hAnsi="宋体" w:eastAsia="宋体" w:cs="宋体"/>
                <w:b/>
                <w:bCs/>
                <w:sz w:val="21"/>
                <w:szCs w:val="21"/>
                <w:lang w:eastAsia="zh-CN"/>
              </w:rPr>
            </w:pPr>
          </w:p>
        </w:tc>
        <w:tc>
          <w:tcPr>
            <w:tcW w:w="2547" w:type="pct"/>
            <w:vAlign w:val="center"/>
          </w:tcPr>
          <w:p>
            <w:pPr>
              <w:pStyle w:val="2"/>
              <w:numPr>
                <w:ilvl w:val="1"/>
                <w:numId w:val="7"/>
              </w:numPr>
              <w:spacing w:line="240" w:lineRule="auto"/>
              <w:rPr>
                <w:rFonts w:hint="eastAsia" w:ascii="宋体" w:hAnsi="宋体" w:eastAsia="宋体" w:cs="宋体"/>
                <w:b/>
                <w:bCs/>
                <w:sz w:val="21"/>
                <w:szCs w:val="21"/>
                <w:lang w:val="en-US" w:eastAsia="zh-CN"/>
              </w:rPr>
            </w:pPr>
            <w:r>
              <w:rPr>
                <w:rFonts w:hint="eastAsia" w:ascii="宋体" w:hAnsi="宋体" w:eastAsia="宋体" w:cs="宋体"/>
                <w:color w:val="auto"/>
                <w:kern w:val="0"/>
                <w:sz w:val="21"/>
                <w:szCs w:val="21"/>
              </w:rPr>
              <w:t>各投标人应在投标文件中列明各主机、配件和易耗品的保修期限,并</w:t>
            </w:r>
            <w:r>
              <w:rPr>
                <w:rFonts w:hint="eastAsia" w:ascii="宋体" w:hAnsi="宋体" w:eastAsia="宋体" w:cs="宋体"/>
                <w:color w:val="auto"/>
                <w:kern w:val="0"/>
                <w:sz w:val="21"/>
                <w:szCs w:val="21"/>
                <w:lang w:eastAsia="zh-CN"/>
              </w:rPr>
              <w:t>保证</w:t>
            </w:r>
            <w:r>
              <w:rPr>
                <w:rFonts w:hint="eastAsia" w:ascii="宋体" w:hAnsi="宋体" w:eastAsia="宋体" w:cs="宋体"/>
                <w:color w:val="auto"/>
                <w:kern w:val="0"/>
                <w:sz w:val="21"/>
                <w:szCs w:val="21"/>
              </w:rPr>
              <w:t>提供整机免费保修期</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rPr>
              <w:t>。保修期内免费更换零配件、免工时费。设备在保修期内</w:t>
            </w:r>
            <w:r>
              <w:rPr>
                <w:rFonts w:hint="eastAsia" w:ascii="宋体" w:hAnsi="宋体" w:eastAsia="宋体" w:cs="宋体"/>
                <w:color w:val="auto"/>
                <w:kern w:val="0"/>
                <w:sz w:val="21"/>
                <w:szCs w:val="21"/>
                <w:lang w:eastAsia="zh-CN"/>
              </w:rPr>
              <w:t>投标人</w:t>
            </w:r>
            <w:r>
              <w:rPr>
                <w:rFonts w:hint="eastAsia" w:ascii="宋体" w:hAnsi="宋体" w:eastAsia="宋体" w:cs="宋体"/>
                <w:color w:val="auto"/>
                <w:kern w:val="0"/>
                <w:sz w:val="21"/>
                <w:szCs w:val="21"/>
              </w:rPr>
              <w:t>需</w:t>
            </w:r>
            <w:r>
              <w:rPr>
                <w:rFonts w:hint="eastAsia" w:ascii="宋体" w:hAnsi="宋体" w:eastAsia="宋体" w:cs="宋体"/>
                <w:color w:val="auto"/>
                <w:kern w:val="0"/>
                <w:sz w:val="21"/>
                <w:szCs w:val="21"/>
                <w:lang w:eastAsia="zh-CN"/>
              </w:rPr>
              <w:t>保证</w:t>
            </w:r>
            <w:r>
              <w:rPr>
                <w:rFonts w:hint="eastAsia" w:ascii="宋体" w:hAnsi="宋体" w:eastAsia="宋体" w:cs="宋体"/>
                <w:color w:val="auto"/>
                <w:kern w:val="0"/>
                <w:sz w:val="21"/>
                <w:szCs w:val="21"/>
              </w:rPr>
              <w:t>由原厂进行维修，出原厂维修报告。保修期自采购人签署验收报告之日起开始计算。</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pPr>
              <w:spacing w:line="240" w:lineRule="auto"/>
              <w:jc w:val="center"/>
              <w:rPr>
                <w:rFonts w:hint="eastAsia" w:ascii="宋体" w:hAnsi="宋体" w:eastAsia="宋体" w:cs="宋体"/>
                <w:b/>
                <w:bCs/>
                <w:sz w:val="21"/>
                <w:szCs w:val="21"/>
                <w:lang w:eastAsia="zh-CN"/>
              </w:rPr>
            </w:pPr>
          </w:p>
        </w:tc>
        <w:tc>
          <w:tcPr>
            <w:tcW w:w="2547" w:type="pct"/>
            <w:vAlign w:val="center"/>
          </w:tcPr>
          <w:p>
            <w:pPr>
              <w:pStyle w:val="2"/>
              <w:numPr>
                <w:ilvl w:val="1"/>
                <w:numId w:val="7"/>
              </w:numPr>
              <w:spacing w:line="240" w:lineRule="auto"/>
              <w:rPr>
                <w:rFonts w:hint="eastAsia" w:ascii="宋体" w:hAnsi="宋体" w:eastAsia="宋体" w:cs="宋体"/>
                <w:b/>
                <w:bCs/>
                <w:sz w:val="21"/>
                <w:szCs w:val="21"/>
                <w:lang w:val="en-US" w:eastAsia="zh-CN"/>
              </w:rPr>
            </w:pPr>
            <w:r>
              <w:rPr>
                <w:rFonts w:hint="eastAsia" w:ascii="宋体" w:hAnsi="宋体" w:eastAsia="宋体" w:cs="宋体"/>
                <w:color w:val="auto"/>
                <w:kern w:val="0"/>
                <w:sz w:val="21"/>
                <w:szCs w:val="21"/>
                <w:lang w:eastAsia="zh-CN"/>
              </w:rPr>
              <w:t>投标人中标后</w:t>
            </w:r>
            <w:r>
              <w:rPr>
                <w:rFonts w:hint="eastAsia" w:ascii="宋体" w:hAnsi="宋体" w:eastAsia="宋体" w:cs="宋体"/>
                <w:color w:val="auto"/>
                <w:kern w:val="0"/>
                <w:sz w:val="21"/>
                <w:szCs w:val="21"/>
              </w:rPr>
              <w:t>必须提供与产品原厂签订的售后服务授权协议书</w:t>
            </w:r>
            <w:r>
              <w:rPr>
                <w:rFonts w:hint="eastAsia" w:ascii="宋体" w:hAnsi="宋体" w:eastAsia="宋体" w:cs="宋体"/>
                <w:color w:val="auto"/>
                <w:kern w:val="0"/>
                <w:sz w:val="21"/>
                <w:szCs w:val="21"/>
                <w:lang w:eastAsia="zh-CN"/>
              </w:rPr>
              <w:t>。</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restart"/>
            <w:vAlign w:val="center"/>
          </w:tcPr>
          <w:p>
            <w:pPr>
              <w:pStyle w:val="2"/>
              <w:numPr>
                <w:ilvl w:val="0"/>
                <w:numId w:val="7"/>
              </w:numPr>
              <w:spacing w:line="240" w:lineRule="auto"/>
              <w:ind w:left="0" w:leftChars="0" w:firstLine="0" w:firstLineChars="0"/>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质量保证</w:t>
            </w:r>
          </w:p>
          <w:p>
            <w:pPr>
              <w:spacing w:line="240" w:lineRule="auto"/>
              <w:jc w:val="center"/>
              <w:rPr>
                <w:rFonts w:hint="eastAsia" w:ascii="宋体" w:hAnsi="宋体" w:eastAsia="宋体" w:cs="宋体"/>
                <w:b/>
                <w:bCs/>
                <w:sz w:val="21"/>
                <w:szCs w:val="21"/>
                <w:lang w:eastAsia="zh-CN"/>
              </w:rPr>
            </w:pPr>
          </w:p>
        </w:tc>
        <w:tc>
          <w:tcPr>
            <w:tcW w:w="2547" w:type="pct"/>
            <w:vAlign w:val="center"/>
          </w:tcPr>
          <w:p>
            <w:pPr>
              <w:pStyle w:val="2"/>
              <w:numPr>
                <w:ilvl w:val="1"/>
                <w:numId w:val="7"/>
              </w:numPr>
              <w:spacing w:line="240" w:lineRule="auto"/>
              <w:ind w:left="0" w:leftChars="0" w:firstLine="0" w:firstLineChars="0"/>
              <w:rPr>
                <w:rFonts w:hint="eastAsia" w:ascii="宋体" w:hAnsi="宋体" w:eastAsia="宋体" w:cs="宋体"/>
                <w:b/>
                <w:bCs/>
                <w:sz w:val="21"/>
                <w:szCs w:val="21"/>
                <w:lang w:eastAsia="zh-CN"/>
              </w:rPr>
            </w:pPr>
            <w:r>
              <w:rPr>
                <w:rFonts w:hint="eastAsia" w:ascii="宋体" w:hAnsi="宋体" w:eastAsia="宋体" w:cs="宋体"/>
                <w:color w:val="auto"/>
                <w:kern w:val="0"/>
                <w:sz w:val="21"/>
                <w:szCs w:val="21"/>
              </w:rPr>
              <w:t>保修期到期前</w:t>
            </w:r>
            <w:r>
              <w:rPr>
                <w:rFonts w:hint="eastAsia" w:ascii="宋体" w:hAnsi="宋体" w:eastAsia="宋体" w:cs="宋体"/>
                <w:color w:val="auto"/>
                <w:kern w:val="0"/>
                <w:sz w:val="21"/>
                <w:szCs w:val="21"/>
                <w:u w:val="single"/>
              </w:rPr>
              <w:t xml:space="preserve"> 3 </w:t>
            </w:r>
            <w:r>
              <w:rPr>
                <w:rFonts w:hint="eastAsia" w:ascii="宋体" w:hAnsi="宋体" w:eastAsia="宋体" w:cs="宋体"/>
                <w:color w:val="auto"/>
                <w:kern w:val="0"/>
                <w:sz w:val="21"/>
                <w:szCs w:val="21"/>
              </w:rPr>
              <w:t>个月内投标人需提供设备运行状态评估报告及过保后设备维护方案，保证提供有效的非现场技术支持服务和联系方式。</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pPr>
              <w:spacing w:line="240" w:lineRule="auto"/>
              <w:jc w:val="center"/>
              <w:rPr>
                <w:rFonts w:hint="eastAsia" w:ascii="宋体" w:hAnsi="宋体" w:eastAsia="宋体" w:cs="宋体"/>
                <w:b/>
                <w:bCs/>
                <w:sz w:val="21"/>
                <w:szCs w:val="21"/>
                <w:lang w:eastAsia="zh-CN"/>
              </w:rPr>
            </w:pPr>
          </w:p>
        </w:tc>
        <w:tc>
          <w:tcPr>
            <w:tcW w:w="2547" w:type="pct"/>
            <w:vAlign w:val="center"/>
          </w:tcPr>
          <w:p>
            <w:pPr>
              <w:pStyle w:val="2"/>
              <w:numPr>
                <w:ilvl w:val="1"/>
                <w:numId w:val="7"/>
              </w:numPr>
              <w:spacing w:line="240" w:lineRule="auto"/>
              <w:ind w:left="0" w:leftChars="0" w:firstLine="0" w:firstLineChars="0"/>
              <w:rPr>
                <w:rFonts w:hint="eastAsia" w:ascii="宋体" w:hAnsi="宋体" w:eastAsia="宋体" w:cs="宋体"/>
                <w:b/>
                <w:bCs/>
                <w:sz w:val="21"/>
                <w:szCs w:val="21"/>
                <w:lang w:eastAsia="zh-CN"/>
              </w:rPr>
            </w:pPr>
            <w:r>
              <w:rPr>
                <w:rFonts w:hint="eastAsia" w:ascii="宋体" w:hAnsi="宋体" w:eastAsia="宋体" w:cs="宋体"/>
                <w:color w:val="auto"/>
                <w:kern w:val="0"/>
                <w:sz w:val="21"/>
                <w:szCs w:val="21"/>
                <w:lang w:eastAsia="zh-CN"/>
              </w:rPr>
              <w:t>投标人保证</w:t>
            </w:r>
            <w:r>
              <w:rPr>
                <w:rFonts w:hint="eastAsia" w:ascii="宋体" w:hAnsi="宋体" w:eastAsia="宋体" w:cs="宋体"/>
                <w:color w:val="auto"/>
                <w:kern w:val="0"/>
                <w:sz w:val="21"/>
                <w:szCs w:val="21"/>
              </w:rPr>
              <w:t>由设备制造商提供售后服务，</w:t>
            </w:r>
            <w:r>
              <w:rPr>
                <w:rFonts w:hint="eastAsia" w:ascii="宋体" w:hAnsi="宋体" w:eastAsia="宋体" w:cs="宋体"/>
                <w:bCs/>
                <w:color w:val="auto"/>
                <w:kern w:val="0"/>
                <w:sz w:val="21"/>
                <w:szCs w:val="21"/>
                <w:u w:val="single"/>
              </w:rPr>
              <w:t xml:space="preserve"> 1 </w:t>
            </w:r>
            <w:r>
              <w:rPr>
                <w:rFonts w:hint="eastAsia" w:ascii="宋体" w:hAnsi="宋体" w:eastAsia="宋体" w:cs="宋体"/>
                <w:color w:val="auto"/>
                <w:kern w:val="0"/>
                <w:sz w:val="21"/>
                <w:szCs w:val="21"/>
              </w:rPr>
              <w:t>小时内响应，</w:t>
            </w:r>
            <w:r>
              <w:rPr>
                <w:rFonts w:hint="eastAsia" w:ascii="宋体" w:hAnsi="宋体" w:eastAsia="宋体" w:cs="宋体"/>
                <w:bCs/>
                <w:color w:val="auto"/>
                <w:kern w:val="0"/>
                <w:sz w:val="21"/>
                <w:szCs w:val="21"/>
                <w:u w:val="single"/>
              </w:rPr>
              <w:t xml:space="preserve"> 8 </w:t>
            </w:r>
            <w:r>
              <w:rPr>
                <w:rFonts w:hint="eastAsia" w:ascii="宋体" w:hAnsi="宋体" w:eastAsia="宋体" w:cs="宋体"/>
                <w:color w:val="auto"/>
                <w:kern w:val="0"/>
                <w:sz w:val="21"/>
                <w:szCs w:val="21"/>
              </w:rPr>
              <w:t>小时维修到位，并在</w:t>
            </w:r>
            <w:r>
              <w:rPr>
                <w:rFonts w:hint="eastAsia" w:ascii="宋体" w:hAnsi="宋体" w:eastAsia="宋体" w:cs="宋体"/>
                <w:color w:val="auto"/>
                <w:kern w:val="0"/>
                <w:sz w:val="21"/>
                <w:szCs w:val="21"/>
                <w:u w:val="single"/>
              </w:rPr>
              <w:t xml:space="preserve"> 24</w:t>
            </w:r>
            <w:r>
              <w:rPr>
                <w:rFonts w:hint="eastAsia" w:ascii="宋体" w:hAnsi="宋体" w:eastAsia="宋体" w:cs="宋体"/>
                <w:color w:val="auto"/>
                <w:kern w:val="0"/>
                <w:sz w:val="21"/>
                <w:szCs w:val="21"/>
              </w:rPr>
              <w:t>小时内消除故障（不可抗力情况除外）。</w:t>
            </w:r>
            <w:r>
              <w:rPr>
                <w:rFonts w:hint="eastAsia" w:ascii="宋体" w:hAnsi="宋体" w:eastAsia="宋体" w:cs="宋体"/>
                <w:color w:val="auto"/>
                <w:sz w:val="21"/>
                <w:szCs w:val="21"/>
                <w:lang w:eastAsia="zh-CN"/>
              </w:rPr>
              <w:t>投标人保证</w:t>
            </w:r>
            <w:r>
              <w:rPr>
                <w:rFonts w:hint="eastAsia" w:ascii="宋体" w:hAnsi="宋体" w:eastAsia="宋体" w:cs="宋体"/>
                <w:color w:val="auto"/>
                <w:kern w:val="0"/>
                <w:sz w:val="21"/>
                <w:szCs w:val="21"/>
              </w:rPr>
              <w:t>消耗品和零配件供应及时，特殊情况下可提供备用机</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在境内有相应的零配件保税库,并出具证明文件。</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restart"/>
            <w:vAlign w:val="center"/>
          </w:tcPr>
          <w:p>
            <w:pPr>
              <w:pStyle w:val="2"/>
              <w:numPr>
                <w:ilvl w:val="0"/>
                <w:numId w:val="7"/>
              </w:numPr>
              <w:spacing w:line="240" w:lineRule="auto"/>
              <w:ind w:left="0" w:leftChars="0" w:firstLine="0" w:firstLineChars="0"/>
              <w:rPr>
                <w:rFonts w:hint="eastAsia" w:ascii="宋体" w:hAnsi="宋体" w:eastAsia="宋体" w:cs="宋体"/>
                <w:b/>
                <w:bCs/>
                <w:sz w:val="21"/>
                <w:szCs w:val="21"/>
                <w:lang w:eastAsia="zh-CN"/>
              </w:rPr>
            </w:pPr>
            <w:r>
              <w:rPr>
                <w:rFonts w:hint="eastAsia" w:ascii="宋体" w:hAnsi="宋体" w:eastAsia="宋体" w:cs="宋体"/>
                <w:b/>
                <w:bCs/>
                <w:color w:val="auto"/>
                <w:kern w:val="0"/>
                <w:sz w:val="21"/>
                <w:szCs w:val="21"/>
                <w:lang w:val="en-US" w:eastAsia="zh-CN"/>
              </w:rPr>
              <w:t>交货要求</w:t>
            </w:r>
          </w:p>
        </w:tc>
        <w:tc>
          <w:tcPr>
            <w:tcW w:w="2547" w:type="pct"/>
            <w:vAlign w:val="center"/>
          </w:tcPr>
          <w:p>
            <w:pPr>
              <w:pStyle w:val="2"/>
              <w:numPr>
                <w:ilvl w:val="1"/>
                <w:numId w:val="7"/>
              </w:numPr>
              <w:spacing w:line="240" w:lineRule="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投标人在签订合同之日起</w:t>
            </w:r>
            <w:r>
              <w:rPr>
                <w:rFonts w:hint="eastAsia" w:ascii="宋体" w:hAnsi="宋体" w:eastAsia="宋体" w:cs="宋体"/>
                <w:bCs/>
                <w:color w:val="auto"/>
                <w:kern w:val="0"/>
                <w:sz w:val="21"/>
                <w:szCs w:val="21"/>
                <w:highlight w:val="none"/>
                <w:u w:val="single"/>
                <w:lang w:val="en-US" w:eastAsia="zh-CN"/>
              </w:rPr>
              <w:t>15</w:t>
            </w:r>
            <w:r>
              <w:rPr>
                <w:rFonts w:hint="eastAsia" w:ascii="宋体" w:hAnsi="宋体" w:eastAsia="宋体" w:cs="宋体"/>
                <w:color w:val="auto"/>
                <w:kern w:val="0"/>
                <w:sz w:val="21"/>
                <w:szCs w:val="21"/>
              </w:rPr>
              <w:t>天内交货</w:t>
            </w:r>
            <w:r>
              <w:rPr>
                <w:rFonts w:hint="eastAsia" w:ascii="宋体" w:hAnsi="宋体" w:eastAsia="宋体" w:cs="宋体"/>
                <w:color w:val="auto"/>
                <w:kern w:val="0"/>
                <w:sz w:val="21"/>
                <w:szCs w:val="21"/>
                <w:lang w:eastAsia="zh-CN"/>
              </w:rPr>
              <w:t>，交货期是指所有货物运抵现场安装调试完毕后交付用户验收的日期。</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pPr>
              <w:pStyle w:val="2"/>
              <w:numPr>
                <w:ilvl w:val="0"/>
                <w:numId w:val="0"/>
              </w:numPr>
              <w:spacing w:line="240" w:lineRule="auto"/>
              <w:ind w:leftChars="0"/>
              <w:rPr>
                <w:rFonts w:hint="eastAsia" w:ascii="宋体" w:hAnsi="宋体" w:eastAsia="宋体" w:cs="宋体"/>
                <w:b/>
                <w:bCs/>
                <w:color w:val="auto"/>
                <w:kern w:val="0"/>
                <w:sz w:val="21"/>
                <w:szCs w:val="21"/>
                <w:lang w:val="en-US" w:eastAsia="zh-CN"/>
              </w:rPr>
            </w:pPr>
          </w:p>
        </w:tc>
        <w:tc>
          <w:tcPr>
            <w:tcW w:w="2547" w:type="pct"/>
            <w:vAlign w:val="center"/>
          </w:tcPr>
          <w:p>
            <w:pPr>
              <w:pStyle w:val="2"/>
              <w:numPr>
                <w:ilvl w:val="1"/>
                <w:numId w:val="7"/>
              </w:num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采购人有权检验或测试货物，以确认货物是否符合合同规格的要求，并且不承担额外的费用。如果发现所交货物与投标文件中所</w:t>
            </w:r>
            <w:r>
              <w:rPr>
                <w:rFonts w:hint="eastAsia" w:ascii="宋体" w:hAnsi="宋体" w:eastAsia="宋体" w:cs="宋体"/>
                <w:color w:val="auto"/>
                <w:kern w:val="0"/>
                <w:sz w:val="21"/>
                <w:szCs w:val="21"/>
                <w:lang w:eastAsia="zh-CN"/>
              </w:rPr>
              <w:t>保证</w:t>
            </w:r>
            <w:r>
              <w:rPr>
                <w:rFonts w:hint="eastAsia" w:ascii="宋体" w:hAnsi="宋体" w:eastAsia="宋体" w:cs="宋体"/>
                <w:color w:val="auto"/>
                <w:kern w:val="0"/>
                <w:sz w:val="21"/>
                <w:szCs w:val="21"/>
              </w:rPr>
              <w:t>的不符或存在质量、技术缺陷等,采购人可以拒绝接收该货物,投标人应在</w:t>
            </w:r>
            <w:r>
              <w:rPr>
                <w:rFonts w:hint="eastAsia" w:ascii="宋体" w:hAnsi="宋体" w:eastAsia="宋体" w:cs="宋体"/>
                <w:i w:val="0"/>
                <w:iCs w:val="0"/>
                <w:color w:val="auto"/>
                <w:kern w:val="0"/>
                <w:sz w:val="21"/>
                <w:szCs w:val="21"/>
                <w:u w:val="single"/>
              </w:rPr>
              <w:t xml:space="preserve"> 7 </w:t>
            </w:r>
            <w:r>
              <w:rPr>
                <w:rFonts w:hint="eastAsia" w:ascii="宋体" w:hAnsi="宋体" w:eastAsia="宋体" w:cs="宋体"/>
                <w:color w:val="auto"/>
                <w:kern w:val="0"/>
                <w:sz w:val="21"/>
                <w:szCs w:val="21"/>
              </w:rPr>
              <w:t>天内采取补足、更换或退货等措施,以满足规格的要求，由此发生的一切损失和费用由投标人承担。</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pPr>
              <w:pStyle w:val="2"/>
              <w:numPr>
                <w:ilvl w:val="0"/>
                <w:numId w:val="0"/>
              </w:numPr>
              <w:spacing w:line="240" w:lineRule="auto"/>
              <w:ind w:leftChars="0"/>
              <w:rPr>
                <w:rFonts w:hint="eastAsia" w:ascii="宋体" w:hAnsi="宋体" w:eastAsia="宋体" w:cs="宋体"/>
                <w:b/>
                <w:bCs/>
                <w:color w:val="auto"/>
                <w:kern w:val="0"/>
                <w:sz w:val="21"/>
                <w:szCs w:val="21"/>
                <w:lang w:val="en-US" w:eastAsia="zh-CN"/>
              </w:rPr>
            </w:pPr>
          </w:p>
        </w:tc>
        <w:tc>
          <w:tcPr>
            <w:tcW w:w="2547" w:type="pct"/>
            <w:vAlign w:val="center"/>
          </w:tcPr>
          <w:p>
            <w:pPr>
              <w:pStyle w:val="2"/>
              <w:numPr>
                <w:ilvl w:val="1"/>
                <w:numId w:val="7"/>
              </w:num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投标人负责货物的现场安装和调试,提供货物安装、调试和维修所需的专用工具和辅助材料。投标人应在货物运至指定地点后一周内开始安装调试,并在</w:t>
            </w:r>
            <w:r>
              <w:rPr>
                <w:rFonts w:hint="eastAsia" w:ascii="宋体" w:hAnsi="宋体" w:eastAsia="宋体" w:cs="宋体"/>
                <w:color w:val="auto"/>
                <w:kern w:val="0"/>
                <w:sz w:val="21"/>
                <w:szCs w:val="21"/>
                <w:u w:val="single"/>
              </w:rPr>
              <w:t xml:space="preserve"> 7 </w:t>
            </w:r>
            <w:r>
              <w:rPr>
                <w:rFonts w:hint="eastAsia" w:ascii="宋体" w:hAnsi="宋体" w:eastAsia="宋体" w:cs="宋体"/>
                <w:color w:val="auto"/>
                <w:kern w:val="0"/>
                <w:sz w:val="21"/>
                <w:szCs w:val="21"/>
              </w:rPr>
              <w:t>天内安装调试完毕。</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pPr>
              <w:pStyle w:val="2"/>
              <w:numPr>
                <w:ilvl w:val="0"/>
                <w:numId w:val="0"/>
              </w:numPr>
              <w:spacing w:line="240" w:lineRule="auto"/>
              <w:ind w:leftChars="0"/>
              <w:rPr>
                <w:rFonts w:hint="eastAsia" w:ascii="宋体" w:hAnsi="宋体" w:eastAsia="宋体" w:cs="宋体"/>
                <w:b/>
                <w:bCs/>
                <w:color w:val="auto"/>
                <w:kern w:val="0"/>
                <w:sz w:val="21"/>
                <w:szCs w:val="21"/>
                <w:lang w:val="en-US" w:eastAsia="zh-CN"/>
              </w:rPr>
            </w:pPr>
          </w:p>
        </w:tc>
        <w:tc>
          <w:tcPr>
            <w:tcW w:w="2547" w:type="pct"/>
            <w:vAlign w:val="center"/>
          </w:tcPr>
          <w:p>
            <w:pPr>
              <w:pStyle w:val="2"/>
              <w:numPr>
                <w:ilvl w:val="1"/>
                <w:numId w:val="7"/>
              </w:num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采购人有权检验或测试货物，以确认货物是否符合合同规格的要求，并且不承担额外的费用。如果发现所交货物与投标文件中所</w:t>
            </w:r>
            <w:r>
              <w:rPr>
                <w:rFonts w:hint="eastAsia" w:ascii="宋体" w:hAnsi="宋体" w:eastAsia="宋体" w:cs="宋体"/>
                <w:color w:val="auto"/>
                <w:kern w:val="0"/>
                <w:sz w:val="21"/>
                <w:szCs w:val="21"/>
                <w:lang w:eastAsia="zh-CN"/>
              </w:rPr>
              <w:t>保证</w:t>
            </w:r>
            <w:r>
              <w:rPr>
                <w:rFonts w:hint="eastAsia" w:ascii="宋体" w:hAnsi="宋体" w:eastAsia="宋体" w:cs="宋体"/>
                <w:color w:val="auto"/>
                <w:kern w:val="0"/>
                <w:sz w:val="21"/>
                <w:szCs w:val="21"/>
              </w:rPr>
              <w:t>的不符或存在质量、技术缺陷等,采购人可以拒绝接收该货物,投标人应在</w:t>
            </w:r>
            <w:r>
              <w:rPr>
                <w:rFonts w:hint="eastAsia" w:ascii="宋体" w:hAnsi="宋体" w:eastAsia="宋体" w:cs="宋体"/>
                <w:color w:val="auto"/>
                <w:kern w:val="0"/>
                <w:sz w:val="21"/>
                <w:szCs w:val="21"/>
                <w:u w:val="single"/>
              </w:rPr>
              <w:t xml:space="preserve"> 7 </w:t>
            </w:r>
            <w:r>
              <w:rPr>
                <w:rFonts w:hint="eastAsia" w:ascii="宋体" w:hAnsi="宋体" w:eastAsia="宋体" w:cs="宋体"/>
                <w:color w:val="auto"/>
                <w:kern w:val="0"/>
                <w:sz w:val="21"/>
                <w:szCs w:val="21"/>
              </w:rPr>
              <w:t>天内采取补足、更换或退货等措施,以满足规格的要求，由此发生的一切损失和费用由投标人承担。</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pPr>
              <w:pStyle w:val="2"/>
              <w:numPr>
                <w:ilvl w:val="0"/>
                <w:numId w:val="0"/>
              </w:numPr>
              <w:spacing w:line="240" w:lineRule="auto"/>
              <w:ind w:leftChars="0"/>
              <w:rPr>
                <w:rFonts w:hint="eastAsia" w:ascii="宋体" w:hAnsi="宋体" w:eastAsia="宋体" w:cs="宋体"/>
                <w:b/>
                <w:bCs/>
                <w:color w:val="auto"/>
                <w:kern w:val="0"/>
                <w:sz w:val="21"/>
                <w:szCs w:val="21"/>
                <w:lang w:val="en-US" w:eastAsia="zh-CN"/>
              </w:rPr>
            </w:pPr>
          </w:p>
        </w:tc>
        <w:tc>
          <w:tcPr>
            <w:tcW w:w="2547" w:type="pct"/>
            <w:vAlign w:val="center"/>
          </w:tcPr>
          <w:p>
            <w:pPr>
              <w:pStyle w:val="2"/>
              <w:numPr>
                <w:ilvl w:val="1"/>
                <w:numId w:val="7"/>
              </w:num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合同设备安装调试完毕后，投标人应及时书面提请验收。由投标人代表和采购人组成验收小组对产品进行验收。验收标准按照</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规定标准执行。投标人保证设备自到货之日起（指第一次交货）</w:t>
            </w:r>
            <w:r>
              <w:rPr>
                <w:rFonts w:hint="eastAsia" w:ascii="宋体" w:hAnsi="宋体" w:eastAsia="宋体" w:cs="宋体"/>
                <w:color w:val="auto"/>
                <w:kern w:val="0"/>
                <w:sz w:val="21"/>
                <w:szCs w:val="21"/>
                <w:u w:val="single"/>
              </w:rPr>
              <w:t xml:space="preserve"> 30 </w:t>
            </w:r>
            <w:r>
              <w:rPr>
                <w:rFonts w:hint="eastAsia" w:ascii="宋体" w:hAnsi="宋体" w:eastAsia="宋体" w:cs="宋体"/>
                <w:color w:val="auto"/>
                <w:kern w:val="0"/>
                <w:sz w:val="21"/>
                <w:szCs w:val="21"/>
              </w:rPr>
              <w:t>日内通过设备运行、性能及技术参数、指标等的技术预验收，以保证临床使用。采购人有权委托有资格的单位对上述仪器进行性能校核。医院正式投入使用</w:t>
            </w:r>
            <w:r>
              <w:rPr>
                <w:rFonts w:hint="eastAsia" w:ascii="宋体" w:hAnsi="宋体" w:eastAsia="宋体" w:cs="宋体"/>
                <w:color w:val="auto"/>
                <w:kern w:val="0"/>
                <w:sz w:val="21"/>
                <w:szCs w:val="21"/>
                <w:u w:val="single"/>
              </w:rPr>
              <w:t>1</w:t>
            </w:r>
            <w:r>
              <w:rPr>
                <w:rFonts w:hint="eastAsia" w:ascii="宋体" w:hAnsi="宋体" w:eastAsia="宋体" w:cs="宋体"/>
                <w:color w:val="auto"/>
                <w:kern w:val="0"/>
                <w:sz w:val="21"/>
                <w:szCs w:val="21"/>
              </w:rPr>
              <w:t>个月后，无故障方签署项目验收报告，保修期自采购人签署验收报告之日起开始计算。</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Align w:val="center"/>
          </w:tcPr>
          <w:p>
            <w:pPr>
              <w:pStyle w:val="2"/>
              <w:numPr>
                <w:ilvl w:val="0"/>
                <w:numId w:val="7"/>
              </w:numPr>
              <w:spacing w:line="240" w:lineRule="auto"/>
              <w:ind w:left="0" w:leftChars="0" w:firstLine="0" w:firstLineChars="0"/>
              <w:rPr>
                <w:rFonts w:hint="eastAsia" w:ascii="宋体" w:hAnsi="宋体" w:eastAsia="宋体" w:cs="宋体"/>
                <w:b/>
                <w:bCs/>
                <w:color w:val="auto"/>
                <w:kern w:val="0"/>
                <w:sz w:val="21"/>
                <w:szCs w:val="21"/>
                <w:lang w:val="en-US" w:eastAsia="zh-CN"/>
              </w:rPr>
            </w:pPr>
            <w:r>
              <w:rPr>
                <w:rFonts w:hint="eastAsia" w:ascii="宋体" w:hAnsi="宋体" w:eastAsia="宋体" w:cs="宋体"/>
                <w:b/>
                <w:bCs w:val="0"/>
                <w:color w:val="auto"/>
                <w:kern w:val="0"/>
                <w:sz w:val="21"/>
                <w:szCs w:val="21"/>
                <w:lang w:val="en-US" w:eastAsia="zh-CN"/>
              </w:rPr>
              <w:t>付款方式</w:t>
            </w:r>
          </w:p>
        </w:tc>
        <w:tc>
          <w:tcPr>
            <w:tcW w:w="2547" w:type="pct"/>
            <w:vAlign w:val="center"/>
          </w:tcPr>
          <w:p>
            <w:pPr>
              <w:pStyle w:val="2"/>
              <w:numPr>
                <w:ilvl w:val="1"/>
                <w:numId w:val="7"/>
              </w:numPr>
              <w:spacing w:line="240" w:lineRule="auto"/>
              <w:ind w:left="0" w:leftChars="0"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货到指定地点、验收合格并提供全额发票后，采购人即向投标人支付合同总价90%款项，因投标人提供的设备质量问题或投标人不履行/不适当履行合同义务而蒙受的损失，如投标人提供的设备质量出现问题或投标人不履行/不适当履行任何一项合同义务的，采购人有权直接从剩余款项中扣除相应违约金/损失赔偿款项。如果未发生设备质量问题或无投标人不履行或不适当履行合同义务的情况</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投标人在合同设备免费保修期满后按照采购人的相关要求提出正式申请，采购人六十天内将合同总价10%款项支付给投标人。</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restart"/>
            <w:vAlign w:val="center"/>
          </w:tcPr>
          <w:p>
            <w:pPr>
              <w:pStyle w:val="2"/>
              <w:numPr>
                <w:ilvl w:val="0"/>
                <w:numId w:val="0"/>
              </w:numPr>
              <w:spacing w:line="240" w:lineRule="auto"/>
              <w:ind w:leftChars="0"/>
              <w:rPr>
                <w:rFonts w:hint="eastAsia" w:ascii="宋体" w:hAnsi="宋体" w:eastAsia="宋体" w:cs="宋体"/>
                <w:b/>
                <w:bCs w:val="0"/>
                <w:color w:val="auto"/>
                <w:kern w:val="0"/>
                <w:sz w:val="21"/>
                <w:szCs w:val="21"/>
                <w:lang w:val="en-US" w:eastAsia="zh-CN"/>
              </w:rPr>
            </w:pPr>
            <w:r>
              <w:rPr>
                <w:rFonts w:hint="eastAsia" w:ascii="宋体" w:hAnsi="宋体" w:eastAsia="宋体" w:cs="宋体"/>
                <w:b/>
                <w:bCs/>
                <w:color w:val="auto"/>
                <w:kern w:val="0"/>
                <w:sz w:val="21"/>
                <w:szCs w:val="21"/>
                <w:lang w:val="en-US" w:eastAsia="zh-CN"/>
              </w:rPr>
              <w:t>5.违约责任</w:t>
            </w:r>
          </w:p>
        </w:tc>
        <w:tc>
          <w:tcPr>
            <w:tcW w:w="2547" w:type="pct"/>
            <w:vAlign w:val="center"/>
          </w:tcPr>
          <w:p>
            <w:pPr>
              <w:pStyle w:val="2"/>
              <w:numPr>
                <w:ilvl w:val="0"/>
                <w:numId w:val="0"/>
              </w:numPr>
              <w:spacing w:line="240" w:lineRule="auto"/>
              <w:ind w:left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5.1</w:t>
            </w:r>
            <w:r>
              <w:rPr>
                <w:rFonts w:hint="eastAsia" w:ascii="宋体" w:hAnsi="宋体" w:eastAsia="宋体" w:cs="宋体"/>
                <w:color w:val="auto"/>
                <w:kern w:val="0"/>
                <w:sz w:val="21"/>
                <w:szCs w:val="21"/>
              </w:rPr>
              <w:t>如投标人未按照投</w:t>
            </w:r>
            <w:bookmarkStart w:id="2" w:name="_GoBack"/>
            <w:bookmarkEnd w:id="2"/>
            <w:r>
              <w:rPr>
                <w:rFonts w:hint="eastAsia" w:ascii="宋体" w:hAnsi="宋体" w:eastAsia="宋体" w:cs="宋体"/>
                <w:color w:val="auto"/>
                <w:kern w:val="0"/>
                <w:sz w:val="21"/>
                <w:szCs w:val="21"/>
              </w:rPr>
              <w:t>标文件中</w:t>
            </w:r>
            <w:r>
              <w:rPr>
                <w:rFonts w:hint="eastAsia" w:ascii="宋体" w:hAnsi="宋体" w:eastAsia="宋体" w:cs="宋体"/>
                <w:color w:val="auto"/>
                <w:kern w:val="0"/>
                <w:sz w:val="21"/>
                <w:szCs w:val="21"/>
                <w:lang w:eastAsia="zh-CN"/>
              </w:rPr>
              <w:t>保证</w:t>
            </w:r>
            <w:r>
              <w:rPr>
                <w:rFonts w:hint="eastAsia" w:ascii="宋体" w:hAnsi="宋体" w:eastAsia="宋体" w:cs="宋体"/>
                <w:color w:val="auto"/>
                <w:kern w:val="0"/>
                <w:sz w:val="21"/>
                <w:szCs w:val="21"/>
              </w:rPr>
              <w:t>的时间交货或提供服务，投标人应承担延期交货和延期服务的违约责任，向采购人每日偿付设备款</w:t>
            </w:r>
            <w:r>
              <w:rPr>
                <w:rFonts w:hint="eastAsia" w:ascii="宋体" w:hAnsi="宋体" w:eastAsia="宋体" w:cs="宋体"/>
                <w:color w:val="auto"/>
                <w:kern w:val="0"/>
                <w:sz w:val="21"/>
                <w:szCs w:val="21"/>
                <w:u w:val="single"/>
              </w:rPr>
              <w:t xml:space="preserve"> 0.5</w:t>
            </w:r>
            <w:r>
              <w:rPr>
                <w:rFonts w:hint="eastAsia" w:ascii="宋体" w:hAnsi="宋体" w:eastAsia="宋体" w:cs="宋体"/>
                <w:color w:val="auto"/>
                <w:kern w:val="0"/>
                <w:sz w:val="21"/>
                <w:szCs w:val="21"/>
              </w:rPr>
              <w:t xml:space="preserve"> %的违约金。逾期超过</w:t>
            </w:r>
            <w:r>
              <w:rPr>
                <w:rFonts w:hint="eastAsia" w:ascii="宋体" w:hAnsi="宋体" w:eastAsia="宋体" w:cs="宋体"/>
                <w:color w:val="auto"/>
                <w:kern w:val="0"/>
                <w:sz w:val="21"/>
                <w:szCs w:val="21"/>
                <w:u w:val="single"/>
              </w:rPr>
              <w:t>30</w:t>
            </w:r>
            <w:r>
              <w:rPr>
                <w:rFonts w:hint="eastAsia" w:ascii="宋体" w:hAnsi="宋体" w:eastAsia="宋体" w:cs="宋体"/>
                <w:color w:val="auto"/>
                <w:kern w:val="0"/>
                <w:sz w:val="21"/>
                <w:szCs w:val="21"/>
              </w:rPr>
              <w:t>日的，投标人需向采购人另行支付合同总价的</w:t>
            </w:r>
            <w:r>
              <w:rPr>
                <w:rFonts w:hint="eastAsia" w:ascii="宋体" w:hAnsi="宋体" w:eastAsia="宋体" w:cs="宋体"/>
                <w:color w:val="auto"/>
                <w:kern w:val="0"/>
                <w:sz w:val="21"/>
                <w:szCs w:val="21"/>
                <w:u w:val="single"/>
              </w:rPr>
              <w:t xml:space="preserve"> 30 %</w:t>
            </w:r>
            <w:r>
              <w:rPr>
                <w:rFonts w:hint="eastAsia" w:ascii="宋体" w:hAnsi="宋体" w:eastAsia="宋体" w:cs="宋体"/>
                <w:color w:val="auto"/>
                <w:kern w:val="0"/>
                <w:sz w:val="21"/>
                <w:szCs w:val="21"/>
              </w:rPr>
              <w:t>的违约金，且采购人有权单方解除采购合同。另外，投标人赔偿采购人因此造成的实际经济损失。</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pPr>
              <w:pStyle w:val="2"/>
              <w:numPr>
                <w:ilvl w:val="0"/>
                <w:numId w:val="0"/>
              </w:numPr>
              <w:spacing w:line="240" w:lineRule="auto"/>
              <w:ind w:leftChars="0"/>
              <w:rPr>
                <w:rFonts w:hint="eastAsia" w:ascii="宋体" w:hAnsi="宋体" w:eastAsia="宋体" w:cs="宋体"/>
                <w:b/>
                <w:bCs/>
                <w:color w:val="auto"/>
                <w:kern w:val="0"/>
                <w:sz w:val="21"/>
                <w:szCs w:val="21"/>
                <w:lang w:val="en-US" w:eastAsia="zh-CN"/>
              </w:rPr>
            </w:pPr>
          </w:p>
        </w:tc>
        <w:tc>
          <w:tcPr>
            <w:tcW w:w="2547" w:type="pct"/>
            <w:vAlign w:val="center"/>
          </w:tcPr>
          <w:p>
            <w:pPr>
              <w:pStyle w:val="2"/>
              <w:numPr>
                <w:ilvl w:val="0"/>
                <w:numId w:val="0"/>
              </w:numPr>
              <w:spacing w:line="240" w:lineRule="auto"/>
              <w:ind w:leftChar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5.2 </w:t>
            </w:r>
            <w:r>
              <w:rPr>
                <w:rFonts w:hint="eastAsia" w:ascii="宋体" w:hAnsi="宋体" w:eastAsia="宋体" w:cs="宋体"/>
                <w:color w:val="auto"/>
                <w:kern w:val="0"/>
                <w:sz w:val="21"/>
                <w:szCs w:val="21"/>
              </w:rPr>
              <w:t>投标人所交设备的品种、型号、规格、质量、功能、技术参数等方面不能实质性满足招标文件要约的，采购人有权拒绝收货，投标人向采购人偿付项目采购金额</w:t>
            </w:r>
            <w:r>
              <w:rPr>
                <w:rFonts w:hint="eastAsia" w:ascii="宋体" w:hAnsi="宋体" w:eastAsia="宋体" w:cs="宋体"/>
                <w:color w:val="auto"/>
                <w:kern w:val="0"/>
                <w:sz w:val="21"/>
                <w:szCs w:val="21"/>
                <w:u w:val="single"/>
              </w:rPr>
              <w:t xml:space="preserve"> 30 </w:t>
            </w:r>
            <w:r>
              <w:rPr>
                <w:rFonts w:hint="eastAsia" w:ascii="宋体" w:hAnsi="宋体" w:eastAsia="宋体" w:cs="宋体"/>
                <w:color w:val="auto"/>
                <w:kern w:val="0"/>
                <w:sz w:val="21"/>
                <w:szCs w:val="21"/>
              </w:rPr>
              <w:t>%的违约金；造成严重后果的，根据《深圳经济特区政府采购条例》第五十七条第（二）款规定，由主管部门对投标人进行处罚。</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pPr>
              <w:pStyle w:val="2"/>
              <w:numPr>
                <w:ilvl w:val="0"/>
                <w:numId w:val="0"/>
              </w:numPr>
              <w:spacing w:line="240" w:lineRule="auto"/>
              <w:ind w:leftChars="0"/>
              <w:rPr>
                <w:rFonts w:hint="eastAsia" w:ascii="宋体" w:hAnsi="宋体" w:eastAsia="宋体" w:cs="宋体"/>
                <w:b/>
                <w:bCs/>
                <w:color w:val="auto"/>
                <w:kern w:val="0"/>
                <w:sz w:val="21"/>
                <w:szCs w:val="21"/>
                <w:lang w:val="en-US" w:eastAsia="zh-CN"/>
              </w:rPr>
            </w:pPr>
          </w:p>
        </w:tc>
        <w:tc>
          <w:tcPr>
            <w:tcW w:w="2547" w:type="pct"/>
            <w:vAlign w:val="center"/>
          </w:tcPr>
          <w:p>
            <w:pPr>
              <w:pStyle w:val="2"/>
              <w:numPr>
                <w:ilvl w:val="0"/>
                <w:numId w:val="0"/>
              </w:numPr>
              <w:spacing w:line="240" w:lineRule="auto"/>
              <w:ind w:leftChar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5.3</w:t>
            </w:r>
            <w:r>
              <w:rPr>
                <w:rFonts w:hint="eastAsia" w:ascii="宋体" w:hAnsi="宋体" w:eastAsia="宋体" w:cs="宋体"/>
                <w:color w:val="auto"/>
                <w:kern w:val="0"/>
                <w:sz w:val="21"/>
                <w:szCs w:val="21"/>
              </w:rPr>
              <w:t>由于供应商的原因，在货到一周内未进行安装调试，或安装调试时间超过正常要求，按每超过一天罚款合同总额</w:t>
            </w:r>
            <w:r>
              <w:rPr>
                <w:rFonts w:hint="eastAsia" w:ascii="宋体" w:hAnsi="宋体" w:eastAsia="宋体" w:cs="宋体"/>
                <w:color w:val="auto"/>
                <w:kern w:val="0"/>
                <w:sz w:val="21"/>
                <w:szCs w:val="21"/>
                <w:u w:val="none"/>
              </w:rPr>
              <w:t>的</w:t>
            </w:r>
            <w:r>
              <w:rPr>
                <w:rFonts w:hint="eastAsia" w:ascii="宋体" w:hAnsi="宋体" w:eastAsia="宋体" w:cs="宋体"/>
                <w:color w:val="auto"/>
                <w:kern w:val="0"/>
                <w:sz w:val="21"/>
                <w:szCs w:val="21"/>
                <w:u w:val="single"/>
              </w:rPr>
              <w:t xml:space="preserve">0.5 </w:t>
            </w:r>
            <w:r>
              <w:rPr>
                <w:rFonts w:hint="eastAsia" w:ascii="宋体" w:hAnsi="宋体" w:eastAsia="宋体" w:cs="宋体"/>
                <w:color w:val="auto"/>
                <w:kern w:val="0"/>
                <w:sz w:val="21"/>
                <w:szCs w:val="21"/>
              </w:rPr>
              <w:t>%。情节严重者，将依法律程序对供应商进行索赔。</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pPr>
              <w:pStyle w:val="2"/>
              <w:numPr>
                <w:ilvl w:val="0"/>
                <w:numId w:val="0"/>
              </w:numPr>
              <w:spacing w:line="240" w:lineRule="auto"/>
              <w:ind w:leftChars="0"/>
              <w:rPr>
                <w:rFonts w:hint="eastAsia" w:ascii="宋体" w:hAnsi="宋体" w:eastAsia="宋体" w:cs="宋体"/>
                <w:b/>
                <w:bCs/>
                <w:color w:val="auto"/>
                <w:kern w:val="0"/>
                <w:sz w:val="21"/>
                <w:szCs w:val="21"/>
                <w:lang w:val="en-US" w:eastAsia="zh-CN"/>
              </w:rPr>
            </w:pPr>
          </w:p>
        </w:tc>
        <w:tc>
          <w:tcPr>
            <w:tcW w:w="2547" w:type="pct"/>
            <w:vAlign w:val="center"/>
          </w:tcPr>
          <w:p>
            <w:pPr>
              <w:pStyle w:val="2"/>
              <w:numPr>
                <w:ilvl w:val="0"/>
                <w:numId w:val="0"/>
              </w:numPr>
              <w:spacing w:line="240" w:lineRule="auto"/>
              <w:ind w:leftChar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5.4</w:t>
            </w:r>
            <w:r>
              <w:rPr>
                <w:rFonts w:hint="eastAsia" w:ascii="宋体" w:hAnsi="宋体" w:eastAsia="宋体" w:cs="宋体"/>
                <w:color w:val="auto"/>
                <w:kern w:val="0"/>
                <w:sz w:val="21"/>
                <w:szCs w:val="21"/>
              </w:rPr>
              <w:t>违约金先从由投标人</w:t>
            </w:r>
            <w:r>
              <w:rPr>
                <w:rFonts w:hint="eastAsia" w:ascii="宋体" w:hAnsi="宋体" w:eastAsia="宋体" w:cs="宋体"/>
                <w:color w:val="auto"/>
                <w:kern w:val="0"/>
                <w:sz w:val="21"/>
                <w:szCs w:val="21"/>
                <w:lang w:eastAsia="zh-CN"/>
              </w:rPr>
              <w:t>履约保证金</w:t>
            </w:r>
            <w:r>
              <w:rPr>
                <w:rFonts w:hint="eastAsia" w:ascii="宋体" w:hAnsi="宋体" w:eastAsia="宋体" w:cs="宋体"/>
                <w:color w:val="auto"/>
                <w:kern w:val="0"/>
                <w:sz w:val="21"/>
                <w:szCs w:val="21"/>
              </w:rPr>
              <w:t>中扣除，若有不足部分则由投标人补齐。</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pPr>
              <w:pStyle w:val="2"/>
              <w:numPr>
                <w:ilvl w:val="0"/>
                <w:numId w:val="0"/>
              </w:numPr>
              <w:spacing w:line="240" w:lineRule="auto"/>
              <w:ind w:leftChars="0"/>
              <w:rPr>
                <w:rFonts w:hint="eastAsia" w:ascii="宋体" w:hAnsi="宋体" w:eastAsia="宋体" w:cs="宋体"/>
                <w:b/>
                <w:bCs/>
                <w:color w:val="auto"/>
                <w:kern w:val="0"/>
                <w:sz w:val="21"/>
                <w:szCs w:val="21"/>
                <w:lang w:val="en-US" w:eastAsia="zh-CN"/>
              </w:rPr>
            </w:pPr>
          </w:p>
        </w:tc>
        <w:tc>
          <w:tcPr>
            <w:tcW w:w="2547" w:type="pct"/>
            <w:vAlign w:val="center"/>
          </w:tcPr>
          <w:p>
            <w:pPr>
              <w:pStyle w:val="2"/>
              <w:numPr>
                <w:ilvl w:val="0"/>
                <w:numId w:val="0"/>
              </w:numPr>
              <w:spacing w:line="240" w:lineRule="auto"/>
              <w:ind w:leftChar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5.5</w:t>
            </w:r>
            <w:r>
              <w:rPr>
                <w:rFonts w:hint="eastAsia" w:ascii="宋体" w:hAnsi="宋体" w:eastAsia="宋体" w:cs="宋体"/>
                <w:color w:val="auto"/>
                <w:kern w:val="0"/>
                <w:sz w:val="21"/>
                <w:szCs w:val="21"/>
              </w:rPr>
              <w:t>在投标人</w:t>
            </w:r>
            <w:r>
              <w:rPr>
                <w:rFonts w:hint="eastAsia" w:ascii="宋体" w:hAnsi="宋体" w:eastAsia="宋体" w:cs="宋体"/>
                <w:color w:val="auto"/>
                <w:kern w:val="0"/>
                <w:sz w:val="21"/>
                <w:szCs w:val="21"/>
                <w:lang w:eastAsia="zh-CN"/>
              </w:rPr>
              <w:t>保证</w:t>
            </w:r>
            <w:r>
              <w:rPr>
                <w:rFonts w:hint="eastAsia" w:ascii="宋体" w:hAnsi="宋体" w:eastAsia="宋体" w:cs="宋体"/>
                <w:color w:val="auto"/>
                <w:kern w:val="0"/>
                <w:sz w:val="21"/>
                <w:szCs w:val="21"/>
              </w:rPr>
              <w:t>的质量保证期内，如经投标人两次维修或更换，货物仍不能达到合同约定的质量标准，采购人有权退货，投标人应退回全部货款并赔偿采购人因此遭受的损失。</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restart"/>
            <w:vAlign w:val="center"/>
          </w:tcPr>
          <w:p>
            <w:pPr>
              <w:pStyle w:val="2"/>
              <w:numPr>
                <w:ilvl w:val="0"/>
                <w:numId w:val="0"/>
              </w:numPr>
              <w:spacing w:line="240" w:lineRule="auto"/>
              <w:ind w:leftChars="0"/>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val="0"/>
                <w:color w:val="auto"/>
                <w:kern w:val="0"/>
                <w:sz w:val="21"/>
                <w:szCs w:val="21"/>
                <w:lang w:val="en-US" w:eastAsia="zh-CN"/>
              </w:rPr>
              <w:t>其他</w:t>
            </w:r>
          </w:p>
        </w:tc>
        <w:tc>
          <w:tcPr>
            <w:tcW w:w="2547" w:type="pct"/>
            <w:vAlign w:val="center"/>
          </w:tcPr>
          <w:p>
            <w:pPr>
              <w:pStyle w:val="2"/>
              <w:numPr>
                <w:ilvl w:val="0"/>
                <w:numId w:val="0"/>
              </w:numPr>
              <w:spacing w:line="240" w:lineRule="auto"/>
              <w:ind w:leftChar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6.1</w:t>
            </w:r>
            <w:r>
              <w:rPr>
                <w:rFonts w:hint="eastAsia" w:ascii="宋体" w:hAnsi="宋体" w:eastAsia="宋体" w:cs="宋体"/>
                <w:color w:val="auto"/>
                <w:kern w:val="0"/>
                <w:sz w:val="21"/>
                <w:szCs w:val="21"/>
              </w:rPr>
              <w:t>响应总价必须是完成该项目的一切费用总和，投标人负责将货物安全无损运抵采购人指定地点,并承担设备的设计、包装、仓储、运输、保险、装卸、报装、安装调试、验收、培训、商检及计量检测和保修期届满前备品备件等与采购设备及服务相关的所有含税费用，采购人不需再支付其他费用。</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vAlign w:val="center"/>
          </w:tcPr>
          <w:p>
            <w:pPr>
              <w:pStyle w:val="2"/>
              <w:numPr>
                <w:ilvl w:val="0"/>
                <w:numId w:val="0"/>
              </w:numPr>
              <w:spacing w:line="240" w:lineRule="auto"/>
              <w:ind w:leftChars="0"/>
              <w:rPr>
                <w:rFonts w:hint="eastAsia" w:ascii="宋体" w:hAnsi="宋体" w:eastAsia="宋体" w:cs="宋体"/>
                <w:b/>
                <w:bCs/>
                <w:color w:val="auto"/>
                <w:kern w:val="0"/>
                <w:sz w:val="21"/>
                <w:szCs w:val="21"/>
                <w:lang w:val="en-US" w:eastAsia="zh-CN"/>
              </w:rPr>
            </w:pPr>
          </w:p>
        </w:tc>
        <w:tc>
          <w:tcPr>
            <w:tcW w:w="2547" w:type="pct"/>
            <w:vAlign w:val="center"/>
          </w:tcPr>
          <w:p>
            <w:pPr>
              <w:pStyle w:val="2"/>
              <w:numPr>
                <w:ilvl w:val="0"/>
                <w:numId w:val="0"/>
              </w:numPr>
              <w:spacing w:line="240" w:lineRule="auto"/>
              <w:ind w:leftChar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6.2 </w:t>
            </w:r>
            <w:r>
              <w:rPr>
                <w:rFonts w:hint="eastAsia" w:ascii="宋体" w:hAnsi="宋体" w:eastAsia="宋体" w:cs="宋体"/>
                <w:color w:val="auto"/>
                <w:kern w:val="0"/>
                <w:sz w:val="21"/>
                <w:szCs w:val="21"/>
              </w:rPr>
              <w:t>本项目预算控制总金额为人民币</w:t>
            </w: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 36700 \* CHINESENUM4 \* MERGEFORMAT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叁万陆仟柒佰元整</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36700</w:t>
            </w:r>
            <w:r>
              <w:rPr>
                <w:rFonts w:hint="eastAsia" w:ascii="宋体" w:hAnsi="宋体" w:eastAsia="宋体" w:cs="宋体"/>
                <w:color w:val="auto"/>
                <w:kern w:val="0"/>
                <w:sz w:val="21"/>
                <w:szCs w:val="21"/>
              </w:rPr>
              <w:t>元），超过本预算控制总金额及货物需求表中列明的条目控制单价和总价的投标报价将作废标处理。</w:t>
            </w:r>
          </w:p>
        </w:tc>
        <w:tc>
          <w:tcPr>
            <w:tcW w:w="1080" w:type="pct"/>
            <w:vAlign w:val="center"/>
          </w:tcPr>
          <w:p>
            <w:pPr>
              <w:spacing w:line="240" w:lineRule="auto"/>
              <w:jc w:val="center"/>
              <w:rPr>
                <w:rFonts w:hint="eastAsia" w:ascii="宋体" w:hAnsi="宋体" w:eastAsia="宋体" w:cs="宋体"/>
                <w:b/>
                <w:bCs/>
                <w:sz w:val="21"/>
                <w:szCs w:val="21"/>
                <w:lang w:eastAsia="zh-CN"/>
              </w:rPr>
            </w:pPr>
          </w:p>
        </w:tc>
        <w:tc>
          <w:tcPr>
            <w:tcW w:w="382" w:type="pct"/>
            <w:vAlign w:val="center"/>
          </w:tcPr>
          <w:p>
            <w:pPr>
              <w:spacing w:line="240" w:lineRule="auto"/>
              <w:jc w:val="center"/>
              <w:rPr>
                <w:rFonts w:hint="eastAsia" w:ascii="宋体" w:hAnsi="宋体" w:eastAsia="宋体" w:cs="宋体"/>
                <w:b/>
                <w:bCs/>
                <w:sz w:val="21"/>
                <w:szCs w:val="21"/>
                <w:lang w:eastAsia="zh-CN"/>
              </w:rPr>
            </w:pPr>
          </w:p>
        </w:tc>
        <w:tc>
          <w:tcPr>
            <w:tcW w:w="518" w:type="pct"/>
            <w:vAlign w:val="center"/>
          </w:tcPr>
          <w:p>
            <w:pPr>
              <w:spacing w:line="240" w:lineRule="auto"/>
              <w:jc w:val="center"/>
              <w:rPr>
                <w:rFonts w:hint="eastAsia" w:ascii="宋体" w:hAnsi="宋体" w:eastAsia="宋体" w:cs="宋体"/>
                <w:b/>
                <w:bCs/>
                <w:sz w:val="21"/>
                <w:szCs w:val="21"/>
                <w:lang w:eastAsia="zh-CN"/>
              </w:rPr>
            </w:pPr>
          </w:p>
        </w:tc>
      </w:tr>
    </w:tbl>
    <w:p>
      <w:pPr>
        <w:rPr>
          <w:rFonts w:hint="eastAsia" w:ascii="宋体" w:hAnsi="宋体" w:eastAsia="宋体" w:cs="宋体"/>
          <w:color w:val="auto"/>
          <w:sz w:val="24"/>
          <w:szCs w:val="24"/>
          <w:highlight w:val="none"/>
          <w:lang w:val="en-US" w:eastAsia="zh-CN"/>
        </w:rPr>
      </w:pPr>
    </w:p>
    <w:p>
      <w:pPr>
        <w:pStyle w:val="2"/>
        <w:rPr>
          <w:rFonts w:hint="eastAsia"/>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b w:val="0"/>
          <w:bCs/>
          <w:color w:val="auto"/>
          <w:kern w:val="2"/>
          <w:sz w:val="24"/>
          <w:szCs w:val="24"/>
          <w:highlight w:val="none"/>
          <w:lang w:val="en-US" w:eastAsia="zh-CN" w:bidi="ar-SA"/>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6801E"/>
    <w:multiLevelType w:val="multilevel"/>
    <w:tmpl w:val="B8F6801E"/>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1234CD8"/>
    <w:multiLevelType w:val="multilevel"/>
    <w:tmpl w:val="01234CD8"/>
    <w:lvl w:ilvl="0" w:tentative="0">
      <w:start w:val="1"/>
      <w:numFmt w:val="decimal"/>
      <w:lvlText w:val="1.1.2.%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9F06F1C"/>
    <w:multiLevelType w:val="multilevel"/>
    <w:tmpl w:val="09F06F1C"/>
    <w:lvl w:ilvl="0" w:tentative="0">
      <w:start w:val="1"/>
      <w:numFmt w:val="decimal"/>
      <w:lvlText w:val="1.1.1.%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82C13D7"/>
    <w:multiLevelType w:val="multilevel"/>
    <w:tmpl w:val="182C13D7"/>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lvl>
    <w:lvl w:ilvl="3" w:tentative="0">
      <w:start w:val="1"/>
      <w:numFmt w:val="decimal"/>
      <w:lvlText w:val="%1.%2.%3.%4."/>
      <w:lvlJc w:val="left"/>
      <w:pPr>
        <w:ind w:left="851" w:hanging="851"/>
      </w:pPr>
      <w:rPr>
        <w:b w:val="0"/>
        <w:sz w:val="22"/>
        <w:szCs w:val="22"/>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2EEE22C2"/>
    <w:multiLevelType w:val="multilevel"/>
    <w:tmpl w:val="2EEE22C2"/>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5">
    <w:nsid w:val="58DDB038"/>
    <w:multiLevelType w:val="multilevel"/>
    <w:tmpl w:val="58DDB038"/>
    <w:lvl w:ilvl="0" w:tentative="0">
      <w:start w:val="1"/>
      <w:numFmt w:val="chineseCounting"/>
      <w:lvlText w:val="第%1章"/>
      <w:lvlJc w:val="left"/>
      <w:pPr>
        <w:ind w:left="432" w:hanging="432"/>
      </w:pPr>
      <w:rPr>
        <w:rFonts w:hint="eastAsia" w:ascii="宋体" w:hAnsi="宋体" w:eastAsia="宋体" w:cs="宋体"/>
      </w:rPr>
    </w:lvl>
    <w:lvl w:ilvl="1" w:tentative="0">
      <w:start w:val="1"/>
      <w:numFmt w:val="decimal"/>
      <w:pStyle w:val="3"/>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6">
    <w:nsid w:val="7A293037"/>
    <w:multiLevelType w:val="singleLevel"/>
    <w:tmpl w:val="7A293037"/>
    <w:lvl w:ilvl="0" w:tentative="0">
      <w:start w:val="6"/>
      <w:numFmt w:val="chineseCounting"/>
      <w:suff w:val="nothing"/>
      <w:lvlText w:val="%1、"/>
      <w:lvlJc w:val="left"/>
      <w:rPr>
        <w:rFonts w:hint="eastAsia"/>
      </w:r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D0735"/>
    <w:rsid w:val="02036219"/>
    <w:rsid w:val="021F5F57"/>
    <w:rsid w:val="03B45782"/>
    <w:rsid w:val="05EB62FE"/>
    <w:rsid w:val="07D65F72"/>
    <w:rsid w:val="0A3930CD"/>
    <w:rsid w:val="10F779E0"/>
    <w:rsid w:val="12D702FB"/>
    <w:rsid w:val="14A93341"/>
    <w:rsid w:val="16B75F48"/>
    <w:rsid w:val="1C73788B"/>
    <w:rsid w:val="1CF24919"/>
    <w:rsid w:val="1EC54FFB"/>
    <w:rsid w:val="23B04E5F"/>
    <w:rsid w:val="27F2644C"/>
    <w:rsid w:val="286F1DAE"/>
    <w:rsid w:val="29D430CB"/>
    <w:rsid w:val="2B176FCC"/>
    <w:rsid w:val="2DF616CE"/>
    <w:rsid w:val="2F7578DA"/>
    <w:rsid w:val="31C050B9"/>
    <w:rsid w:val="320F3053"/>
    <w:rsid w:val="35D95F13"/>
    <w:rsid w:val="36630055"/>
    <w:rsid w:val="375E0610"/>
    <w:rsid w:val="394918B7"/>
    <w:rsid w:val="40C354A5"/>
    <w:rsid w:val="45BD0E44"/>
    <w:rsid w:val="4F5E1B00"/>
    <w:rsid w:val="562A68AF"/>
    <w:rsid w:val="589671AB"/>
    <w:rsid w:val="58F827FA"/>
    <w:rsid w:val="5C573C91"/>
    <w:rsid w:val="5D11102B"/>
    <w:rsid w:val="5EBA667A"/>
    <w:rsid w:val="5EE16DFE"/>
    <w:rsid w:val="5F941A91"/>
    <w:rsid w:val="62DA74CE"/>
    <w:rsid w:val="6E8554AE"/>
    <w:rsid w:val="71FD50C5"/>
    <w:rsid w:val="73662CC3"/>
    <w:rsid w:val="76213EC9"/>
    <w:rsid w:val="772C13C5"/>
    <w:rsid w:val="776E62C5"/>
    <w:rsid w:val="777D0735"/>
    <w:rsid w:val="781D2DAF"/>
    <w:rsid w:val="7BA40FE1"/>
    <w:rsid w:val="7EB54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numPr>
        <w:ilvl w:val="1"/>
        <w:numId w:val="1"/>
      </w:numPr>
      <w:adjustRightInd w:val="0"/>
      <w:snapToGrid w:val="0"/>
      <w:spacing w:before="120" w:after="120"/>
      <w:outlineLvl w:val="1"/>
    </w:pPr>
    <w:rPr>
      <w:rFonts w:ascii="Arial" w:hAnsi="Arial" w:eastAsia="黑体"/>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unhideWhenUsed/>
    <w:qFormat/>
    <w:uiPriority w:val="0"/>
    <w:pPr>
      <w:jc w:val="left"/>
    </w:pPr>
    <w:rPr>
      <w:rFonts w:ascii="Calibri" w:hAnsi="Calibri"/>
      <w:spacing w:val="10"/>
      <w:kern w:val="0"/>
      <w:sz w:val="24"/>
    </w:rPr>
  </w:style>
  <w:style w:type="paragraph" w:styleId="4">
    <w:name w:val="annotation text"/>
    <w:basedOn w:val="1"/>
    <w:semiHidden/>
    <w:unhideWhenUsed/>
    <w:qFormat/>
    <w:uiPriority w:val="99"/>
    <w:pPr>
      <w:jc w:val="left"/>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
    <w:basedOn w:val="1"/>
    <w:qFormat/>
    <w:uiPriority w:val="0"/>
    <w:pPr>
      <w:ind w:firstLine="420" w:firstLineChars="200"/>
    </w:pPr>
    <w:rPr>
      <w:rFonts w:ascii="Calibri" w:hAnsi="Calibri"/>
      <w:szCs w:val="2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2019-06-14T06:33:00Z</dcterms:created>
  <dc:creator>石琳</dc:creator>
  <cp:lastModifiedBy>石琳</cp:lastModifiedBy>
  <cp:lastPrinted>2019-10-10T08:57:00Z</cp:lastPrinted>
  <dcterms:modified xsi:type="dcterms:W3CDTF">2021-12-29T03:42:10Z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49E09AC93D344FDE96A5529D6EF7FB4D</vt:lpwstr>
  </property>
</Properties>
</file>