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B9C68" w14:textId="77777777" w:rsidR="00647B4D" w:rsidRPr="00647B4D" w:rsidRDefault="00647B4D" w:rsidP="00647B4D">
      <w:pPr>
        <w:spacing w:line="312" w:lineRule="auto"/>
        <w:ind w:rightChars="34" w:right="68"/>
        <w:rPr>
          <w:b/>
          <w:sz w:val="35"/>
          <w:szCs w:val="35"/>
        </w:rPr>
      </w:pPr>
      <w:r w:rsidRPr="00647B4D">
        <w:rPr>
          <w:rFonts w:hint="eastAsia"/>
          <w:b/>
          <w:sz w:val="35"/>
          <w:szCs w:val="35"/>
        </w:rPr>
        <w:t>2</w:t>
      </w:r>
      <w:r w:rsidRPr="00647B4D">
        <w:rPr>
          <w:b/>
          <w:sz w:val="35"/>
          <w:szCs w:val="35"/>
        </w:rPr>
        <w:t>026</w:t>
      </w:r>
      <w:r w:rsidRPr="00647B4D">
        <w:rPr>
          <w:rFonts w:hint="eastAsia"/>
          <w:b/>
          <w:sz w:val="35"/>
          <w:szCs w:val="35"/>
        </w:rPr>
        <w:t>年度中国分析测试协会分析测试科学奖</w:t>
      </w:r>
      <w:r>
        <w:rPr>
          <w:rFonts w:hint="eastAsia"/>
          <w:b/>
          <w:sz w:val="35"/>
          <w:szCs w:val="35"/>
        </w:rPr>
        <w:t>公示表</w:t>
      </w:r>
    </w:p>
    <w:p w14:paraId="1ECC1F38" w14:textId="77777777" w:rsidR="00647B4D" w:rsidRDefault="00647B4D" w:rsidP="00647B4D">
      <w:pPr>
        <w:spacing w:line="312" w:lineRule="auto"/>
        <w:ind w:left="440" w:rightChars="34" w:right="68"/>
        <w:rPr>
          <w:sz w:val="22"/>
          <w:szCs w:val="22"/>
        </w:rPr>
      </w:pPr>
    </w:p>
    <w:tbl>
      <w:tblPr>
        <w:tblW w:w="835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2137"/>
        <w:gridCol w:w="6219"/>
      </w:tblGrid>
      <w:tr w:rsidR="00647B4D" w14:paraId="3C1A0770" w14:textId="77777777" w:rsidTr="00647B4D">
        <w:trPr>
          <w:trHeight w:val="562"/>
        </w:trPr>
        <w:tc>
          <w:tcPr>
            <w:tcW w:w="2137" w:type="dxa"/>
          </w:tcPr>
          <w:p w14:paraId="17D66E3B" w14:textId="77777777" w:rsidR="00647B4D" w:rsidRDefault="00647B4D" w:rsidP="00020441">
            <w:pPr>
              <w:spacing w:line="360" w:lineRule="auto"/>
              <w:jc w:val="center"/>
              <w:rPr>
                <w:rFonts w:ascii="仿宋" w:eastAsia="仿宋" w:hAnsi="仿宋" w:cs="仿宋" w:hint="eastAsia"/>
              </w:rPr>
            </w:pPr>
            <w:r>
              <w:rPr>
                <w:rFonts w:ascii="仿宋" w:eastAsia="仿宋" w:hAnsi="仿宋" w:cs="仿宋"/>
                <w:b/>
                <w:bCs/>
                <w:spacing w:val="4"/>
              </w:rPr>
              <w:t>项目名称</w:t>
            </w:r>
          </w:p>
        </w:tc>
        <w:tc>
          <w:tcPr>
            <w:tcW w:w="6219" w:type="dxa"/>
          </w:tcPr>
          <w:p w14:paraId="184F7A78" w14:textId="77777777" w:rsidR="00647B4D" w:rsidRDefault="00647B4D" w:rsidP="00020441">
            <w:pPr>
              <w:spacing w:line="360" w:lineRule="auto"/>
              <w:jc w:val="both"/>
              <w:rPr>
                <w:rFonts w:ascii="宋体" w:hAnsi="宋体" w:cs="宋体" w:hint="eastAsia"/>
                <w:sz w:val="22"/>
                <w:szCs w:val="22"/>
                <w:lang w:bidi="ar"/>
              </w:rPr>
            </w:pPr>
            <w:r w:rsidRPr="00647B4D">
              <w:rPr>
                <w:rFonts w:ascii="宋体" w:hAnsi="宋体" w:cs="宋体" w:hint="eastAsia"/>
                <w:sz w:val="22"/>
                <w:szCs w:val="22"/>
                <w:lang w:bidi="ar"/>
              </w:rPr>
              <w:t>环境健康关键分子传感与成像分析新方法</w:t>
            </w:r>
          </w:p>
        </w:tc>
      </w:tr>
      <w:tr w:rsidR="00647B4D" w14:paraId="25B1F230" w14:textId="77777777" w:rsidTr="00020441">
        <w:trPr>
          <w:trHeight w:val="599"/>
        </w:trPr>
        <w:tc>
          <w:tcPr>
            <w:tcW w:w="2137" w:type="dxa"/>
          </w:tcPr>
          <w:p w14:paraId="4D9C3638" w14:textId="77777777" w:rsidR="00647B4D" w:rsidRPr="00647B4D" w:rsidRDefault="00647B4D" w:rsidP="00020441">
            <w:pPr>
              <w:spacing w:line="360" w:lineRule="auto"/>
              <w:jc w:val="center"/>
              <w:rPr>
                <w:rFonts w:ascii="仿宋" w:eastAsia="仿宋" w:hAnsi="仿宋" w:cs="仿宋" w:hint="eastAsia"/>
                <w:b/>
              </w:rPr>
            </w:pPr>
            <w:r>
              <w:rPr>
                <w:rFonts w:ascii="仿宋" w:eastAsia="仿宋" w:hAnsi="仿宋" w:cs="仿宋" w:hint="eastAsia"/>
                <w:b/>
              </w:rPr>
              <w:t>申报单位</w:t>
            </w:r>
          </w:p>
        </w:tc>
        <w:tc>
          <w:tcPr>
            <w:tcW w:w="6219" w:type="dxa"/>
          </w:tcPr>
          <w:p w14:paraId="7CD8D6B6" w14:textId="77777777" w:rsidR="00647B4D" w:rsidRPr="00647B4D" w:rsidRDefault="00647B4D" w:rsidP="00020441">
            <w:pPr>
              <w:pStyle w:val="aa"/>
              <w:numPr>
                <w:ilvl w:val="0"/>
                <w:numId w:val="4"/>
              </w:numPr>
              <w:spacing w:line="360" w:lineRule="auto"/>
              <w:ind w:left="0" w:firstLineChars="0"/>
              <w:jc w:val="both"/>
              <w:rPr>
                <w:rFonts w:ascii="仿宋" w:eastAsia="仿宋" w:hAnsi="仿宋" w:cs="仿宋" w:hint="eastAsia"/>
              </w:rPr>
            </w:pPr>
            <w:r w:rsidRPr="00894CE3">
              <w:rPr>
                <w:rFonts w:ascii="宋体" w:hAnsi="宋体" w:cs="宋体" w:hint="eastAsia"/>
                <w:sz w:val="22"/>
                <w:szCs w:val="22"/>
                <w:lang w:bidi="ar"/>
              </w:rPr>
              <w:t>五</w:t>
            </w:r>
            <w:proofErr w:type="gramStart"/>
            <w:r w:rsidRPr="00894CE3">
              <w:rPr>
                <w:rFonts w:ascii="宋体" w:hAnsi="宋体" w:cs="宋体" w:hint="eastAsia"/>
                <w:sz w:val="22"/>
                <w:szCs w:val="22"/>
                <w:lang w:bidi="ar"/>
              </w:rPr>
              <w:t>邑</w:t>
            </w:r>
            <w:proofErr w:type="gramEnd"/>
            <w:r w:rsidRPr="00894CE3">
              <w:rPr>
                <w:rFonts w:ascii="宋体" w:hAnsi="宋体" w:cs="宋体" w:hint="eastAsia"/>
                <w:sz w:val="22"/>
                <w:szCs w:val="22"/>
                <w:lang w:bidi="ar"/>
              </w:rPr>
              <w:t>大学</w:t>
            </w:r>
          </w:p>
        </w:tc>
      </w:tr>
      <w:tr w:rsidR="00647B4D" w14:paraId="5DBFFA05" w14:textId="77777777" w:rsidTr="00647B4D">
        <w:trPr>
          <w:trHeight w:val="413"/>
        </w:trPr>
        <w:tc>
          <w:tcPr>
            <w:tcW w:w="2137" w:type="dxa"/>
            <w:vMerge w:val="restart"/>
            <w:tcBorders>
              <w:bottom w:val="nil"/>
            </w:tcBorders>
          </w:tcPr>
          <w:p w14:paraId="36A4EED5" w14:textId="77777777" w:rsidR="00647B4D" w:rsidRDefault="00647B4D" w:rsidP="00020441">
            <w:pPr>
              <w:spacing w:line="360" w:lineRule="auto"/>
              <w:jc w:val="center"/>
              <w:rPr>
                <w:rFonts w:ascii="仿宋" w:eastAsia="仿宋" w:hAnsi="仿宋" w:cs="仿宋" w:hint="eastAsia"/>
              </w:rPr>
            </w:pPr>
            <w:r>
              <w:rPr>
                <w:rFonts w:ascii="仿宋" w:eastAsia="仿宋" w:hAnsi="仿宋" w:cs="仿宋" w:hint="eastAsia"/>
                <w:b/>
                <w:bCs/>
                <w:spacing w:val="5"/>
              </w:rPr>
              <w:t>参与</w:t>
            </w:r>
            <w:r>
              <w:rPr>
                <w:rFonts w:ascii="仿宋" w:eastAsia="仿宋" w:hAnsi="仿宋" w:cs="仿宋"/>
                <w:b/>
                <w:bCs/>
                <w:spacing w:val="5"/>
              </w:rPr>
              <w:t>单位</w:t>
            </w:r>
          </w:p>
        </w:tc>
        <w:tc>
          <w:tcPr>
            <w:tcW w:w="6219" w:type="dxa"/>
          </w:tcPr>
          <w:p w14:paraId="706B4196" w14:textId="77777777" w:rsidR="00647B4D" w:rsidRPr="00647B4D" w:rsidRDefault="00647B4D" w:rsidP="00020441">
            <w:pPr>
              <w:pStyle w:val="aa"/>
              <w:numPr>
                <w:ilvl w:val="0"/>
                <w:numId w:val="4"/>
              </w:numPr>
              <w:spacing w:line="360" w:lineRule="auto"/>
              <w:ind w:left="0" w:firstLineChars="0"/>
              <w:jc w:val="both"/>
              <w:rPr>
                <w:rFonts w:ascii="宋体" w:hAnsi="宋体" w:cs="宋体" w:hint="eastAsia"/>
                <w:sz w:val="22"/>
                <w:szCs w:val="22"/>
                <w:lang w:bidi="ar"/>
              </w:rPr>
            </w:pPr>
            <w:r w:rsidRPr="00647B4D">
              <w:rPr>
                <w:rFonts w:ascii="宋体" w:hAnsi="宋体" w:cs="宋体" w:hint="eastAsia"/>
                <w:sz w:val="22"/>
                <w:szCs w:val="22"/>
                <w:lang w:bidi="ar"/>
              </w:rPr>
              <w:t>广州中医药大学</w:t>
            </w:r>
          </w:p>
        </w:tc>
      </w:tr>
      <w:tr w:rsidR="00647B4D" w14:paraId="71611BAB" w14:textId="77777777" w:rsidTr="00A44595">
        <w:trPr>
          <w:trHeight w:val="90"/>
        </w:trPr>
        <w:tc>
          <w:tcPr>
            <w:tcW w:w="2137" w:type="dxa"/>
            <w:vMerge/>
            <w:tcBorders>
              <w:top w:val="nil"/>
              <w:bottom w:val="nil"/>
            </w:tcBorders>
          </w:tcPr>
          <w:p w14:paraId="28E78CA0" w14:textId="77777777" w:rsidR="00647B4D" w:rsidRDefault="00647B4D" w:rsidP="00020441">
            <w:pPr>
              <w:pStyle w:val="TableText"/>
              <w:spacing w:line="360" w:lineRule="auto"/>
              <w:jc w:val="center"/>
              <w:rPr>
                <w:lang w:eastAsia="zh-CN"/>
              </w:rPr>
            </w:pPr>
          </w:p>
        </w:tc>
        <w:tc>
          <w:tcPr>
            <w:tcW w:w="6219" w:type="dxa"/>
            <w:tcBorders>
              <w:bottom w:val="single" w:sz="4" w:space="0" w:color="auto"/>
            </w:tcBorders>
          </w:tcPr>
          <w:p w14:paraId="560AA4CC" w14:textId="77777777" w:rsidR="00647B4D" w:rsidRPr="00647B4D" w:rsidRDefault="00647B4D" w:rsidP="00020441">
            <w:pPr>
              <w:pStyle w:val="aa"/>
              <w:numPr>
                <w:ilvl w:val="0"/>
                <w:numId w:val="4"/>
              </w:numPr>
              <w:spacing w:line="360" w:lineRule="auto"/>
              <w:ind w:left="0" w:firstLineChars="0"/>
              <w:jc w:val="both"/>
              <w:rPr>
                <w:rFonts w:ascii="宋体" w:hAnsi="宋体" w:cs="宋体" w:hint="eastAsia"/>
                <w:sz w:val="22"/>
                <w:szCs w:val="22"/>
                <w:lang w:bidi="ar"/>
              </w:rPr>
            </w:pPr>
            <w:r w:rsidRPr="00647B4D">
              <w:rPr>
                <w:rFonts w:ascii="宋体" w:hAnsi="宋体" w:cs="宋体" w:hint="eastAsia"/>
                <w:sz w:val="22"/>
                <w:szCs w:val="22"/>
                <w:lang w:bidi="ar"/>
              </w:rPr>
              <w:t>中山大学附属第七医院(深圳)</w:t>
            </w:r>
          </w:p>
        </w:tc>
      </w:tr>
      <w:tr w:rsidR="003B5915" w14:paraId="27AA63E4" w14:textId="77777777" w:rsidTr="00A44595">
        <w:trPr>
          <w:trHeight w:val="90"/>
        </w:trPr>
        <w:tc>
          <w:tcPr>
            <w:tcW w:w="2137" w:type="dxa"/>
            <w:tcBorders>
              <w:top w:val="nil"/>
              <w:bottom w:val="nil"/>
            </w:tcBorders>
          </w:tcPr>
          <w:p w14:paraId="10EB95C6" w14:textId="77777777" w:rsidR="003B5915" w:rsidRDefault="003B5915" w:rsidP="00020441">
            <w:pPr>
              <w:pStyle w:val="TableText"/>
              <w:spacing w:line="360" w:lineRule="auto"/>
              <w:jc w:val="center"/>
              <w:rPr>
                <w:lang w:eastAsia="zh-CN"/>
              </w:rPr>
            </w:pPr>
          </w:p>
        </w:tc>
        <w:tc>
          <w:tcPr>
            <w:tcW w:w="6219" w:type="dxa"/>
            <w:tcBorders>
              <w:bottom w:val="single" w:sz="4" w:space="0" w:color="auto"/>
            </w:tcBorders>
          </w:tcPr>
          <w:p w14:paraId="38DD9503" w14:textId="0C398488" w:rsidR="003B5915" w:rsidRPr="00647B4D" w:rsidRDefault="003B5915" w:rsidP="00020441">
            <w:pPr>
              <w:pStyle w:val="aa"/>
              <w:numPr>
                <w:ilvl w:val="0"/>
                <w:numId w:val="4"/>
              </w:numPr>
              <w:spacing w:line="360" w:lineRule="auto"/>
              <w:ind w:left="0" w:firstLineChars="0"/>
              <w:jc w:val="both"/>
              <w:rPr>
                <w:rFonts w:ascii="宋体" w:hAnsi="宋体" w:cs="宋体" w:hint="eastAsia"/>
                <w:sz w:val="22"/>
                <w:szCs w:val="22"/>
                <w:lang w:bidi="ar"/>
              </w:rPr>
            </w:pPr>
            <w:r>
              <w:rPr>
                <w:rFonts w:ascii="宋体" w:hAnsi="宋体" w:cs="宋体" w:hint="eastAsia"/>
                <w:sz w:val="22"/>
                <w:szCs w:val="22"/>
                <w:lang w:bidi="ar"/>
              </w:rPr>
              <w:t>广东工业大学</w:t>
            </w:r>
          </w:p>
        </w:tc>
      </w:tr>
      <w:tr w:rsidR="00647B4D" w14:paraId="360C35A6" w14:textId="77777777" w:rsidTr="00A44595">
        <w:trPr>
          <w:trHeight w:val="176"/>
        </w:trPr>
        <w:tc>
          <w:tcPr>
            <w:tcW w:w="2137" w:type="dxa"/>
          </w:tcPr>
          <w:p w14:paraId="356F6F19" w14:textId="77777777" w:rsidR="00647B4D" w:rsidRDefault="00647B4D" w:rsidP="00647B4D">
            <w:pPr>
              <w:pStyle w:val="TableText"/>
              <w:spacing w:line="370" w:lineRule="auto"/>
              <w:rPr>
                <w:lang w:eastAsia="zh-CN"/>
              </w:rPr>
            </w:pPr>
          </w:p>
          <w:p w14:paraId="0F05F537" w14:textId="77777777" w:rsidR="00647B4D" w:rsidRDefault="00647B4D" w:rsidP="00894CE3">
            <w:pPr>
              <w:spacing w:before="65" w:line="243" w:lineRule="auto"/>
              <w:ind w:left="123" w:right="52" w:firstLineChars="200" w:firstLine="418"/>
              <w:rPr>
                <w:rFonts w:ascii="仿宋" w:eastAsia="仿宋" w:hAnsi="仿宋" w:cs="仿宋" w:hint="eastAsia"/>
              </w:rPr>
            </w:pPr>
            <w:r>
              <w:rPr>
                <w:rFonts w:ascii="仿宋" w:eastAsia="仿宋" w:hAnsi="仿宋" w:cs="仿宋"/>
                <w:b/>
                <w:bCs/>
                <w:spacing w:val="4"/>
              </w:rPr>
              <w:t>主要完成人</w:t>
            </w:r>
          </w:p>
          <w:p w14:paraId="729CFE5E" w14:textId="77777777" w:rsidR="00647B4D" w:rsidRDefault="00647B4D" w:rsidP="00647B4D">
            <w:pPr>
              <w:spacing w:before="65" w:line="243" w:lineRule="auto"/>
              <w:ind w:left="123" w:right="52" w:firstLine="175"/>
              <w:rPr>
                <w:rFonts w:ascii="仿宋" w:eastAsia="仿宋" w:hAnsi="仿宋" w:cs="仿宋" w:hint="eastAsia"/>
              </w:rPr>
            </w:pPr>
          </w:p>
        </w:tc>
        <w:tc>
          <w:tcPr>
            <w:tcW w:w="6219" w:type="dxa"/>
            <w:tcBorders>
              <w:top w:val="single" w:sz="4" w:space="0" w:color="auto"/>
              <w:bottom w:val="single" w:sz="4" w:space="0" w:color="auto"/>
            </w:tcBorders>
          </w:tcPr>
          <w:p w14:paraId="0BD74F9E" w14:textId="77777777" w:rsidR="00647B4D" w:rsidRPr="00A44595" w:rsidRDefault="00A44595" w:rsidP="00A44595">
            <w:pPr>
              <w:pStyle w:val="a7"/>
              <w:spacing w:line="390" w:lineRule="exact"/>
              <w:ind w:firstLineChars="0" w:firstLine="0"/>
              <w:jc w:val="left"/>
              <w:rPr>
                <w:rFonts w:ascii="宋体" w:hAnsi="宋体" w:cs="宋体" w:hint="eastAsia"/>
                <w:snapToGrid w:val="0"/>
                <w:color w:val="000000"/>
                <w:kern w:val="0"/>
                <w:sz w:val="22"/>
                <w:szCs w:val="22"/>
                <w:lang w:eastAsia="zh-CN" w:bidi="ar"/>
              </w:rPr>
            </w:pPr>
            <w:r>
              <w:rPr>
                <w:rFonts w:ascii="宋体" w:hAnsi="宋体" w:cs="宋体" w:hint="eastAsia"/>
                <w:bCs/>
                <w:snapToGrid w:val="0"/>
                <w:color w:val="000000"/>
                <w:kern w:val="0"/>
                <w:sz w:val="22"/>
                <w:szCs w:val="22"/>
                <w:lang w:eastAsia="zh-CN" w:bidi="ar"/>
              </w:rPr>
              <w:t>（1）</w:t>
            </w:r>
            <w:proofErr w:type="gramStart"/>
            <w:r w:rsidR="00647B4D" w:rsidRPr="00A44595">
              <w:rPr>
                <w:rFonts w:ascii="宋体" w:hAnsi="宋体" w:cs="宋体" w:hint="eastAsia"/>
                <w:bCs/>
                <w:snapToGrid w:val="0"/>
                <w:color w:val="000000"/>
                <w:kern w:val="0"/>
                <w:sz w:val="22"/>
                <w:szCs w:val="22"/>
                <w:lang w:eastAsia="zh-CN" w:bidi="ar"/>
              </w:rPr>
              <w:t>栾</w:t>
            </w:r>
            <w:proofErr w:type="gramEnd"/>
            <w:r w:rsidR="00647B4D" w:rsidRPr="00A44595">
              <w:rPr>
                <w:rFonts w:ascii="宋体" w:hAnsi="宋体" w:cs="宋体" w:hint="eastAsia"/>
                <w:bCs/>
                <w:snapToGrid w:val="0"/>
                <w:color w:val="000000"/>
                <w:kern w:val="0"/>
                <w:sz w:val="22"/>
                <w:szCs w:val="22"/>
                <w:lang w:eastAsia="zh-CN" w:bidi="ar"/>
              </w:rPr>
              <w:t>天罡</w:t>
            </w:r>
            <w:r w:rsidR="00647B4D" w:rsidRPr="00A44595">
              <w:rPr>
                <w:rFonts w:ascii="宋体" w:hAnsi="宋体" w:cs="宋体" w:hint="eastAsia"/>
                <w:snapToGrid w:val="0"/>
                <w:color w:val="000000"/>
                <w:kern w:val="0"/>
                <w:sz w:val="22"/>
                <w:szCs w:val="22"/>
                <w:lang w:eastAsia="zh-CN" w:bidi="ar"/>
              </w:rPr>
              <w:t>，教授，五</w:t>
            </w:r>
            <w:proofErr w:type="gramStart"/>
            <w:r w:rsidR="00647B4D" w:rsidRPr="00A44595">
              <w:rPr>
                <w:rFonts w:ascii="宋体" w:hAnsi="宋体" w:cs="宋体" w:hint="eastAsia"/>
                <w:snapToGrid w:val="0"/>
                <w:color w:val="000000"/>
                <w:kern w:val="0"/>
                <w:sz w:val="22"/>
                <w:szCs w:val="22"/>
                <w:lang w:eastAsia="zh-CN" w:bidi="ar"/>
              </w:rPr>
              <w:t>邑</w:t>
            </w:r>
            <w:proofErr w:type="gramEnd"/>
            <w:r w:rsidR="00647B4D" w:rsidRPr="00A44595">
              <w:rPr>
                <w:rFonts w:ascii="宋体" w:hAnsi="宋体" w:cs="宋体" w:hint="eastAsia"/>
                <w:snapToGrid w:val="0"/>
                <w:color w:val="000000"/>
                <w:kern w:val="0"/>
                <w:sz w:val="22"/>
                <w:szCs w:val="22"/>
                <w:lang w:eastAsia="zh-CN" w:bidi="ar"/>
              </w:rPr>
              <w:t>大学</w:t>
            </w:r>
          </w:p>
          <w:p w14:paraId="5E16106D" w14:textId="77777777" w:rsidR="00647B4D" w:rsidRPr="00A44595" w:rsidRDefault="00A44595" w:rsidP="00A44595">
            <w:pPr>
              <w:pStyle w:val="a7"/>
              <w:spacing w:line="390" w:lineRule="exact"/>
              <w:ind w:firstLineChars="0" w:firstLine="0"/>
              <w:jc w:val="left"/>
              <w:rPr>
                <w:rFonts w:ascii="宋体" w:hAnsi="宋体" w:hint="eastAsia"/>
                <w:sz w:val="21"/>
                <w:szCs w:val="24"/>
                <w:lang w:eastAsia="zh-CN"/>
              </w:rPr>
            </w:pPr>
            <w:r>
              <w:rPr>
                <w:rFonts w:ascii="宋体" w:hAnsi="宋体" w:cs="宋体" w:hint="eastAsia"/>
                <w:bCs/>
                <w:snapToGrid w:val="0"/>
                <w:color w:val="000000"/>
                <w:kern w:val="0"/>
                <w:sz w:val="22"/>
                <w:szCs w:val="22"/>
                <w:lang w:eastAsia="zh-CN" w:bidi="ar"/>
              </w:rPr>
              <w:t>（</w:t>
            </w:r>
            <w:r>
              <w:rPr>
                <w:rFonts w:ascii="宋体" w:hAnsi="宋体" w:cs="宋体"/>
                <w:bCs/>
                <w:snapToGrid w:val="0"/>
                <w:color w:val="000000"/>
                <w:kern w:val="0"/>
                <w:sz w:val="22"/>
                <w:szCs w:val="22"/>
                <w:lang w:eastAsia="zh-CN" w:bidi="ar"/>
              </w:rPr>
              <w:t>2</w:t>
            </w:r>
            <w:r>
              <w:rPr>
                <w:rFonts w:ascii="宋体" w:hAnsi="宋体" w:cs="宋体" w:hint="eastAsia"/>
                <w:bCs/>
                <w:snapToGrid w:val="0"/>
                <w:color w:val="000000"/>
                <w:kern w:val="0"/>
                <w:sz w:val="22"/>
                <w:szCs w:val="22"/>
                <w:lang w:eastAsia="zh-CN" w:bidi="ar"/>
              </w:rPr>
              <w:t>）</w:t>
            </w:r>
            <w:r w:rsidR="00647B4D" w:rsidRPr="00A44595">
              <w:rPr>
                <w:rFonts w:ascii="宋体" w:hAnsi="宋体" w:cs="宋体" w:hint="eastAsia"/>
                <w:sz w:val="21"/>
                <w:szCs w:val="21"/>
                <w:lang w:eastAsia="zh-CN"/>
              </w:rPr>
              <w:t>翟筠秋，副研究员，广州中医药大学</w:t>
            </w:r>
          </w:p>
          <w:p w14:paraId="0F811000" w14:textId="77777777" w:rsidR="00647B4D" w:rsidRPr="00A44595" w:rsidRDefault="00A44595" w:rsidP="00A44595">
            <w:pPr>
              <w:pStyle w:val="a7"/>
              <w:spacing w:line="390" w:lineRule="exact"/>
              <w:ind w:firstLineChars="0" w:firstLine="0"/>
              <w:jc w:val="left"/>
              <w:rPr>
                <w:rFonts w:ascii="宋体" w:hAnsi="宋体" w:hint="eastAsia"/>
                <w:sz w:val="21"/>
                <w:szCs w:val="24"/>
                <w:lang w:eastAsia="zh-CN"/>
              </w:rPr>
            </w:pPr>
            <w:r>
              <w:rPr>
                <w:rFonts w:ascii="宋体" w:hAnsi="宋体" w:cs="宋体" w:hint="eastAsia"/>
                <w:bCs/>
                <w:snapToGrid w:val="0"/>
                <w:color w:val="000000"/>
                <w:kern w:val="0"/>
                <w:sz w:val="22"/>
                <w:szCs w:val="22"/>
                <w:lang w:eastAsia="zh-CN" w:bidi="ar"/>
              </w:rPr>
              <w:t>（3）</w:t>
            </w:r>
            <w:r w:rsidR="00647B4D" w:rsidRPr="00A44595">
              <w:rPr>
                <w:rFonts w:ascii="宋体" w:hAnsi="宋体" w:cs="宋体" w:hint="eastAsia"/>
                <w:sz w:val="21"/>
                <w:szCs w:val="21"/>
                <w:lang w:eastAsia="zh-CN"/>
              </w:rPr>
              <w:t>刘朝兴，副研究员，</w:t>
            </w:r>
            <w:r w:rsidR="00647B4D" w:rsidRPr="00A44595">
              <w:rPr>
                <w:rFonts w:ascii="宋体" w:hAnsi="宋体" w:cs="宋体" w:hint="eastAsia"/>
                <w:sz w:val="22"/>
                <w:szCs w:val="22"/>
                <w:lang w:eastAsia="zh-CN" w:bidi="ar"/>
              </w:rPr>
              <w:t>中山大学附属第七医院(深圳)</w:t>
            </w:r>
          </w:p>
          <w:p w14:paraId="6D87D816" w14:textId="77777777" w:rsidR="00647B4D" w:rsidRDefault="00A44595" w:rsidP="00A44595">
            <w:pPr>
              <w:pStyle w:val="a7"/>
              <w:spacing w:line="390" w:lineRule="exact"/>
              <w:ind w:firstLineChars="0" w:firstLine="0"/>
              <w:jc w:val="left"/>
              <w:rPr>
                <w:rFonts w:ascii="宋体" w:hAnsi="宋体" w:cs="宋体"/>
                <w:snapToGrid w:val="0"/>
                <w:color w:val="000000"/>
                <w:kern w:val="0"/>
                <w:sz w:val="22"/>
                <w:szCs w:val="22"/>
                <w:lang w:eastAsia="zh-CN" w:bidi="ar"/>
              </w:rPr>
            </w:pPr>
            <w:r>
              <w:rPr>
                <w:rFonts w:ascii="宋体" w:hAnsi="宋体" w:cs="宋体" w:hint="eastAsia"/>
                <w:bCs/>
                <w:snapToGrid w:val="0"/>
                <w:color w:val="000000"/>
                <w:kern w:val="0"/>
                <w:sz w:val="22"/>
                <w:szCs w:val="22"/>
                <w:lang w:eastAsia="zh-CN" w:bidi="ar"/>
              </w:rPr>
              <w:t>（4）陈</w:t>
            </w:r>
            <w:r w:rsidR="00647B4D" w:rsidRPr="00A44595">
              <w:rPr>
                <w:rFonts w:ascii="宋体" w:hAnsi="宋体" w:cs="宋体" w:hint="eastAsia"/>
                <w:sz w:val="22"/>
                <w:szCs w:val="22"/>
                <w:lang w:eastAsia="zh-CN" w:bidi="ar"/>
              </w:rPr>
              <w:t>若虹，副教授，</w:t>
            </w:r>
            <w:r w:rsidR="00647B4D" w:rsidRPr="00A44595">
              <w:rPr>
                <w:rFonts w:ascii="宋体" w:hAnsi="宋体" w:cs="宋体" w:hint="eastAsia"/>
                <w:snapToGrid w:val="0"/>
                <w:color w:val="000000"/>
                <w:kern w:val="0"/>
                <w:sz w:val="22"/>
                <w:szCs w:val="22"/>
                <w:lang w:eastAsia="zh-CN" w:bidi="ar"/>
              </w:rPr>
              <w:t>五</w:t>
            </w:r>
            <w:proofErr w:type="gramStart"/>
            <w:r w:rsidR="00647B4D" w:rsidRPr="00A44595">
              <w:rPr>
                <w:rFonts w:ascii="宋体" w:hAnsi="宋体" w:cs="宋体" w:hint="eastAsia"/>
                <w:snapToGrid w:val="0"/>
                <w:color w:val="000000"/>
                <w:kern w:val="0"/>
                <w:sz w:val="22"/>
                <w:szCs w:val="22"/>
                <w:lang w:eastAsia="zh-CN" w:bidi="ar"/>
              </w:rPr>
              <w:t>邑</w:t>
            </w:r>
            <w:proofErr w:type="gramEnd"/>
            <w:r w:rsidR="00647B4D" w:rsidRPr="00A44595">
              <w:rPr>
                <w:rFonts w:ascii="宋体" w:hAnsi="宋体" w:cs="宋体" w:hint="eastAsia"/>
                <w:snapToGrid w:val="0"/>
                <w:color w:val="000000"/>
                <w:kern w:val="0"/>
                <w:sz w:val="22"/>
                <w:szCs w:val="22"/>
                <w:lang w:eastAsia="zh-CN" w:bidi="ar"/>
              </w:rPr>
              <w:t>大学</w:t>
            </w:r>
          </w:p>
          <w:p w14:paraId="15B956FE" w14:textId="77777777" w:rsidR="003B5915" w:rsidRDefault="003B5915" w:rsidP="00A44595">
            <w:pPr>
              <w:pStyle w:val="a7"/>
              <w:spacing w:line="390" w:lineRule="exact"/>
              <w:ind w:firstLineChars="0" w:firstLine="0"/>
              <w:jc w:val="left"/>
              <w:rPr>
                <w:rFonts w:ascii="宋体" w:hAnsi="宋体" w:cs="宋体"/>
                <w:bCs/>
                <w:snapToGrid w:val="0"/>
                <w:color w:val="000000"/>
                <w:kern w:val="0"/>
                <w:sz w:val="22"/>
                <w:szCs w:val="22"/>
                <w:lang w:eastAsia="zh-CN" w:bidi="ar"/>
              </w:rPr>
            </w:pPr>
            <w:r>
              <w:rPr>
                <w:rFonts w:ascii="宋体" w:hAnsi="宋体" w:cs="宋体" w:hint="eastAsia"/>
                <w:bCs/>
                <w:snapToGrid w:val="0"/>
                <w:color w:val="000000"/>
                <w:kern w:val="0"/>
                <w:sz w:val="22"/>
                <w:szCs w:val="22"/>
                <w:lang w:eastAsia="zh-CN" w:bidi="ar"/>
              </w:rPr>
              <w:t>（</w:t>
            </w:r>
            <w:r>
              <w:rPr>
                <w:rFonts w:ascii="宋体" w:hAnsi="宋体" w:cs="宋体" w:hint="eastAsia"/>
                <w:bCs/>
                <w:snapToGrid w:val="0"/>
                <w:color w:val="000000"/>
                <w:kern w:val="0"/>
                <w:sz w:val="22"/>
                <w:szCs w:val="22"/>
                <w:lang w:eastAsia="zh-CN" w:bidi="ar"/>
              </w:rPr>
              <w:t>5</w:t>
            </w:r>
            <w:r>
              <w:rPr>
                <w:rFonts w:ascii="宋体" w:hAnsi="宋体" w:cs="宋体" w:hint="eastAsia"/>
                <w:bCs/>
                <w:snapToGrid w:val="0"/>
                <w:color w:val="000000"/>
                <w:kern w:val="0"/>
                <w:sz w:val="22"/>
                <w:szCs w:val="22"/>
                <w:lang w:eastAsia="zh-CN" w:bidi="ar"/>
              </w:rPr>
              <w:t>）</w:t>
            </w:r>
            <w:r>
              <w:rPr>
                <w:rFonts w:ascii="宋体" w:hAnsi="宋体" w:cs="宋体" w:hint="eastAsia"/>
                <w:bCs/>
                <w:snapToGrid w:val="0"/>
                <w:color w:val="000000"/>
                <w:kern w:val="0"/>
                <w:sz w:val="22"/>
                <w:szCs w:val="22"/>
                <w:lang w:eastAsia="zh-CN" w:bidi="ar"/>
              </w:rPr>
              <w:t>卢耀斌，副教授，广东工业大学</w:t>
            </w:r>
          </w:p>
          <w:p w14:paraId="654F80C7" w14:textId="5D2DF523" w:rsidR="003B5915" w:rsidRDefault="003B5915" w:rsidP="00A44595">
            <w:pPr>
              <w:pStyle w:val="a7"/>
              <w:spacing w:line="390" w:lineRule="exact"/>
              <w:ind w:firstLineChars="0" w:firstLine="0"/>
              <w:jc w:val="left"/>
              <w:rPr>
                <w:rFonts w:ascii="宋体" w:hAnsi="宋体" w:hint="eastAsia"/>
                <w:sz w:val="21"/>
                <w:szCs w:val="24"/>
                <w:lang w:eastAsia="zh-CN"/>
              </w:rPr>
            </w:pPr>
            <w:r>
              <w:rPr>
                <w:rFonts w:ascii="宋体" w:hAnsi="宋体" w:cs="宋体" w:hint="eastAsia"/>
                <w:bCs/>
                <w:snapToGrid w:val="0"/>
                <w:color w:val="000000"/>
                <w:kern w:val="0"/>
                <w:sz w:val="22"/>
                <w:szCs w:val="22"/>
                <w:lang w:eastAsia="zh-CN" w:bidi="ar"/>
              </w:rPr>
              <w:t>（</w:t>
            </w:r>
            <w:r>
              <w:rPr>
                <w:rFonts w:ascii="宋体" w:hAnsi="宋体" w:cs="宋体" w:hint="eastAsia"/>
                <w:bCs/>
                <w:snapToGrid w:val="0"/>
                <w:color w:val="000000"/>
                <w:kern w:val="0"/>
                <w:sz w:val="22"/>
                <w:szCs w:val="22"/>
                <w:lang w:eastAsia="zh-CN" w:bidi="ar"/>
              </w:rPr>
              <w:t>6</w:t>
            </w:r>
            <w:r>
              <w:rPr>
                <w:rFonts w:ascii="宋体" w:hAnsi="宋体" w:cs="宋体" w:hint="eastAsia"/>
                <w:bCs/>
                <w:snapToGrid w:val="0"/>
                <w:color w:val="000000"/>
                <w:kern w:val="0"/>
                <w:sz w:val="22"/>
                <w:szCs w:val="22"/>
                <w:lang w:eastAsia="zh-CN" w:bidi="ar"/>
              </w:rPr>
              <w:t>）</w:t>
            </w:r>
            <w:r>
              <w:rPr>
                <w:rFonts w:ascii="宋体" w:hAnsi="宋体" w:cs="宋体" w:hint="eastAsia"/>
                <w:bCs/>
                <w:snapToGrid w:val="0"/>
                <w:color w:val="000000"/>
                <w:kern w:val="0"/>
                <w:sz w:val="22"/>
                <w:szCs w:val="22"/>
                <w:lang w:eastAsia="zh-CN" w:bidi="ar"/>
              </w:rPr>
              <w:t>席冠，副教授，</w:t>
            </w:r>
            <w:r>
              <w:rPr>
                <w:rFonts w:ascii="宋体" w:hAnsi="宋体" w:cs="宋体" w:hint="eastAsia"/>
                <w:bCs/>
                <w:snapToGrid w:val="0"/>
                <w:color w:val="000000"/>
                <w:kern w:val="0"/>
                <w:sz w:val="22"/>
                <w:szCs w:val="22"/>
                <w:lang w:eastAsia="zh-CN" w:bidi="ar"/>
              </w:rPr>
              <w:t>广东工业大学</w:t>
            </w:r>
          </w:p>
        </w:tc>
      </w:tr>
      <w:tr w:rsidR="00894CE3" w14:paraId="01C67205" w14:textId="77777777" w:rsidTr="00A44595">
        <w:trPr>
          <w:trHeight w:val="176"/>
        </w:trPr>
        <w:tc>
          <w:tcPr>
            <w:tcW w:w="2137" w:type="dxa"/>
          </w:tcPr>
          <w:p w14:paraId="0D72F59A" w14:textId="77777777" w:rsidR="00894CE3" w:rsidRDefault="00894CE3" w:rsidP="00647B4D">
            <w:pPr>
              <w:pStyle w:val="TableText"/>
              <w:spacing w:line="370" w:lineRule="auto"/>
              <w:rPr>
                <w:lang w:eastAsia="zh-CN"/>
              </w:rPr>
            </w:pPr>
            <w:proofErr w:type="spellStart"/>
            <w:r>
              <w:rPr>
                <w:rFonts w:ascii="仿宋" w:eastAsia="仿宋" w:hAnsi="仿宋" w:cs="仿宋"/>
                <w:b/>
                <w:bCs/>
                <w:spacing w:val="4"/>
                <w:sz w:val="20"/>
                <w:szCs w:val="20"/>
              </w:rPr>
              <w:t>项目简介</w:t>
            </w:r>
            <w:proofErr w:type="spellEnd"/>
          </w:p>
        </w:tc>
        <w:tc>
          <w:tcPr>
            <w:tcW w:w="6219" w:type="dxa"/>
            <w:tcBorders>
              <w:top w:val="single" w:sz="4" w:space="0" w:color="auto"/>
              <w:bottom w:val="single" w:sz="4" w:space="0" w:color="auto"/>
            </w:tcBorders>
          </w:tcPr>
          <w:p w14:paraId="0E44D5B0" w14:textId="77777777" w:rsidR="00894CE3" w:rsidRPr="00273EB1" w:rsidRDefault="00273EB1" w:rsidP="00273EB1">
            <w:pPr>
              <w:pStyle w:val="a7"/>
              <w:ind w:firstLine="440"/>
              <w:rPr>
                <w:rFonts w:ascii="Times New Roman"/>
                <w:bCs/>
                <w:snapToGrid w:val="0"/>
                <w:color w:val="000000"/>
                <w:kern w:val="0"/>
                <w:sz w:val="22"/>
                <w:szCs w:val="22"/>
                <w:lang w:eastAsia="zh-CN" w:bidi="ar"/>
              </w:rPr>
            </w:pPr>
            <w:r w:rsidRPr="00273EB1">
              <w:rPr>
                <w:rFonts w:ascii="Times New Roman"/>
                <w:bCs/>
                <w:snapToGrid w:val="0"/>
                <w:color w:val="000000"/>
                <w:kern w:val="0"/>
                <w:sz w:val="22"/>
                <w:szCs w:val="22"/>
                <w:lang w:eastAsia="zh-CN" w:bidi="ar"/>
              </w:rPr>
              <w:t>本项目围绕复杂环境与生命健康体系中低丰度分子事件难以准确识别、污染物诱导</w:t>
            </w:r>
            <w:r w:rsidRPr="00273EB1">
              <w:rPr>
                <w:rFonts w:ascii="Times New Roman"/>
                <w:bCs/>
                <w:snapToGrid w:val="0"/>
                <w:color w:val="000000"/>
                <w:kern w:val="0"/>
                <w:sz w:val="22"/>
                <w:szCs w:val="22"/>
                <w:lang w:eastAsia="zh-CN" w:bidi="ar"/>
              </w:rPr>
              <w:t>DNA</w:t>
            </w:r>
            <w:r w:rsidRPr="00273EB1">
              <w:rPr>
                <w:rFonts w:ascii="Times New Roman"/>
                <w:bCs/>
                <w:snapToGrid w:val="0"/>
                <w:color w:val="000000"/>
                <w:kern w:val="0"/>
                <w:sz w:val="22"/>
                <w:szCs w:val="22"/>
                <w:lang w:eastAsia="zh-CN" w:bidi="ar"/>
              </w:rPr>
              <w:t>损伤难以原位表征、环境健康效应分子机制难以系统解析等关键问题，开展高灵敏分子传感与成像新方法及其环境健康应用研究。项目建立了可编程分子识别、</w:t>
            </w:r>
            <w:r w:rsidRPr="00273EB1">
              <w:rPr>
                <w:rFonts w:ascii="Times New Roman"/>
                <w:bCs/>
                <w:snapToGrid w:val="0"/>
                <w:color w:val="000000"/>
                <w:kern w:val="0"/>
                <w:sz w:val="22"/>
                <w:szCs w:val="22"/>
                <w:lang w:eastAsia="zh-CN" w:bidi="ar"/>
              </w:rPr>
              <w:t>CRISPR</w:t>
            </w:r>
            <w:r w:rsidRPr="00273EB1">
              <w:rPr>
                <w:rFonts w:ascii="Times New Roman"/>
                <w:bCs/>
                <w:snapToGrid w:val="0"/>
                <w:color w:val="000000"/>
                <w:kern w:val="0"/>
                <w:sz w:val="22"/>
                <w:szCs w:val="22"/>
                <w:lang w:eastAsia="zh-CN" w:bidi="ar"/>
              </w:rPr>
              <w:t>核酸酶活性调控、核酸探针信号放大、复杂样本富集检测、活细胞原位成像、高分辨质谱组学和稳定同位素代谢流分析等系列方法，形成了从低丰度目标物检测、细胞内损伤修复过程可视化到环境健康效应机制解析的递进式分析技术体系。项目在三个方面取得创新进展：一是发展面向核酸、小分子、蛋白标志物、病毒目标和细胞标志物的高灵敏分子识别与信号放大方法，提高复杂样本中低丰度目标检测能力；二是构建核酸损伤修复荧光探针、</w:t>
            </w:r>
            <w:r w:rsidRPr="00273EB1">
              <w:rPr>
                <w:rFonts w:ascii="Times New Roman"/>
                <w:bCs/>
                <w:snapToGrid w:val="0"/>
                <w:color w:val="000000"/>
                <w:kern w:val="0"/>
                <w:sz w:val="22"/>
                <w:szCs w:val="22"/>
                <w:lang w:eastAsia="zh-CN" w:bidi="ar"/>
              </w:rPr>
              <w:t>DNA</w:t>
            </w:r>
            <w:r w:rsidRPr="00273EB1">
              <w:rPr>
                <w:rFonts w:ascii="Times New Roman"/>
                <w:bCs/>
                <w:snapToGrid w:val="0"/>
                <w:color w:val="000000"/>
                <w:kern w:val="0"/>
                <w:sz w:val="22"/>
                <w:szCs w:val="22"/>
                <w:lang w:eastAsia="zh-CN" w:bidi="ar"/>
              </w:rPr>
              <w:t>纳米探针和核酸修饰精准分析方法，实现</w:t>
            </w:r>
            <w:r w:rsidRPr="00273EB1">
              <w:rPr>
                <w:rFonts w:ascii="Times New Roman"/>
                <w:bCs/>
                <w:snapToGrid w:val="0"/>
                <w:color w:val="000000"/>
                <w:kern w:val="0"/>
                <w:sz w:val="22"/>
                <w:szCs w:val="22"/>
                <w:lang w:eastAsia="zh-CN" w:bidi="ar"/>
              </w:rPr>
              <w:t>DNA</w:t>
            </w:r>
            <w:r w:rsidRPr="00273EB1">
              <w:rPr>
                <w:rFonts w:ascii="Times New Roman"/>
                <w:bCs/>
                <w:snapToGrid w:val="0"/>
                <w:color w:val="000000"/>
                <w:kern w:val="0"/>
                <w:sz w:val="22"/>
                <w:szCs w:val="22"/>
                <w:lang w:eastAsia="zh-CN" w:bidi="ar"/>
              </w:rPr>
              <w:t>修复酶活性、</w:t>
            </w:r>
            <w:r w:rsidRPr="00273EB1">
              <w:rPr>
                <w:rFonts w:ascii="Times New Roman"/>
                <w:bCs/>
                <w:snapToGrid w:val="0"/>
                <w:color w:val="000000"/>
                <w:kern w:val="0"/>
                <w:sz w:val="22"/>
                <w:szCs w:val="22"/>
                <w:lang w:eastAsia="zh-CN" w:bidi="ar"/>
              </w:rPr>
              <w:t>DNA</w:t>
            </w:r>
            <w:r w:rsidRPr="00273EB1">
              <w:rPr>
                <w:rFonts w:ascii="Times New Roman"/>
                <w:bCs/>
                <w:snapToGrid w:val="0"/>
                <w:color w:val="000000"/>
                <w:kern w:val="0"/>
                <w:sz w:val="22"/>
                <w:szCs w:val="22"/>
                <w:lang w:eastAsia="zh-CN" w:bidi="ar"/>
              </w:rPr>
              <w:t>损伤及污染物诱导细胞损伤响应的原位、动态分析；三是</w:t>
            </w:r>
            <w:proofErr w:type="gramStart"/>
            <w:r w:rsidRPr="00273EB1">
              <w:rPr>
                <w:rFonts w:ascii="Times New Roman"/>
                <w:bCs/>
                <w:snapToGrid w:val="0"/>
                <w:color w:val="000000"/>
                <w:kern w:val="0"/>
                <w:sz w:val="22"/>
                <w:szCs w:val="22"/>
                <w:lang w:eastAsia="zh-CN" w:bidi="ar"/>
              </w:rPr>
              <w:t>结合高</w:t>
            </w:r>
            <w:proofErr w:type="gramEnd"/>
            <w:r w:rsidRPr="00273EB1">
              <w:rPr>
                <w:rFonts w:ascii="Times New Roman"/>
                <w:bCs/>
                <w:snapToGrid w:val="0"/>
                <w:color w:val="000000"/>
                <w:kern w:val="0"/>
                <w:sz w:val="22"/>
                <w:szCs w:val="22"/>
                <w:lang w:eastAsia="zh-CN" w:bidi="ar"/>
              </w:rPr>
              <w:t>分辨质谱组学、代谢流分析和蛋白靶标发现策略，解析</w:t>
            </w:r>
            <w:r w:rsidRPr="00273EB1">
              <w:rPr>
                <w:rFonts w:ascii="Times New Roman"/>
                <w:bCs/>
                <w:snapToGrid w:val="0"/>
                <w:color w:val="000000"/>
                <w:kern w:val="0"/>
                <w:sz w:val="22"/>
                <w:szCs w:val="22"/>
                <w:lang w:eastAsia="zh-CN" w:bidi="ar"/>
              </w:rPr>
              <w:t>PFOA</w:t>
            </w:r>
            <w:r w:rsidRPr="00273EB1">
              <w:rPr>
                <w:rFonts w:ascii="Times New Roman"/>
                <w:bCs/>
                <w:snapToGrid w:val="0"/>
                <w:color w:val="000000"/>
                <w:kern w:val="0"/>
                <w:sz w:val="22"/>
                <w:szCs w:val="22"/>
                <w:lang w:eastAsia="zh-CN" w:bidi="ar"/>
              </w:rPr>
              <w:t>、砷等典型环境污染物暴露引起的代谢扰动、细胞毒性和分子作用机制。</w:t>
            </w:r>
            <w:r>
              <w:rPr>
                <w:rFonts w:ascii="Times New Roman"/>
                <w:bCs/>
                <w:snapToGrid w:val="0"/>
                <w:color w:val="000000"/>
                <w:kern w:val="0"/>
                <w:sz w:val="22"/>
                <w:szCs w:val="22"/>
                <w:lang w:eastAsia="zh-CN" w:bidi="ar"/>
              </w:rPr>
              <w:t xml:space="preserve"> </w:t>
            </w:r>
            <w:r w:rsidRPr="00273EB1">
              <w:rPr>
                <w:rFonts w:ascii="Times New Roman"/>
                <w:bCs/>
                <w:snapToGrid w:val="0"/>
                <w:color w:val="000000"/>
                <w:kern w:val="0"/>
                <w:sz w:val="22"/>
                <w:szCs w:val="22"/>
                <w:lang w:eastAsia="zh-CN" w:bidi="ar"/>
              </w:rPr>
              <w:t>相关成果已应用于疾病标志物检测、病毒目标现场检测、</w:t>
            </w:r>
            <w:r w:rsidRPr="00273EB1">
              <w:rPr>
                <w:rFonts w:ascii="Times New Roman"/>
                <w:bCs/>
                <w:snapToGrid w:val="0"/>
                <w:color w:val="000000"/>
                <w:kern w:val="0"/>
                <w:sz w:val="22"/>
                <w:szCs w:val="22"/>
                <w:lang w:eastAsia="zh-CN" w:bidi="ar"/>
              </w:rPr>
              <w:t>DNA</w:t>
            </w:r>
            <w:r w:rsidRPr="00273EB1">
              <w:rPr>
                <w:rFonts w:ascii="Times New Roman"/>
                <w:bCs/>
                <w:snapToGrid w:val="0"/>
                <w:color w:val="000000"/>
                <w:kern w:val="0"/>
                <w:sz w:val="22"/>
                <w:szCs w:val="22"/>
                <w:lang w:eastAsia="zh-CN" w:bidi="ar"/>
              </w:rPr>
              <w:t>损伤修复成像、污染物毒性机制研究、复杂样本质谱分析等</w:t>
            </w:r>
            <w:r w:rsidRPr="00273EB1">
              <w:rPr>
                <w:rFonts w:ascii="Times New Roman"/>
                <w:bCs/>
                <w:snapToGrid w:val="0"/>
                <w:color w:val="000000"/>
                <w:kern w:val="0"/>
                <w:sz w:val="22"/>
                <w:szCs w:val="22"/>
                <w:lang w:eastAsia="zh-CN" w:bidi="ar"/>
              </w:rPr>
              <w:lastRenderedPageBreak/>
              <w:t>场景，为环境健康风险评价、生命医学分析和公共卫生检测提供了新的分析测试方法与技术支撑。</w:t>
            </w:r>
          </w:p>
        </w:tc>
      </w:tr>
      <w:tr w:rsidR="006823EC" w14:paraId="4F01DDA9" w14:textId="77777777" w:rsidTr="00894CE3">
        <w:trPr>
          <w:trHeight w:val="2237"/>
        </w:trPr>
        <w:tc>
          <w:tcPr>
            <w:tcW w:w="2137" w:type="dxa"/>
            <w:tcBorders>
              <w:top w:val="single" w:sz="4" w:space="0" w:color="auto"/>
              <w:bottom w:val="single" w:sz="4" w:space="0" w:color="auto"/>
            </w:tcBorders>
          </w:tcPr>
          <w:p w14:paraId="3510DC52" w14:textId="77777777" w:rsidR="006823EC" w:rsidRDefault="006823EC" w:rsidP="006823EC">
            <w:pPr>
              <w:pStyle w:val="TableText"/>
              <w:spacing w:line="252" w:lineRule="auto"/>
              <w:rPr>
                <w:lang w:eastAsia="zh-CN"/>
              </w:rPr>
            </w:pPr>
          </w:p>
          <w:p w14:paraId="62E0F99A" w14:textId="77777777" w:rsidR="006823EC" w:rsidRDefault="006823EC" w:rsidP="006823EC">
            <w:pPr>
              <w:pStyle w:val="TableText"/>
              <w:spacing w:line="252" w:lineRule="auto"/>
              <w:rPr>
                <w:lang w:eastAsia="zh-CN"/>
              </w:rPr>
            </w:pPr>
          </w:p>
          <w:p w14:paraId="6BD4622F" w14:textId="77777777" w:rsidR="006823EC" w:rsidRDefault="006823EC" w:rsidP="006823EC">
            <w:pPr>
              <w:spacing w:before="65" w:line="241" w:lineRule="auto"/>
              <w:ind w:left="399" w:right="283" w:hanging="103"/>
              <w:rPr>
                <w:rFonts w:ascii="仿宋" w:eastAsia="仿宋" w:hAnsi="仿宋" w:cs="仿宋" w:hint="eastAsia"/>
              </w:rPr>
            </w:pPr>
            <w:r>
              <w:rPr>
                <w:rFonts w:ascii="仿宋" w:eastAsia="仿宋" w:hAnsi="仿宋" w:cs="仿宋"/>
                <w:b/>
                <w:bCs/>
                <w:spacing w:val="4"/>
              </w:rPr>
              <w:t>代表性论文</w:t>
            </w:r>
            <w:r>
              <w:rPr>
                <w:rFonts w:ascii="仿宋" w:eastAsia="仿宋" w:hAnsi="仿宋" w:cs="仿宋" w:hint="eastAsia"/>
                <w:b/>
                <w:bCs/>
                <w:spacing w:val="4"/>
              </w:rPr>
              <w:t>目录</w:t>
            </w:r>
          </w:p>
        </w:tc>
        <w:tc>
          <w:tcPr>
            <w:tcW w:w="6219" w:type="dxa"/>
            <w:tcBorders>
              <w:top w:val="single" w:sz="4" w:space="0" w:color="auto"/>
              <w:bottom w:val="single" w:sz="4" w:space="0" w:color="auto"/>
            </w:tcBorders>
            <w:vAlign w:val="center"/>
          </w:tcPr>
          <w:p w14:paraId="4DC78BBA" w14:textId="77777777" w:rsidR="006823EC" w:rsidRPr="00C25121" w:rsidRDefault="006823EC" w:rsidP="006823EC">
            <w:pPr>
              <w:numPr>
                <w:ilvl w:val="0"/>
                <w:numId w:val="1"/>
              </w:numPr>
              <w:spacing w:line="312" w:lineRule="auto"/>
              <w:ind w:rightChars="34" w:right="68"/>
              <w:jc w:val="both"/>
              <w:rPr>
                <w:sz w:val="22"/>
                <w:szCs w:val="22"/>
              </w:rPr>
            </w:pPr>
            <w:r w:rsidRPr="00C25121">
              <w:rPr>
                <w:rFonts w:hint="eastAsia"/>
                <w:sz w:val="22"/>
                <w:szCs w:val="22"/>
              </w:rPr>
              <w:t xml:space="preserve">Yao </w:t>
            </w:r>
            <w:proofErr w:type="spellStart"/>
            <w:r w:rsidRPr="00C25121">
              <w:rPr>
                <w:rFonts w:hint="eastAsia"/>
                <w:sz w:val="22"/>
                <w:szCs w:val="22"/>
              </w:rPr>
              <w:t>Yao</w:t>
            </w:r>
            <w:proofErr w:type="spellEnd"/>
            <w:r w:rsidRPr="001F3C8C">
              <w:rPr>
                <w:rFonts w:hint="eastAsia"/>
                <w:sz w:val="22"/>
                <w:szCs w:val="22"/>
                <w:vertAlign w:val="superscript"/>
              </w:rPr>
              <w:t>#</w:t>
            </w:r>
            <w:r w:rsidRPr="00C25121">
              <w:rPr>
                <w:rFonts w:hint="eastAsia"/>
                <w:sz w:val="22"/>
                <w:szCs w:val="22"/>
              </w:rPr>
              <w:t xml:space="preserve">, </w:t>
            </w:r>
            <w:proofErr w:type="spellStart"/>
            <w:r w:rsidRPr="00C25121">
              <w:rPr>
                <w:rFonts w:hint="eastAsia"/>
                <w:sz w:val="22"/>
                <w:szCs w:val="22"/>
              </w:rPr>
              <w:t>Xueping</w:t>
            </w:r>
            <w:proofErr w:type="spellEnd"/>
            <w:r w:rsidRPr="00C25121">
              <w:rPr>
                <w:rFonts w:hint="eastAsia"/>
                <w:sz w:val="22"/>
                <w:szCs w:val="22"/>
              </w:rPr>
              <w:t xml:space="preserve"> Wang</w:t>
            </w:r>
            <w:r w:rsidRPr="001F3C8C">
              <w:rPr>
                <w:rFonts w:hint="eastAsia"/>
                <w:sz w:val="22"/>
                <w:szCs w:val="22"/>
                <w:vertAlign w:val="superscript"/>
              </w:rPr>
              <w:t>#</w:t>
            </w:r>
            <w:r w:rsidRPr="00C25121">
              <w:rPr>
                <w:rFonts w:hint="eastAsia"/>
                <w:sz w:val="22"/>
                <w:szCs w:val="22"/>
              </w:rPr>
              <w:t>, Jian Guan</w:t>
            </w:r>
            <w:r w:rsidRPr="001F3C8C">
              <w:rPr>
                <w:rFonts w:hint="eastAsia"/>
                <w:sz w:val="22"/>
                <w:szCs w:val="22"/>
                <w:vertAlign w:val="superscript"/>
              </w:rPr>
              <w:t>#</w:t>
            </w:r>
            <w:r w:rsidRPr="00C25121">
              <w:rPr>
                <w:rFonts w:hint="eastAsia"/>
                <w:sz w:val="22"/>
                <w:szCs w:val="22"/>
              </w:rPr>
              <w:t xml:space="preserve">, </w:t>
            </w:r>
            <w:proofErr w:type="spellStart"/>
            <w:r w:rsidRPr="00C25121">
              <w:rPr>
                <w:rFonts w:hint="eastAsia"/>
                <w:sz w:val="22"/>
                <w:szCs w:val="22"/>
              </w:rPr>
              <w:t>Chuanbo</w:t>
            </w:r>
            <w:proofErr w:type="spellEnd"/>
            <w:r w:rsidRPr="00C25121">
              <w:rPr>
                <w:rFonts w:hint="eastAsia"/>
                <w:sz w:val="22"/>
                <w:szCs w:val="22"/>
              </w:rPr>
              <w:t xml:space="preserve"> Xie, Hui Zhang, Jing Yang, Yao Luo, Lili Chen, </w:t>
            </w:r>
            <w:proofErr w:type="spellStart"/>
            <w:r w:rsidRPr="00C25121">
              <w:rPr>
                <w:rFonts w:hint="eastAsia"/>
                <w:sz w:val="22"/>
                <w:szCs w:val="22"/>
              </w:rPr>
              <w:t>Mingyue</w:t>
            </w:r>
            <w:proofErr w:type="spellEnd"/>
            <w:r w:rsidRPr="00C25121">
              <w:rPr>
                <w:rFonts w:hint="eastAsia"/>
                <w:sz w:val="22"/>
                <w:szCs w:val="22"/>
              </w:rPr>
              <w:t xml:space="preserve"> Zhao, Bitao Huo, Tiantian Yu, Wenhua Lu, Qiao Liu, Hongli Du, Yuying Liu, Peng Huang, </w:t>
            </w:r>
            <w:proofErr w:type="spellStart"/>
            <w:r w:rsidRPr="00C25121">
              <w:rPr>
                <w:rFonts w:hint="eastAsia"/>
                <w:sz w:val="22"/>
                <w:szCs w:val="22"/>
              </w:rPr>
              <w:t>Tiangang</w:t>
            </w:r>
            <w:proofErr w:type="spellEnd"/>
            <w:r w:rsidRPr="00C25121">
              <w:rPr>
                <w:rFonts w:hint="eastAsia"/>
                <w:sz w:val="22"/>
                <w:szCs w:val="22"/>
              </w:rPr>
              <w:t xml:space="preserve"> Luan</w:t>
            </w:r>
            <w:r w:rsidRPr="00C25121">
              <w:rPr>
                <w:rFonts w:hint="eastAsia"/>
                <w:sz w:val="22"/>
                <w:szCs w:val="22"/>
              </w:rPr>
              <w:t>（</w:t>
            </w:r>
            <w:proofErr w:type="gramStart"/>
            <w:r w:rsidRPr="00C25121">
              <w:rPr>
                <w:rFonts w:hint="eastAsia"/>
                <w:sz w:val="22"/>
                <w:szCs w:val="22"/>
              </w:rPr>
              <w:t>栾</w:t>
            </w:r>
            <w:proofErr w:type="gramEnd"/>
            <w:r w:rsidRPr="00C25121">
              <w:rPr>
                <w:rFonts w:hint="eastAsia"/>
                <w:sz w:val="22"/>
                <w:szCs w:val="22"/>
              </w:rPr>
              <w:t>天罡）</w:t>
            </w:r>
            <w:r w:rsidRPr="00C25121">
              <w:rPr>
                <w:rFonts w:hint="eastAsia"/>
                <w:sz w:val="22"/>
                <w:szCs w:val="22"/>
              </w:rPr>
              <w:t xml:space="preserve">*, Wanli Liu*, Yumin Hu*. Metabolomic differentiation of benign vs malignant pulmonary nodules with high specificity via high-resolution mass spectrometry analysis of patient sera. </w:t>
            </w:r>
            <w:r w:rsidRPr="00C25121">
              <w:rPr>
                <w:rFonts w:hint="eastAsia"/>
                <w:b/>
                <w:bCs/>
                <w:i/>
                <w:iCs/>
                <w:sz w:val="22"/>
                <w:szCs w:val="22"/>
              </w:rPr>
              <w:t>Nat Commun.</w:t>
            </w:r>
            <w:r>
              <w:rPr>
                <w:rFonts w:hint="eastAsia"/>
                <w:sz w:val="22"/>
                <w:szCs w:val="22"/>
              </w:rPr>
              <w:t xml:space="preserve">, </w:t>
            </w:r>
            <w:r w:rsidRPr="00C25121">
              <w:rPr>
                <w:rFonts w:hint="eastAsia"/>
                <w:sz w:val="22"/>
                <w:szCs w:val="22"/>
              </w:rPr>
              <w:t>2023</w:t>
            </w:r>
            <w:r>
              <w:rPr>
                <w:rFonts w:hint="eastAsia"/>
                <w:sz w:val="22"/>
                <w:szCs w:val="22"/>
              </w:rPr>
              <w:t xml:space="preserve">, </w:t>
            </w:r>
            <w:r w:rsidRPr="00C25121">
              <w:rPr>
                <w:rFonts w:hint="eastAsia"/>
                <w:sz w:val="22"/>
                <w:szCs w:val="22"/>
              </w:rPr>
              <w:t>14(1):</w:t>
            </w:r>
            <w:r>
              <w:rPr>
                <w:rFonts w:hint="eastAsia"/>
                <w:sz w:val="22"/>
                <w:szCs w:val="22"/>
              </w:rPr>
              <w:t xml:space="preserve"> </w:t>
            </w:r>
            <w:r w:rsidRPr="00C25121">
              <w:rPr>
                <w:rFonts w:hint="eastAsia"/>
                <w:sz w:val="22"/>
                <w:szCs w:val="22"/>
              </w:rPr>
              <w:t xml:space="preserve">2339. </w:t>
            </w:r>
          </w:p>
          <w:p w14:paraId="7B4832B6" w14:textId="77777777" w:rsidR="006823EC" w:rsidRPr="00C25121" w:rsidRDefault="006823EC" w:rsidP="006823EC">
            <w:pPr>
              <w:numPr>
                <w:ilvl w:val="0"/>
                <w:numId w:val="1"/>
              </w:numPr>
              <w:spacing w:line="312" w:lineRule="auto"/>
              <w:ind w:rightChars="34" w:right="68"/>
              <w:jc w:val="both"/>
              <w:rPr>
                <w:sz w:val="22"/>
                <w:szCs w:val="22"/>
              </w:rPr>
            </w:pPr>
            <w:r w:rsidRPr="00C25121">
              <w:rPr>
                <w:rFonts w:hint="eastAsia"/>
                <w:sz w:val="22"/>
                <w:szCs w:val="22"/>
              </w:rPr>
              <w:t>Jiaqi Wang</w:t>
            </w:r>
            <w:r w:rsidRPr="001F3C8C">
              <w:rPr>
                <w:rFonts w:hint="eastAsia"/>
                <w:sz w:val="22"/>
                <w:szCs w:val="22"/>
                <w:vertAlign w:val="superscript"/>
              </w:rPr>
              <w:t>#</w:t>
            </w:r>
            <w:r w:rsidRPr="00C25121">
              <w:rPr>
                <w:rFonts w:hint="eastAsia"/>
                <w:sz w:val="22"/>
                <w:szCs w:val="22"/>
              </w:rPr>
              <w:t>, Xiaofang Ye</w:t>
            </w:r>
            <w:r w:rsidRPr="001F3C8C">
              <w:rPr>
                <w:rFonts w:hint="eastAsia"/>
                <w:sz w:val="22"/>
                <w:szCs w:val="22"/>
                <w:vertAlign w:val="superscript"/>
              </w:rPr>
              <w:t>#</w:t>
            </w:r>
            <w:r w:rsidRPr="00C25121">
              <w:rPr>
                <w:rFonts w:hint="eastAsia"/>
                <w:sz w:val="22"/>
                <w:szCs w:val="22"/>
              </w:rPr>
              <w:t xml:space="preserve">, </w:t>
            </w:r>
            <w:proofErr w:type="spellStart"/>
            <w:r w:rsidRPr="00C25121">
              <w:rPr>
                <w:rFonts w:hint="eastAsia"/>
                <w:sz w:val="22"/>
                <w:szCs w:val="22"/>
              </w:rPr>
              <w:t>Yuanfang</w:t>
            </w:r>
            <w:proofErr w:type="spellEnd"/>
            <w:r w:rsidRPr="00C25121">
              <w:rPr>
                <w:rFonts w:hint="eastAsia"/>
                <w:sz w:val="22"/>
                <w:szCs w:val="22"/>
              </w:rPr>
              <w:t xml:space="preserve"> Liu</w:t>
            </w:r>
            <w:r w:rsidRPr="001F3C8C">
              <w:rPr>
                <w:rFonts w:hint="eastAsia"/>
                <w:sz w:val="22"/>
                <w:szCs w:val="22"/>
                <w:vertAlign w:val="superscript"/>
              </w:rPr>
              <w:t>#</w:t>
            </w:r>
            <w:r w:rsidRPr="00C25121">
              <w:rPr>
                <w:rFonts w:hint="eastAsia"/>
                <w:sz w:val="22"/>
                <w:szCs w:val="22"/>
              </w:rPr>
              <w:t xml:space="preserve">, Wentao Li, Xue Zhang, Wei Zhang, </w:t>
            </w:r>
            <w:proofErr w:type="spellStart"/>
            <w:r w:rsidRPr="00C25121">
              <w:rPr>
                <w:rFonts w:hint="eastAsia"/>
                <w:sz w:val="22"/>
                <w:szCs w:val="22"/>
              </w:rPr>
              <w:t>Changqing</w:t>
            </w:r>
            <w:proofErr w:type="spellEnd"/>
            <w:r w:rsidRPr="00C25121">
              <w:rPr>
                <w:rFonts w:hint="eastAsia"/>
                <w:sz w:val="22"/>
                <w:szCs w:val="22"/>
              </w:rPr>
              <w:t xml:space="preserve"> Yi, </w:t>
            </w:r>
            <w:proofErr w:type="spellStart"/>
            <w:r w:rsidRPr="00C25121">
              <w:rPr>
                <w:rFonts w:hint="eastAsia"/>
                <w:sz w:val="22"/>
                <w:szCs w:val="22"/>
              </w:rPr>
              <w:t>Chaoxing</w:t>
            </w:r>
            <w:proofErr w:type="spellEnd"/>
            <w:r w:rsidRPr="00C25121">
              <w:rPr>
                <w:rFonts w:hint="eastAsia"/>
                <w:sz w:val="22"/>
                <w:szCs w:val="22"/>
              </w:rPr>
              <w:t xml:space="preserve"> Liu*</w:t>
            </w:r>
            <w:r w:rsidRPr="00C25121">
              <w:rPr>
                <w:rFonts w:hint="eastAsia"/>
                <w:sz w:val="22"/>
                <w:szCs w:val="22"/>
              </w:rPr>
              <w:t>（刘朝兴）</w:t>
            </w:r>
            <w:r w:rsidRPr="00C25121">
              <w:rPr>
                <w:rFonts w:hint="eastAsia"/>
                <w:sz w:val="22"/>
                <w:szCs w:val="22"/>
              </w:rPr>
              <w:t xml:space="preserve">. Regulating cleavage activity and enabling microRNA detection with split sgRNA in Cas12b. </w:t>
            </w:r>
            <w:r w:rsidRPr="00C25121">
              <w:rPr>
                <w:rFonts w:hint="eastAsia"/>
                <w:b/>
                <w:bCs/>
                <w:i/>
                <w:iCs/>
                <w:sz w:val="22"/>
                <w:szCs w:val="22"/>
              </w:rPr>
              <w:t>Nat. Commun.</w:t>
            </w:r>
            <w:r w:rsidRPr="00C25121">
              <w:rPr>
                <w:rFonts w:hint="eastAsia"/>
                <w:sz w:val="22"/>
                <w:szCs w:val="22"/>
              </w:rPr>
              <w:t xml:space="preserve"> 2025</w:t>
            </w:r>
            <w:r>
              <w:rPr>
                <w:rFonts w:hint="eastAsia"/>
                <w:sz w:val="22"/>
                <w:szCs w:val="22"/>
              </w:rPr>
              <w:t>,</w:t>
            </w:r>
            <w:r w:rsidRPr="00C25121">
              <w:rPr>
                <w:rFonts w:hint="eastAsia"/>
                <w:sz w:val="22"/>
                <w:szCs w:val="22"/>
              </w:rPr>
              <w:t xml:space="preserve"> 16(1):6392. </w:t>
            </w:r>
          </w:p>
          <w:p w14:paraId="1BCE6FA6" w14:textId="77777777" w:rsidR="006823EC" w:rsidRPr="00C25121" w:rsidRDefault="006823EC" w:rsidP="006823EC">
            <w:pPr>
              <w:numPr>
                <w:ilvl w:val="0"/>
                <w:numId w:val="1"/>
              </w:numPr>
              <w:spacing w:line="312" w:lineRule="auto"/>
              <w:ind w:rightChars="34" w:right="68"/>
              <w:jc w:val="both"/>
              <w:rPr>
                <w:sz w:val="22"/>
                <w:szCs w:val="22"/>
              </w:rPr>
            </w:pPr>
            <w:r w:rsidRPr="00C25121">
              <w:rPr>
                <w:rFonts w:hint="eastAsia"/>
                <w:sz w:val="22"/>
                <w:szCs w:val="22"/>
              </w:rPr>
              <w:t>Keni Ning</w:t>
            </w:r>
            <w:r w:rsidRPr="001F3C8C">
              <w:rPr>
                <w:rFonts w:hint="eastAsia"/>
                <w:sz w:val="22"/>
                <w:szCs w:val="22"/>
                <w:vertAlign w:val="superscript"/>
              </w:rPr>
              <w:t>#</w:t>
            </w:r>
            <w:r w:rsidRPr="00C25121">
              <w:rPr>
                <w:rFonts w:hint="eastAsia"/>
                <w:sz w:val="22"/>
                <w:szCs w:val="22"/>
              </w:rPr>
              <w:t>, Xiaoyan Tang</w:t>
            </w:r>
            <w:r w:rsidRPr="001F3C8C">
              <w:rPr>
                <w:rFonts w:hint="eastAsia"/>
                <w:sz w:val="22"/>
                <w:szCs w:val="22"/>
                <w:vertAlign w:val="superscript"/>
              </w:rPr>
              <w:t>#</w:t>
            </w:r>
            <w:r w:rsidRPr="00C25121">
              <w:rPr>
                <w:rFonts w:hint="eastAsia"/>
                <w:sz w:val="22"/>
                <w:szCs w:val="22"/>
              </w:rPr>
              <w:t xml:space="preserve">, Zhe Li, </w:t>
            </w:r>
            <w:proofErr w:type="spellStart"/>
            <w:r w:rsidRPr="00C25121">
              <w:rPr>
                <w:rFonts w:hint="eastAsia"/>
                <w:sz w:val="22"/>
                <w:szCs w:val="22"/>
              </w:rPr>
              <w:t>Liting</w:t>
            </w:r>
            <w:proofErr w:type="spellEnd"/>
            <w:r w:rsidRPr="00C25121">
              <w:rPr>
                <w:rFonts w:hint="eastAsia"/>
                <w:sz w:val="22"/>
                <w:szCs w:val="22"/>
              </w:rPr>
              <w:t xml:space="preserve"> Zhong, </w:t>
            </w:r>
            <w:proofErr w:type="spellStart"/>
            <w:r w:rsidRPr="00C25121">
              <w:rPr>
                <w:rFonts w:hint="eastAsia"/>
                <w:sz w:val="22"/>
                <w:szCs w:val="22"/>
              </w:rPr>
              <w:t>Yingchen</w:t>
            </w:r>
            <w:proofErr w:type="spellEnd"/>
            <w:r w:rsidRPr="00C25121">
              <w:rPr>
                <w:rFonts w:hint="eastAsia"/>
                <w:sz w:val="22"/>
                <w:szCs w:val="22"/>
              </w:rPr>
              <w:t xml:space="preserve"> Zhou, </w:t>
            </w:r>
            <w:proofErr w:type="spellStart"/>
            <w:r w:rsidRPr="00C25121">
              <w:rPr>
                <w:rFonts w:hint="eastAsia"/>
                <w:sz w:val="22"/>
                <w:szCs w:val="22"/>
              </w:rPr>
              <w:t>Jiaen</w:t>
            </w:r>
            <w:proofErr w:type="spellEnd"/>
            <w:r w:rsidRPr="00C25121">
              <w:rPr>
                <w:rFonts w:hint="eastAsia"/>
                <w:sz w:val="22"/>
                <w:szCs w:val="22"/>
              </w:rPr>
              <w:t xml:space="preserve"> Wang, </w:t>
            </w:r>
            <w:proofErr w:type="spellStart"/>
            <w:r w:rsidRPr="00C25121">
              <w:rPr>
                <w:rFonts w:hint="eastAsia"/>
                <w:sz w:val="22"/>
                <w:szCs w:val="22"/>
              </w:rPr>
              <w:t>Wanyi</w:t>
            </w:r>
            <w:proofErr w:type="spellEnd"/>
            <w:r w:rsidRPr="00C25121">
              <w:rPr>
                <w:rFonts w:hint="eastAsia"/>
                <w:sz w:val="22"/>
                <w:szCs w:val="22"/>
              </w:rPr>
              <w:t xml:space="preserve"> Huang, Han Zhang, Jiajun Ke, </w:t>
            </w:r>
            <w:proofErr w:type="spellStart"/>
            <w:r w:rsidRPr="00C25121">
              <w:rPr>
                <w:rFonts w:hint="eastAsia"/>
                <w:sz w:val="22"/>
                <w:szCs w:val="22"/>
              </w:rPr>
              <w:t>Tiangang</w:t>
            </w:r>
            <w:proofErr w:type="spellEnd"/>
            <w:r w:rsidRPr="00C25121">
              <w:rPr>
                <w:rFonts w:hint="eastAsia"/>
                <w:sz w:val="22"/>
                <w:szCs w:val="22"/>
              </w:rPr>
              <w:t xml:space="preserve"> Luan*</w:t>
            </w:r>
            <w:r w:rsidRPr="00C25121">
              <w:rPr>
                <w:rFonts w:hint="eastAsia"/>
                <w:sz w:val="22"/>
                <w:szCs w:val="22"/>
              </w:rPr>
              <w:t>（</w:t>
            </w:r>
            <w:proofErr w:type="gramStart"/>
            <w:r w:rsidRPr="00C25121">
              <w:rPr>
                <w:rFonts w:hint="eastAsia"/>
                <w:sz w:val="22"/>
                <w:szCs w:val="22"/>
              </w:rPr>
              <w:t>栾</w:t>
            </w:r>
            <w:proofErr w:type="gramEnd"/>
            <w:r w:rsidRPr="00C25121">
              <w:rPr>
                <w:rFonts w:hint="eastAsia"/>
                <w:sz w:val="22"/>
                <w:szCs w:val="22"/>
              </w:rPr>
              <w:t>天罡）</w:t>
            </w:r>
            <w:r w:rsidRPr="00C25121">
              <w:rPr>
                <w:rFonts w:hint="eastAsia"/>
                <w:sz w:val="22"/>
                <w:szCs w:val="22"/>
              </w:rPr>
              <w:t xml:space="preserve">, </w:t>
            </w:r>
            <w:proofErr w:type="spellStart"/>
            <w:r w:rsidRPr="00C25121">
              <w:rPr>
                <w:rFonts w:hint="eastAsia"/>
                <w:sz w:val="22"/>
                <w:szCs w:val="22"/>
              </w:rPr>
              <w:t>Shuobin</w:t>
            </w:r>
            <w:proofErr w:type="spellEnd"/>
            <w:r w:rsidRPr="00C25121">
              <w:rPr>
                <w:rFonts w:hint="eastAsia"/>
                <w:sz w:val="22"/>
                <w:szCs w:val="22"/>
              </w:rPr>
              <w:t xml:space="preserve"> Chen*, and Junqiu Zhai*</w:t>
            </w:r>
            <w:r w:rsidRPr="00C25121">
              <w:rPr>
                <w:rFonts w:hint="eastAsia"/>
                <w:sz w:val="22"/>
                <w:szCs w:val="22"/>
              </w:rPr>
              <w:t>（翟筠秋）</w:t>
            </w:r>
            <w:r w:rsidRPr="00C25121">
              <w:rPr>
                <w:rFonts w:hint="eastAsia"/>
                <w:sz w:val="22"/>
                <w:szCs w:val="22"/>
              </w:rPr>
              <w:t xml:space="preserve">. Specific Monitoring the DNA Helicase Function via Anchor-Embedded DNA Probe. </w:t>
            </w:r>
            <w:r w:rsidRPr="00C25121">
              <w:rPr>
                <w:rFonts w:hint="eastAsia"/>
                <w:b/>
                <w:bCs/>
                <w:i/>
                <w:iCs/>
                <w:sz w:val="22"/>
                <w:szCs w:val="22"/>
              </w:rPr>
              <w:t>Adv. Sci.</w:t>
            </w:r>
            <w:r w:rsidRPr="001F3C8C">
              <w:rPr>
                <w:rFonts w:hint="eastAsia"/>
                <w:sz w:val="22"/>
                <w:szCs w:val="22"/>
              </w:rPr>
              <w:t xml:space="preserve">, </w:t>
            </w:r>
            <w:r w:rsidRPr="00C25121">
              <w:rPr>
                <w:rFonts w:hint="eastAsia"/>
                <w:sz w:val="22"/>
                <w:szCs w:val="22"/>
              </w:rPr>
              <w:t xml:space="preserve">2025,12(8), 2413368. </w:t>
            </w:r>
          </w:p>
          <w:p w14:paraId="599DECC6" w14:textId="77777777" w:rsidR="006823EC" w:rsidRPr="00C25121" w:rsidRDefault="006823EC" w:rsidP="00020441">
            <w:pPr>
              <w:numPr>
                <w:ilvl w:val="0"/>
                <w:numId w:val="1"/>
              </w:numPr>
              <w:spacing w:line="312" w:lineRule="auto"/>
              <w:ind w:rightChars="34" w:right="68"/>
              <w:jc w:val="both"/>
              <w:rPr>
                <w:sz w:val="22"/>
                <w:szCs w:val="22"/>
              </w:rPr>
            </w:pPr>
            <w:r w:rsidRPr="00C25121">
              <w:rPr>
                <w:rFonts w:hint="eastAsia"/>
                <w:sz w:val="22"/>
                <w:szCs w:val="22"/>
              </w:rPr>
              <w:t>Wenjuan Huang</w:t>
            </w:r>
            <w:r w:rsidRPr="001F3C8C">
              <w:rPr>
                <w:rFonts w:hint="eastAsia"/>
                <w:sz w:val="22"/>
                <w:szCs w:val="22"/>
                <w:vertAlign w:val="superscript"/>
              </w:rPr>
              <w:t>#</w:t>
            </w:r>
            <w:r w:rsidRPr="00C25121">
              <w:rPr>
                <w:rFonts w:hint="eastAsia"/>
                <w:sz w:val="22"/>
                <w:szCs w:val="22"/>
              </w:rPr>
              <w:t>, Jiaqi Wang</w:t>
            </w:r>
            <w:r w:rsidRPr="001F3C8C">
              <w:rPr>
                <w:rFonts w:hint="eastAsia"/>
                <w:sz w:val="22"/>
                <w:szCs w:val="22"/>
                <w:vertAlign w:val="superscript"/>
              </w:rPr>
              <w:t>#</w:t>
            </w:r>
            <w:r w:rsidRPr="00C25121">
              <w:rPr>
                <w:rFonts w:hint="eastAsia"/>
                <w:sz w:val="22"/>
                <w:szCs w:val="22"/>
              </w:rPr>
              <w:t>, Cheng Wang</w:t>
            </w:r>
            <w:r w:rsidRPr="001F3C8C">
              <w:rPr>
                <w:rFonts w:hint="eastAsia"/>
                <w:sz w:val="22"/>
                <w:szCs w:val="22"/>
                <w:vertAlign w:val="superscript"/>
              </w:rPr>
              <w:t>#</w:t>
            </w:r>
            <w:r w:rsidRPr="00C25121">
              <w:rPr>
                <w:rFonts w:hint="eastAsia"/>
                <w:sz w:val="22"/>
                <w:szCs w:val="22"/>
              </w:rPr>
              <w:t xml:space="preserve">, </w:t>
            </w:r>
            <w:proofErr w:type="spellStart"/>
            <w:r w:rsidRPr="00C25121">
              <w:rPr>
                <w:rFonts w:hint="eastAsia"/>
                <w:sz w:val="22"/>
                <w:szCs w:val="22"/>
              </w:rPr>
              <w:t>Yuanfang</w:t>
            </w:r>
            <w:proofErr w:type="spellEnd"/>
            <w:r w:rsidRPr="00C25121">
              <w:rPr>
                <w:rFonts w:hint="eastAsia"/>
                <w:sz w:val="22"/>
                <w:szCs w:val="22"/>
              </w:rPr>
              <w:t xml:space="preserve"> Liu, Wentao Li, </w:t>
            </w:r>
            <w:proofErr w:type="spellStart"/>
            <w:r w:rsidRPr="00C25121">
              <w:rPr>
                <w:rFonts w:hint="eastAsia"/>
                <w:sz w:val="22"/>
                <w:szCs w:val="22"/>
              </w:rPr>
              <w:t>Qiaozhen</w:t>
            </w:r>
            <w:proofErr w:type="spellEnd"/>
            <w:r w:rsidRPr="00C25121">
              <w:rPr>
                <w:rFonts w:hint="eastAsia"/>
                <w:sz w:val="22"/>
                <w:szCs w:val="22"/>
              </w:rPr>
              <w:t xml:space="preserve"> Chen, Junqiu Zhai*</w:t>
            </w:r>
            <w:r w:rsidRPr="00C25121">
              <w:rPr>
                <w:rFonts w:hint="eastAsia"/>
                <w:sz w:val="22"/>
                <w:szCs w:val="22"/>
              </w:rPr>
              <w:t>（翟筠秋）</w:t>
            </w:r>
            <w:r w:rsidRPr="00C25121">
              <w:rPr>
                <w:rFonts w:hint="eastAsia"/>
                <w:sz w:val="22"/>
                <w:szCs w:val="22"/>
              </w:rPr>
              <w:t xml:space="preserve">, </w:t>
            </w:r>
            <w:proofErr w:type="spellStart"/>
            <w:r w:rsidRPr="00C25121">
              <w:rPr>
                <w:rFonts w:hint="eastAsia"/>
                <w:sz w:val="22"/>
                <w:szCs w:val="22"/>
              </w:rPr>
              <w:t>Zhenyang</w:t>
            </w:r>
            <w:proofErr w:type="spellEnd"/>
            <w:r w:rsidRPr="00C25121">
              <w:rPr>
                <w:rFonts w:hint="eastAsia"/>
                <w:sz w:val="22"/>
                <w:szCs w:val="22"/>
              </w:rPr>
              <w:t xml:space="preserve"> Xiang*, and </w:t>
            </w:r>
            <w:proofErr w:type="spellStart"/>
            <w:r w:rsidRPr="00C25121">
              <w:rPr>
                <w:rFonts w:hint="eastAsia"/>
                <w:sz w:val="22"/>
                <w:szCs w:val="22"/>
              </w:rPr>
              <w:t>Chaoxing</w:t>
            </w:r>
            <w:proofErr w:type="spellEnd"/>
            <w:r w:rsidRPr="00C25121">
              <w:rPr>
                <w:rFonts w:hint="eastAsia"/>
                <w:sz w:val="22"/>
                <w:szCs w:val="22"/>
              </w:rPr>
              <w:t xml:space="preserve"> Liu*</w:t>
            </w:r>
            <w:r w:rsidRPr="00C25121">
              <w:rPr>
                <w:rFonts w:hint="eastAsia"/>
                <w:sz w:val="22"/>
                <w:szCs w:val="22"/>
              </w:rPr>
              <w:t>（刘朝兴）</w:t>
            </w:r>
            <w:r w:rsidRPr="00C25121">
              <w:rPr>
                <w:rFonts w:hint="eastAsia"/>
                <w:sz w:val="22"/>
                <w:szCs w:val="22"/>
              </w:rPr>
              <w:t xml:space="preserve">. Expanding Cas12a Activity Control with an RNA G-quadruplex at the 5' End of CRISPR RNA. </w:t>
            </w:r>
            <w:r w:rsidRPr="00C25121">
              <w:rPr>
                <w:rFonts w:hint="eastAsia"/>
                <w:b/>
                <w:bCs/>
                <w:i/>
                <w:iCs/>
                <w:sz w:val="22"/>
                <w:szCs w:val="22"/>
              </w:rPr>
              <w:t>Adv. Sci.</w:t>
            </w:r>
            <w:r w:rsidRPr="001F3C8C">
              <w:rPr>
                <w:rFonts w:hint="eastAsia"/>
                <w:sz w:val="22"/>
                <w:szCs w:val="22"/>
              </w:rPr>
              <w:t xml:space="preserve">, </w:t>
            </w:r>
            <w:r w:rsidRPr="00C25121">
              <w:rPr>
                <w:rFonts w:hint="eastAsia"/>
                <w:sz w:val="22"/>
                <w:szCs w:val="22"/>
              </w:rPr>
              <w:t>2025, 12(7), 411305.</w:t>
            </w:r>
          </w:p>
          <w:p w14:paraId="1A914DFC" w14:textId="77777777" w:rsidR="006823EC" w:rsidRDefault="006823EC" w:rsidP="00562FF9">
            <w:pPr>
              <w:numPr>
                <w:ilvl w:val="0"/>
                <w:numId w:val="1"/>
              </w:numPr>
              <w:spacing w:line="312" w:lineRule="auto"/>
              <w:ind w:rightChars="34" w:right="68"/>
              <w:jc w:val="both"/>
              <w:rPr>
                <w:sz w:val="22"/>
                <w:szCs w:val="22"/>
              </w:rPr>
            </w:pPr>
            <w:r w:rsidRPr="006823EC">
              <w:rPr>
                <w:sz w:val="22"/>
                <w:szCs w:val="22"/>
              </w:rPr>
              <w:t>Time-Course Strategy Reveals a Dual Potential of Perfluorooctanoic Acid and Its Alternative in Adipocyte Differentiation</w:t>
            </w:r>
            <w:r w:rsidRPr="006823EC">
              <w:rPr>
                <w:rFonts w:hint="eastAsia"/>
                <w:sz w:val="22"/>
                <w:szCs w:val="22"/>
              </w:rPr>
              <w:t>.</w:t>
            </w:r>
            <w:r>
              <w:t xml:space="preserve"> </w:t>
            </w:r>
            <w:proofErr w:type="spellStart"/>
            <w:r w:rsidRPr="006823EC">
              <w:rPr>
                <w:sz w:val="22"/>
                <w:szCs w:val="22"/>
              </w:rPr>
              <w:t>Lanyin</w:t>
            </w:r>
            <w:proofErr w:type="spellEnd"/>
            <w:r w:rsidRPr="006823EC">
              <w:rPr>
                <w:sz w:val="22"/>
                <w:szCs w:val="22"/>
              </w:rPr>
              <w:t xml:space="preserve"> Tu</w:t>
            </w:r>
            <w:r w:rsidRPr="006823EC">
              <w:rPr>
                <w:rFonts w:hint="eastAsia"/>
                <w:sz w:val="22"/>
                <w:szCs w:val="22"/>
              </w:rPr>
              <w:t xml:space="preserve">, </w:t>
            </w:r>
            <w:proofErr w:type="spellStart"/>
            <w:r w:rsidRPr="006823EC">
              <w:rPr>
                <w:sz w:val="22"/>
                <w:szCs w:val="22"/>
              </w:rPr>
              <w:t>Yuanzhu</w:t>
            </w:r>
            <w:proofErr w:type="spellEnd"/>
            <w:r w:rsidRPr="006823EC">
              <w:rPr>
                <w:sz w:val="22"/>
                <w:szCs w:val="22"/>
              </w:rPr>
              <w:t xml:space="preserve"> Yang</w:t>
            </w:r>
            <w:r w:rsidRPr="006823EC">
              <w:rPr>
                <w:rFonts w:hint="eastAsia"/>
                <w:sz w:val="22"/>
                <w:szCs w:val="22"/>
              </w:rPr>
              <w:t xml:space="preserve">, </w:t>
            </w:r>
            <w:proofErr w:type="spellStart"/>
            <w:r w:rsidRPr="006823EC">
              <w:rPr>
                <w:sz w:val="22"/>
                <w:szCs w:val="22"/>
              </w:rPr>
              <w:t>Yingshi</w:t>
            </w:r>
            <w:proofErr w:type="spellEnd"/>
            <w:r w:rsidRPr="006823EC">
              <w:rPr>
                <w:sz w:val="22"/>
                <w:szCs w:val="22"/>
              </w:rPr>
              <w:t xml:space="preserve"> Lin</w:t>
            </w:r>
            <w:r w:rsidRPr="006823EC">
              <w:rPr>
                <w:rFonts w:hint="eastAsia"/>
                <w:sz w:val="22"/>
                <w:szCs w:val="22"/>
              </w:rPr>
              <w:t xml:space="preserve">, </w:t>
            </w:r>
            <w:proofErr w:type="spellStart"/>
            <w:r w:rsidRPr="006823EC">
              <w:rPr>
                <w:sz w:val="22"/>
                <w:szCs w:val="22"/>
              </w:rPr>
              <w:t>Xucong</w:t>
            </w:r>
            <w:proofErr w:type="spellEnd"/>
            <w:r w:rsidRPr="006823EC">
              <w:rPr>
                <w:sz w:val="22"/>
                <w:szCs w:val="22"/>
              </w:rPr>
              <w:t xml:space="preserve"> Wang</w:t>
            </w:r>
            <w:r w:rsidRPr="006823EC">
              <w:rPr>
                <w:rFonts w:hint="eastAsia"/>
                <w:sz w:val="22"/>
                <w:szCs w:val="22"/>
              </w:rPr>
              <w:t xml:space="preserve">, </w:t>
            </w:r>
            <w:r w:rsidRPr="006823EC">
              <w:rPr>
                <w:sz w:val="22"/>
                <w:szCs w:val="22"/>
              </w:rPr>
              <w:t>Hongyu Peng</w:t>
            </w:r>
            <w:r w:rsidRPr="006823EC">
              <w:rPr>
                <w:rFonts w:hint="eastAsia"/>
                <w:sz w:val="22"/>
                <w:szCs w:val="22"/>
              </w:rPr>
              <w:t xml:space="preserve">, </w:t>
            </w:r>
            <w:proofErr w:type="spellStart"/>
            <w:r w:rsidRPr="006823EC">
              <w:rPr>
                <w:sz w:val="22"/>
                <w:szCs w:val="22"/>
              </w:rPr>
              <w:t>Baowei</w:t>
            </w:r>
            <w:proofErr w:type="spellEnd"/>
            <w:r w:rsidRPr="006823EC">
              <w:rPr>
                <w:sz w:val="22"/>
                <w:szCs w:val="22"/>
              </w:rPr>
              <w:t xml:space="preserve"> Chen</w:t>
            </w:r>
            <w:r w:rsidRPr="006823EC">
              <w:rPr>
                <w:rFonts w:hint="eastAsia"/>
                <w:sz w:val="22"/>
                <w:szCs w:val="22"/>
              </w:rPr>
              <w:t xml:space="preserve">, </w:t>
            </w:r>
            <w:proofErr w:type="spellStart"/>
            <w:r w:rsidRPr="006823EC">
              <w:rPr>
                <w:sz w:val="22"/>
                <w:szCs w:val="22"/>
              </w:rPr>
              <w:t>Ruijia</w:t>
            </w:r>
            <w:proofErr w:type="spellEnd"/>
            <w:r w:rsidRPr="006823EC">
              <w:rPr>
                <w:sz w:val="22"/>
                <w:szCs w:val="22"/>
              </w:rPr>
              <w:t xml:space="preserve"> Zhang*</w:t>
            </w:r>
            <w:r w:rsidRPr="006823EC">
              <w:rPr>
                <w:rFonts w:hint="eastAsia"/>
                <w:sz w:val="22"/>
                <w:szCs w:val="22"/>
              </w:rPr>
              <w:t xml:space="preserve">, </w:t>
            </w:r>
            <w:proofErr w:type="spellStart"/>
            <w:r w:rsidRPr="006823EC">
              <w:rPr>
                <w:sz w:val="22"/>
                <w:szCs w:val="22"/>
              </w:rPr>
              <w:t>Tiangang</w:t>
            </w:r>
            <w:proofErr w:type="spellEnd"/>
            <w:r w:rsidRPr="006823EC">
              <w:rPr>
                <w:sz w:val="22"/>
                <w:szCs w:val="22"/>
              </w:rPr>
              <w:t xml:space="preserve"> Luan*</w:t>
            </w:r>
            <w:r w:rsidRPr="006823EC">
              <w:rPr>
                <w:rFonts w:hint="eastAsia"/>
                <w:sz w:val="22"/>
                <w:szCs w:val="22"/>
              </w:rPr>
              <w:t>（</w:t>
            </w:r>
            <w:proofErr w:type="gramStart"/>
            <w:r w:rsidRPr="006823EC">
              <w:rPr>
                <w:rFonts w:hint="eastAsia"/>
                <w:sz w:val="22"/>
                <w:szCs w:val="22"/>
              </w:rPr>
              <w:t>栾</w:t>
            </w:r>
            <w:proofErr w:type="gramEnd"/>
            <w:r w:rsidRPr="006823EC">
              <w:rPr>
                <w:rFonts w:hint="eastAsia"/>
                <w:sz w:val="22"/>
                <w:szCs w:val="22"/>
              </w:rPr>
              <w:t>天罡）</w:t>
            </w:r>
            <w:r w:rsidRPr="006823EC">
              <w:rPr>
                <w:rFonts w:hint="eastAsia"/>
                <w:sz w:val="22"/>
                <w:szCs w:val="22"/>
              </w:rPr>
              <w:t>.</w:t>
            </w:r>
            <w:r>
              <w:t xml:space="preserve"> </w:t>
            </w:r>
            <w:r w:rsidRPr="006823EC">
              <w:rPr>
                <w:b/>
                <w:bCs/>
                <w:i/>
                <w:iCs/>
                <w:sz w:val="22"/>
                <w:szCs w:val="22"/>
              </w:rPr>
              <w:t>Environ. Sci. Technol.</w:t>
            </w:r>
            <w:r w:rsidRPr="006823EC">
              <w:rPr>
                <w:rFonts w:hint="eastAsia"/>
                <w:sz w:val="22"/>
                <w:szCs w:val="22"/>
              </w:rPr>
              <w:t>,</w:t>
            </w:r>
            <w:r w:rsidRPr="006823EC">
              <w:rPr>
                <w:sz w:val="22"/>
                <w:szCs w:val="22"/>
              </w:rPr>
              <w:t xml:space="preserve"> 2025, 59, 56−68</w:t>
            </w:r>
            <w:r w:rsidRPr="006823EC">
              <w:rPr>
                <w:rFonts w:hint="eastAsia"/>
                <w:sz w:val="22"/>
                <w:szCs w:val="22"/>
              </w:rPr>
              <w:t>.</w:t>
            </w:r>
          </w:p>
          <w:p w14:paraId="53697F28" w14:textId="77777777" w:rsidR="006823EC" w:rsidRDefault="006823EC" w:rsidP="00562FF9">
            <w:pPr>
              <w:numPr>
                <w:ilvl w:val="0"/>
                <w:numId w:val="1"/>
              </w:numPr>
              <w:spacing w:line="312" w:lineRule="auto"/>
              <w:ind w:rightChars="34" w:right="68"/>
              <w:jc w:val="both"/>
              <w:rPr>
                <w:sz w:val="22"/>
                <w:szCs w:val="22"/>
              </w:rPr>
            </w:pPr>
            <w:r w:rsidRPr="006823EC">
              <w:rPr>
                <w:rFonts w:hint="eastAsia"/>
                <w:sz w:val="22"/>
                <w:szCs w:val="22"/>
              </w:rPr>
              <w:t xml:space="preserve"> Xinyu Luan, Xiaoyan Tang, </w:t>
            </w:r>
            <w:proofErr w:type="spellStart"/>
            <w:r w:rsidRPr="006823EC">
              <w:rPr>
                <w:rFonts w:hint="eastAsia"/>
                <w:sz w:val="22"/>
                <w:szCs w:val="22"/>
              </w:rPr>
              <w:t>Jiewei</w:t>
            </w:r>
            <w:proofErr w:type="spellEnd"/>
            <w:r w:rsidRPr="006823EC">
              <w:rPr>
                <w:rFonts w:hint="eastAsia"/>
                <w:sz w:val="22"/>
                <w:szCs w:val="22"/>
              </w:rPr>
              <w:t xml:space="preserve"> Deng, Yunyun Yang, Junqiu Zhai*</w:t>
            </w:r>
            <w:r w:rsidRPr="006823EC">
              <w:rPr>
                <w:rFonts w:hint="eastAsia"/>
                <w:sz w:val="22"/>
                <w:szCs w:val="22"/>
              </w:rPr>
              <w:t>（翟筠秋）</w:t>
            </w:r>
            <w:r w:rsidRPr="006823EC">
              <w:rPr>
                <w:rFonts w:hint="eastAsia"/>
                <w:sz w:val="22"/>
                <w:szCs w:val="22"/>
              </w:rPr>
              <w:t xml:space="preserve">, </w:t>
            </w:r>
            <w:proofErr w:type="spellStart"/>
            <w:r w:rsidRPr="006823EC">
              <w:rPr>
                <w:rFonts w:hint="eastAsia"/>
                <w:sz w:val="22"/>
                <w:szCs w:val="22"/>
              </w:rPr>
              <w:t>Tiangang</w:t>
            </w:r>
            <w:proofErr w:type="spellEnd"/>
            <w:r w:rsidRPr="006823EC">
              <w:rPr>
                <w:rFonts w:hint="eastAsia"/>
                <w:sz w:val="22"/>
                <w:szCs w:val="22"/>
              </w:rPr>
              <w:t xml:space="preserve"> Luan*</w:t>
            </w:r>
            <w:r w:rsidRPr="006823EC">
              <w:rPr>
                <w:rFonts w:hint="eastAsia"/>
                <w:sz w:val="22"/>
                <w:szCs w:val="22"/>
              </w:rPr>
              <w:t>（</w:t>
            </w:r>
            <w:proofErr w:type="gramStart"/>
            <w:r w:rsidRPr="006823EC">
              <w:rPr>
                <w:rFonts w:hint="eastAsia"/>
                <w:sz w:val="22"/>
                <w:szCs w:val="22"/>
              </w:rPr>
              <w:t>栾</w:t>
            </w:r>
            <w:proofErr w:type="gramEnd"/>
            <w:r w:rsidRPr="006823EC">
              <w:rPr>
                <w:rFonts w:hint="eastAsia"/>
                <w:sz w:val="22"/>
                <w:szCs w:val="22"/>
              </w:rPr>
              <w:t>天罡）</w:t>
            </w:r>
            <w:r w:rsidRPr="006823EC">
              <w:rPr>
                <w:rFonts w:hint="eastAsia"/>
                <w:sz w:val="22"/>
                <w:szCs w:val="22"/>
              </w:rPr>
              <w:t xml:space="preserve">. Fluorescent nucleic acid probes for DNA repair enzymes: Design strategies and applications. </w:t>
            </w:r>
            <w:proofErr w:type="spellStart"/>
            <w:r w:rsidRPr="006823EC">
              <w:rPr>
                <w:rFonts w:hint="eastAsia"/>
                <w:b/>
                <w:bCs/>
                <w:i/>
                <w:iCs/>
                <w:sz w:val="22"/>
                <w:szCs w:val="22"/>
              </w:rPr>
              <w:t>TrAC</w:t>
            </w:r>
            <w:proofErr w:type="spellEnd"/>
            <w:r w:rsidRPr="006823EC">
              <w:rPr>
                <w:rFonts w:hint="eastAsia"/>
                <w:b/>
                <w:bCs/>
                <w:i/>
                <w:iCs/>
                <w:sz w:val="22"/>
                <w:szCs w:val="22"/>
              </w:rPr>
              <w:t xml:space="preserve"> Trends Anal. Chem.</w:t>
            </w:r>
            <w:r w:rsidRPr="006823EC">
              <w:rPr>
                <w:rFonts w:hint="eastAsia"/>
                <w:sz w:val="22"/>
                <w:szCs w:val="22"/>
              </w:rPr>
              <w:t>, 2024, 171, 117489.</w:t>
            </w:r>
          </w:p>
          <w:p w14:paraId="11400DBB" w14:textId="16B29D6F" w:rsidR="006823EC" w:rsidRDefault="006823EC" w:rsidP="00562FF9">
            <w:pPr>
              <w:numPr>
                <w:ilvl w:val="0"/>
                <w:numId w:val="1"/>
              </w:numPr>
              <w:spacing w:line="312" w:lineRule="auto"/>
              <w:ind w:rightChars="34" w:right="68"/>
              <w:jc w:val="both"/>
              <w:rPr>
                <w:sz w:val="22"/>
                <w:szCs w:val="22"/>
              </w:rPr>
            </w:pPr>
            <w:r w:rsidRPr="006823EC">
              <w:rPr>
                <w:rFonts w:hint="eastAsia"/>
                <w:sz w:val="22"/>
                <w:szCs w:val="22"/>
              </w:rPr>
              <w:lastRenderedPageBreak/>
              <w:t xml:space="preserve"> Xinyu Luan, Han Zhang, Zhe Li, Miao Ma, </w:t>
            </w:r>
            <w:proofErr w:type="spellStart"/>
            <w:r w:rsidRPr="006823EC">
              <w:rPr>
                <w:rFonts w:hint="eastAsia"/>
                <w:sz w:val="22"/>
                <w:szCs w:val="22"/>
              </w:rPr>
              <w:t>Junrui</w:t>
            </w:r>
            <w:proofErr w:type="spellEnd"/>
            <w:r w:rsidRPr="006823EC">
              <w:rPr>
                <w:rFonts w:hint="eastAsia"/>
                <w:sz w:val="22"/>
                <w:szCs w:val="22"/>
              </w:rPr>
              <w:t xml:space="preserve"> Zhang, Fang Liu, Junqiu Zhai*</w:t>
            </w:r>
            <w:r w:rsidRPr="006823EC">
              <w:rPr>
                <w:rFonts w:hint="eastAsia"/>
                <w:sz w:val="22"/>
                <w:szCs w:val="22"/>
              </w:rPr>
              <w:t>（翟筠秋）</w:t>
            </w:r>
            <w:r w:rsidRPr="006823EC">
              <w:rPr>
                <w:rFonts w:hint="eastAsia"/>
                <w:sz w:val="22"/>
                <w:szCs w:val="22"/>
              </w:rPr>
              <w:t xml:space="preserve">, </w:t>
            </w:r>
            <w:proofErr w:type="spellStart"/>
            <w:r w:rsidRPr="006823EC">
              <w:rPr>
                <w:rFonts w:hint="eastAsia"/>
                <w:sz w:val="22"/>
                <w:szCs w:val="22"/>
              </w:rPr>
              <w:t>Tiangang</w:t>
            </w:r>
            <w:proofErr w:type="spellEnd"/>
            <w:r w:rsidRPr="006823EC">
              <w:rPr>
                <w:rFonts w:hint="eastAsia"/>
                <w:sz w:val="22"/>
                <w:szCs w:val="22"/>
              </w:rPr>
              <w:t xml:space="preserve"> Luan*</w:t>
            </w:r>
            <w:r w:rsidRPr="006823EC">
              <w:rPr>
                <w:rFonts w:hint="eastAsia"/>
                <w:sz w:val="22"/>
                <w:szCs w:val="22"/>
              </w:rPr>
              <w:t>（</w:t>
            </w:r>
            <w:proofErr w:type="gramStart"/>
            <w:r w:rsidRPr="006823EC">
              <w:rPr>
                <w:rFonts w:hint="eastAsia"/>
                <w:sz w:val="22"/>
                <w:szCs w:val="22"/>
              </w:rPr>
              <w:t>栾</w:t>
            </w:r>
            <w:proofErr w:type="gramEnd"/>
            <w:r w:rsidRPr="006823EC">
              <w:rPr>
                <w:rFonts w:hint="eastAsia"/>
                <w:sz w:val="22"/>
                <w:szCs w:val="22"/>
              </w:rPr>
              <w:t>天罡）</w:t>
            </w:r>
            <w:r w:rsidRPr="006823EC">
              <w:rPr>
                <w:rFonts w:hint="eastAsia"/>
                <w:sz w:val="22"/>
                <w:szCs w:val="22"/>
              </w:rPr>
              <w:t xml:space="preserve">. A demethylation-activated fluorescent DNA aptamer strategy for </w:t>
            </w:r>
            <w:proofErr w:type="spellStart"/>
            <w:r w:rsidRPr="006823EC">
              <w:rPr>
                <w:rFonts w:hint="eastAsia"/>
                <w:sz w:val="22"/>
                <w:szCs w:val="22"/>
              </w:rPr>
              <w:t>visualising</w:t>
            </w:r>
            <w:proofErr w:type="spellEnd"/>
            <w:r w:rsidRPr="006823EC">
              <w:rPr>
                <w:rFonts w:hint="eastAsia"/>
                <w:sz w:val="22"/>
                <w:szCs w:val="22"/>
              </w:rPr>
              <w:t xml:space="preserve"> DNA alkylation repair in living cells. </w:t>
            </w:r>
            <w:r w:rsidRPr="006823EC">
              <w:rPr>
                <w:rFonts w:hint="eastAsia"/>
                <w:b/>
                <w:bCs/>
                <w:i/>
                <w:iCs/>
                <w:sz w:val="22"/>
                <w:szCs w:val="22"/>
              </w:rPr>
              <w:t>Chem. Sci.,</w:t>
            </w:r>
            <w:r w:rsidRPr="006823EC">
              <w:rPr>
                <w:rFonts w:hint="eastAsia"/>
                <w:sz w:val="22"/>
                <w:szCs w:val="22"/>
              </w:rPr>
              <w:t xml:space="preserve"> 2026,</w:t>
            </w:r>
            <w:r>
              <w:t xml:space="preserve"> </w:t>
            </w:r>
            <w:r w:rsidR="00EA230B">
              <w:rPr>
                <w:rFonts w:hint="eastAsia"/>
                <w:i/>
              </w:rPr>
              <w:t>In press</w:t>
            </w:r>
            <w:r>
              <w:rPr>
                <w:rFonts w:hint="eastAsia"/>
              </w:rPr>
              <w:t xml:space="preserve">, </w:t>
            </w:r>
            <w:r w:rsidRPr="006823EC">
              <w:rPr>
                <w:sz w:val="22"/>
                <w:szCs w:val="22"/>
              </w:rPr>
              <w:t>DOI: 10.1039/d6sc01299j.</w:t>
            </w:r>
            <w:r w:rsidRPr="006823EC">
              <w:rPr>
                <w:rFonts w:hint="eastAsia"/>
                <w:sz w:val="22"/>
                <w:szCs w:val="22"/>
              </w:rPr>
              <w:t xml:space="preserve"> </w:t>
            </w:r>
          </w:p>
          <w:p w14:paraId="615B7D7F" w14:textId="77777777" w:rsidR="006823EC" w:rsidRPr="006823EC" w:rsidRDefault="006823EC" w:rsidP="00562FF9">
            <w:pPr>
              <w:numPr>
                <w:ilvl w:val="0"/>
                <w:numId w:val="1"/>
              </w:numPr>
              <w:spacing w:line="312" w:lineRule="auto"/>
              <w:ind w:rightChars="34" w:right="68"/>
              <w:jc w:val="both"/>
              <w:rPr>
                <w:sz w:val="22"/>
                <w:szCs w:val="22"/>
              </w:rPr>
            </w:pPr>
            <w:r w:rsidRPr="006823EC">
              <w:rPr>
                <w:rFonts w:hint="eastAsia"/>
                <w:sz w:val="22"/>
                <w:szCs w:val="22"/>
              </w:rPr>
              <w:t>Junqiu Zhai*</w:t>
            </w:r>
            <w:r w:rsidRPr="006823EC">
              <w:rPr>
                <w:rFonts w:hint="eastAsia"/>
                <w:sz w:val="22"/>
                <w:szCs w:val="22"/>
              </w:rPr>
              <w:t>（翟筠秋）</w:t>
            </w:r>
            <w:r w:rsidRPr="006823EC">
              <w:rPr>
                <w:rFonts w:hint="eastAsia"/>
                <w:sz w:val="22"/>
                <w:szCs w:val="22"/>
              </w:rPr>
              <w:t xml:space="preserve">, </w:t>
            </w:r>
            <w:proofErr w:type="spellStart"/>
            <w:r w:rsidRPr="006823EC">
              <w:rPr>
                <w:rFonts w:hint="eastAsia"/>
                <w:sz w:val="22"/>
                <w:szCs w:val="22"/>
              </w:rPr>
              <w:t>Fanglin</w:t>
            </w:r>
            <w:proofErr w:type="spellEnd"/>
            <w:r w:rsidRPr="006823EC">
              <w:rPr>
                <w:rFonts w:hint="eastAsia"/>
                <w:sz w:val="22"/>
                <w:szCs w:val="22"/>
              </w:rPr>
              <w:t xml:space="preserve"> Huang, </w:t>
            </w:r>
            <w:proofErr w:type="spellStart"/>
            <w:r w:rsidRPr="006823EC">
              <w:rPr>
                <w:rFonts w:hint="eastAsia"/>
                <w:sz w:val="22"/>
                <w:szCs w:val="22"/>
              </w:rPr>
              <w:t>Xiaoxin</w:t>
            </w:r>
            <w:proofErr w:type="spellEnd"/>
            <w:r w:rsidRPr="006823EC">
              <w:rPr>
                <w:rFonts w:hint="eastAsia"/>
                <w:sz w:val="22"/>
                <w:szCs w:val="22"/>
              </w:rPr>
              <w:t xml:space="preserve"> Liu, Yunyun Yang, </w:t>
            </w:r>
            <w:proofErr w:type="spellStart"/>
            <w:r w:rsidRPr="006823EC">
              <w:rPr>
                <w:rFonts w:hint="eastAsia"/>
                <w:sz w:val="22"/>
                <w:szCs w:val="22"/>
              </w:rPr>
              <w:t>Tiangang</w:t>
            </w:r>
            <w:proofErr w:type="spellEnd"/>
            <w:r w:rsidRPr="006823EC">
              <w:rPr>
                <w:rFonts w:hint="eastAsia"/>
                <w:sz w:val="22"/>
                <w:szCs w:val="22"/>
              </w:rPr>
              <w:t xml:space="preserve"> Luan</w:t>
            </w:r>
            <w:r w:rsidRPr="006823EC">
              <w:rPr>
                <w:rFonts w:hint="eastAsia"/>
                <w:sz w:val="22"/>
                <w:szCs w:val="22"/>
              </w:rPr>
              <w:t>（</w:t>
            </w:r>
            <w:proofErr w:type="gramStart"/>
            <w:r w:rsidRPr="006823EC">
              <w:rPr>
                <w:rFonts w:hint="eastAsia"/>
                <w:sz w:val="22"/>
                <w:szCs w:val="22"/>
              </w:rPr>
              <w:t>栾</w:t>
            </w:r>
            <w:proofErr w:type="gramEnd"/>
            <w:r w:rsidRPr="006823EC">
              <w:rPr>
                <w:rFonts w:hint="eastAsia"/>
                <w:sz w:val="22"/>
                <w:szCs w:val="22"/>
              </w:rPr>
              <w:t>天罡）</w:t>
            </w:r>
            <w:r w:rsidRPr="006823EC">
              <w:rPr>
                <w:rFonts w:hint="eastAsia"/>
                <w:sz w:val="22"/>
                <w:szCs w:val="22"/>
              </w:rPr>
              <w:t xml:space="preserve">, </w:t>
            </w:r>
            <w:proofErr w:type="spellStart"/>
            <w:r w:rsidRPr="006823EC">
              <w:rPr>
                <w:rFonts w:hint="eastAsia"/>
                <w:sz w:val="22"/>
                <w:szCs w:val="22"/>
              </w:rPr>
              <w:t>Jiewei</w:t>
            </w:r>
            <w:proofErr w:type="spellEnd"/>
            <w:r w:rsidRPr="006823EC">
              <w:rPr>
                <w:rFonts w:hint="eastAsia"/>
                <w:sz w:val="22"/>
                <w:szCs w:val="22"/>
              </w:rPr>
              <w:t xml:space="preserve"> Deng*. Development of A Repair Enzyme Fluorescent Probe to Reveal the Intracellular DNA damages Induced by Benzo[a]pyrene in Living Cells. </w:t>
            </w:r>
            <w:r w:rsidRPr="006823EC">
              <w:rPr>
                <w:rFonts w:hint="eastAsia"/>
                <w:b/>
                <w:bCs/>
                <w:i/>
                <w:iCs/>
                <w:sz w:val="22"/>
                <w:szCs w:val="22"/>
              </w:rPr>
              <w:t>Anal. Chem.,</w:t>
            </w:r>
            <w:r w:rsidRPr="006823EC">
              <w:rPr>
                <w:rFonts w:hint="eastAsia"/>
                <w:sz w:val="22"/>
                <w:szCs w:val="22"/>
              </w:rPr>
              <w:t xml:space="preserve"> 2023, 95, 19, 7788-7795. </w:t>
            </w:r>
          </w:p>
          <w:p w14:paraId="0DEA64AE" w14:textId="77777777" w:rsidR="006823EC" w:rsidRPr="00C25121" w:rsidRDefault="006823EC" w:rsidP="006823EC">
            <w:pPr>
              <w:numPr>
                <w:ilvl w:val="0"/>
                <w:numId w:val="1"/>
              </w:numPr>
              <w:spacing w:line="312" w:lineRule="auto"/>
              <w:ind w:rightChars="34" w:right="68"/>
              <w:jc w:val="both"/>
              <w:rPr>
                <w:sz w:val="22"/>
                <w:szCs w:val="22"/>
              </w:rPr>
            </w:pPr>
            <w:r w:rsidRPr="00C25121">
              <w:rPr>
                <w:rFonts w:hint="eastAsia"/>
                <w:sz w:val="22"/>
                <w:szCs w:val="22"/>
              </w:rPr>
              <w:t xml:space="preserve">Xiaoyan Tang, Han Zhang, Jiajun Ke, Xinyu Luan, </w:t>
            </w:r>
            <w:proofErr w:type="spellStart"/>
            <w:r w:rsidRPr="00C25121">
              <w:rPr>
                <w:rFonts w:hint="eastAsia"/>
                <w:sz w:val="22"/>
                <w:szCs w:val="22"/>
              </w:rPr>
              <w:t>Ziqing</w:t>
            </w:r>
            <w:proofErr w:type="spellEnd"/>
            <w:r w:rsidRPr="00C25121">
              <w:rPr>
                <w:rFonts w:hint="eastAsia"/>
                <w:sz w:val="22"/>
                <w:szCs w:val="22"/>
              </w:rPr>
              <w:t xml:space="preserve"> Li, </w:t>
            </w:r>
            <w:proofErr w:type="spellStart"/>
            <w:r w:rsidRPr="00C25121">
              <w:rPr>
                <w:rFonts w:hint="eastAsia"/>
                <w:sz w:val="22"/>
                <w:szCs w:val="22"/>
              </w:rPr>
              <w:t>Tiangang</w:t>
            </w:r>
            <w:proofErr w:type="spellEnd"/>
            <w:r w:rsidRPr="00C25121">
              <w:rPr>
                <w:rFonts w:hint="eastAsia"/>
                <w:sz w:val="22"/>
                <w:szCs w:val="22"/>
              </w:rPr>
              <w:t xml:space="preserve"> Luan*</w:t>
            </w:r>
            <w:r w:rsidRPr="00C25121">
              <w:rPr>
                <w:rFonts w:hint="eastAsia"/>
                <w:sz w:val="22"/>
                <w:szCs w:val="22"/>
              </w:rPr>
              <w:t>（</w:t>
            </w:r>
            <w:proofErr w:type="gramStart"/>
            <w:r w:rsidRPr="00C25121">
              <w:rPr>
                <w:rFonts w:hint="eastAsia"/>
                <w:sz w:val="22"/>
                <w:szCs w:val="22"/>
              </w:rPr>
              <w:t>栾</w:t>
            </w:r>
            <w:proofErr w:type="gramEnd"/>
            <w:r w:rsidRPr="00C25121">
              <w:rPr>
                <w:rFonts w:hint="eastAsia"/>
                <w:sz w:val="22"/>
                <w:szCs w:val="22"/>
              </w:rPr>
              <w:t>天罡）</w:t>
            </w:r>
            <w:r w:rsidRPr="00C25121">
              <w:rPr>
                <w:rFonts w:hint="eastAsia"/>
                <w:sz w:val="22"/>
                <w:szCs w:val="22"/>
              </w:rPr>
              <w:t>, Junqiu Zhai*</w:t>
            </w:r>
            <w:r w:rsidRPr="00C25121">
              <w:rPr>
                <w:rFonts w:hint="eastAsia"/>
                <w:sz w:val="22"/>
                <w:szCs w:val="22"/>
              </w:rPr>
              <w:t>（翟筠秋）</w:t>
            </w:r>
            <w:r w:rsidRPr="00C25121">
              <w:rPr>
                <w:rFonts w:hint="eastAsia"/>
                <w:sz w:val="22"/>
                <w:szCs w:val="22"/>
              </w:rPr>
              <w:t xml:space="preserve">. A Localized DNA Logic Circuit Equipped with Cascade Amplifiers for Precise Identification of Cancer Cells. </w:t>
            </w:r>
            <w:r w:rsidRPr="00C25121">
              <w:rPr>
                <w:rFonts w:hint="eastAsia"/>
                <w:b/>
                <w:bCs/>
                <w:i/>
                <w:iCs/>
                <w:sz w:val="22"/>
                <w:szCs w:val="22"/>
              </w:rPr>
              <w:t>Anal. Chem.</w:t>
            </w:r>
            <w:r>
              <w:rPr>
                <w:rFonts w:hint="eastAsia"/>
                <w:b/>
                <w:bCs/>
                <w:i/>
                <w:iCs/>
                <w:sz w:val="22"/>
                <w:szCs w:val="22"/>
              </w:rPr>
              <w:t>,</w:t>
            </w:r>
            <w:r w:rsidRPr="00C25121">
              <w:rPr>
                <w:rFonts w:hint="eastAsia"/>
                <w:sz w:val="22"/>
                <w:szCs w:val="22"/>
              </w:rPr>
              <w:t xml:space="preserve"> 2025, 97, 6258-6297.</w:t>
            </w:r>
          </w:p>
          <w:p w14:paraId="74251E21" w14:textId="77777777" w:rsidR="006823EC" w:rsidRPr="001F1CCA" w:rsidRDefault="006823EC" w:rsidP="006823EC">
            <w:pPr>
              <w:numPr>
                <w:ilvl w:val="0"/>
                <w:numId w:val="1"/>
              </w:numPr>
              <w:spacing w:line="312" w:lineRule="auto"/>
              <w:ind w:rightChars="34" w:right="68"/>
              <w:jc w:val="both"/>
              <w:rPr>
                <w:sz w:val="22"/>
                <w:szCs w:val="22"/>
              </w:rPr>
            </w:pPr>
            <w:proofErr w:type="spellStart"/>
            <w:r w:rsidRPr="00C25121">
              <w:rPr>
                <w:rFonts w:hint="eastAsia"/>
                <w:sz w:val="22"/>
                <w:szCs w:val="22"/>
              </w:rPr>
              <w:t>Ruohong</w:t>
            </w:r>
            <w:proofErr w:type="spellEnd"/>
            <w:r w:rsidRPr="00C25121">
              <w:rPr>
                <w:rFonts w:hint="eastAsia"/>
                <w:sz w:val="22"/>
                <w:szCs w:val="22"/>
              </w:rPr>
              <w:t xml:space="preserve"> Chen</w:t>
            </w:r>
            <w:r w:rsidRPr="00C25121">
              <w:rPr>
                <w:rFonts w:hint="eastAsia"/>
                <w:sz w:val="22"/>
                <w:szCs w:val="22"/>
              </w:rPr>
              <w:t>（陈若虹）</w:t>
            </w:r>
            <w:r w:rsidRPr="00C25121">
              <w:rPr>
                <w:rFonts w:hint="eastAsia"/>
                <w:sz w:val="22"/>
                <w:szCs w:val="22"/>
              </w:rPr>
              <w:t xml:space="preserve">, Yipo Xiao, </w:t>
            </w:r>
            <w:proofErr w:type="spellStart"/>
            <w:r w:rsidRPr="00C25121">
              <w:rPr>
                <w:rFonts w:hint="eastAsia"/>
                <w:sz w:val="22"/>
                <w:szCs w:val="22"/>
              </w:rPr>
              <w:t>Hongtao</w:t>
            </w:r>
            <w:proofErr w:type="spellEnd"/>
            <w:r w:rsidRPr="00C25121">
              <w:rPr>
                <w:rFonts w:hint="eastAsia"/>
                <w:sz w:val="22"/>
                <w:szCs w:val="22"/>
              </w:rPr>
              <w:t xml:space="preserve"> Liu, Ling Fang, Jiahui Liu, Xiaolin Ruan, </w:t>
            </w:r>
            <w:proofErr w:type="spellStart"/>
            <w:r w:rsidRPr="00C25121">
              <w:rPr>
                <w:rFonts w:hint="eastAsia"/>
                <w:sz w:val="22"/>
                <w:szCs w:val="22"/>
              </w:rPr>
              <w:t>Baowei</w:t>
            </w:r>
            <w:proofErr w:type="spellEnd"/>
            <w:r w:rsidRPr="00C25121">
              <w:rPr>
                <w:rFonts w:hint="eastAsia"/>
                <w:sz w:val="22"/>
                <w:szCs w:val="22"/>
              </w:rPr>
              <w:t xml:space="preserve"> Chen*, </w:t>
            </w:r>
            <w:proofErr w:type="spellStart"/>
            <w:r w:rsidRPr="00C25121">
              <w:rPr>
                <w:rFonts w:hint="eastAsia"/>
                <w:sz w:val="22"/>
                <w:szCs w:val="22"/>
              </w:rPr>
              <w:t>Tiangang</w:t>
            </w:r>
            <w:proofErr w:type="spellEnd"/>
            <w:r w:rsidRPr="00C25121">
              <w:rPr>
                <w:rFonts w:hint="eastAsia"/>
                <w:sz w:val="22"/>
                <w:szCs w:val="22"/>
              </w:rPr>
              <w:t xml:space="preserve"> Luan*</w:t>
            </w:r>
            <w:r w:rsidRPr="00C25121">
              <w:rPr>
                <w:rFonts w:hint="eastAsia"/>
                <w:sz w:val="22"/>
                <w:szCs w:val="22"/>
              </w:rPr>
              <w:t>（</w:t>
            </w:r>
            <w:proofErr w:type="gramStart"/>
            <w:r w:rsidRPr="00C25121">
              <w:rPr>
                <w:rFonts w:hint="eastAsia"/>
                <w:sz w:val="22"/>
                <w:szCs w:val="22"/>
              </w:rPr>
              <w:t>栾</w:t>
            </w:r>
            <w:proofErr w:type="gramEnd"/>
            <w:r w:rsidRPr="00C25121">
              <w:rPr>
                <w:rFonts w:hint="eastAsia"/>
                <w:sz w:val="22"/>
                <w:szCs w:val="22"/>
              </w:rPr>
              <w:t>天罡）</w:t>
            </w:r>
            <w:r w:rsidRPr="00C25121">
              <w:rPr>
                <w:rFonts w:hint="eastAsia"/>
                <w:sz w:val="22"/>
                <w:szCs w:val="22"/>
              </w:rPr>
              <w:t xml:space="preserve">. Lab-on-Membrane Platform Coupled with Paper Spray Ionization for Analysis of Prostate-Specific Antigen in Clinical Settings. </w:t>
            </w:r>
            <w:r w:rsidRPr="00C25121">
              <w:rPr>
                <w:rFonts w:hint="eastAsia"/>
                <w:b/>
                <w:bCs/>
                <w:i/>
                <w:iCs/>
                <w:sz w:val="22"/>
                <w:szCs w:val="22"/>
              </w:rPr>
              <w:t>Anal. Chem.</w:t>
            </w:r>
            <w:r>
              <w:rPr>
                <w:rFonts w:hint="eastAsia"/>
                <w:b/>
                <w:bCs/>
                <w:i/>
                <w:iCs/>
                <w:sz w:val="22"/>
                <w:szCs w:val="22"/>
              </w:rPr>
              <w:t>,</w:t>
            </w:r>
            <w:r w:rsidRPr="00C25121">
              <w:rPr>
                <w:rFonts w:hint="eastAsia"/>
                <w:b/>
                <w:bCs/>
                <w:i/>
                <w:iCs/>
                <w:sz w:val="22"/>
                <w:szCs w:val="22"/>
              </w:rPr>
              <w:t xml:space="preserve"> </w:t>
            </w:r>
            <w:r w:rsidRPr="00C25121">
              <w:rPr>
                <w:rFonts w:hint="eastAsia"/>
                <w:sz w:val="22"/>
                <w:szCs w:val="22"/>
              </w:rPr>
              <w:t>2020, 92, 19, 13298</w:t>
            </w:r>
            <w:r w:rsidRPr="00C25121">
              <w:rPr>
                <w:rFonts w:hint="eastAsia"/>
                <w:sz w:val="22"/>
                <w:szCs w:val="22"/>
              </w:rPr>
              <w:t>–</w:t>
            </w:r>
            <w:r w:rsidRPr="00C25121">
              <w:rPr>
                <w:rFonts w:hint="eastAsia"/>
                <w:sz w:val="22"/>
                <w:szCs w:val="22"/>
              </w:rPr>
              <w:t xml:space="preserve">13304. </w:t>
            </w:r>
          </w:p>
        </w:tc>
      </w:tr>
      <w:tr w:rsidR="00894CE3" w14:paraId="794EEFB6" w14:textId="77777777" w:rsidTr="00E33A11">
        <w:trPr>
          <w:trHeight w:val="2237"/>
        </w:trPr>
        <w:tc>
          <w:tcPr>
            <w:tcW w:w="2137" w:type="dxa"/>
            <w:tcBorders>
              <w:top w:val="single" w:sz="4" w:space="0" w:color="auto"/>
            </w:tcBorders>
          </w:tcPr>
          <w:p w14:paraId="15A17809" w14:textId="77777777" w:rsidR="00894CE3" w:rsidRPr="00894CE3" w:rsidRDefault="00894CE3" w:rsidP="00894CE3">
            <w:pPr>
              <w:spacing w:before="65" w:line="241" w:lineRule="auto"/>
              <w:ind w:left="399" w:right="283" w:hanging="103"/>
              <w:jc w:val="center"/>
              <w:rPr>
                <w:rFonts w:eastAsiaTheme="minorEastAsia"/>
                <w:b/>
              </w:rPr>
            </w:pPr>
            <w:r w:rsidRPr="00894CE3">
              <w:rPr>
                <w:rFonts w:ascii="仿宋" w:eastAsia="仿宋" w:hAnsi="仿宋" w:cs="仿宋" w:hint="eastAsia"/>
                <w:b/>
              </w:rPr>
              <w:lastRenderedPageBreak/>
              <w:t>专利</w:t>
            </w:r>
          </w:p>
        </w:tc>
        <w:tc>
          <w:tcPr>
            <w:tcW w:w="6219" w:type="dxa"/>
            <w:tcBorders>
              <w:top w:val="single" w:sz="4" w:space="0" w:color="auto"/>
            </w:tcBorders>
            <w:vAlign w:val="center"/>
          </w:tcPr>
          <w:p w14:paraId="57B00E87" w14:textId="14827C0F" w:rsidR="004067A6" w:rsidRPr="001527E4" w:rsidRDefault="004067A6" w:rsidP="004067A6">
            <w:pPr>
              <w:numPr>
                <w:ilvl w:val="0"/>
                <w:numId w:val="11"/>
              </w:numPr>
              <w:spacing w:line="312" w:lineRule="auto"/>
              <w:jc w:val="both"/>
              <w:rPr>
                <w:sz w:val="21"/>
                <w:szCs w:val="21"/>
              </w:rPr>
            </w:pPr>
            <w:r w:rsidRPr="00F66932">
              <w:rPr>
                <w:sz w:val="21"/>
                <w:szCs w:val="21"/>
              </w:rPr>
              <w:t>授权发明专利：专利</w:t>
            </w:r>
            <w:bookmarkStart w:id="0" w:name="OLE_LINK5"/>
            <w:r w:rsidRPr="00F66932">
              <w:t>一种</w:t>
            </w:r>
            <w:r w:rsidRPr="00F66932">
              <w:t>DNA</w:t>
            </w:r>
            <w:proofErr w:type="gramStart"/>
            <w:r w:rsidRPr="00F66932">
              <w:t>链层在</w:t>
            </w:r>
            <w:proofErr w:type="gramEnd"/>
            <w:r w:rsidRPr="00F66932">
              <w:t>检测分子活性中的应用、</w:t>
            </w:r>
            <w:r w:rsidRPr="00F66932">
              <w:t>DNA</w:t>
            </w:r>
            <w:r w:rsidRPr="00F66932">
              <w:t>纳米荧光探针及其制备方法及应用</w:t>
            </w:r>
            <w:bookmarkEnd w:id="0"/>
            <w:r>
              <w:rPr>
                <w:rFonts w:hint="eastAsia"/>
              </w:rPr>
              <w:t>。</w:t>
            </w:r>
            <w:r w:rsidRPr="00F66932">
              <w:rPr>
                <w:sz w:val="21"/>
                <w:szCs w:val="21"/>
              </w:rPr>
              <w:t>专利号：</w:t>
            </w:r>
            <w:r w:rsidRPr="00F66932">
              <w:t>ZL202110512946.6</w:t>
            </w:r>
            <w:r>
              <w:rPr>
                <w:rFonts w:hint="eastAsia"/>
              </w:rPr>
              <w:t>。</w:t>
            </w:r>
            <w:bookmarkStart w:id="1" w:name="OLE_LINK6"/>
            <w:r w:rsidRPr="00F66932">
              <w:rPr>
                <w:sz w:val="21"/>
                <w:szCs w:val="21"/>
              </w:rPr>
              <w:t>发明人：</w:t>
            </w:r>
            <w:r w:rsidRPr="00AD63A6">
              <w:t>翟筠秋，</w:t>
            </w:r>
            <w:r w:rsidRPr="001527E4">
              <w:t>梁光忠</w:t>
            </w:r>
            <w:r w:rsidRPr="00AD63A6">
              <w:t>，</w:t>
            </w:r>
            <w:r w:rsidRPr="001527E4">
              <w:t>黄方淋</w:t>
            </w:r>
            <w:r w:rsidRPr="00AD63A6">
              <w:t>。</w:t>
            </w:r>
            <w:bookmarkEnd w:id="1"/>
            <w:r>
              <w:rPr>
                <w:rFonts w:hint="eastAsia"/>
              </w:rPr>
              <w:t>授权公告日</w:t>
            </w:r>
            <w:r w:rsidRPr="00F66932">
              <w:t>：</w:t>
            </w:r>
            <w:r w:rsidRPr="00F66932">
              <w:t>2024</w:t>
            </w:r>
            <w:r>
              <w:rPr>
                <w:rFonts w:hint="eastAsia"/>
              </w:rPr>
              <w:t>-02-27</w:t>
            </w:r>
          </w:p>
          <w:p w14:paraId="182A37B3" w14:textId="77777777" w:rsidR="004067A6" w:rsidRPr="002D2A83" w:rsidRDefault="004067A6" w:rsidP="004067A6">
            <w:pPr>
              <w:numPr>
                <w:ilvl w:val="0"/>
                <w:numId w:val="11"/>
              </w:numPr>
              <w:spacing w:line="312" w:lineRule="auto"/>
              <w:jc w:val="both"/>
              <w:rPr>
                <w:sz w:val="21"/>
                <w:szCs w:val="21"/>
              </w:rPr>
            </w:pPr>
            <w:r w:rsidRPr="002D2A83">
              <w:rPr>
                <w:sz w:val="21"/>
                <w:szCs w:val="21"/>
              </w:rPr>
              <w:t>授权发明专利：一种靶向溶酶体、</w:t>
            </w:r>
            <w:r w:rsidRPr="002D2A83">
              <w:rPr>
                <w:sz w:val="21"/>
                <w:szCs w:val="21"/>
              </w:rPr>
              <w:t>pH</w:t>
            </w:r>
            <w:r w:rsidRPr="002D2A83">
              <w:rPr>
                <w:sz w:val="21"/>
                <w:szCs w:val="21"/>
              </w:rPr>
              <w:t>激活的</w:t>
            </w:r>
            <w:r w:rsidRPr="002D2A83">
              <w:rPr>
                <w:sz w:val="21"/>
                <w:szCs w:val="21"/>
              </w:rPr>
              <w:t>SO₂</w:t>
            </w:r>
            <w:r w:rsidRPr="002D2A83">
              <w:rPr>
                <w:sz w:val="21"/>
                <w:szCs w:val="21"/>
              </w:rPr>
              <w:t>荧光探针及其制备和应用。专利号：</w:t>
            </w:r>
            <w:r w:rsidRPr="002D2A83">
              <w:rPr>
                <w:sz w:val="21"/>
                <w:szCs w:val="21"/>
              </w:rPr>
              <w:t>ZL202310848420.4</w:t>
            </w:r>
            <w:r w:rsidRPr="002D2A83">
              <w:rPr>
                <w:sz w:val="21"/>
                <w:szCs w:val="21"/>
              </w:rPr>
              <w:t>。发明人：席冠，刘媚，</w:t>
            </w:r>
            <w:proofErr w:type="gramStart"/>
            <w:r w:rsidRPr="002D2A83">
              <w:rPr>
                <w:sz w:val="21"/>
                <w:szCs w:val="21"/>
              </w:rPr>
              <w:t>栾</w:t>
            </w:r>
            <w:proofErr w:type="gramEnd"/>
            <w:r w:rsidRPr="002D2A83">
              <w:rPr>
                <w:sz w:val="21"/>
                <w:szCs w:val="21"/>
              </w:rPr>
              <w:t>天罡。授权公告日：</w:t>
            </w:r>
            <w:r w:rsidRPr="002D2A83">
              <w:rPr>
                <w:sz w:val="21"/>
                <w:szCs w:val="21"/>
              </w:rPr>
              <w:t>2025-11-25</w:t>
            </w:r>
          </w:p>
          <w:p w14:paraId="26A77BA9" w14:textId="77777777" w:rsidR="004067A6" w:rsidRPr="003525D6" w:rsidRDefault="004067A6" w:rsidP="004067A6">
            <w:pPr>
              <w:numPr>
                <w:ilvl w:val="0"/>
                <w:numId w:val="11"/>
              </w:numPr>
              <w:spacing w:line="312" w:lineRule="auto"/>
              <w:jc w:val="both"/>
              <w:rPr>
                <w:sz w:val="21"/>
                <w:szCs w:val="21"/>
              </w:rPr>
            </w:pPr>
            <w:r w:rsidRPr="003525D6">
              <w:rPr>
                <w:sz w:val="21"/>
                <w:szCs w:val="21"/>
              </w:rPr>
              <w:t>授权发明专利：一种聚合物探针及其制备方法和应用。专利号：</w:t>
            </w:r>
            <w:r w:rsidRPr="003525D6">
              <w:rPr>
                <w:sz w:val="21"/>
                <w:szCs w:val="21"/>
              </w:rPr>
              <w:t>ZL202311170055.2</w:t>
            </w:r>
            <w:r w:rsidRPr="003525D6">
              <w:rPr>
                <w:sz w:val="21"/>
                <w:szCs w:val="21"/>
              </w:rPr>
              <w:t>。发明人：席冠，余丛廷，刘媚，</w:t>
            </w:r>
            <w:proofErr w:type="gramStart"/>
            <w:r w:rsidRPr="003525D6">
              <w:rPr>
                <w:sz w:val="21"/>
                <w:szCs w:val="21"/>
              </w:rPr>
              <w:t>栾</w:t>
            </w:r>
            <w:proofErr w:type="gramEnd"/>
            <w:r w:rsidRPr="003525D6">
              <w:rPr>
                <w:sz w:val="21"/>
                <w:szCs w:val="21"/>
              </w:rPr>
              <w:t>天罡。授权公告日：</w:t>
            </w:r>
            <w:r w:rsidRPr="003525D6">
              <w:rPr>
                <w:sz w:val="21"/>
                <w:szCs w:val="21"/>
              </w:rPr>
              <w:t>2026-04-14</w:t>
            </w:r>
          </w:p>
          <w:p w14:paraId="023FCDA0" w14:textId="77777777" w:rsidR="004067A6" w:rsidRPr="002D2A83" w:rsidRDefault="004067A6" w:rsidP="004067A6">
            <w:pPr>
              <w:numPr>
                <w:ilvl w:val="0"/>
                <w:numId w:val="11"/>
              </w:numPr>
              <w:spacing w:line="312" w:lineRule="auto"/>
              <w:jc w:val="both"/>
              <w:rPr>
                <w:sz w:val="21"/>
                <w:szCs w:val="21"/>
              </w:rPr>
            </w:pPr>
            <w:r w:rsidRPr="00F66932">
              <w:rPr>
                <w:sz w:val="21"/>
                <w:szCs w:val="21"/>
              </w:rPr>
              <w:t>授权发明专利：</w:t>
            </w:r>
            <w:r w:rsidRPr="001527E4">
              <w:rPr>
                <w:sz w:val="21"/>
                <w:szCs w:val="21"/>
              </w:rPr>
              <w:t>一种检测二氧化硫及其衍生物的可视化荧光试纸及其制备方法和应用</w:t>
            </w:r>
            <w:r>
              <w:rPr>
                <w:rFonts w:hint="eastAsia"/>
              </w:rPr>
              <w:t>。</w:t>
            </w:r>
            <w:r w:rsidRPr="00F66932">
              <w:rPr>
                <w:sz w:val="21"/>
                <w:szCs w:val="21"/>
              </w:rPr>
              <w:t>专利号：</w:t>
            </w:r>
            <w:r w:rsidRPr="005B4AB2">
              <w:t>ZL202310850279.1</w:t>
            </w:r>
            <w:r>
              <w:rPr>
                <w:rFonts w:hint="eastAsia"/>
              </w:rPr>
              <w:t>。</w:t>
            </w:r>
            <w:r w:rsidRPr="00F66932">
              <w:rPr>
                <w:sz w:val="21"/>
                <w:szCs w:val="21"/>
              </w:rPr>
              <w:t>发明人：</w:t>
            </w:r>
            <w:r w:rsidRPr="005B4AB2">
              <w:t>刘媚</w:t>
            </w:r>
            <w:r>
              <w:rPr>
                <w:rFonts w:hint="eastAsia"/>
              </w:rPr>
              <w:t>，</w:t>
            </w:r>
            <w:r w:rsidRPr="005B4AB2">
              <w:t>席冠</w:t>
            </w:r>
            <w:r>
              <w:rPr>
                <w:rFonts w:hint="eastAsia"/>
              </w:rPr>
              <w:t>，</w:t>
            </w:r>
            <w:proofErr w:type="gramStart"/>
            <w:r w:rsidRPr="005B4AB2">
              <w:t>栾</w:t>
            </w:r>
            <w:proofErr w:type="gramEnd"/>
            <w:r w:rsidRPr="005B4AB2">
              <w:t>天罡</w:t>
            </w:r>
            <w:r>
              <w:rPr>
                <w:rFonts w:hint="eastAsia"/>
              </w:rPr>
              <w:t>。授权公告日</w:t>
            </w:r>
            <w:r w:rsidRPr="00F66932">
              <w:t>：</w:t>
            </w:r>
            <w:r w:rsidRPr="005B4AB2">
              <w:t>2026</w:t>
            </w:r>
            <w:r>
              <w:rPr>
                <w:rFonts w:hint="eastAsia"/>
              </w:rPr>
              <w:t>-</w:t>
            </w:r>
            <w:r w:rsidRPr="005B4AB2">
              <w:t>06</w:t>
            </w:r>
            <w:r>
              <w:rPr>
                <w:rFonts w:hint="eastAsia"/>
              </w:rPr>
              <w:t>-</w:t>
            </w:r>
            <w:r w:rsidRPr="005B4AB2">
              <w:t>02</w:t>
            </w:r>
          </w:p>
          <w:p w14:paraId="64C034AF" w14:textId="77777777" w:rsidR="004067A6" w:rsidRPr="0044338C" w:rsidRDefault="004067A6" w:rsidP="004067A6">
            <w:pPr>
              <w:numPr>
                <w:ilvl w:val="0"/>
                <w:numId w:val="11"/>
              </w:numPr>
              <w:spacing w:line="312" w:lineRule="auto"/>
              <w:jc w:val="both"/>
              <w:rPr>
                <w:sz w:val="21"/>
                <w:szCs w:val="21"/>
              </w:rPr>
            </w:pPr>
            <w:r w:rsidRPr="0044338C">
              <w:rPr>
                <w:sz w:val="21"/>
                <w:szCs w:val="21"/>
              </w:rPr>
              <w:lastRenderedPageBreak/>
              <w:t>授权发明专利：过渡金属污水处理方法及过渡金属回收方法。专利号：</w:t>
            </w:r>
            <w:r w:rsidRPr="0044338C">
              <w:rPr>
                <w:sz w:val="21"/>
                <w:szCs w:val="21"/>
              </w:rPr>
              <w:t>ZL202211710981.X</w:t>
            </w:r>
            <w:r w:rsidRPr="0044338C">
              <w:rPr>
                <w:sz w:val="21"/>
                <w:szCs w:val="21"/>
              </w:rPr>
              <w:t>。发明人：卢耀斌，陈超群，</w:t>
            </w:r>
            <w:proofErr w:type="gramStart"/>
            <w:r w:rsidRPr="0044338C">
              <w:rPr>
                <w:sz w:val="21"/>
                <w:szCs w:val="21"/>
              </w:rPr>
              <w:t>栾</w:t>
            </w:r>
            <w:proofErr w:type="gramEnd"/>
            <w:r w:rsidRPr="0044338C">
              <w:rPr>
                <w:sz w:val="21"/>
                <w:szCs w:val="21"/>
              </w:rPr>
              <w:t>天罡。授权公告日：</w:t>
            </w:r>
            <w:r w:rsidRPr="0044338C">
              <w:rPr>
                <w:sz w:val="21"/>
                <w:szCs w:val="21"/>
              </w:rPr>
              <w:t>2024-10-01</w:t>
            </w:r>
          </w:p>
          <w:p w14:paraId="3CB21B4F" w14:textId="77777777" w:rsidR="004067A6" w:rsidRPr="002A60CB" w:rsidRDefault="004067A6" w:rsidP="004067A6">
            <w:pPr>
              <w:numPr>
                <w:ilvl w:val="0"/>
                <w:numId w:val="11"/>
              </w:numPr>
              <w:spacing w:line="312" w:lineRule="auto"/>
              <w:jc w:val="both"/>
              <w:rPr>
                <w:sz w:val="21"/>
                <w:szCs w:val="21"/>
              </w:rPr>
            </w:pPr>
            <w:r w:rsidRPr="002A60CB">
              <w:rPr>
                <w:sz w:val="21"/>
                <w:szCs w:val="21"/>
              </w:rPr>
              <w:t>授权发明专利：一种复合光催化剂及其制备方法和应用。专利号：</w:t>
            </w:r>
            <w:r w:rsidRPr="002A60CB">
              <w:rPr>
                <w:sz w:val="21"/>
                <w:szCs w:val="21"/>
              </w:rPr>
              <w:t>ZL202111068559.4</w:t>
            </w:r>
            <w:r w:rsidRPr="002A60CB">
              <w:rPr>
                <w:sz w:val="21"/>
                <w:szCs w:val="21"/>
              </w:rPr>
              <w:t>。发明人：夏兵，卢耀斌，</w:t>
            </w:r>
            <w:proofErr w:type="gramStart"/>
            <w:r w:rsidRPr="002A60CB">
              <w:rPr>
                <w:sz w:val="21"/>
                <w:szCs w:val="21"/>
              </w:rPr>
              <w:t>栾</w:t>
            </w:r>
            <w:proofErr w:type="gramEnd"/>
            <w:r w:rsidRPr="002A60CB">
              <w:rPr>
                <w:sz w:val="21"/>
                <w:szCs w:val="21"/>
              </w:rPr>
              <w:t>天罡。授权公告日：</w:t>
            </w:r>
            <w:r w:rsidRPr="002A60CB">
              <w:rPr>
                <w:sz w:val="21"/>
                <w:szCs w:val="21"/>
              </w:rPr>
              <w:t>2023-10-20</w:t>
            </w:r>
          </w:p>
          <w:p w14:paraId="17CE683D" w14:textId="77777777" w:rsidR="004067A6" w:rsidRPr="002A60CB" w:rsidRDefault="004067A6" w:rsidP="004067A6">
            <w:pPr>
              <w:numPr>
                <w:ilvl w:val="0"/>
                <w:numId w:val="11"/>
              </w:numPr>
              <w:spacing w:line="312" w:lineRule="auto"/>
              <w:jc w:val="both"/>
              <w:rPr>
                <w:sz w:val="21"/>
                <w:szCs w:val="21"/>
              </w:rPr>
            </w:pPr>
            <w:r w:rsidRPr="002A60CB">
              <w:rPr>
                <w:sz w:val="21"/>
                <w:szCs w:val="21"/>
              </w:rPr>
              <w:t>授权发明专利：一种含锰离子污水的处理方法。专利号：</w:t>
            </w:r>
            <w:r w:rsidRPr="002A60CB">
              <w:rPr>
                <w:sz w:val="21"/>
                <w:szCs w:val="21"/>
              </w:rPr>
              <w:t>ZL202111068548.6</w:t>
            </w:r>
            <w:r w:rsidRPr="002A60CB">
              <w:rPr>
                <w:sz w:val="21"/>
                <w:szCs w:val="21"/>
              </w:rPr>
              <w:t>。发明人：夏兵，卢耀斌，</w:t>
            </w:r>
            <w:proofErr w:type="gramStart"/>
            <w:r w:rsidRPr="002A60CB">
              <w:rPr>
                <w:sz w:val="21"/>
                <w:szCs w:val="21"/>
              </w:rPr>
              <w:t>栾</w:t>
            </w:r>
            <w:proofErr w:type="gramEnd"/>
            <w:r w:rsidRPr="002A60CB">
              <w:rPr>
                <w:sz w:val="21"/>
                <w:szCs w:val="21"/>
              </w:rPr>
              <w:t>天罡。授权公告日：</w:t>
            </w:r>
            <w:r w:rsidRPr="002A60CB">
              <w:rPr>
                <w:sz w:val="21"/>
                <w:szCs w:val="21"/>
              </w:rPr>
              <w:t>2023-05-16</w:t>
            </w:r>
          </w:p>
          <w:p w14:paraId="6481AB06" w14:textId="77777777" w:rsidR="004067A6" w:rsidRPr="002A60CB" w:rsidRDefault="004067A6" w:rsidP="004067A6">
            <w:pPr>
              <w:numPr>
                <w:ilvl w:val="0"/>
                <w:numId w:val="11"/>
              </w:numPr>
              <w:spacing w:line="312" w:lineRule="auto"/>
              <w:jc w:val="both"/>
              <w:rPr>
                <w:sz w:val="21"/>
                <w:szCs w:val="21"/>
              </w:rPr>
            </w:pPr>
            <w:r w:rsidRPr="002A60CB">
              <w:rPr>
                <w:sz w:val="21"/>
                <w:szCs w:val="21"/>
              </w:rPr>
              <w:t>授权发明专利：一种潮汐模拟装置及方法。专利号：</w:t>
            </w:r>
            <w:r w:rsidRPr="002A60CB">
              <w:rPr>
                <w:sz w:val="21"/>
                <w:szCs w:val="21"/>
              </w:rPr>
              <w:t>ZL202310235873.X</w:t>
            </w:r>
            <w:r w:rsidRPr="002A60CB">
              <w:rPr>
                <w:sz w:val="21"/>
                <w:szCs w:val="21"/>
              </w:rPr>
              <w:t>。发明人：林冬，卢耀斌，</w:t>
            </w:r>
            <w:proofErr w:type="gramStart"/>
            <w:r w:rsidRPr="002A60CB">
              <w:rPr>
                <w:sz w:val="21"/>
                <w:szCs w:val="21"/>
              </w:rPr>
              <w:t>栾</w:t>
            </w:r>
            <w:proofErr w:type="gramEnd"/>
            <w:r w:rsidRPr="002A60CB">
              <w:rPr>
                <w:sz w:val="21"/>
                <w:szCs w:val="21"/>
              </w:rPr>
              <w:t>天罡，黄字轩，舒婷婷。授权公告日：</w:t>
            </w:r>
            <w:r w:rsidRPr="002A60CB">
              <w:rPr>
                <w:sz w:val="21"/>
                <w:szCs w:val="21"/>
              </w:rPr>
              <w:t>2026-04-28</w:t>
            </w:r>
          </w:p>
          <w:p w14:paraId="5D8AEE3A" w14:textId="77777777" w:rsidR="004067A6" w:rsidRPr="002A60CB" w:rsidRDefault="004067A6" w:rsidP="004067A6">
            <w:pPr>
              <w:numPr>
                <w:ilvl w:val="0"/>
                <w:numId w:val="11"/>
              </w:numPr>
              <w:spacing w:line="312" w:lineRule="auto"/>
              <w:jc w:val="both"/>
              <w:rPr>
                <w:sz w:val="21"/>
                <w:szCs w:val="21"/>
              </w:rPr>
            </w:pPr>
            <w:r w:rsidRPr="002A60CB">
              <w:rPr>
                <w:sz w:val="21"/>
                <w:szCs w:val="21"/>
              </w:rPr>
              <w:t>授权发明专利：一种河流断面的多级指纹图谱构建方法。专利号：</w:t>
            </w:r>
            <w:r w:rsidRPr="002A60CB">
              <w:rPr>
                <w:sz w:val="21"/>
                <w:szCs w:val="21"/>
              </w:rPr>
              <w:t>ZL202310007603.3</w:t>
            </w:r>
            <w:r w:rsidRPr="002A60CB">
              <w:rPr>
                <w:sz w:val="21"/>
                <w:szCs w:val="21"/>
              </w:rPr>
              <w:t>。发明人：何耿铭，卢耀斌，</w:t>
            </w:r>
            <w:proofErr w:type="gramStart"/>
            <w:r w:rsidRPr="002A60CB">
              <w:rPr>
                <w:sz w:val="21"/>
                <w:szCs w:val="21"/>
              </w:rPr>
              <w:t>栾</w:t>
            </w:r>
            <w:proofErr w:type="gramEnd"/>
            <w:r w:rsidRPr="002A60CB">
              <w:rPr>
                <w:sz w:val="21"/>
                <w:szCs w:val="21"/>
              </w:rPr>
              <w:t>天罡，罗丽娟，文月。授权公告日：</w:t>
            </w:r>
            <w:r w:rsidRPr="002A60CB">
              <w:rPr>
                <w:sz w:val="21"/>
                <w:szCs w:val="21"/>
              </w:rPr>
              <w:t>2026-04-21</w:t>
            </w:r>
          </w:p>
          <w:p w14:paraId="14075D65" w14:textId="77777777" w:rsidR="004067A6" w:rsidRPr="004067A6" w:rsidRDefault="004067A6" w:rsidP="004067A6">
            <w:pPr>
              <w:numPr>
                <w:ilvl w:val="0"/>
                <w:numId w:val="11"/>
              </w:numPr>
              <w:spacing w:line="312" w:lineRule="auto"/>
              <w:jc w:val="both"/>
              <w:rPr>
                <w:sz w:val="22"/>
                <w:szCs w:val="22"/>
              </w:rPr>
            </w:pPr>
            <w:r w:rsidRPr="002A60CB">
              <w:rPr>
                <w:sz w:val="21"/>
                <w:szCs w:val="21"/>
              </w:rPr>
              <w:t>授权发明专利：一种污染物的溯源方法、系统、装置及介质。专利号：</w:t>
            </w:r>
            <w:r w:rsidRPr="002A60CB">
              <w:rPr>
                <w:sz w:val="21"/>
                <w:szCs w:val="21"/>
              </w:rPr>
              <w:t>ZL202310188418.9</w:t>
            </w:r>
            <w:r w:rsidRPr="002A60CB">
              <w:rPr>
                <w:sz w:val="21"/>
                <w:szCs w:val="21"/>
              </w:rPr>
              <w:t>。发明人：钟达</w:t>
            </w:r>
            <w:proofErr w:type="gramStart"/>
            <w:r w:rsidRPr="002A60CB">
              <w:rPr>
                <w:sz w:val="21"/>
                <w:szCs w:val="21"/>
              </w:rPr>
              <w:t>浩</w:t>
            </w:r>
            <w:proofErr w:type="gramEnd"/>
            <w:r w:rsidRPr="002A60CB">
              <w:rPr>
                <w:sz w:val="21"/>
                <w:szCs w:val="21"/>
              </w:rPr>
              <w:t>，卢耀斌，</w:t>
            </w:r>
            <w:proofErr w:type="gramStart"/>
            <w:r w:rsidRPr="002A60CB">
              <w:rPr>
                <w:sz w:val="21"/>
                <w:szCs w:val="21"/>
              </w:rPr>
              <w:t>栾</w:t>
            </w:r>
            <w:proofErr w:type="gramEnd"/>
            <w:r w:rsidRPr="002A60CB">
              <w:rPr>
                <w:sz w:val="21"/>
                <w:szCs w:val="21"/>
              </w:rPr>
              <w:t>天罡，罗丽娟。授权公告日：</w:t>
            </w:r>
            <w:r w:rsidRPr="002A60CB">
              <w:rPr>
                <w:sz w:val="21"/>
                <w:szCs w:val="21"/>
              </w:rPr>
              <w:t>2025-08-26</w:t>
            </w:r>
          </w:p>
          <w:p w14:paraId="3F429B5C" w14:textId="06EED8FF" w:rsidR="00894CE3" w:rsidRPr="00C25121" w:rsidRDefault="004067A6" w:rsidP="004067A6">
            <w:pPr>
              <w:numPr>
                <w:ilvl w:val="0"/>
                <w:numId w:val="11"/>
              </w:numPr>
              <w:spacing w:line="312" w:lineRule="auto"/>
              <w:jc w:val="both"/>
              <w:rPr>
                <w:sz w:val="22"/>
                <w:szCs w:val="22"/>
              </w:rPr>
            </w:pPr>
            <w:r w:rsidRPr="002A60CB">
              <w:rPr>
                <w:sz w:val="21"/>
                <w:szCs w:val="21"/>
              </w:rPr>
              <w:t>授权发明专利：同时处理有机废水和硫酸盐废水的反应装置和方法及其应用。专利号：</w:t>
            </w:r>
            <w:r w:rsidRPr="002A60CB">
              <w:rPr>
                <w:sz w:val="21"/>
                <w:szCs w:val="21"/>
              </w:rPr>
              <w:t>ZL202211048566.2</w:t>
            </w:r>
            <w:r w:rsidRPr="002A60CB">
              <w:rPr>
                <w:sz w:val="21"/>
                <w:szCs w:val="21"/>
              </w:rPr>
              <w:t>。发明人：文月，卢耀斌，</w:t>
            </w:r>
            <w:proofErr w:type="gramStart"/>
            <w:r w:rsidRPr="002A60CB">
              <w:rPr>
                <w:sz w:val="21"/>
                <w:szCs w:val="21"/>
              </w:rPr>
              <w:t>栾</w:t>
            </w:r>
            <w:proofErr w:type="gramEnd"/>
            <w:r w:rsidRPr="002A60CB">
              <w:rPr>
                <w:sz w:val="21"/>
                <w:szCs w:val="21"/>
              </w:rPr>
              <w:t>天罡，何耿铭。授权公告日：</w:t>
            </w:r>
            <w:r w:rsidRPr="002A60CB">
              <w:rPr>
                <w:sz w:val="21"/>
                <w:szCs w:val="21"/>
              </w:rPr>
              <w:t>2025-07-08</w:t>
            </w:r>
          </w:p>
        </w:tc>
      </w:tr>
    </w:tbl>
    <w:p w14:paraId="474F2A32" w14:textId="77777777" w:rsidR="00647B4D" w:rsidRPr="00C25121" w:rsidRDefault="00647B4D" w:rsidP="00C52AD3">
      <w:pPr>
        <w:spacing w:line="312" w:lineRule="auto"/>
        <w:ind w:rightChars="34" w:right="68"/>
        <w:rPr>
          <w:rFonts w:hint="eastAsia"/>
          <w:sz w:val="22"/>
          <w:szCs w:val="22"/>
        </w:rPr>
      </w:pPr>
    </w:p>
    <w:sectPr w:rsidR="00647B4D" w:rsidRPr="00C251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161FA" w14:textId="77777777" w:rsidR="002143E7" w:rsidRDefault="002143E7" w:rsidP="00647B4D">
      <w:r>
        <w:separator/>
      </w:r>
    </w:p>
  </w:endnote>
  <w:endnote w:type="continuationSeparator" w:id="0">
    <w:p w14:paraId="52A18765" w14:textId="77777777" w:rsidR="002143E7" w:rsidRDefault="002143E7" w:rsidP="0064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DAE04" w14:textId="77777777" w:rsidR="002143E7" w:rsidRDefault="002143E7" w:rsidP="00647B4D">
      <w:r>
        <w:separator/>
      </w:r>
    </w:p>
  </w:footnote>
  <w:footnote w:type="continuationSeparator" w:id="0">
    <w:p w14:paraId="5E110700" w14:textId="77777777" w:rsidR="002143E7" w:rsidRDefault="002143E7" w:rsidP="00647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F9A"/>
    <w:multiLevelType w:val="hybridMultilevel"/>
    <w:tmpl w:val="4496B106"/>
    <w:lvl w:ilvl="0" w:tplc="46E094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8EF6D77"/>
    <w:multiLevelType w:val="hybridMultilevel"/>
    <w:tmpl w:val="2B6ADCAC"/>
    <w:lvl w:ilvl="0" w:tplc="C91251EC">
      <w:start w:val="1"/>
      <w:numFmt w:val="decimal"/>
      <w:lvlText w:val="[%1]."/>
      <w:lvlJc w:val="left"/>
      <w:pPr>
        <w:ind w:left="703" w:hanging="420"/>
      </w:pPr>
      <w:rPr>
        <w:rFonts w:hint="eastAsia"/>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2" w15:restartNumberingAfterBreak="0">
    <w:nsid w:val="18227992"/>
    <w:multiLevelType w:val="hybridMultilevel"/>
    <w:tmpl w:val="70BC5A54"/>
    <w:lvl w:ilvl="0" w:tplc="901E3BCC">
      <w:start w:val="1"/>
      <w:numFmt w:val="decimal"/>
      <w:lvlText w:val="%1."/>
      <w:lvlJc w:val="left"/>
      <w:pPr>
        <w:ind w:left="360" w:hanging="360"/>
      </w:pPr>
      <w:rPr>
        <w:rFonts w:ascii="宋体" w:eastAsia="宋体" w:hAnsi="宋体" w:cs="宋体"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A7E1135"/>
    <w:multiLevelType w:val="hybridMultilevel"/>
    <w:tmpl w:val="924CF558"/>
    <w:lvl w:ilvl="0" w:tplc="C91251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7254C9"/>
    <w:multiLevelType w:val="hybridMultilevel"/>
    <w:tmpl w:val="E2ECF774"/>
    <w:lvl w:ilvl="0" w:tplc="3B241EA0">
      <w:start w:val="1"/>
      <w:numFmt w:val="decimal"/>
      <w:lvlText w:val="（%1）"/>
      <w:lvlJc w:val="left"/>
      <w:pPr>
        <w:ind w:left="720" w:hanging="720"/>
      </w:pPr>
      <w:rPr>
        <w:rFonts w:cs="宋体" w:hint="default"/>
        <w:color w:val="000000"/>
        <w:sz w:val="22"/>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6D12160"/>
    <w:multiLevelType w:val="hybridMultilevel"/>
    <w:tmpl w:val="1BB2C7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0286D15"/>
    <w:multiLevelType w:val="hybridMultilevel"/>
    <w:tmpl w:val="06040DA6"/>
    <w:lvl w:ilvl="0" w:tplc="C91251E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92D14E7"/>
    <w:multiLevelType w:val="hybridMultilevel"/>
    <w:tmpl w:val="EC94AAFE"/>
    <w:lvl w:ilvl="0" w:tplc="237E0C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A100F65"/>
    <w:multiLevelType w:val="hybridMultilevel"/>
    <w:tmpl w:val="A8EE24B6"/>
    <w:lvl w:ilvl="0" w:tplc="C91251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45A4F83"/>
    <w:multiLevelType w:val="hybridMultilevel"/>
    <w:tmpl w:val="DADA65BC"/>
    <w:lvl w:ilvl="0" w:tplc="3B241EA0">
      <w:start w:val="1"/>
      <w:numFmt w:val="decimal"/>
      <w:lvlText w:val="（%1）"/>
      <w:lvlJc w:val="left"/>
      <w:pPr>
        <w:ind w:left="720" w:hanging="720"/>
      </w:pPr>
      <w:rPr>
        <w:rFonts w:cs="宋体" w:hint="default"/>
        <w:color w:val="000000"/>
        <w:sz w:val="22"/>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1F83579"/>
    <w:multiLevelType w:val="hybridMultilevel"/>
    <w:tmpl w:val="04B27646"/>
    <w:lvl w:ilvl="0" w:tplc="71B0F5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28764443">
    <w:abstractNumId w:val="6"/>
  </w:num>
  <w:num w:numId="2" w16cid:durableId="428088197">
    <w:abstractNumId w:val="7"/>
  </w:num>
  <w:num w:numId="3" w16cid:durableId="509488723">
    <w:abstractNumId w:val="10"/>
  </w:num>
  <w:num w:numId="4" w16cid:durableId="1042628918">
    <w:abstractNumId w:val="2"/>
  </w:num>
  <w:num w:numId="5" w16cid:durableId="646935126">
    <w:abstractNumId w:val="5"/>
  </w:num>
  <w:num w:numId="6" w16cid:durableId="1544946144">
    <w:abstractNumId w:val="1"/>
  </w:num>
  <w:num w:numId="7" w16cid:durableId="143664423">
    <w:abstractNumId w:val="8"/>
  </w:num>
  <w:num w:numId="8" w16cid:durableId="962999359">
    <w:abstractNumId w:val="3"/>
  </w:num>
  <w:num w:numId="9" w16cid:durableId="1741633009">
    <w:abstractNumId w:val="9"/>
  </w:num>
  <w:num w:numId="10" w16cid:durableId="1690453163">
    <w:abstractNumId w:val="4"/>
  </w:num>
  <w:num w:numId="11" w16cid:durableId="188339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925"/>
    <w:rsid w:val="000201CE"/>
    <w:rsid w:val="00020441"/>
    <w:rsid w:val="002143E7"/>
    <w:rsid w:val="00273EB1"/>
    <w:rsid w:val="00290F62"/>
    <w:rsid w:val="003B5915"/>
    <w:rsid w:val="004067A6"/>
    <w:rsid w:val="00647B4D"/>
    <w:rsid w:val="006823EC"/>
    <w:rsid w:val="00894CE3"/>
    <w:rsid w:val="008B5649"/>
    <w:rsid w:val="00932F43"/>
    <w:rsid w:val="00A44595"/>
    <w:rsid w:val="00C52AD3"/>
    <w:rsid w:val="00EA230B"/>
    <w:rsid w:val="00EC5925"/>
    <w:rsid w:val="00FE7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9A7D0"/>
  <w15:chartTrackingRefBased/>
  <w15:docId w15:val="{A0152831-0089-4EA1-8735-68BF72FD8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B4D"/>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7B4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47B4D"/>
    <w:rPr>
      <w:sz w:val="18"/>
      <w:szCs w:val="18"/>
    </w:rPr>
  </w:style>
  <w:style w:type="paragraph" w:styleId="a5">
    <w:name w:val="footer"/>
    <w:basedOn w:val="a"/>
    <w:link w:val="a6"/>
    <w:uiPriority w:val="99"/>
    <w:unhideWhenUsed/>
    <w:rsid w:val="00647B4D"/>
    <w:pPr>
      <w:tabs>
        <w:tab w:val="center" w:pos="4153"/>
        <w:tab w:val="right" w:pos="8306"/>
      </w:tabs>
      <w:snapToGrid w:val="0"/>
    </w:pPr>
    <w:rPr>
      <w:sz w:val="18"/>
      <w:szCs w:val="18"/>
    </w:rPr>
  </w:style>
  <w:style w:type="character" w:customStyle="1" w:styleId="a6">
    <w:name w:val="页脚 字符"/>
    <w:basedOn w:val="a0"/>
    <w:link w:val="a5"/>
    <w:uiPriority w:val="99"/>
    <w:rsid w:val="00647B4D"/>
    <w:rPr>
      <w:sz w:val="18"/>
      <w:szCs w:val="18"/>
    </w:rPr>
  </w:style>
  <w:style w:type="paragraph" w:styleId="a7">
    <w:name w:val="Plain Text"/>
    <w:basedOn w:val="a"/>
    <w:link w:val="a8"/>
    <w:rsid w:val="00647B4D"/>
    <w:pPr>
      <w:widowControl w:val="0"/>
      <w:spacing w:line="360" w:lineRule="auto"/>
      <w:ind w:firstLineChars="200" w:firstLine="480"/>
      <w:jc w:val="both"/>
    </w:pPr>
    <w:rPr>
      <w:rFonts w:ascii="仿宋_GB2312"/>
      <w:kern w:val="2"/>
      <w:sz w:val="24"/>
      <w:lang w:eastAsia="en-US"/>
    </w:rPr>
  </w:style>
  <w:style w:type="character" w:customStyle="1" w:styleId="a8">
    <w:name w:val="纯文本 字符"/>
    <w:basedOn w:val="a0"/>
    <w:link w:val="a7"/>
    <w:rsid w:val="00647B4D"/>
    <w:rPr>
      <w:rFonts w:ascii="仿宋_GB2312" w:eastAsia="宋体" w:hAnsi="Times New Roman" w:cs="Times New Roman"/>
      <w:sz w:val="24"/>
      <w:szCs w:val="20"/>
      <w:lang w:eastAsia="en-US"/>
    </w:rPr>
  </w:style>
  <w:style w:type="paragraph" w:styleId="a9">
    <w:name w:val="Normal (Web)"/>
    <w:basedOn w:val="a"/>
    <w:rsid w:val="00647B4D"/>
    <w:pPr>
      <w:kinsoku w:val="0"/>
      <w:autoSpaceDE w:val="0"/>
      <w:autoSpaceDN w:val="0"/>
      <w:adjustRightInd w:val="0"/>
      <w:snapToGrid w:val="0"/>
      <w:textAlignment w:val="baseline"/>
    </w:pPr>
    <w:rPr>
      <w:rFonts w:ascii="Arial" w:eastAsia="Arial" w:hAnsi="Arial" w:cs="Arial"/>
      <w:snapToGrid w:val="0"/>
      <w:color w:val="000000"/>
      <w:sz w:val="24"/>
      <w:szCs w:val="21"/>
      <w:lang w:eastAsia="en-US"/>
    </w:rPr>
  </w:style>
  <w:style w:type="paragraph" w:customStyle="1" w:styleId="TableText">
    <w:name w:val="Table Text"/>
    <w:basedOn w:val="a"/>
    <w:semiHidden/>
    <w:qFormat/>
    <w:rsid w:val="00647B4D"/>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aa">
    <w:name w:val="List Paragraph"/>
    <w:basedOn w:val="a"/>
    <w:uiPriority w:val="34"/>
    <w:qFormat/>
    <w:rsid w:val="00647B4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1275</Words>
  <Characters>3189</Characters>
  <Application>Microsoft Office Word</Application>
  <DocSecurity>0</DocSecurity>
  <Lines>99</Lines>
  <Paragraphs>39</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junqiu zhai</cp:lastModifiedBy>
  <cp:revision>12</cp:revision>
  <dcterms:created xsi:type="dcterms:W3CDTF">2026-06-15T01:24:00Z</dcterms:created>
  <dcterms:modified xsi:type="dcterms:W3CDTF">2026-06-20T13:32:00Z</dcterms:modified>
</cp:coreProperties>
</file>