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7C3C">
      <w:pPr>
        <w:rPr>
          <w:sz w:val="24"/>
          <w:szCs w:val="24"/>
        </w:rPr>
      </w:pPr>
      <w:r>
        <w:rPr>
          <w:rFonts w:hint="eastAsia"/>
          <w:sz w:val="24"/>
          <w:szCs w:val="24"/>
        </w:rPr>
        <w:t>附件三 ★商务条款偏离情况表 （“★”号条款为实质性条款，有任何一条负偏离则导致无效投标）。</w:t>
      </w:r>
    </w:p>
    <w:p w14:paraId="261BF570">
      <w:pPr>
        <w:rPr>
          <w:sz w:val="24"/>
          <w:szCs w:val="24"/>
        </w:rPr>
      </w:pPr>
    </w:p>
    <w:tbl>
      <w:tblPr>
        <w:tblStyle w:val="8"/>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3431"/>
        <w:gridCol w:w="3355"/>
        <w:gridCol w:w="757"/>
        <w:gridCol w:w="716"/>
      </w:tblGrid>
      <w:tr w14:paraId="19DB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38" w:type="pct"/>
          </w:tcPr>
          <w:p w14:paraId="42796553">
            <w:pPr>
              <w:jc w:val="center"/>
              <w:rPr>
                <w:kern w:val="0"/>
                <w:sz w:val="20"/>
                <w:szCs w:val="20"/>
              </w:rPr>
            </w:pPr>
            <w:r>
              <w:rPr>
                <w:rFonts w:hint="eastAsia"/>
                <w:kern w:val="0"/>
                <w:sz w:val="20"/>
                <w:szCs w:val="20"/>
              </w:rPr>
              <w:t>序号</w:t>
            </w:r>
          </w:p>
        </w:tc>
        <w:tc>
          <w:tcPr>
            <w:tcW w:w="1936" w:type="pct"/>
          </w:tcPr>
          <w:p w14:paraId="3E79936A">
            <w:pPr>
              <w:jc w:val="center"/>
              <w:rPr>
                <w:kern w:val="0"/>
                <w:sz w:val="20"/>
                <w:szCs w:val="20"/>
              </w:rPr>
            </w:pPr>
            <w:r>
              <w:rPr>
                <w:rFonts w:hint="eastAsia"/>
                <w:kern w:val="0"/>
                <w:sz w:val="20"/>
                <w:szCs w:val="20"/>
              </w:rPr>
              <w:t>招标商务条款</w:t>
            </w:r>
          </w:p>
        </w:tc>
        <w:tc>
          <w:tcPr>
            <w:tcW w:w="1893" w:type="pct"/>
          </w:tcPr>
          <w:p w14:paraId="555C2906">
            <w:pPr>
              <w:jc w:val="center"/>
              <w:rPr>
                <w:kern w:val="0"/>
                <w:sz w:val="20"/>
                <w:szCs w:val="20"/>
              </w:rPr>
            </w:pPr>
            <w:r>
              <w:rPr>
                <w:rFonts w:hint="eastAsia"/>
                <w:kern w:val="0"/>
                <w:sz w:val="20"/>
                <w:szCs w:val="20"/>
              </w:rPr>
              <w:t>投标商务条款</w:t>
            </w:r>
          </w:p>
        </w:tc>
        <w:tc>
          <w:tcPr>
            <w:tcW w:w="427" w:type="pct"/>
          </w:tcPr>
          <w:p w14:paraId="0C8B5E7F">
            <w:pPr>
              <w:jc w:val="center"/>
              <w:rPr>
                <w:kern w:val="0"/>
                <w:sz w:val="20"/>
                <w:szCs w:val="20"/>
              </w:rPr>
            </w:pPr>
            <w:r>
              <w:rPr>
                <w:rFonts w:hint="eastAsia"/>
                <w:kern w:val="0"/>
                <w:sz w:val="20"/>
                <w:szCs w:val="20"/>
              </w:rPr>
              <w:t>偏离情况</w:t>
            </w:r>
          </w:p>
        </w:tc>
        <w:tc>
          <w:tcPr>
            <w:tcW w:w="404" w:type="pct"/>
          </w:tcPr>
          <w:p w14:paraId="1AA620AD">
            <w:pPr>
              <w:jc w:val="center"/>
              <w:rPr>
                <w:kern w:val="0"/>
                <w:sz w:val="20"/>
                <w:szCs w:val="20"/>
              </w:rPr>
            </w:pPr>
            <w:r>
              <w:rPr>
                <w:rFonts w:hint="eastAsia"/>
                <w:kern w:val="0"/>
                <w:sz w:val="20"/>
                <w:szCs w:val="20"/>
              </w:rPr>
              <w:t>备注</w:t>
            </w:r>
          </w:p>
        </w:tc>
      </w:tr>
      <w:tr w14:paraId="7A24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38" w:type="pct"/>
          </w:tcPr>
          <w:p w14:paraId="0EA45D75">
            <w:pPr>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936" w:type="pct"/>
          </w:tcPr>
          <w:p w14:paraId="7656F985">
            <w:pPr>
              <w:rPr>
                <w:rFonts w:hint="eastAsia" w:ascii="宋体" w:hAnsi="宋体" w:eastAsia="宋体" w:cs="宋体"/>
                <w:kern w:val="0"/>
                <w:szCs w:val="21"/>
              </w:rPr>
            </w:pPr>
            <w:r>
              <w:rPr>
                <w:rFonts w:hint="eastAsia" w:ascii="宋体" w:hAnsi="宋体" w:eastAsia="宋体" w:cs="宋体"/>
                <w:kern w:val="0"/>
                <w:szCs w:val="21"/>
              </w:rPr>
              <w:t>（一）.定价方式：总价包干</w:t>
            </w:r>
          </w:p>
        </w:tc>
        <w:tc>
          <w:tcPr>
            <w:tcW w:w="1893" w:type="pct"/>
          </w:tcPr>
          <w:p w14:paraId="3FEF6A40">
            <w:pPr>
              <w:rPr>
                <w:rFonts w:hint="eastAsia" w:ascii="宋体" w:hAnsi="宋体" w:eastAsia="宋体" w:cs="宋体"/>
                <w:kern w:val="0"/>
                <w:sz w:val="20"/>
                <w:szCs w:val="20"/>
              </w:rPr>
            </w:pPr>
          </w:p>
        </w:tc>
        <w:tc>
          <w:tcPr>
            <w:tcW w:w="427" w:type="pct"/>
          </w:tcPr>
          <w:p w14:paraId="07662EF3">
            <w:pPr>
              <w:rPr>
                <w:kern w:val="0"/>
                <w:sz w:val="20"/>
                <w:szCs w:val="20"/>
              </w:rPr>
            </w:pPr>
          </w:p>
        </w:tc>
        <w:tc>
          <w:tcPr>
            <w:tcW w:w="404" w:type="pct"/>
          </w:tcPr>
          <w:p w14:paraId="3147D762">
            <w:pPr>
              <w:rPr>
                <w:kern w:val="0"/>
                <w:sz w:val="20"/>
                <w:szCs w:val="20"/>
              </w:rPr>
            </w:pPr>
          </w:p>
        </w:tc>
      </w:tr>
      <w:tr w14:paraId="10FF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38" w:type="pct"/>
          </w:tcPr>
          <w:p w14:paraId="671C005D">
            <w:pPr>
              <w:jc w:val="center"/>
              <w:rPr>
                <w:rFonts w:hint="eastAsia" w:ascii="宋体" w:hAnsi="宋体" w:eastAsia="宋体" w:cs="宋体"/>
                <w:kern w:val="0"/>
                <w:szCs w:val="21"/>
              </w:rPr>
            </w:pPr>
            <w:r>
              <w:rPr>
                <w:rFonts w:hint="eastAsia" w:ascii="宋体" w:hAnsi="宋体" w:eastAsia="宋体" w:cs="宋体"/>
                <w:kern w:val="0"/>
                <w:szCs w:val="21"/>
              </w:rPr>
              <w:t>2</w:t>
            </w:r>
          </w:p>
        </w:tc>
        <w:tc>
          <w:tcPr>
            <w:tcW w:w="1936" w:type="pct"/>
          </w:tcPr>
          <w:p w14:paraId="46096C1B">
            <w:pPr>
              <w:rPr>
                <w:rFonts w:hint="eastAsia" w:ascii="宋体" w:hAnsi="宋体" w:eastAsia="宋体" w:cs="宋体"/>
                <w:kern w:val="0"/>
                <w:szCs w:val="21"/>
              </w:rPr>
            </w:pPr>
            <w:r>
              <w:rPr>
                <w:rFonts w:hint="eastAsia" w:ascii="宋体" w:hAnsi="宋体" w:eastAsia="宋体" w:cs="宋体"/>
                <w:kern w:val="0"/>
                <w:szCs w:val="21"/>
              </w:rPr>
              <w:t>（二）.付款方式：</w:t>
            </w:r>
          </w:p>
          <w:p w14:paraId="0A6FED2C">
            <w:pPr>
              <w:rPr>
                <w:rFonts w:hint="eastAsia" w:ascii="宋体" w:hAnsi="宋体" w:eastAsia="宋体" w:cs="宋体"/>
                <w:kern w:val="0"/>
                <w:szCs w:val="21"/>
              </w:rPr>
            </w:pPr>
            <w:r>
              <w:rPr>
                <w:rFonts w:hint="eastAsia" w:ascii="宋体" w:hAnsi="宋体" w:eastAsia="宋体" w:cs="宋体"/>
                <w:kern w:val="0"/>
                <w:szCs w:val="21"/>
              </w:rPr>
              <w:t>（1）本项目不设预付款；</w:t>
            </w:r>
          </w:p>
          <w:p w14:paraId="710D2E26">
            <w:pPr>
              <w:rPr>
                <w:rFonts w:hint="eastAsia" w:ascii="宋体" w:hAnsi="宋体" w:eastAsia="宋体" w:cs="宋体"/>
                <w:kern w:val="0"/>
                <w:szCs w:val="21"/>
              </w:rPr>
            </w:pPr>
            <w:r>
              <w:rPr>
                <w:rFonts w:hint="eastAsia" w:ascii="宋体" w:hAnsi="宋体" w:eastAsia="宋体" w:cs="宋体"/>
                <w:kern w:val="0"/>
                <w:szCs w:val="21"/>
              </w:rPr>
              <w:t>（2）中标人向采购人提交本项目的绿色建筑等级符合性评价报告，并完成本合同约定的所有工作内容后，按项目金额的90%向采购人申请付款，余款在完成工程竣工验收并经结算审计完毕后一次性支付；</w:t>
            </w:r>
          </w:p>
        </w:tc>
        <w:tc>
          <w:tcPr>
            <w:tcW w:w="1893" w:type="pct"/>
          </w:tcPr>
          <w:p w14:paraId="242A3AE4">
            <w:pPr>
              <w:rPr>
                <w:rFonts w:hint="eastAsia" w:ascii="宋体" w:hAnsi="宋体" w:eastAsia="宋体" w:cs="宋体"/>
                <w:kern w:val="0"/>
                <w:sz w:val="20"/>
                <w:szCs w:val="20"/>
              </w:rPr>
            </w:pPr>
          </w:p>
        </w:tc>
        <w:tc>
          <w:tcPr>
            <w:tcW w:w="427" w:type="pct"/>
          </w:tcPr>
          <w:p w14:paraId="69435392">
            <w:pPr>
              <w:rPr>
                <w:kern w:val="0"/>
                <w:sz w:val="20"/>
                <w:szCs w:val="20"/>
              </w:rPr>
            </w:pPr>
          </w:p>
        </w:tc>
        <w:tc>
          <w:tcPr>
            <w:tcW w:w="404" w:type="pct"/>
          </w:tcPr>
          <w:p w14:paraId="43B960C8">
            <w:pPr>
              <w:rPr>
                <w:kern w:val="0"/>
                <w:sz w:val="20"/>
                <w:szCs w:val="20"/>
              </w:rPr>
            </w:pPr>
          </w:p>
        </w:tc>
      </w:tr>
      <w:tr w14:paraId="3B7D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38" w:type="pct"/>
          </w:tcPr>
          <w:p w14:paraId="7C6DD58F">
            <w:pPr>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936" w:type="pct"/>
          </w:tcPr>
          <w:p w14:paraId="37E17D24">
            <w:pPr>
              <w:rPr>
                <w:rFonts w:hint="eastAsia" w:ascii="宋体" w:hAnsi="宋体" w:eastAsia="宋体" w:cs="宋体"/>
                <w:kern w:val="0"/>
                <w:szCs w:val="21"/>
              </w:rPr>
            </w:pPr>
            <w:r>
              <w:rPr>
                <w:rFonts w:hint="eastAsia" w:ascii="宋体" w:hAnsi="宋体" w:eastAsia="宋体" w:cs="宋体"/>
                <w:kern w:val="0"/>
                <w:szCs w:val="21"/>
              </w:rPr>
              <w:t>（三）.违约条款：</w:t>
            </w:r>
          </w:p>
          <w:p w14:paraId="03E6CA4B">
            <w:pPr>
              <w:rPr>
                <w:rFonts w:hint="eastAsia" w:ascii="宋体" w:hAnsi="宋体" w:eastAsia="宋体" w:cs="宋体"/>
                <w:kern w:val="0"/>
                <w:szCs w:val="21"/>
              </w:rPr>
            </w:pPr>
            <w:r>
              <w:rPr>
                <w:rFonts w:hint="eastAsia" w:ascii="宋体" w:hAnsi="宋体" w:eastAsia="宋体" w:cs="宋体"/>
                <w:kern w:val="0"/>
                <w:szCs w:val="21"/>
              </w:rPr>
              <w:t>1.因中标人原因未按合同约定提交报告成果文件的，按拖期具体日历天数处违约金200元/日历天，总违约金最多不超过合同价的5%。</w:t>
            </w:r>
          </w:p>
          <w:p w14:paraId="384A6F52">
            <w:pPr>
              <w:rPr>
                <w:rFonts w:hint="eastAsia" w:ascii="宋体" w:hAnsi="宋体" w:eastAsia="宋体" w:cs="宋体"/>
                <w:kern w:val="0"/>
                <w:szCs w:val="21"/>
              </w:rPr>
            </w:pPr>
            <w:r>
              <w:rPr>
                <w:rFonts w:hint="eastAsia" w:ascii="宋体" w:hAnsi="宋体" w:eastAsia="宋体" w:cs="宋体"/>
                <w:kern w:val="0"/>
                <w:szCs w:val="21"/>
              </w:rPr>
              <w:t>2.中标人对出具的评估报告的真实性负责。因中标人出具的评估报告不真实引起的工程项目风险责任，中标人须按相关法律法规承担相关责任。</w:t>
            </w:r>
          </w:p>
        </w:tc>
        <w:tc>
          <w:tcPr>
            <w:tcW w:w="1893" w:type="pct"/>
          </w:tcPr>
          <w:p w14:paraId="7EDF90EB">
            <w:pPr>
              <w:rPr>
                <w:rFonts w:hint="eastAsia" w:ascii="宋体" w:hAnsi="宋体" w:eastAsia="宋体" w:cs="宋体"/>
                <w:kern w:val="0"/>
                <w:sz w:val="20"/>
                <w:szCs w:val="20"/>
              </w:rPr>
            </w:pPr>
          </w:p>
        </w:tc>
        <w:tc>
          <w:tcPr>
            <w:tcW w:w="427" w:type="pct"/>
          </w:tcPr>
          <w:p w14:paraId="31E311E0">
            <w:pPr>
              <w:rPr>
                <w:kern w:val="0"/>
                <w:sz w:val="20"/>
                <w:szCs w:val="20"/>
              </w:rPr>
            </w:pPr>
          </w:p>
        </w:tc>
        <w:tc>
          <w:tcPr>
            <w:tcW w:w="404" w:type="pct"/>
          </w:tcPr>
          <w:p w14:paraId="6AE04CAB">
            <w:pPr>
              <w:rPr>
                <w:kern w:val="0"/>
                <w:sz w:val="20"/>
                <w:szCs w:val="20"/>
              </w:rPr>
            </w:pPr>
          </w:p>
        </w:tc>
      </w:tr>
      <w:tr w14:paraId="58A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38" w:type="pct"/>
          </w:tcPr>
          <w:p w14:paraId="56C46639">
            <w:pPr>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936" w:type="pct"/>
          </w:tcPr>
          <w:p w14:paraId="62822967">
            <w:pPr>
              <w:rPr>
                <w:rFonts w:hint="eastAsia" w:ascii="宋体" w:hAnsi="宋体" w:eastAsia="宋体" w:cs="宋体"/>
                <w:kern w:val="0"/>
                <w:szCs w:val="21"/>
              </w:rPr>
            </w:pPr>
            <w:r>
              <w:rPr>
                <w:rFonts w:hint="eastAsia" w:ascii="宋体" w:hAnsi="宋体" w:eastAsia="宋体" w:cs="宋体"/>
                <w:kern w:val="0"/>
                <w:szCs w:val="21"/>
              </w:rPr>
              <w:t>（四）.合同履行期限：</w:t>
            </w:r>
          </w:p>
          <w:p w14:paraId="6A9AA917">
            <w:pPr>
              <w:rPr>
                <w:rFonts w:hint="eastAsia" w:ascii="宋体" w:hAnsi="宋体" w:eastAsia="宋体" w:cs="宋体"/>
                <w:kern w:val="0"/>
                <w:szCs w:val="21"/>
              </w:rPr>
            </w:pPr>
            <w:r>
              <w:rPr>
                <w:rFonts w:hint="eastAsia" w:ascii="宋体" w:hAnsi="宋体" w:eastAsia="宋体" w:cs="宋体"/>
                <w:kern w:val="0"/>
                <w:szCs w:val="21"/>
              </w:rPr>
              <w:t>中标人服务期限为自合同签订之日起至本项目完成工程竣工验收。</w:t>
            </w:r>
          </w:p>
        </w:tc>
        <w:tc>
          <w:tcPr>
            <w:tcW w:w="1893" w:type="pct"/>
          </w:tcPr>
          <w:p w14:paraId="1A1EEFE3">
            <w:pPr>
              <w:rPr>
                <w:rFonts w:hint="eastAsia" w:ascii="宋体" w:hAnsi="宋体" w:eastAsia="宋体" w:cs="宋体"/>
                <w:kern w:val="0"/>
                <w:sz w:val="20"/>
                <w:szCs w:val="20"/>
              </w:rPr>
            </w:pPr>
          </w:p>
        </w:tc>
        <w:tc>
          <w:tcPr>
            <w:tcW w:w="427" w:type="pct"/>
          </w:tcPr>
          <w:p w14:paraId="645F929D">
            <w:pPr>
              <w:rPr>
                <w:kern w:val="0"/>
                <w:sz w:val="20"/>
                <w:szCs w:val="20"/>
              </w:rPr>
            </w:pPr>
          </w:p>
        </w:tc>
        <w:tc>
          <w:tcPr>
            <w:tcW w:w="404" w:type="pct"/>
          </w:tcPr>
          <w:p w14:paraId="6A09077A">
            <w:pPr>
              <w:rPr>
                <w:kern w:val="0"/>
                <w:sz w:val="20"/>
                <w:szCs w:val="20"/>
              </w:rPr>
            </w:pPr>
          </w:p>
        </w:tc>
      </w:tr>
      <w:tr w14:paraId="4158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8" w:type="pct"/>
          </w:tcPr>
          <w:p w14:paraId="7E30A34E">
            <w:pPr>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936" w:type="pct"/>
          </w:tcPr>
          <w:p w14:paraId="087F0A84">
            <w:pPr>
              <w:rPr>
                <w:rFonts w:hint="eastAsia" w:ascii="宋体" w:hAnsi="宋体" w:eastAsia="宋体" w:cs="宋体"/>
                <w:kern w:val="0"/>
                <w:szCs w:val="21"/>
              </w:rPr>
            </w:pPr>
            <w:r>
              <w:rPr>
                <w:rFonts w:hint="eastAsia" w:ascii="宋体" w:hAnsi="宋体" w:eastAsia="宋体" w:cs="宋体"/>
                <w:kern w:val="0"/>
                <w:szCs w:val="21"/>
              </w:rPr>
              <w:t>（五）.投标报价要求：</w:t>
            </w:r>
          </w:p>
          <w:p w14:paraId="5DFB177F">
            <w:pPr>
              <w:rPr>
                <w:rFonts w:hint="eastAsia" w:ascii="宋体" w:hAnsi="宋体" w:eastAsia="宋体" w:cs="宋体"/>
                <w:kern w:val="0"/>
                <w:szCs w:val="21"/>
              </w:rPr>
            </w:pPr>
            <w:r>
              <w:rPr>
                <w:rFonts w:hint="eastAsia" w:ascii="宋体" w:hAnsi="宋体" w:eastAsia="宋体" w:cs="宋体"/>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7C84894F">
            <w:pPr>
              <w:rPr>
                <w:rFonts w:hint="eastAsia" w:ascii="宋体" w:hAnsi="宋体" w:eastAsia="宋体" w:cs="宋体"/>
                <w:kern w:val="0"/>
                <w:szCs w:val="21"/>
              </w:rPr>
            </w:pPr>
            <w:r>
              <w:rPr>
                <w:rFonts w:hint="eastAsia" w:ascii="宋体" w:hAnsi="宋体" w:eastAsia="宋体" w:cs="宋体"/>
                <w:kern w:val="0"/>
                <w:szCs w:val="21"/>
              </w:rPr>
              <w:t>2.投标供应商应当根据本企业的成本自行决定报价，但不得以低于其企业成本的报价投标。</w:t>
            </w:r>
          </w:p>
          <w:p w14:paraId="7FAC1726">
            <w:pPr>
              <w:rPr>
                <w:rFonts w:hint="eastAsia" w:ascii="宋体" w:hAnsi="宋体" w:eastAsia="宋体" w:cs="宋体"/>
                <w:kern w:val="0"/>
                <w:szCs w:val="21"/>
              </w:rPr>
            </w:pPr>
            <w:r>
              <w:rPr>
                <w:rFonts w:hint="eastAsia" w:ascii="宋体" w:hAnsi="宋体" w:eastAsia="宋体" w:cs="宋体"/>
                <w:kern w:val="0"/>
                <w:szCs w:val="21"/>
              </w:rPr>
              <w:t>3.投标供应商的报价不得超过项目预算金额。</w:t>
            </w:r>
          </w:p>
          <w:p w14:paraId="21BF5A3D">
            <w:pPr>
              <w:rPr>
                <w:rFonts w:hint="eastAsia" w:ascii="宋体" w:hAnsi="宋体" w:eastAsia="宋体" w:cs="宋体"/>
                <w:kern w:val="0"/>
                <w:szCs w:val="21"/>
              </w:rPr>
            </w:pPr>
            <w:r>
              <w:rPr>
                <w:rFonts w:hint="eastAsia" w:ascii="宋体" w:hAnsi="宋体" w:eastAsia="宋体" w:cs="宋体"/>
                <w:kern w:val="0"/>
                <w:szCs w:val="21"/>
              </w:rPr>
              <w:t>4.投标供应商的报价，应当是本项目采购范围和采购文件及合同条款上所列的各项内容中所述的全部，不得以任何理由予以重复。</w:t>
            </w:r>
          </w:p>
          <w:p w14:paraId="65831F52">
            <w:pPr>
              <w:rPr>
                <w:rFonts w:hint="eastAsia" w:ascii="宋体" w:hAnsi="宋体" w:eastAsia="宋体" w:cs="宋体"/>
                <w:kern w:val="0"/>
                <w:szCs w:val="21"/>
              </w:rPr>
            </w:pPr>
            <w:r>
              <w:rPr>
                <w:rFonts w:hint="eastAsia" w:ascii="宋体" w:hAnsi="宋体" w:eastAsia="宋体" w:cs="宋体"/>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4AFB181C">
            <w:pPr>
              <w:rPr>
                <w:rFonts w:hint="eastAsia" w:ascii="宋体" w:hAnsi="宋体" w:eastAsia="宋体" w:cs="宋体"/>
                <w:kern w:val="0"/>
                <w:szCs w:val="21"/>
              </w:rPr>
            </w:pPr>
            <w:r>
              <w:rPr>
                <w:rFonts w:hint="eastAsia" w:ascii="宋体" w:hAnsi="宋体" w:eastAsia="宋体" w:cs="宋体"/>
                <w:kern w:val="0"/>
                <w:szCs w:val="21"/>
              </w:rPr>
              <w:t>6.投标供应商应先到项目地点踏勘以充分了解项目的位置、情况、道路及任何其它足以影响投标报价的情况，任何因忽视或误解项目情况而导致的索赔或服务期限延长申请将不获批准。</w:t>
            </w:r>
          </w:p>
          <w:p w14:paraId="60752127">
            <w:pPr>
              <w:rPr>
                <w:rFonts w:hint="eastAsia" w:ascii="宋体" w:hAnsi="宋体" w:eastAsia="宋体" w:cs="宋体"/>
                <w:kern w:val="0"/>
                <w:szCs w:val="21"/>
              </w:rPr>
            </w:pPr>
            <w:r>
              <w:rPr>
                <w:rFonts w:hint="eastAsia" w:ascii="宋体" w:hAnsi="宋体" w:eastAsia="宋体" w:cs="宋体"/>
                <w:kern w:val="0"/>
                <w:szCs w:val="21"/>
              </w:rPr>
              <w:t>7.投标供应商不得期望通过索赔等方式获取补偿，否则，除可能遭到拒绝外，还可能将被作为不良行为记录在案，并可能影响其以后参加政府采购的项目投标。各投标供应商在报价时，应充分考虑报价的风险。</w:t>
            </w:r>
          </w:p>
        </w:tc>
        <w:tc>
          <w:tcPr>
            <w:tcW w:w="1893" w:type="pct"/>
          </w:tcPr>
          <w:p w14:paraId="5E2CE19C">
            <w:pPr>
              <w:rPr>
                <w:rFonts w:hint="eastAsia" w:ascii="宋体" w:hAnsi="宋体" w:eastAsia="宋体" w:cs="宋体"/>
                <w:kern w:val="0"/>
                <w:sz w:val="20"/>
                <w:szCs w:val="20"/>
              </w:rPr>
            </w:pPr>
          </w:p>
        </w:tc>
        <w:tc>
          <w:tcPr>
            <w:tcW w:w="427" w:type="pct"/>
          </w:tcPr>
          <w:p w14:paraId="0E26A586">
            <w:pPr>
              <w:rPr>
                <w:kern w:val="0"/>
                <w:sz w:val="20"/>
                <w:szCs w:val="20"/>
              </w:rPr>
            </w:pPr>
          </w:p>
        </w:tc>
        <w:tc>
          <w:tcPr>
            <w:tcW w:w="404" w:type="pct"/>
          </w:tcPr>
          <w:p w14:paraId="7891AA95">
            <w:pPr>
              <w:rPr>
                <w:kern w:val="0"/>
                <w:sz w:val="20"/>
                <w:szCs w:val="20"/>
              </w:rPr>
            </w:pPr>
          </w:p>
        </w:tc>
      </w:tr>
      <w:tr w14:paraId="1DA3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38" w:type="pct"/>
          </w:tcPr>
          <w:p w14:paraId="65487C6D">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6</w:t>
            </w:r>
          </w:p>
        </w:tc>
        <w:tc>
          <w:tcPr>
            <w:tcW w:w="1936" w:type="pct"/>
          </w:tcPr>
          <w:p w14:paraId="043F38C7">
            <w:pPr>
              <w:rPr>
                <w:rFonts w:hint="eastAsia" w:ascii="宋体" w:hAnsi="宋体" w:eastAsia="宋体" w:cs="宋体"/>
                <w:kern w:val="0"/>
                <w:szCs w:val="21"/>
              </w:rPr>
            </w:pPr>
            <w:r>
              <w:rPr>
                <w:rFonts w:hint="eastAsia" w:ascii="宋体" w:hAnsi="宋体" w:eastAsia="宋体" w:cs="宋体"/>
                <w:kern w:val="0"/>
                <w:szCs w:val="21"/>
              </w:rPr>
              <w:t>（六）其他：</w:t>
            </w:r>
          </w:p>
          <w:p w14:paraId="33AE8830">
            <w:pPr>
              <w:rPr>
                <w:rFonts w:hint="eastAsia" w:ascii="宋体" w:hAnsi="宋体" w:eastAsia="宋体" w:cs="宋体"/>
                <w:kern w:val="0"/>
                <w:szCs w:val="21"/>
              </w:rPr>
            </w:pPr>
            <w:r>
              <w:rPr>
                <w:rFonts w:hint="eastAsia" w:ascii="宋体" w:hAnsi="宋体" w:eastAsia="宋体" w:cs="宋体"/>
                <w:kern w:val="0"/>
                <w:szCs w:val="21"/>
              </w:rPr>
              <w:t>报名如不足3家，采购人可延长报名时间、依法重新组织公开竞价。</w:t>
            </w:r>
          </w:p>
        </w:tc>
        <w:tc>
          <w:tcPr>
            <w:tcW w:w="1893" w:type="pct"/>
          </w:tcPr>
          <w:p w14:paraId="0004ADB3">
            <w:pPr>
              <w:rPr>
                <w:rFonts w:hint="eastAsia" w:ascii="宋体" w:hAnsi="宋体" w:eastAsia="宋体" w:cs="宋体"/>
                <w:kern w:val="0"/>
                <w:sz w:val="20"/>
                <w:szCs w:val="20"/>
              </w:rPr>
            </w:pPr>
          </w:p>
        </w:tc>
        <w:tc>
          <w:tcPr>
            <w:tcW w:w="427" w:type="pct"/>
          </w:tcPr>
          <w:p w14:paraId="2D2759CF">
            <w:pPr>
              <w:rPr>
                <w:kern w:val="0"/>
                <w:sz w:val="20"/>
                <w:szCs w:val="20"/>
              </w:rPr>
            </w:pPr>
          </w:p>
        </w:tc>
        <w:tc>
          <w:tcPr>
            <w:tcW w:w="404" w:type="pct"/>
          </w:tcPr>
          <w:p w14:paraId="53F5355B">
            <w:pPr>
              <w:rPr>
                <w:kern w:val="0"/>
                <w:sz w:val="20"/>
                <w:szCs w:val="20"/>
              </w:rPr>
            </w:pPr>
          </w:p>
        </w:tc>
      </w:tr>
    </w:tbl>
    <w:p w14:paraId="28EF359F">
      <w:pPr>
        <w:spacing w:line="360" w:lineRule="auto"/>
      </w:pPr>
      <w:bookmarkStart w:id="0" w:name="_GoBack"/>
      <w:bookmarkEnd w:id="0"/>
      <w:r>
        <w:rPr>
          <w:rFonts w:hint="eastAsia" w:cs="仿宋" w:asciiTheme="minorEastAsia" w:hAnsiTheme="minorEastAsia" w:eastAsiaTheme="minorEastAsia"/>
          <w:bCs/>
          <w:sz w:val="24"/>
          <w:szCs w:val="24"/>
        </w:rPr>
        <w:t>注：1、偏离情况一栏请填入“正偏离/无偏离/负偏离”。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zZDE3OTQ4OTFmNGU5MmYzNzVlYzA4YjY4NzhhMTUifQ=="/>
  </w:docVars>
  <w:rsids>
    <w:rsidRoot w:val="00694056"/>
    <w:rsid w:val="000A57FF"/>
    <w:rsid w:val="001D6E11"/>
    <w:rsid w:val="00270708"/>
    <w:rsid w:val="00316D5E"/>
    <w:rsid w:val="00390D82"/>
    <w:rsid w:val="003A3331"/>
    <w:rsid w:val="00481D51"/>
    <w:rsid w:val="004A2289"/>
    <w:rsid w:val="004D770A"/>
    <w:rsid w:val="005A5DA5"/>
    <w:rsid w:val="00634E50"/>
    <w:rsid w:val="00694056"/>
    <w:rsid w:val="006F72F3"/>
    <w:rsid w:val="007820FA"/>
    <w:rsid w:val="00795368"/>
    <w:rsid w:val="00836DCC"/>
    <w:rsid w:val="0085622A"/>
    <w:rsid w:val="008C0BEF"/>
    <w:rsid w:val="009A1E78"/>
    <w:rsid w:val="009D2525"/>
    <w:rsid w:val="00A04F71"/>
    <w:rsid w:val="00A246EB"/>
    <w:rsid w:val="00A54F0D"/>
    <w:rsid w:val="00A62B9B"/>
    <w:rsid w:val="00B77CCE"/>
    <w:rsid w:val="00B84B66"/>
    <w:rsid w:val="00BA3D69"/>
    <w:rsid w:val="00C915D1"/>
    <w:rsid w:val="00C949ED"/>
    <w:rsid w:val="00D957BD"/>
    <w:rsid w:val="00E638EB"/>
    <w:rsid w:val="00EB18A0"/>
    <w:rsid w:val="00EC605D"/>
    <w:rsid w:val="00FE2C88"/>
    <w:rsid w:val="02A25CA7"/>
    <w:rsid w:val="02AC60DD"/>
    <w:rsid w:val="06A12660"/>
    <w:rsid w:val="08871D2A"/>
    <w:rsid w:val="093101E4"/>
    <w:rsid w:val="09AF2373"/>
    <w:rsid w:val="0A8D3E3D"/>
    <w:rsid w:val="0F6C03BE"/>
    <w:rsid w:val="0F6F1CA7"/>
    <w:rsid w:val="121A2353"/>
    <w:rsid w:val="12831CA9"/>
    <w:rsid w:val="13167812"/>
    <w:rsid w:val="14436214"/>
    <w:rsid w:val="155B15D4"/>
    <w:rsid w:val="16946B78"/>
    <w:rsid w:val="1B231B41"/>
    <w:rsid w:val="1C3433ED"/>
    <w:rsid w:val="1F9D6372"/>
    <w:rsid w:val="219322EC"/>
    <w:rsid w:val="240510B5"/>
    <w:rsid w:val="304E71C3"/>
    <w:rsid w:val="3C806556"/>
    <w:rsid w:val="3D7F1816"/>
    <w:rsid w:val="3F2B200B"/>
    <w:rsid w:val="42207864"/>
    <w:rsid w:val="43394B23"/>
    <w:rsid w:val="481A64C7"/>
    <w:rsid w:val="49B760FE"/>
    <w:rsid w:val="4FF1145F"/>
    <w:rsid w:val="501716A5"/>
    <w:rsid w:val="5144296E"/>
    <w:rsid w:val="51605496"/>
    <w:rsid w:val="51AC406F"/>
    <w:rsid w:val="54564D1F"/>
    <w:rsid w:val="567333AD"/>
    <w:rsid w:val="58D55B45"/>
    <w:rsid w:val="59154BEF"/>
    <w:rsid w:val="5AAC3332"/>
    <w:rsid w:val="5AB602E7"/>
    <w:rsid w:val="618B0515"/>
    <w:rsid w:val="642A4C48"/>
    <w:rsid w:val="6EFF7A7C"/>
    <w:rsid w:val="6F7A2894"/>
    <w:rsid w:val="7A6A66F1"/>
    <w:rsid w:val="7F7D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w:basedOn w:val="1"/>
    <w:next w:val="4"/>
    <w:qFormat/>
    <w:uiPriority w:val="0"/>
    <w:pPr>
      <w:spacing w:after="120"/>
    </w:pPr>
    <w:rPr>
      <w:sz w:val="24"/>
    </w:rPr>
  </w:style>
  <w:style w:type="paragraph" w:styleId="4">
    <w:name w:val="Body Text First Indent"/>
    <w:basedOn w:val="3"/>
    <w:qFormat/>
    <w:uiPriority w:val="0"/>
    <w:pPr>
      <w:spacing w:after="120" w:line="240" w:lineRule="auto"/>
      <w:ind w:firstLine="420" w:firstLineChars="100"/>
    </w:pPr>
    <w:rPr>
      <w:szCs w:val="24"/>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2</Pages>
  <Words>1068</Words>
  <Characters>1090</Characters>
  <Lines>8</Lines>
  <Paragraphs>2</Paragraphs>
  <TotalTime>0</TotalTime>
  <ScaleCrop>false</ScaleCrop>
  <LinksUpToDate>false</LinksUpToDate>
  <CharactersWithSpaces>1093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2022-07-22T07:54:00Z</dcterms:created>
  <dc:creator>Chilan</dc:creator>
  <cp:lastModifiedBy>cgzx</cp:lastModifiedBy>
  <dcterms:modified xsi:type="dcterms:W3CDTF">2024-12-19T08:15:49Z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C58D9F7532984385BF6EA5D356CF6B9B_12</vt:lpwstr>
  </property>
</Properties>
</file>