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DA5" w:rsidRDefault="00C915D1">
      <w:pPr>
        <w:rPr>
          <w:sz w:val="24"/>
          <w:szCs w:val="24"/>
        </w:rPr>
      </w:pPr>
      <w:r>
        <w:rPr>
          <w:rFonts w:hint="eastAsia"/>
          <w:sz w:val="24"/>
          <w:szCs w:val="24"/>
        </w:rPr>
        <w:t>附件三</w:t>
      </w:r>
      <w:r>
        <w:rPr>
          <w:rFonts w:hint="eastAsia"/>
          <w:sz w:val="24"/>
          <w:szCs w:val="24"/>
        </w:rPr>
        <w:t xml:space="preserve"> </w:t>
      </w:r>
      <w:r>
        <w:rPr>
          <w:rFonts w:hint="eastAsia"/>
          <w:sz w:val="24"/>
          <w:szCs w:val="24"/>
        </w:rPr>
        <w:t>★商务条款偏离情况表</w:t>
      </w:r>
      <w:r>
        <w:rPr>
          <w:rFonts w:hint="eastAsia"/>
          <w:sz w:val="24"/>
          <w:szCs w:val="24"/>
        </w:rPr>
        <w:t xml:space="preserve"> </w:t>
      </w:r>
      <w:r>
        <w:rPr>
          <w:rFonts w:hint="eastAsia"/>
          <w:sz w:val="24"/>
          <w:szCs w:val="24"/>
        </w:rPr>
        <w:t>（“★”号条款为实质性条款，有任何一条负偏离则导致无效投标）。</w:t>
      </w:r>
    </w:p>
    <w:p w:rsidR="005A5DA5" w:rsidRDefault="005A5DA5">
      <w:pPr>
        <w:rPr>
          <w:sz w:val="24"/>
          <w:szCs w:val="24"/>
        </w:rPr>
      </w:pPr>
    </w:p>
    <w:tbl>
      <w:tblPr>
        <w:tblStyle w:val="a7"/>
        <w:tblW w:w="4998" w:type="pct"/>
        <w:tblLook w:val="04A0" w:firstRow="1" w:lastRow="0" w:firstColumn="1" w:lastColumn="0" w:noHBand="0" w:noVBand="1"/>
      </w:tblPr>
      <w:tblGrid>
        <w:gridCol w:w="499"/>
        <w:gridCol w:w="625"/>
        <w:gridCol w:w="3165"/>
        <w:gridCol w:w="2780"/>
        <w:gridCol w:w="629"/>
        <w:gridCol w:w="595"/>
      </w:tblGrid>
      <w:tr w:rsidR="005A5DA5">
        <w:trPr>
          <w:trHeight w:val="627"/>
        </w:trPr>
        <w:tc>
          <w:tcPr>
            <w:tcW w:w="301" w:type="pct"/>
          </w:tcPr>
          <w:p w:rsidR="005A5DA5" w:rsidRDefault="00C915D1">
            <w:pPr>
              <w:jc w:val="center"/>
              <w:rPr>
                <w:kern w:val="0"/>
                <w:sz w:val="20"/>
                <w:szCs w:val="20"/>
              </w:rPr>
            </w:pPr>
            <w:r>
              <w:rPr>
                <w:rFonts w:hint="eastAsia"/>
                <w:kern w:val="0"/>
                <w:sz w:val="20"/>
                <w:szCs w:val="20"/>
              </w:rPr>
              <w:t>序号</w:t>
            </w:r>
          </w:p>
        </w:tc>
        <w:tc>
          <w:tcPr>
            <w:tcW w:w="377" w:type="pct"/>
          </w:tcPr>
          <w:p w:rsidR="005A5DA5" w:rsidRDefault="00C915D1">
            <w:pPr>
              <w:jc w:val="center"/>
              <w:rPr>
                <w:kern w:val="0"/>
                <w:sz w:val="20"/>
                <w:szCs w:val="20"/>
              </w:rPr>
            </w:pPr>
            <w:r>
              <w:rPr>
                <w:rFonts w:hint="eastAsia"/>
                <w:kern w:val="0"/>
                <w:sz w:val="20"/>
                <w:szCs w:val="20"/>
              </w:rPr>
              <w:t>目录</w:t>
            </w:r>
          </w:p>
        </w:tc>
        <w:tc>
          <w:tcPr>
            <w:tcW w:w="1907" w:type="pct"/>
          </w:tcPr>
          <w:p w:rsidR="005A5DA5" w:rsidRDefault="00C915D1">
            <w:pPr>
              <w:jc w:val="center"/>
              <w:rPr>
                <w:kern w:val="0"/>
                <w:sz w:val="20"/>
                <w:szCs w:val="20"/>
              </w:rPr>
            </w:pPr>
            <w:r>
              <w:rPr>
                <w:rFonts w:hint="eastAsia"/>
                <w:kern w:val="0"/>
                <w:sz w:val="20"/>
                <w:szCs w:val="20"/>
              </w:rPr>
              <w:t>招标商务条款</w:t>
            </w:r>
          </w:p>
        </w:tc>
        <w:tc>
          <w:tcPr>
            <w:tcW w:w="1675" w:type="pct"/>
          </w:tcPr>
          <w:p w:rsidR="005A5DA5" w:rsidRDefault="00C915D1">
            <w:pPr>
              <w:jc w:val="center"/>
              <w:rPr>
                <w:kern w:val="0"/>
                <w:sz w:val="20"/>
                <w:szCs w:val="20"/>
              </w:rPr>
            </w:pPr>
            <w:r>
              <w:rPr>
                <w:rFonts w:hint="eastAsia"/>
                <w:kern w:val="0"/>
                <w:sz w:val="20"/>
                <w:szCs w:val="20"/>
              </w:rPr>
              <w:t>投标商务条款</w:t>
            </w:r>
          </w:p>
        </w:tc>
        <w:tc>
          <w:tcPr>
            <w:tcW w:w="379" w:type="pct"/>
          </w:tcPr>
          <w:p w:rsidR="005A5DA5" w:rsidRDefault="00C915D1">
            <w:pPr>
              <w:jc w:val="center"/>
              <w:rPr>
                <w:kern w:val="0"/>
                <w:sz w:val="20"/>
                <w:szCs w:val="20"/>
              </w:rPr>
            </w:pPr>
            <w:r>
              <w:rPr>
                <w:rFonts w:hint="eastAsia"/>
                <w:kern w:val="0"/>
                <w:sz w:val="20"/>
                <w:szCs w:val="20"/>
              </w:rPr>
              <w:t>偏离情况</w:t>
            </w:r>
          </w:p>
        </w:tc>
        <w:tc>
          <w:tcPr>
            <w:tcW w:w="359" w:type="pct"/>
          </w:tcPr>
          <w:p w:rsidR="005A5DA5" w:rsidRDefault="00C915D1">
            <w:pPr>
              <w:jc w:val="center"/>
              <w:rPr>
                <w:kern w:val="0"/>
                <w:sz w:val="20"/>
                <w:szCs w:val="20"/>
              </w:rPr>
            </w:pPr>
            <w:r>
              <w:rPr>
                <w:rFonts w:hint="eastAsia"/>
                <w:kern w:val="0"/>
                <w:sz w:val="20"/>
                <w:szCs w:val="20"/>
              </w:rPr>
              <w:t>备注</w:t>
            </w:r>
          </w:p>
        </w:tc>
      </w:tr>
      <w:tr w:rsidR="005A5DA5">
        <w:trPr>
          <w:trHeight w:val="739"/>
        </w:trPr>
        <w:tc>
          <w:tcPr>
            <w:tcW w:w="301" w:type="pct"/>
          </w:tcPr>
          <w:p w:rsidR="005A5DA5" w:rsidRDefault="00C915D1">
            <w:pPr>
              <w:jc w:val="center"/>
              <w:rPr>
                <w:kern w:val="0"/>
                <w:sz w:val="20"/>
                <w:szCs w:val="20"/>
              </w:rPr>
            </w:pPr>
            <w:r>
              <w:rPr>
                <w:rFonts w:hint="eastAsia"/>
                <w:kern w:val="0"/>
                <w:sz w:val="20"/>
                <w:szCs w:val="20"/>
              </w:rPr>
              <w:t>1</w:t>
            </w:r>
          </w:p>
        </w:tc>
        <w:tc>
          <w:tcPr>
            <w:tcW w:w="377" w:type="pct"/>
          </w:tcPr>
          <w:p w:rsidR="005A5DA5" w:rsidRDefault="00C915D1">
            <w:pPr>
              <w:rPr>
                <w:kern w:val="0"/>
                <w:sz w:val="20"/>
                <w:szCs w:val="20"/>
              </w:rPr>
            </w:pPr>
            <w:r>
              <w:rPr>
                <w:rFonts w:hint="eastAsia"/>
                <w:kern w:val="0"/>
                <w:sz w:val="20"/>
                <w:szCs w:val="20"/>
              </w:rPr>
              <w:t>服务期</w:t>
            </w:r>
          </w:p>
        </w:tc>
        <w:tc>
          <w:tcPr>
            <w:tcW w:w="1907" w:type="pct"/>
          </w:tcPr>
          <w:p w:rsidR="005A5DA5" w:rsidRDefault="00A62B9B">
            <w:pPr>
              <w:rPr>
                <w:rFonts w:asciiTheme="minorEastAsia" w:eastAsiaTheme="minorEastAsia" w:hAnsiTheme="minorEastAsia" w:cs="仿宋"/>
                <w:kern w:val="0"/>
                <w:szCs w:val="21"/>
              </w:rPr>
            </w:pPr>
            <w:r w:rsidRPr="00A62B9B">
              <w:rPr>
                <w:rFonts w:asciiTheme="minorEastAsia" w:eastAsiaTheme="minorEastAsia" w:hAnsiTheme="minorEastAsia" w:cs="仿宋" w:hint="eastAsia"/>
                <w:kern w:val="0"/>
                <w:szCs w:val="21"/>
              </w:rPr>
              <w:t>自合同签订之日起，至中山大学附属第七医院2023年研究生毕业典礼举行日期的3天前完成所有服务。毕业典礼暂定于2023年6月20日-30日之间的一个自然日内举行。</w:t>
            </w:r>
          </w:p>
        </w:tc>
        <w:tc>
          <w:tcPr>
            <w:tcW w:w="1675" w:type="pct"/>
          </w:tcPr>
          <w:p w:rsidR="005A5DA5" w:rsidRDefault="005A5DA5">
            <w:pPr>
              <w:rPr>
                <w:kern w:val="0"/>
                <w:sz w:val="20"/>
                <w:szCs w:val="20"/>
              </w:rPr>
            </w:pPr>
          </w:p>
        </w:tc>
        <w:tc>
          <w:tcPr>
            <w:tcW w:w="379" w:type="pct"/>
          </w:tcPr>
          <w:p w:rsidR="005A5DA5" w:rsidRDefault="005A5DA5">
            <w:pPr>
              <w:rPr>
                <w:kern w:val="0"/>
                <w:sz w:val="20"/>
                <w:szCs w:val="20"/>
              </w:rPr>
            </w:pPr>
          </w:p>
        </w:tc>
        <w:tc>
          <w:tcPr>
            <w:tcW w:w="359" w:type="pct"/>
          </w:tcPr>
          <w:p w:rsidR="005A5DA5" w:rsidRDefault="005A5DA5">
            <w:pPr>
              <w:rPr>
                <w:kern w:val="0"/>
                <w:sz w:val="20"/>
                <w:szCs w:val="20"/>
              </w:rPr>
            </w:pPr>
          </w:p>
        </w:tc>
      </w:tr>
      <w:tr w:rsidR="005A5DA5">
        <w:trPr>
          <w:trHeight w:val="739"/>
        </w:trPr>
        <w:tc>
          <w:tcPr>
            <w:tcW w:w="301" w:type="pct"/>
          </w:tcPr>
          <w:p w:rsidR="005A5DA5" w:rsidRPr="00B84B66" w:rsidRDefault="00C915D1">
            <w:pPr>
              <w:jc w:val="center"/>
              <w:rPr>
                <w:rFonts w:asciiTheme="minorEastAsia" w:eastAsiaTheme="minorEastAsia" w:hAnsiTheme="minorEastAsia" w:cs="仿宋"/>
                <w:kern w:val="0"/>
                <w:szCs w:val="21"/>
              </w:rPr>
            </w:pPr>
            <w:r w:rsidRPr="00B84B66">
              <w:rPr>
                <w:rFonts w:asciiTheme="minorEastAsia" w:eastAsiaTheme="minorEastAsia" w:hAnsiTheme="minorEastAsia" w:cs="仿宋" w:hint="eastAsia"/>
                <w:kern w:val="0"/>
                <w:szCs w:val="21"/>
              </w:rPr>
              <w:t>2</w:t>
            </w:r>
          </w:p>
        </w:tc>
        <w:tc>
          <w:tcPr>
            <w:tcW w:w="377" w:type="pct"/>
          </w:tcPr>
          <w:p w:rsidR="005A5DA5" w:rsidRPr="00B84B66" w:rsidRDefault="00C915D1">
            <w:pPr>
              <w:rPr>
                <w:rFonts w:asciiTheme="minorEastAsia" w:eastAsiaTheme="minorEastAsia" w:hAnsiTheme="minorEastAsia" w:cs="仿宋"/>
                <w:kern w:val="0"/>
                <w:szCs w:val="21"/>
              </w:rPr>
            </w:pPr>
            <w:r w:rsidRPr="00B84B66">
              <w:rPr>
                <w:rFonts w:hint="eastAsia"/>
                <w:kern w:val="0"/>
                <w:sz w:val="20"/>
                <w:szCs w:val="20"/>
              </w:rPr>
              <w:t>服务要求</w:t>
            </w:r>
          </w:p>
        </w:tc>
        <w:tc>
          <w:tcPr>
            <w:tcW w:w="1907" w:type="pct"/>
          </w:tcPr>
          <w:p w:rsidR="00A62B9B" w:rsidRPr="00A62B9B" w:rsidRDefault="00A62B9B" w:rsidP="00A62B9B">
            <w:pPr>
              <w:rPr>
                <w:rFonts w:asciiTheme="minorEastAsia" w:eastAsiaTheme="minorEastAsia" w:hAnsiTheme="minorEastAsia" w:cs="仿宋"/>
                <w:kern w:val="0"/>
                <w:szCs w:val="21"/>
              </w:rPr>
            </w:pPr>
            <w:r w:rsidRPr="00A62B9B">
              <w:rPr>
                <w:rFonts w:asciiTheme="minorEastAsia" w:eastAsiaTheme="minorEastAsia" w:hAnsiTheme="minorEastAsia" w:cs="仿宋" w:hint="eastAsia"/>
                <w:kern w:val="0"/>
                <w:szCs w:val="21"/>
              </w:rPr>
              <w:t>1、设计与制作完整，具备一定的传播性和创意性，符合采购人的要求。</w:t>
            </w:r>
          </w:p>
          <w:p w:rsidR="00A62B9B" w:rsidRPr="00A62B9B" w:rsidRDefault="00A62B9B" w:rsidP="00A62B9B">
            <w:pPr>
              <w:rPr>
                <w:rFonts w:asciiTheme="minorEastAsia" w:eastAsiaTheme="minorEastAsia" w:hAnsiTheme="minorEastAsia" w:cs="仿宋"/>
                <w:kern w:val="0"/>
                <w:szCs w:val="21"/>
              </w:rPr>
            </w:pPr>
            <w:r w:rsidRPr="00A62B9B">
              <w:rPr>
                <w:rFonts w:asciiTheme="minorEastAsia" w:eastAsiaTheme="minorEastAsia" w:hAnsiTheme="minorEastAsia" w:cs="仿宋" w:hint="eastAsia"/>
                <w:kern w:val="0"/>
                <w:szCs w:val="21"/>
              </w:rPr>
              <w:t>2、设计与排版沟通流程通畅，成品中没有产生重大失误。</w:t>
            </w:r>
          </w:p>
          <w:p w:rsidR="005A5DA5" w:rsidRDefault="00A62B9B" w:rsidP="00A62B9B">
            <w:pPr>
              <w:rPr>
                <w:rFonts w:asciiTheme="minorEastAsia" w:eastAsiaTheme="minorEastAsia" w:hAnsiTheme="minorEastAsia" w:cs="仿宋"/>
                <w:kern w:val="0"/>
                <w:szCs w:val="21"/>
              </w:rPr>
            </w:pPr>
            <w:r w:rsidRPr="00A62B9B">
              <w:rPr>
                <w:rFonts w:asciiTheme="minorEastAsia" w:eastAsiaTheme="minorEastAsia" w:hAnsiTheme="minorEastAsia" w:cs="仿宋" w:hint="eastAsia"/>
                <w:kern w:val="0"/>
                <w:szCs w:val="21"/>
              </w:rPr>
              <w:t>3、设计中所运用的</w:t>
            </w:r>
            <w:proofErr w:type="gramStart"/>
            <w:r w:rsidRPr="00A62B9B">
              <w:rPr>
                <w:rFonts w:asciiTheme="minorEastAsia" w:eastAsiaTheme="minorEastAsia" w:hAnsiTheme="minorEastAsia" w:cs="仿宋" w:hint="eastAsia"/>
                <w:kern w:val="0"/>
                <w:szCs w:val="21"/>
              </w:rPr>
              <w:t>的</w:t>
            </w:r>
            <w:proofErr w:type="gramEnd"/>
            <w:r w:rsidRPr="00A62B9B">
              <w:rPr>
                <w:rFonts w:asciiTheme="minorEastAsia" w:eastAsiaTheme="minorEastAsia" w:hAnsiTheme="minorEastAsia" w:cs="仿宋" w:hint="eastAsia"/>
                <w:kern w:val="0"/>
                <w:szCs w:val="21"/>
              </w:rPr>
              <w:t>内容（包括文字、图片、符号等）知识版权清晰，毫无侵权、越轨、违法违规行为。</w:t>
            </w:r>
          </w:p>
          <w:p w:rsidR="00B84B66" w:rsidRDefault="00B84B66" w:rsidP="00A62B9B">
            <w:pP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4、</w:t>
            </w:r>
            <w:r w:rsidRPr="00B84B66">
              <w:rPr>
                <w:rFonts w:asciiTheme="minorEastAsia" w:eastAsiaTheme="minorEastAsia" w:hAnsiTheme="minorEastAsia" w:cs="仿宋" w:hint="eastAsia"/>
                <w:kern w:val="0"/>
                <w:szCs w:val="21"/>
              </w:rPr>
              <w:t>所有设计与排版需经采购人确认同意后方可制作，如采购人有不满意或者需要修改的地方需修改至采购人满意为止。</w:t>
            </w:r>
          </w:p>
        </w:tc>
        <w:tc>
          <w:tcPr>
            <w:tcW w:w="1675" w:type="pct"/>
          </w:tcPr>
          <w:p w:rsidR="005A5DA5" w:rsidRDefault="005A5DA5">
            <w:pPr>
              <w:rPr>
                <w:kern w:val="0"/>
                <w:sz w:val="20"/>
                <w:szCs w:val="20"/>
              </w:rPr>
            </w:pPr>
          </w:p>
        </w:tc>
        <w:tc>
          <w:tcPr>
            <w:tcW w:w="379" w:type="pct"/>
          </w:tcPr>
          <w:p w:rsidR="005A5DA5" w:rsidRDefault="005A5DA5">
            <w:pPr>
              <w:rPr>
                <w:kern w:val="0"/>
                <w:sz w:val="20"/>
                <w:szCs w:val="20"/>
              </w:rPr>
            </w:pPr>
          </w:p>
        </w:tc>
        <w:tc>
          <w:tcPr>
            <w:tcW w:w="359" w:type="pct"/>
          </w:tcPr>
          <w:p w:rsidR="005A5DA5" w:rsidRDefault="005A5DA5">
            <w:pPr>
              <w:rPr>
                <w:kern w:val="0"/>
                <w:sz w:val="20"/>
                <w:szCs w:val="20"/>
              </w:rPr>
            </w:pPr>
          </w:p>
        </w:tc>
      </w:tr>
      <w:tr w:rsidR="005A5DA5">
        <w:trPr>
          <w:trHeight w:val="739"/>
        </w:trPr>
        <w:tc>
          <w:tcPr>
            <w:tcW w:w="301" w:type="pct"/>
          </w:tcPr>
          <w:p w:rsidR="005A5DA5" w:rsidRDefault="00C915D1">
            <w:pPr>
              <w:jc w:val="distribute"/>
              <w:rPr>
                <w:kern w:val="0"/>
                <w:sz w:val="20"/>
                <w:szCs w:val="20"/>
              </w:rPr>
            </w:pPr>
            <w:r>
              <w:rPr>
                <w:rFonts w:hint="eastAsia"/>
                <w:kern w:val="0"/>
                <w:sz w:val="20"/>
                <w:szCs w:val="20"/>
              </w:rPr>
              <w:t>3</w:t>
            </w:r>
          </w:p>
        </w:tc>
        <w:tc>
          <w:tcPr>
            <w:tcW w:w="377" w:type="pct"/>
          </w:tcPr>
          <w:p w:rsidR="005A5DA5" w:rsidRDefault="00C915D1">
            <w:pPr>
              <w:rPr>
                <w:kern w:val="0"/>
                <w:sz w:val="20"/>
                <w:szCs w:val="20"/>
              </w:rPr>
            </w:pPr>
            <w:r>
              <w:rPr>
                <w:rFonts w:hint="eastAsia"/>
                <w:kern w:val="0"/>
                <w:sz w:val="20"/>
                <w:szCs w:val="20"/>
              </w:rPr>
              <w:t>服务地点</w:t>
            </w:r>
          </w:p>
        </w:tc>
        <w:tc>
          <w:tcPr>
            <w:tcW w:w="1907" w:type="pct"/>
          </w:tcPr>
          <w:p w:rsidR="005A5DA5" w:rsidRDefault="00C915D1">
            <w:pP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深圳市光明区新湖街道</w:t>
            </w:r>
            <w:proofErr w:type="gramStart"/>
            <w:r>
              <w:rPr>
                <w:rFonts w:asciiTheme="minorEastAsia" w:eastAsiaTheme="minorEastAsia" w:hAnsiTheme="minorEastAsia" w:cs="仿宋" w:hint="eastAsia"/>
                <w:kern w:val="0"/>
                <w:szCs w:val="21"/>
              </w:rPr>
              <w:t>圳</w:t>
            </w:r>
            <w:proofErr w:type="gramEnd"/>
            <w:r>
              <w:rPr>
                <w:rFonts w:asciiTheme="minorEastAsia" w:eastAsiaTheme="minorEastAsia" w:hAnsiTheme="minorEastAsia" w:cs="仿宋" w:hint="eastAsia"/>
                <w:kern w:val="0"/>
                <w:szCs w:val="21"/>
              </w:rPr>
              <w:t>园路628号中山大学附属第七医院</w:t>
            </w:r>
          </w:p>
        </w:tc>
        <w:tc>
          <w:tcPr>
            <w:tcW w:w="1675" w:type="pct"/>
          </w:tcPr>
          <w:p w:rsidR="005A5DA5" w:rsidRDefault="005A5DA5">
            <w:pPr>
              <w:rPr>
                <w:kern w:val="0"/>
                <w:sz w:val="20"/>
                <w:szCs w:val="20"/>
              </w:rPr>
            </w:pPr>
          </w:p>
        </w:tc>
        <w:tc>
          <w:tcPr>
            <w:tcW w:w="379" w:type="pct"/>
          </w:tcPr>
          <w:p w:rsidR="005A5DA5" w:rsidRDefault="005A5DA5">
            <w:pPr>
              <w:rPr>
                <w:kern w:val="0"/>
                <w:sz w:val="20"/>
                <w:szCs w:val="20"/>
              </w:rPr>
            </w:pPr>
          </w:p>
        </w:tc>
        <w:tc>
          <w:tcPr>
            <w:tcW w:w="359" w:type="pct"/>
          </w:tcPr>
          <w:p w:rsidR="005A5DA5" w:rsidRDefault="005A5DA5">
            <w:pPr>
              <w:rPr>
                <w:kern w:val="0"/>
                <w:sz w:val="20"/>
                <w:szCs w:val="20"/>
              </w:rPr>
            </w:pPr>
          </w:p>
        </w:tc>
      </w:tr>
      <w:tr w:rsidR="005A5DA5">
        <w:trPr>
          <w:trHeight w:val="371"/>
        </w:trPr>
        <w:tc>
          <w:tcPr>
            <w:tcW w:w="301" w:type="pct"/>
          </w:tcPr>
          <w:p w:rsidR="005A5DA5" w:rsidRDefault="00C915D1">
            <w:pPr>
              <w:jc w:val="distribute"/>
              <w:rPr>
                <w:kern w:val="0"/>
                <w:sz w:val="20"/>
                <w:szCs w:val="20"/>
              </w:rPr>
            </w:pPr>
            <w:r>
              <w:rPr>
                <w:kern w:val="0"/>
                <w:sz w:val="20"/>
                <w:szCs w:val="20"/>
              </w:rPr>
              <w:t>4</w:t>
            </w:r>
          </w:p>
        </w:tc>
        <w:tc>
          <w:tcPr>
            <w:tcW w:w="377" w:type="pct"/>
          </w:tcPr>
          <w:p w:rsidR="005A5DA5" w:rsidRDefault="00C915D1">
            <w:pPr>
              <w:rPr>
                <w:kern w:val="0"/>
                <w:sz w:val="20"/>
                <w:szCs w:val="20"/>
              </w:rPr>
            </w:pPr>
            <w:r>
              <w:rPr>
                <w:rFonts w:hint="eastAsia"/>
                <w:kern w:val="0"/>
                <w:sz w:val="20"/>
                <w:szCs w:val="20"/>
              </w:rPr>
              <w:t>报价要求</w:t>
            </w:r>
          </w:p>
        </w:tc>
        <w:tc>
          <w:tcPr>
            <w:tcW w:w="1907" w:type="pct"/>
          </w:tcPr>
          <w:p w:rsidR="005A5DA5" w:rsidRDefault="00C915D1">
            <w:pP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Theme="minorEastAsia" w:eastAsiaTheme="minorEastAsia" w:hAnsiTheme="minorEastAsia" w:cs="仿宋" w:hint="eastAsia"/>
                <w:kern w:val="0"/>
                <w:szCs w:val="21"/>
              </w:rPr>
              <w:t>签定</w:t>
            </w:r>
            <w:proofErr w:type="gramEnd"/>
            <w:r>
              <w:rPr>
                <w:rFonts w:asciiTheme="minorEastAsia" w:eastAsiaTheme="minorEastAsia" w:hAnsiTheme="minorEastAsia" w:cs="仿宋" w:hint="eastAsia"/>
                <w:kern w:val="0"/>
                <w:szCs w:val="21"/>
              </w:rPr>
              <w:t>的合同金额，合同期限内不做调整。</w:t>
            </w:r>
          </w:p>
          <w:p w:rsidR="005A5DA5" w:rsidRDefault="00C915D1">
            <w:pP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2.投标供应商应当根据本企业的成本自行决定报价，但不得以低于其企业成本的报价投标。</w:t>
            </w:r>
          </w:p>
          <w:p w:rsidR="005A5DA5" w:rsidRDefault="00C915D1">
            <w:pP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3.投标供应商的报价不得超过项目预算金额。</w:t>
            </w:r>
          </w:p>
          <w:p w:rsidR="005A5DA5" w:rsidRDefault="00C915D1">
            <w:pP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4.投标供应商的报价，应当是本项目采购范围和采购文件及合同条款上所列的各项内容中所述的全部，不得以任何理由予以重复。</w:t>
            </w:r>
          </w:p>
          <w:p w:rsidR="005A5DA5" w:rsidRDefault="00C915D1">
            <w:pP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5.除非采购人通过修改采购文件予以更正，否则，投标供应商应</w:t>
            </w:r>
            <w:r>
              <w:rPr>
                <w:rFonts w:asciiTheme="minorEastAsia" w:eastAsiaTheme="minorEastAsia" w:hAnsiTheme="minorEastAsia" w:cs="仿宋" w:hint="eastAsia"/>
                <w:kern w:val="0"/>
                <w:szCs w:val="21"/>
              </w:rPr>
              <w:lastRenderedPageBreak/>
              <w:t>毫无例外地按响应文件所列的清单</w:t>
            </w:r>
            <w:proofErr w:type="gramStart"/>
            <w:r>
              <w:rPr>
                <w:rFonts w:asciiTheme="minorEastAsia" w:eastAsiaTheme="minorEastAsia" w:hAnsiTheme="minorEastAsia" w:cs="仿宋" w:hint="eastAsia"/>
                <w:kern w:val="0"/>
                <w:szCs w:val="21"/>
              </w:rPr>
              <w:t>中项目</w:t>
            </w:r>
            <w:proofErr w:type="gramEnd"/>
            <w:r>
              <w:rPr>
                <w:rFonts w:asciiTheme="minorEastAsia" w:eastAsiaTheme="minorEastAsia" w:hAnsiTheme="minorEastAsia" w:cs="仿宋" w:hint="eastAsia"/>
                <w:kern w:val="0"/>
                <w:szCs w:val="21"/>
              </w:rPr>
              <w:t>和数量填报综合单价和合价。投标供应商未</w:t>
            </w:r>
            <w:proofErr w:type="gramStart"/>
            <w:r>
              <w:rPr>
                <w:rFonts w:asciiTheme="minorEastAsia" w:eastAsiaTheme="minorEastAsia" w:hAnsiTheme="minorEastAsia" w:cs="仿宋" w:hint="eastAsia"/>
                <w:kern w:val="0"/>
                <w:szCs w:val="21"/>
              </w:rPr>
              <w:t>填综合</w:t>
            </w:r>
            <w:proofErr w:type="gramEnd"/>
            <w:r>
              <w:rPr>
                <w:rFonts w:asciiTheme="minorEastAsia" w:eastAsiaTheme="minorEastAsia" w:hAnsiTheme="minorEastAsia" w:cs="仿宋" w:hint="eastAsia"/>
                <w:kern w:val="0"/>
                <w:szCs w:val="21"/>
              </w:rPr>
              <w:t>单价或合价的项目，在实施后，将不得以支付，并视作该项费用已包括在其它有价款的综合单价或合价内。</w:t>
            </w:r>
          </w:p>
          <w:p w:rsidR="005A5DA5" w:rsidRDefault="00C915D1">
            <w:pP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6.投标供应商应先到项目地点踏勘以充分了解项目的位置、情况、道路及任何其它足以影响投标报价的情况，任何因忽视或误解项目情况而导致的索赔或服务期限延长申请将不获批准。</w:t>
            </w:r>
          </w:p>
          <w:p w:rsidR="005A5DA5" w:rsidRDefault="00C915D1">
            <w:pPr>
              <w:rPr>
                <w:kern w:val="0"/>
                <w:szCs w:val="21"/>
              </w:rPr>
            </w:pPr>
            <w:r>
              <w:rPr>
                <w:rFonts w:asciiTheme="minorEastAsia" w:eastAsiaTheme="minorEastAsia" w:hAnsiTheme="minorEastAsia" w:cs="仿宋" w:hint="eastAsia"/>
                <w:kern w:val="0"/>
                <w:szCs w:val="21"/>
              </w:rPr>
              <w:t>7.投标供应商不得期望通过索赔等方式获取补偿，否则，除可能遭到拒绝外，还可能将被作为不良行为记录在案，并可能影响其以后参加政府采购的项目投标。各投标供应商在报价时，应充分考虑报价的风险。</w:t>
            </w:r>
          </w:p>
        </w:tc>
        <w:tc>
          <w:tcPr>
            <w:tcW w:w="1675" w:type="pct"/>
          </w:tcPr>
          <w:p w:rsidR="005A5DA5" w:rsidRDefault="005A5DA5">
            <w:pPr>
              <w:rPr>
                <w:kern w:val="0"/>
                <w:sz w:val="20"/>
                <w:szCs w:val="20"/>
              </w:rPr>
            </w:pPr>
          </w:p>
        </w:tc>
        <w:tc>
          <w:tcPr>
            <w:tcW w:w="379" w:type="pct"/>
          </w:tcPr>
          <w:p w:rsidR="005A5DA5" w:rsidRDefault="005A5DA5">
            <w:pPr>
              <w:rPr>
                <w:kern w:val="0"/>
                <w:sz w:val="20"/>
                <w:szCs w:val="20"/>
              </w:rPr>
            </w:pPr>
          </w:p>
        </w:tc>
        <w:tc>
          <w:tcPr>
            <w:tcW w:w="359" w:type="pct"/>
          </w:tcPr>
          <w:p w:rsidR="005A5DA5" w:rsidRDefault="005A5DA5">
            <w:pPr>
              <w:rPr>
                <w:kern w:val="0"/>
                <w:sz w:val="20"/>
                <w:szCs w:val="20"/>
              </w:rPr>
            </w:pPr>
          </w:p>
        </w:tc>
      </w:tr>
      <w:tr w:rsidR="005A5DA5" w:rsidTr="00A62B9B">
        <w:trPr>
          <w:trHeight w:val="812"/>
        </w:trPr>
        <w:tc>
          <w:tcPr>
            <w:tcW w:w="301" w:type="pct"/>
          </w:tcPr>
          <w:p w:rsidR="005A5DA5" w:rsidRDefault="00C915D1">
            <w:pPr>
              <w:rPr>
                <w:kern w:val="0"/>
                <w:sz w:val="20"/>
                <w:szCs w:val="20"/>
              </w:rPr>
            </w:pPr>
            <w:r>
              <w:rPr>
                <w:rFonts w:hint="eastAsia"/>
                <w:kern w:val="0"/>
                <w:sz w:val="20"/>
                <w:szCs w:val="20"/>
              </w:rPr>
              <w:t>5</w:t>
            </w:r>
          </w:p>
        </w:tc>
        <w:tc>
          <w:tcPr>
            <w:tcW w:w="377" w:type="pct"/>
          </w:tcPr>
          <w:p w:rsidR="005A5DA5" w:rsidRDefault="00C915D1">
            <w:pPr>
              <w:rPr>
                <w:kern w:val="0"/>
                <w:sz w:val="20"/>
                <w:szCs w:val="20"/>
              </w:rPr>
            </w:pPr>
            <w:r>
              <w:rPr>
                <w:rFonts w:hint="eastAsia"/>
                <w:kern w:val="0"/>
                <w:sz w:val="20"/>
                <w:szCs w:val="20"/>
              </w:rPr>
              <w:t>付款方式</w:t>
            </w:r>
          </w:p>
        </w:tc>
        <w:tc>
          <w:tcPr>
            <w:tcW w:w="1907" w:type="pct"/>
          </w:tcPr>
          <w:p w:rsidR="005A5DA5" w:rsidRDefault="00A62B9B">
            <w:pPr>
              <w:rPr>
                <w:rFonts w:asciiTheme="minorEastAsia" w:eastAsiaTheme="minorEastAsia" w:hAnsiTheme="minorEastAsia" w:cs="仿宋"/>
                <w:kern w:val="0"/>
                <w:szCs w:val="21"/>
              </w:rPr>
            </w:pPr>
            <w:r w:rsidRPr="00A62B9B">
              <w:rPr>
                <w:rFonts w:asciiTheme="minorEastAsia" w:eastAsiaTheme="minorEastAsia" w:hAnsiTheme="minorEastAsia" w:cs="仿宋" w:hint="eastAsia"/>
                <w:kern w:val="0"/>
                <w:szCs w:val="21"/>
              </w:rPr>
              <w:t>中标人完成所有服务后，采购人一次性支付所有款项。</w:t>
            </w:r>
            <w:r w:rsidR="001D6E11" w:rsidRPr="001D6E11">
              <w:rPr>
                <w:rFonts w:asciiTheme="minorEastAsia" w:eastAsiaTheme="minorEastAsia" w:hAnsiTheme="minorEastAsia" w:cs="仿宋" w:hint="eastAsia"/>
                <w:kern w:val="0"/>
                <w:szCs w:val="21"/>
              </w:rPr>
              <w:t>项目最终结算价款以实际完成的服务内容为准，最终结算价款不可高于合同价款。</w:t>
            </w:r>
            <w:bookmarkStart w:id="0" w:name="_GoBack"/>
            <w:bookmarkEnd w:id="0"/>
          </w:p>
        </w:tc>
        <w:tc>
          <w:tcPr>
            <w:tcW w:w="1675" w:type="pct"/>
          </w:tcPr>
          <w:p w:rsidR="005A5DA5" w:rsidRDefault="005A5DA5">
            <w:pPr>
              <w:rPr>
                <w:kern w:val="0"/>
                <w:sz w:val="20"/>
                <w:szCs w:val="20"/>
              </w:rPr>
            </w:pPr>
          </w:p>
        </w:tc>
        <w:tc>
          <w:tcPr>
            <w:tcW w:w="379" w:type="pct"/>
          </w:tcPr>
          <w:p w:rsidR="005A5DA5" w:rsidRDefault="005A5DA5">
            <w:pPr>
              <w:rPr>
                <w:kern w:val="0"/>
                <w:sz w:val="20"/>
                <w:szCs w:val="20"/>
              </w:rPr>
            </w:pPr>
          </w:p>
        </w:tc>
        <w:tc>
          <w:tcPr>
            <w:tcW w:w="359" w:type="pct"/>
          </w:tcPr>
          <w:p w:rsidR="005A5DA5" w:rsidRDefault="005A5DA5">
            <w:pPr>
              <w:rPr>
                <w:kern w:val="0"/>
                <w:sz w:val="20"/>
                <w:szCs w:val="20"/>
              </w:rPr>
            </w:pPr>
          </w:p>
        </w:tc>
      </w:tr>
      <w:tr w:rsidR="005A5DA5">
        <w:trPr>
          <w:trHeight w:val="630"/>
        </w:trPr>
        <w:tc>
          <w:tcPr>
            <w:tcW w:w="301" w:type="pct"/>
          </w:tcPr>
          <w:p w:rsidR="005A5DA5" w:rsidRDefault="00C915D1">
            <w:pPr>
              <w:rPr>
                <w:kern w:val="0"/>
                <w:sz w:val="20"/>
                <w:szCs w:val="20"/>
              </w:rPr>
            </w:pPr>
            <w:r>
              <w:rPr>
                <w:rFonts w:hint="eastAsia"/>
                <w:kern w:val="0"/>
                <w:sz w:val="20"/>
                <w:szCs w:val="20"/>
              </w:rPr>
              <w:t>6</w:t>
            </w:r>
          </w:p>
        </w:tc>
        <w:tc>
          <w:tcPr>
            <w:tcW w:w="377" w:type="pct"/>
          </w:tcPr>
          <w:p w:rsidR="005A5DA5" w:rsidRDefault="00C915D1">
            <w:pPr>
              <w:rPr>
                <w:kern w:val="0"/>
                <w:sz w:val="20"/>
                <w:szCs w:val="20"/>
              </w:rPr>
            </w:pPr>
            <w:r>
              <w:rPr>
                <w:rFonts w:hint="eastAsia"/>
                <w:kern w:val="0"/>
                <w:sz w:val="20"/>
                <w:szCs w:val="20"/>
              </w:rPr>
              <w:t>违约责任</w:t>
            </w:r>
          </w:p>
        </w:tc>
        <w:tc>
          <w:tcPr>
            <w:tcW w:w="1907" w:type="pct"/>
          </w:tcPr>
          <w:p w:rsidR="005A5DA5" w:rsidRDefault="00C915D1">
            <w:pP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若中标供应商无法在约定时间内完成合同与招投标文件的商务需求，或超出答复时间仍不履行的，视为中标供应商违约；中标供应商应当向采购人承担合同总价款30%违约赔偿责任，且采购人有权解除合同。若中标供应商违约赔偿款不足以弥补采购人损失的，采购人有权要求中标供应商补足损失。</w:t>
            </w:r>
          </w:p>
        </w:tc>
        <w:tc>
          <w:tcPr>
            <w:tcW w:w="1675" w:type="pct"/>
          </w:tcPr>
          <w:p w:rsidR="005A5DA5" w:rsidRDefault="005A5DA5">
            <w:pPr>
              <w:rPr>
                <w:kern w:val="0"/>
                <w:sz w:val="20"/>
                <w:szCs w:val="20"/>
              </w:rPr>
            </w:pPr>
          </w:p>
        </w:tc>
        <w:tc>
          <w:tcPr>
            <w:tcW w:w="379" w:type="pct"/>
          </w:tcPr>
          <w:p w:rsidR="005A5DA5" w:rsidRDefault="005A5DA5">
            <w:pPr>
              <w:rPr>
                <w:kern w:val="0"/>
                <w:sz w:val="20"/>
                <w:szCs w:val="20"/>
              </w:rPr>
            </w:pPr>
          </w:p>
        </w:tc>
        <w:tc>
          <w:tcPr>
            <w:tcW w:w="359" w:type="pct"/>
          </w:tcPr>
          <w:p w:rsidR="005A5DA5" w:rsidRDefault="005A5DA5">
            <w:pPr>
              <w:rPr>
                <w:kern w:val="0"/>
                <w:sz w:val="20"/>
                <w:szCs w:val="20"/>
              </w:rPr>
            </w:pPr>
          </w:p>
        </w:tc>
      </w:tr>
    </w:tbl>
    <w:p w:rsidR="005A5DA5" w:rsidRDefault="00C915D1">
      <w:pPr>
        <w:spacing w:line="360" w:lineRule="auto"/>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注：</w:t>
      </w:r>
    </w:p>
    <w:p w:rsidR="005A5DA5" w:rsidRDefault="00C915D1">
      <w:pPr>
        <w:spacing w:line="360" w:lineRule="auto"/>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1、偏离情况一</w:t>
      </w:r>
      <w:proofErr w:type="gramStart"/>
      <w:r>
        <w:rPr>
          <w:rFonts w:asciiTheme="minorEastAsia" w:eastAsiaTheme="minorEastAsia" w:hAnsiTheme="minorEastAsia" w:cs="仿宋" w:hint="eastAsia"/>
          <w:bCs/>
          <w:sz w:val="24"/>
          <w:szCs w:val="24"/>
        </w:rPr>
        <w:t>栏请填入</w:t>
      </w:r>
      <w:proofErr w:type="gramEnd"/>
      <w:r>
        <w:rPr>
          <w:rFonts w:asciiTheme="minorEastAsia" w:eastAsiaTheme="minorEastAsia" w:hAnsiTheme="minorEastAsia" w:cs="仿宋" w:hint="eastAsia"/>
          <w:bCs/>
          <w:sz w:val="24"/>
          <w:szCs w:val="24"/>
        </w:rPr>
        <w:t>“正偏离/无偏离/负偏离”。</w:t>
      </w:r>
    </w:p>
    <w:p w:rsidR="005A5DA5" w:rsidRDefault="005A5DA5"/>
    <w:sectPr w:rsidR="005A5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0FA" w:rsidRDefault="007820FA" w:rsidP="00A62B9B">
      <w:r>
        <w:separator/>
      </w:r>
    </w:p>
  </w:endnote>
  <w:endnote w:type="continuationSeparator" w:id="0">
    <w:p w:rsidR="007820FA" w:rsidRDefault="007820FA" w:rsidP="00A6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0FA" w:rsidRDefault="007820FA" w:rsidP="00A62B9B">
      <w:r>
        <w:separator/>
      </w:r>
    </w:p>
  </w:footnote>
  <w:footnote w:type="continuationSeparator" w:id="0">
    <w:p w:rsidR="007820FA" w:rsidRDefault="007820FA" w:rsidP="00A62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xNTA3ZTdhOWFhMjhjOWVhMzE1ZjU4ODhmMDA2ZTEifQ=="/>
  </w:docVars>
  <w:rsids>
    <w:rsidRoot w:val="00694056"/>
    <w:rsid w:val="000A57FF"/>
    <w:rsid w:val="001D6E11"/>
    <w:rsid w:val="00270708"/>
    <w:rsid w:val="00316D5E"/>
    <w:rsid w:val="00390D82"/>
    <w:rsid w:val="003A3331"/>
    <w:rsid w:val="00481D51"/>
    <w:rsid w:val="004A2289"/>
    <w:rsid w:val="004D770A"/>
    <w:rsid w:val="005A5DA5"/>
    <w:rsid w:val="00634E50"/>
    <w:rsid w:val="00694056"/>
    <w:rsid w:val="006F72F3"/>
    <w:rsid w:val="007820FA"/>
    <w:rsid w:val="00795368"/>
    <w:rsid w:val="00836DCC"/>
    <w:rsid w:val="0085622A"/>
    <w:rsid w:val="008C0BEF"/>
    <w:rsid w:val="009A1E78"/>
    <w:rsid w:val="009D2525"/>
    <w:rsid w:val="00A04F71"/>
    <w:rsid w:val="00A246EB"/>
    <w:rsid w:val="00A54F0D"/>
    <w:rsid w:val="00A62B9B"/>
    <w:rsid w:val="00B77CCE"/>
    <w:rsid w:val="00B84B66"/>
    <w:rsid w:val="00BA3D69"/>
    <w:rsid w:val="00C915D1"/>
    <w:rsid w:val="00C949ED"/>
    <w:rsid w:val="00D957BD"/>
    <w:rsid w:val="00E638EB"/>
    <w:rsid w:val="00EB18A0"/>
    <w:rsid w:val="00EC605D"/>
    <w:rsid w:val="00FE2C88"/>
    <w:rsid w:val="08871D2A"/>
    <w:rsid w:val="09AF2373"/>
    <w:rsid w:val="121A2353"/>
    <w:rsid w:val="240510B5"/>
    <w:rsid w:val="4FF1145F"/>
    <w:rsid w:val="5144296E"/>
    <w:rsid w:val="51AC406F"/>
    <w:rsid w:val="54564D1F"/>
    <w:rsid w:val="5673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014CB7-BCA0-4B23-B570-BC417A40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981</Characters>
  <Application>Microsoft Office Word</Application>
  <DocSecurity>0</DocSecurity>
  <Lines>8</Lines>
  <Paragraphs>2</Paragraphs>
  <ScaleCrop>false</ScaleCrop>
  <Company>中山大学</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Chilan</dc:creator>
  <cp:lastModifiedBy>Chris</cp:lastModifiedBy>
  <cp:revision>16</cp:revision>
  <dcterms:created xsi:type="dcterms:W3CDTF">2022-07-22T07:54:00Z</dcterms:created>
  <dcterms:modified xsi:type="dcterms:W3CDTF">2023-06-06T09:54:00Z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C58D9F7532984385BF6EA5D356CF6B9B_12</vt:lpwstr>
  </property>
</Properties>
</file>