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24"/>
          <w:szCs w:val="24"/>
        </w:rPr>
      </w:pPr>
      <w:r>
        <w:rPr>
          <w:rFonts w:hint="eastAsia"/>
          <w:sz w:val="24"/>
          <w:szCs w:val="24"/>
        </w:rPr>
        <w:t>附件三</w:t>
      </w:r>
      <w:r>
        <w:rPr>
          <w:sz w:val="24"/>
          <w:szCs w:val="24"/>
        </w:rPr>
        <w:t xml:space="preserve"> </w:t>
      </w:r>
      <w:r>
        <w:rPr>
          <w:rFonts w:hint="eastAsia"/>
          <w:sz w:val="24"/>
          <w:szCs w:val="24"/>
        </w:rPr>
        <w:t>商务条款偏离情况表</w:t>
      </w:r>
      <w:r>
        <w:rPr>
          <w:sz w:val="24"/>
          <w:szCs w:val="24"/>
        </w:rPr>
        <w:t xml:space="preserve"> (</w:t>
      </w:r>
      <w:r>
        <w:rPr>
          <w:rFonts w:hint="eastAsia"/>
          <w:sz w:val="24"/>
          <w:szCs w:val="24"/>
        </w:rPr>
        <w:t>所有条款为不可负偏离条款，否则废标</w:t>
      </w:r>
      <w:r>
        <w:rPr>
          <w:sz w:val="24"/>
          <w:szCs w:val="24"/>
        </w:rPr>
        <w:t>)</w:t>
      </w:r>
      <w:r>
        <w:rPr>
          <w:rFonts w:hint="eastAsia"/>
          <w:sz w:val="24"/>
          <w:szCs w:val="24"/>
        </w:rPr>
        <w:t>。</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6"/>
        <w:gridCol w:w="3492"/>
        <w:gridCol w:w="3204"/>
        <w:gridCol w:w="1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426" w:type="pct"/>
          </w:tcPr>
          <w:p>
            <w:pPr>
              <w:rPr>
                <w:kern w:val="0"/>
                <w:sz w:val="20"/>
                <w:szCs w:val="20"/>
              </w:rPr>
            </w:pPr>
            <w:r>
              <w:rPr>
                <w:rFonts w:hint="eastAsia"/>
                <w:kern w:val="0"/>
                <w:sz w:val="20"/>
                <w:szCs w:val="20"/>
              </w:rPr>
              <w:t>序号</w:t>
            </w:r>
          </w:p>
        </w:tc>
        <w:tc>
          <w:tcPr>
            <w:tcW w:w="2049" w:type="pct"/>
          </w:tcPr>
          <w:p>
            <w:pPr>
              <w:jc w:val="center"/>
              <w:rPr>
                <w:kern w:val="0"/>
                <w:sz w:val="20"/>
                <w:szCs w:val="20"/>
              </w:rPr>
            </w:pPr>
            <w:r>
              <w:rPr>
                <w:rFonts w:hint="eastAsia"/>
                <w:kern w:val="0"/>
                <w:sz w:val="20"/>
                <w:szCs w:val="20"/>
              </w:rPr>
              <w:t>招标商务条款</w:t>
            </w:r>
          </w:p>
        </w:tc>
        <w:tc>
          <w:tcPr>
            <w:tcW w:w="1880" w:type="pct"/>
          </w:tcPr>
          <w:p>
            <w:pPr>
              <w:jc w:val="center"/>
              <w:rPr>
                <w:kern w:val="0"/>
                <w:sz w:val="20"/>
                <w:szCs w:val="20"/>
              </w:rPr>
            </w:pPr>
            <w:r>
              <w:rPr>
                <w:rFonts w:hint="eastAsia"/>
                <w:kern w:val="0"/>
                <w:sz w:val="20"/>
                <w:szCs w:val="20"/>
              </w:rPr>
              <w:t>投标商务条款</w:t>
            </w:r>
          </w:p>
        </w:tc>
        <w:tc>
          <w:tcPr>
            <w:tcW w:w="645" w:type="pct"/>
          </w:tcPr>
          <w:p>
            <w:pPr>
              <w:rPr>
                <w:kern w:val="0"/>
                <w:sz w:val="20"/>
                <w:szCs w:val="20"/>
              </w:rPr>
            </w:pPr>
            <w:r>
              <w:rPr>
                <w:rFonts w:hint="eastAsia"/>
                <w:kern w:val="0"/>
                <w:sz w:val="20"/>
                <w:szCs w:val="20"/>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426" w:type="pct"/>
          </w:tcPr>
          <w:p>
            <w:pPr>
              <w:jc w:val="center"/>
              <w:rPr>
                <w:kern w:val="0"/>
                <w:sz w:val="20"/>
                <w:szCs w:val="20"/>
              </w:rPr>
            </w:pPr>
            <w:r>
              <w:rPr>
                <w:rFonts w:hint="eastAsia"/>
                <w:kern w:val="0"/>
                <w:sz w:val="20"/>
                <w:szCs w:val="20"/>
              </w:rPr>
              <w:t>1</w:t>
            </w:r>
          </w:p>
        </w:tc>
        <w:tc>
          <w:tcPr>
            <w:tcW w:w="2049" w:type="pct"/>
          </w:tcPr>
          <w:p>
            <w:pPr>
              <w:rPr>
                <w:kern w:val="0"/>
                <w:sz w:val="20"/>
                <w:szCs w:val="20"/>
              </w:rPr>
            </w:pPr>
            <w:r>
              <w:rPr>
                <w:rFonts w:hint="eastAsia"/>
                <w:kern w:val="0"/>
                <w:sz w:val="20"/>
                <w:szCs w:val="20"/>
              </w:rPr>
              <w:t>服务期：中标后一周内开工，工期为三周。</w:t>
            </w:r>
          </w:p>
        </w:tc>
        <w:tc>
          <w:tcPr>
            <w:tcW w:w="1880" w:type="pct"/>
          </w:tcPr>
          <w:p>
            <w:pPr>
              <w:rPr>
                <w:kern w:val="0"/>
                <w:sz w:val="20"/>
                <w:szCs w:val="20"/>
              </w:rPr>
            </w:pPr>
          </w:p>
        </w:tc>
        <w:tc>
          <w:tcPr>
            <w:tcW w:w="645" w:type="pct"/>
          </w:tcPr>
          <w:p>
            <w:pPr>
              <w:rPr>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426" w:type="pct"/>
          </w:tcPr>
          <w:p>
            <w:pPr>
              <w:jc w:val="center"/>
              <w:rPr>
                <w:kern w:val="0"/>
                <w:sz w:val="20"/>
                <w:szCs w:val="20"/>
              </w:rPr>
            </w:pPr>
            <w:r>
              <w:rPr>
                <w:rFonts w:hint="eastAsia"/>
                <w:kern w:val="0"/>
                <w:sz w:val="20"/>
                <w:szCs w:val="20"/>
              </w:rPr>
              <w:t>2</w:t>
            </w:r>
          </w:p>
        </w:tc>
        <w:tc>
          <w:tcPr>
            <w:tcW w:w="2049" w:type="pct"/>
          </w:tcPr>
          <w:p>
            <w:pPr>
              <w:spacing w:line="360" w:lineRule="auto"/>
              <w:rPr>
                <w:kern w:val="0"/>
                <w:sz w:val="20"/>
                <w:szCs w:val="20"/>
              </w:rPr>
            </w:pPr>
            <w:r>
              <w:rPr>
                <w:rFonts w:hint="eastAsia"/>
                <w:kern w:val="0"/>
                <w:sz w:val="20"/>
                <w:szCs w:val="20"/>
              </w:rPr>
              <w:t>服务地点：深圳市光明区新湖街道圳园路628号</w:t>
            </w:r>
          </w:p>
        </w:tc>
        <w:tc>
          <w:tcPr>
            <w:tcW w:w="1880" w:type="pct"/>
          </w:tcPr>
          <w:p>
            <w:pPr>
              <w:rPr>
                <w:kern w:val="0"/>
                <w:sz w:val="20"/>
                <w:szCs w:val="20"/>
              </w:rPr>
            </w:pPr>
          </w:p>
        </w:tc>
        <w:tc>
          <w:tcPr>
            <w:tcW w:w="645" w:type="pct"/>
          </w:tcPr>
          <w:p>
            <w:pPr>
              <w:rPr>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426" w:type="pct"/>
          </w:tcPr>
          <w:p>
            <w:pPr>
              <w:jc w:val="distribute"/>
              <w:rPr>
                <w:kern w:val="0"/>
                <w:sz w:val="20"/>
                <w:szCs w:val="20"/>
              </w:rPr>
            </w:pPr>
            <w:r>
              <w:rPr>
                <w:rFonts w:hint="eastAsia"/>
                <w:kern w:val="0"/>
                <w:sz w:val="20"/>
                <w:szCs w:val="20"/>
              </w:rPr>
              <w:t>3</w:t>
            </w:r>
          </w:p>
        </w:tc>
        <w:tc>
          <w:tcPr>
            <w:tcW w:w="2049" w:type="pct"/>
          </w:tcPr>
          <w:p>
            <w:pPr>
              <w:rPr>
                <w:kern w:val="0"/>
                <w:sz w:val="20"/>
                <w:szCs w:val="20"/>
              </w:rPr>
            </w:pPr>
            <w:r>
              <w:rPr>
                <w:rFonts w:hint="eastAsia"/>
                <w:kern w:val="0"/>
                <w:sz w:val="20"/>
                <w:szCs w:val="20"/>
              </w:rPr>
              <w:t>报价要求：</w:t>
            </w:r>
          </w:p>
          <w:p>
            <w:pPr>
              <w:rPr>
                <w:rFonts w:hint="eastAsia"/>
                <w:kern w:val="0"/>
                <w:sz w:val="20"/>
                <w:szCs w:val="20"/>
              </w:rPr>
            </w:pPr>
            <w:r>
              <w:rPr>
                <w:rFonts w:hint="eastAsia"/>
                <w:kern w:val="0"/>
                <w:sz w:val="20"/>
                <w:szCs w:val="20"/>
              </w:rPr>
              <w:t>1.本项目服务费采用包干制，应包括税费、材料费、人工费、劳保费、施工费、运输费、处置费等可预见及不可预见的所有费用。由投标供应商根据采购文件所提供的资料自行测算投标报价。</w:t>
            </w:r>
          </w:p>
          <w:p>
            <w:pPr>
              <w:rPr>
                <w:rFonts w:hint="eastAsia"/>
                <w:kern w:val="0"/>
                <w:sz w:val="20"/>
                <w:szCs w:val="20"/>
              </w:rPr>
            </w:pPr>
            <w:r>
              <w:rPr>
                <w:rFonts w:hint="eastAsia"/>
                <w:kern w:val="0"/>
                <w:sz w:val="20"/>
                <w:szCs w:val="20"/>
              </w:rPr>
              <w:t>2.投标供应商应当根据本企业的成本自行决定报价，但不得以低于其企业成本的报价投标。</w:t>
            </w:r>
          </w:p>
          <w:p>
            <w:pPr>
              <w:rPr>
                <w:rFonts w:hint="eastAsia"/>
                <w:kern w:val="0"/>
                <w:sz w:val="20"/>
                <w:szCs w:val="20"/>
              </w:rPr>
            </w:pPr>
            <w:r>
              <w:rPr>
                <w:rFonts w:hint="eastAsia"/>
                <w:kern w:val="0"/>
                <w:sz w:val="20"/>
                <w:szCs w:val="20"/>
              </w:rPr>
              <w:t>3.投标供应商的报价不得超过项目预算金额。</w:t>
            </w:r>
          </w:p>
          <w:p>
            <w:pPr>
              <w:rPr>
                <w:rFonts w:hint="eastAsia"/>
                <w:kern w:val="0"/>
                <w:sz w:val="20"/>
                <w:szCs w:val="20"/>
              </w:rPr>
            </w:pPr>
            <w:r>
              <w:rPr>
                <w:rFonts w:hint="eastAsia"/>
                <w:kern w:val="0"/>
                <w:sz w:val="20"/>
                <w:szCs w:val="20"/>
              </w:rPr>
              <w:t>4.投标供应商的报价，应当是本项目采购范围和采购文件所列的各项内容中所述的全部，不得以任何理由予以重复。</w:t>
            </w:r>
          </w:p>
          <w:p>
            <w:pPr>
              <w:rPr>
                <w:rFonts w:hint="eastAsia"/>
                <w:kern w:val="0"/>
                <w:sz w:val="20"/>
                <w:szCs w:val="20"/>
              </w:rPr>
            </w:pPr>
            <w:r>
              <w:rPr>
                <w:rFonts w:hint="eastAsia"/>
                <w:kern w:val="0"/>
                <w:sz w:val="20"/>
                <w:szCs w:val="20"/>
              </w:rPr>
              <w:t>5.除非采购人通过修改采购文件予以更正，否则，投标供应商应毫无例外地按响应文件所列的清单中项目和数量填报综合单价和合价。投标供应商未填综合单价或合价的项目，在实施后，将不得以支付，并视作该项费用已包括在其它有价款的综合单价或合价内。</w:t>
            </w:r>
          </w:p>
          <w:p>
            <w:pPr>
              <w:rPr>
                <w:rFonts w:hint="eastAsia"/>
                <w:kern w:val="0"/>
                <w:sz w:val="20"/>
                <w:szCs w:val="20"/>
              </w:rPr>
            </w:pPr>
            <w:r>
              <w:rPr>
                <w:rFonts w:hint="eastAsia"/>
                <w:kern w:val="0"/>
                <w:sz w:val="20"/>
                <w:szCs w:val="20"/>
              </w:rPr>
              <w:t>6.投标供应商应先到项目地点踏勘以充分了解项目的位置、情况、道路及任何其它足以影响投标报价的情况，任何因忽视或误解项目情况而导致的索赔或服务期限延长申请将不获批准。</w:t>
            </w:r>
          </w:p>
          <w:p>
            <w:pPr>
              <w:rPr>
                <w:kern w:val="0"/>
                <w:sz w:val="20"/>
                <w:szCs w:val="20"/>
              </w:rPr>
            </w:pPr>
            <w:r>
              <w:rPr>
                <w:rFonts w:hint="eastAsia"/>
                <w:kern w:val="0"/>
                <w:sz w:val="20"/>
                <w:szCs w:val="20"/>
              </w:rPr>
              <w:t>7.投标供应商不得期望通过索赔等方式获取补偿，否则，除可能遭到拒绝外，还可能将被作为不良行为记录在案，并可能影响其以后参加政府采购的项目投标。各投标供应商在报价时，应充分考虑报价的风险。</w:t>
            </w:r>
          </w:p>
        </w:tc>
        <w:tc>
          <w:tcPr>
            <w:tcW w:w="1880" w:type="pct"/>
          </w:tcPr>
          <w:p>
            <w:pPr>
              <w:rPr>
                <w:kern w:val="0"/>
                <w:sz w:val="20"/>
                <w:szCs w:val="20"/>
              </w:rPr>
            </w:pPr>
          </w:p>
        </w:tc>
        <w:tc>
          <w:tcPr>
            <w:tcW w:w="645" w:type="pct"/>
          </w:tcPr>
          <w:p>
            <w:pPr>
              <w:rPr>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426" w:type="pct"/>
          </w:tcPr>
          <w:p>
            <w:pPr>
              <w:jc w:val="distribute"/>
              <w:rPr>
                <w:kern w:val="0"/>
                <w:sz w:val="20"/>
                <w:szCs w:val="20"/>
              </w:rPr>
            </w:pPr>
            <w:r>
              <w:rPr>
                <w:kern w:val="0"/>
                <w:sz w:val="20"/>
                <w:szCs w:val="20"/>
              </w:rPr>
              <w:t>4</w:t>
            </w:r>
          </w:p>
        </w:tc>
        <w:tc>
          <w:tcPr>
            <w:tcW w:w="2049" w:type="pct"/>
          </w:tcPr>
          <w:p>
            <w:pPr>
              <w:rPr>
                <w:kern w:val="0"/>
                <w:sz w:val="20"/>
                <w:szCs w:val="20"/>
              </w:rPr>
            </w:pPr>
            <w:r>
              <w:rPr>
                <w:rFonts w:hint="eastAsia"/>
                <w:kern w:val="0"/>
                <w:sz w:val="20"/>
                <w:szCs w:val="20"/>
              </w:rPr>
              <w:t>质量保证：质保期为一年，自验收合格后起算。</w:t>
            </w:r>
          </w:p>
        </w:tc>
        <w:tc>
          <w:tcPr>
            <w:tcW w:w="1880" w:type="pct"/>
          </w:tcPr>
          <w:p>
            <w:pPr>
              <w:rPr>
                <w:kern w:val="0"/>
                <w:sz w:val="20"/>
                <w:szCs w:val="20"/>
              </w:rPr>
            </w:pPr>
          </w:p>
        </w:tc>
        <w:tc>
          <w:tcPr>
            <w:tcW w:w="645" w:type="pct"/>
          </w:tcPr>
          <w:p>
            <w:pPr>
              <w:rPr>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426" w:type="pct"/>
          </w:tcPr>
          <w:p>
            <w:pPr>
              <w:jc w:val="distribute"/>
              <w:rPr>
                <w:kern w:val="0"/>
                <w:sz w:val="20"/>
                <w:szCs w:val="20"/>
              </w:rPr>
            </w:pPr>
            <w:r>
              <w:rPr>
                <w:rFonts w:hint="eastAsia"/>
                <w:kern w:val="0"/>
                <w:sz w:val="20"/>
                <w:szCs w:val="20"/>
              </w:rPr>
              <w:t>5</w:t>
            </w:r>
          </w:p>
          <w:p>
            <w:pPr>
              <w:jc w:val="distribute"/>
              <w:rPr>
                <w:kern w:val="0"/>
                <w:sz w:val="20"/>
                <w:szCs w:val="20"/>
              </w:rPr>
            </w:pPr>
          </w:p>
        </w:tc>
        <w:tc>
          <w:tcPr>
            <w:tcW w:w="2049" w:type="pct"/>
          </w:tcPr>
          <w:p>
            <w:pPr>
              <w:rPr>
                <w:kern w:val="0"/>
                <w:sz w:val="20"/>
                <w:szCs w:val="20"/>
              </w:rPr>
            </w:pPr>
            <w:r>
              <w:rPr>
                <w:rFonts w:hint="eastAsia"/>
                <w:kern w:val="0"/>
                <w:sz w:val="20"/>
                <w:szCs w:val="20"/>
              </w:rPr>
              <w:t>验收方式：</w:t>
            </w:r>
          </w:p>
          <w:p>
            <w:pPr>
              <w:rPr>
                <w:rFonts w:hint="eastAsia"/>
                <w:kern w:val="0"/>
                <w:sz w:val="20"/>
                <w:szCs w:val="20"/>
              </w:rPr>
            </w:pPr>
            <w:r>
              <w:rPr>
                <w:rFonts w:hint="eastAsia"/>
                <w:kern w:val="0"/>
                <w:sz w:val="20"/>
                <w:szCs w:val="20"/>
              </w:rPr>
              <w:t>1.由采购人按采购文件、响应文件约定的要求和标准及中华人民共和国现行的验收规范和评定标准进行服务验收。</w:t>
            </w:r>
          </w:p>
          <w:p>
            <w:pPr>
              <w:rPr>
                <w:kern w:val="0"/>
                <w:sz w:val="20"/>
                <w:szCs w:val="20"/>
              </w:rPr>
            </w:pPr>
            <w:r>
              <w:rPr>
                <w:rFonts w:hint="eastAsia"/>
                <w:kern w:val="0"/>
                <w:sz w:val="20"/>
                <w:szCs w:val="20"/>
              </w:rPr>
              <w:t>2.（1）必须符合有关国标的规定。响应文件提供的技术数据经实测证实是真实的。检验时的性能指标与要求一致，达到或优于相应标准。（2）技术文件资料、备件等已按规定数量移交完毕。（3）按照采购文件要求及响应文件提供的技术参数验收必须合格。（4）所有技术指标达到技术规范书要求，经验收合格后，双方共同签署验收报告。</w:t>
            </w:r>
          </w:p>
        </w:tc>
        <w:tc>
          <w:tcPr>
            <w:tcW w:w="1880" w:type="pct"/>
          </w:tcPr>
          <w:p>
            <w:pPr>
              <w:rPr>
                <w:kern w:val="0"/>
                <w:sz w:val="20"/>
                <w:szCs w:val="20"/>
              </w:rPr>
            </w:pPr>
            <w:bookmarkStart w:id="0" w:name="_GoBack"/>
            <w:bookmarkEnd w:id="0"/>
          </w:p>
        </w:tc>
        <w:tc>
          <w:tcPr>
            <w:tcW w:w="645" w:type="pct"/>
          </w:tcPr>
          <w:p>
            <w:pPr>
              <w:rPr>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426" w:type="pct"/>
          </w:tcPr>
          <w:p>
            <w:pPr>
              <w:jc w:val="distribute"/>
              <w:rPr>
                <w:kern w:val="0"/>
                <w:sz w:val="20"/>
                <w:szCs w:val="20"/>
              </w:rPr>
            </w:pPr>
            <w:r>
              <w:rPr>
                <w:rFonts w:hint="eastAsia"/>
                <w:kern w:val="0"/>
                <w:sz w:val="20"/>
                <w:szCs w:val="20"/>
              </w:rPr>
              <w:t>6</w:t>
            </w:r>
          </w:p>
        </w:tc>
        <w:tc>
          <w:tcPr>
            <w:tcW w:w="2049" w:type="pct"/>
          </w:tcPr>
          <w:p>
            <w:pPr>
              <w:rPr>
                <w:kern w:val="0"/>
                <w:sz w:val="20"/>
                <w:szCs w:val="20"/>
              </w:rPr>
            </w:pPr>
            <w:r>
              <w:rPr>
                <w:rFonts w:hint="eastAsia"/>
                <w:kern w:val="0"/>
                <w:sz w:val="20"/>
                <w:szCs w:val="20"/>
              </w:rPr>
              <w:t>付款方式：项目验收合格后一次性支付中标金额。</w:t>
            </w:r>
          </w:p>
        </w:tc>
        <w:tc>
          <w:tcPr>
            <w:tcW w:w="1880" w:type="pct"/>
          </w:tcPr>
          <w:p>
            <w:pPr>
              <w:rPr>
                <w:kern w:val="0"/>
                <w:sz w:val="20"/>
                <w:szCs w:val="20"/>
              </w:rPr>
            </w:pPr>
          </w:p>
        </w:tc>
        <w:tc>
          <w:tcPr>
            <w:tcW w:w="645" w:type="pct"/>
          </w:tcPr>
          <w:p>
            <w:pPr>
              <w:rPr>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426" w:type="pct"/>
          </w:tcPr>
          <w:p>
            <w:pPr>
              <w:jc w:val="distribute"/>
              <w:rPr>
                <w:kern w:val="0"/>
                <w:sz w:val="20"/>
                <w:szCs w:val="20"/>
              </w:rPr>
            </w:pPr>
            <w:r>
              <w:rPr>
                <w:rFonts w:hint="eastAsia"/>
                <w:kern w:val="0"/>
                <w:sz w:val="20"/>
                <w:szCs w:val="20"/>
              </w:rPr>
              <w:t>7</w:t>
            </w:r>
          </w:p>
        </w:tc>
        <w:tc>
          <w:tcPr>
            <w:tcW w:w="2049" w:type="pct"/>
          </w:tcPr>
          <w:p>
            <w:pPr>
              <w:rPr>
                <w:kern w:val="0"/>
                <w:sz w:val="20"/>
                <w:szCs w:val="20"/>
              </w:rPr>
            </w:pPr>
            <w:r>
              <w:rPr>
                <w:rFonts w:hint="eastAsia"/>
                <w:kern w:val="0"/>
                <w:sz w:val="20"/>
                <w:szCs w:val="20"/>
              </w:rPr>
              <w:t>违约责任：</w:t>
            </w:r>
          </w:p>
          <w:p>
            <w:pPr>
              <w:rPr>
                <w:kern w:val="0"/>
                <w:sz w:val="20"/>
                <w:szCs w:val="20"/>
              </w:rPr>
            </w:pPr>
            <w:r>
              <w:rPr>
                <w:rFonts w:hint="eastAsia"/>
                <w:kern w:val="0"/>
                <w:sz w:val="20"/>
                <w:szCs w:val="20"/>
              </w:rPr>
              <w:t>若中标供应商无法在约定时间内完成招投标文件的商务需求，或超出答复时间仍不履行的，视为中标供应商违约；中标供应商应当向采购人承担总价款30%违约赔偿责任，且采购人有权解除中标供应商的中标资格。若中标供应商违约赔偿款不足以弥补采购人损失的，采购人有权要求中标供应商补足损失。</w:t>
            </w:r>
          </w:p>
        </w:tc>
        <w:tc>
          <w:tcPr>
            <w:tcW w:w="1880" w:type="pct"/>
          </w:tcPr>
          <w:p>
            <w:pPr>
              <w:rPr>
                <w:kern w:val="0"/>
                <w:sz w:val="20"/>
                <w:szCs w:val="20"/>
              </w:rPr>
            </w:pPr>
          </w:p>
        </w:tc>
        <w:tc>
          <w:tcPr>
            <w:tcW w:w="645" w:type="pct"/>
          </w:tcPr>
          <w:p>
            <w:pPr>
              <w:rPr>
                <w:kern w:val="0"/>
                <w:sz w:val="20"/>
                <w:szCs w:val="20"/>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IyNDBhNzNiZDE1NzEwNDFhM2QwOGQ1ZjY1ODdlMzUifQ=="/>
  </w:docVars>
  <w:rsids>
    <w:rsidRoot w:val="00694056"/>
    <w:rsid w:val="001B245E"/>
    <w:rsid w:val="001C38ED"/>
    <w:rsid w:val="001F1B29"/>
    <w:rsid w:val="00270708"/>
    <w:rsid w:val="002936E6"/>
    <w:rsid w:val="00390D82"/>
    <w:rsid w:val="003A3331"/>
    <w:rsid w:val="00444E1C"/>
    <w:rsid w:val="00453FD4"/>
    <w:rsid w:val="004D770A"/>
    <w:rsid w:val="00694056"/>
    <w:rsid w:val="00700A3E"/>
    <w:rsid w:val="00776F0C"/>
    <w:rsid w:val="0085622A"/>
    <w:rsid w:val="00973221"/>
    <w:rsid w:val="009D2525"/>
    <w:rsid w:val="00A04F71"/>
    <w:rsid w:val="00A246EB"/>
    <w:rsid w:val="00A54F0D"/>
    <w:rsid w:val="00B977B6"/>
    <w:rsid w:val="00BA3D69"/>
    <w:rsid w:val="00BD7A8C"/>
    <w:rsid w:val="00D8487E"/>
    <w:rsid w:val="00D957BD"/>
    <w:rsid w:val="00E638EB"/>
    <w:rsid w:val="00EB18A0"/>
    <w:rsid w:val="00EC1E1A"/>
    <w:rsid w:val="00FE2C88"/>
    <w:rsid w:val="00FF7053"/>
    <w:rsid w:val="12131F81"/>
    <w:rsid w:val="42D068DB"/>
    <w:rsid w:val="497E79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5">
    <w:name w:val="Table Grid"/>
    <w:basedOn w:val="4"/>
    <w:qFormat/>
    <w:uiPriority w:val="5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988</Words>
  <Characters>1005</Characters>
  <Lines>7</Lines>
  <Paragraphs>2</Paragraphs>
  <TotalTime>3</TotalTime>
  <ScaleCrop>false</ScaleCrop>
  <LinksUpToDate>false</LinksUpToDate>
  <CharactersWithSpaces>1007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2022-07-22T07:54:00Z</dcterms:created>
  <dc:creator>Chilan</dc:creator>
  <cp:lastModifiedBy>Administrator</cp:lastModifiedBy>
  <dcterms:modified xsi:type="dcterms:W3CDTF">2023-05-31T09:55:58Z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6BC9F441C2C048F8B44918F3DF3ABF16_12</vt:lpwstr>
  </property>
</Properties>
</file>