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附件三</w:t>
      </w:r>
      <w:r>
        <w:rPr>
          <w:sz w:val="24"/>
          <w:szCs w:val="24"/>
        </w:rPr>
        <w:t xml:space="preserve"> </w:t>
      </w:r>
      <w:r>
        <w:rPr>
          <w:rFonts w:hint="eastAsia"/>
          <w:sz w:val="24"/>
          <w:szCs w:val="24"/>
        </w:rPr>
        <w:t>商务条款偏离情况表</w:t>
      </w:r>
      <w:r>
        <w:rPr>
          <w:sz w:val="24"/>
          <w:szCs w:val="24"/>
        </w:rPr>
        <w:t xml:space="preserve"> (</w:t>
      </w:r>
      <w:r>
        <w:rPr>
          <w:rFonts w:hint="eastAsia"/>
          <w:sz w:val="24"/>
          <w:szCs w:val="24"/>
        </w:rPr>
        <w:t>所有条款为不可负偏离条款，否则废标</w:t>
      </w:r>
      <w:r>
        <w:rPr>
          <w:sz w:val="24"/>
          <w:szCs w:val="24"/>
        </w:rPr>
        <w:t>)</w:t>
      </w:r>
      <w:r>
        <w:rPr>
          <w:rFonts w:hint="eastAsia"/>
          <w:sz w:val="24"/>
          <w:szCs w:val="24"/>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492"/>
        <w:gridCol w:w="320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426" w:type="pct"/>
          </w:tcPr>
          <w:p>
            <w:pPr>
              <w:rPr>
                <w:kern w:val="0"/>
                <w:sz w:val="20"/>
                <w:szCs w:val="20"/>
              </w:rPr>
            </w:pPr>
            <w:r>
              <w:rPr>
                <w:rFonts w:hint="eastAsia"/>
                <w:kern w:val="0"/>
                <w:sz w:val="20"/>
                <w:szCs w:val="20"/>
              </w:rPr>
              <w:t>序号</w:t>
            </w:r>
          </w:p>
        </w:tc>
        <w:tc>
          <w:tcPr>
            <w:tcW w:w="2049" w:type="pct"/>
          </w:tcPr>
          <w:p>
            <w:pPr>
              <w:jc w:val="center"/>
              <w:rPr>
                <w:kern w:val="0"/>
                <w:sz w:val="20"/>
                <w:szCs w:val="20"/>
              </w:rPr>
            </w:pPr>
            <w:r>
              <w:rPr>
                <w:rFonts w:hint="eastAsia"/>
                <w:kern w:val="0"/>
                <w:sz w:val="20"/>
                <w:szCs w:val="20"/>
              </w:rPr>
              <w:t>招标商务条款</w:t>
            </w:r>
          </w:p>
        </w:tc>
        <w:tc>
          <w:tcPr>
            <w:tcW w:w="1880" w:type="pct"/>
          </w:tcPr>
          <w:p>
            <w:pPr>
              <w:jc w:val="center"/>
              <w:rPr>
                <w:kern w:val="0"/>
                <w:sz w:val="20"/>
                <w:szCs w:val="20"/>
              </w:rPr>
            </w:pPr>
            <w:r>
              <w:rPr>
                <w:rFonts w:hint="eastAsia"/>
                <w:kern w:val="0"/>
                <w:sz w:val="20"/>
                <w:szCs w:val="20"/>
              </w:rPr>
              <w:t>投标商务条款</w:t>
            </w:r>
          </w:p>
        </w:tc>
        <w:tc>
          <w:tcPr>
            <w:tcW w:w="645" w:type="pct"/>
          </w:tcPr>
          <w:p>
            <w:pPr>
              <w:rPr>
                <w:kern w:val="0"/>
                <w:sz w:val="20"/>
                <w:szCs w:val="20"/>
              </w:rPr>
            </w:pPr>
            <w:r>
              <w:rPr>
                <w:rFonts w:hint="eastAsia"/>
                <w:kern w:val="0"/>
                <w:sz w:val="20"/>
                <w:szCs w:val="20"/>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6" w:type="pct"/>
          </w:tcPr>
          <w:p>
            <w:pPr>
              <w:jc w:val="center"/>
              <w:rPr>
                <w:kern w:val="0"/>
                <w:sz w:val="20"/>
                <w:szCs w:val="20"/>
              </w:rPr>
            </w:pPr>
            <w:r>
              <w:rPr>
                <w:rFonts w:hint="eastAsia"/>
                <w:kern w:val="0"/>
                <w:sz w:val="20"/>
                <w:szCs w:val="20"/>
              </w:rPr>
              <w:t>1</w:t>
            </w:r>
          </w:p>
        </w:tc>
        <w:tc>
          <w:tcPr>
            <w:tcW w:w="2049" w:type="pct"/>
          </w:tcPr>
          <w:p>
            <w:pPr>
              <w:rPr>
                <w:kern w:val="0"/>
                <w:sz w:val="20"/>
                <w:szCs w:val="20"/>
              </w:rPr>
            </w:pPr>
            <w:r>
              <w:rPr>
                <w:rFonts w:hint="eastAsia"/>
                <w:kern w:val="0"/>
                <w:sz w:val="20"/>
                <w:szCs w:val="20"/>
              </w:rPr>
              <w:t>服务期：下单后5个日历日内交付安装并调试（包含现场踏勘时间）。安装前需到现场踏勘，排水管和铜管尺寸可在10%以内浮动，金额不受尺寸变动影响。</w:t>
            </w:r>
          </w:p>
        </w:tc>
        <w:tc>
          <w:tcPr>
            <w:tcW w:w="1880" w:type="pct"/>
          </w:tcPr>
          <w:p>
            <w:pPr>
              <w:rPr>
                <w:kern w:val="0"/>
                <w:sz w:val="20"/>
                <w:szCs w:val="20"/>
              </w:rPr>
            </w:pPr>
          </w:p>
        </w:tc>
        <w:tc>
          <w:tcPr>
            <w:tcW w:w="645" w:type="pct"/>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6" w:type="pct"/>
          </w:tcPr>
          <w:p>
            <w:pPr>
              <w:jc w:val="center"/>
              <w:rPr>
                <w:kern w:val="0"/>
                <w:sz w:val="20"/>
                <w:szCs w:val="20"/>
              </w:rPr>
            </w:pPr>
            <w:r>
              <w:rPr>
                <w:rFonts w:hint="eastAsia"/>
                <w:kern w:val="0"/>
                <w:sz w:val="20"/>
                <w:szCs w:val="20"/>
              </w:rPr>
              <w:t>2</w:t>
            </w:r>
          </w:p>
        </w:tc>
        <w:tc>
          <w:tcPr>
            <w:tcW w:w="2049" w:type="pct"/>
          </w:tcPr>
          <w:p>
            <w:pPr>
              <w:spacing w:line="360" w:lineRule="auto"/>
              <w:rPr>
                <w:kern w:val="0"/>
                <w:sz w:val="20"/>
                <w:szCs w:val="20"/>
              </w:rPr>
            </w:pPr>
            <w:r>
              <w:rPr>
                <w:rFonts w:hint="eastAsia"/>
                <w:kern w:val="0"/>
                <w:sz w:val="20"/>
                <w:szCs w:val="20"/>
              </w:rPr>
              <w:t>整体要求：根据采购人要求完成64台空调的拆装和移机工作，并确保空调完成移机后正常运转。</w:t>
            </w:r>
            <w:r>
              <w:rPr>
                <w:rFonts w:hint="eastAsia"/>
                <w:kern w:val="0"/>
                <w:sz w:val="20"/>
                <w:szCs w:val="20"/>
              </w:rPr>
              <w:tab/>
            </w:r>
          </w:p>
        </w:tc>
        <w:tc>
          <w:tcPr>
            <w:tcW w:w="1880" w:type="pct"/>
          </w:tcPr>
          <w:p>
            <w:pPr>
              <w:rPr>
                <w:kern w:val="0"/>
                <w:sz w:val="20"/>
                <w:szCs w:val="20"/>
              </w:rPr>
            </w:pPr>
          </w:p>
        </w:tc>
        <w:tc>
          <w:tcPr>
            <w:tcW w:w="645" w:type="pct"/>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6" w:type="pct"/>
          </w:tcPr>
          <w:p>
            <w:pPr>
              <w:jc w:val="distribute"/>
              <w:rPr>
                <w:kern w:val="0"/>
                <w:sz w:val="20"/>
                <w:szCs w:val="20"/>
              </w:rPr>
            </w:pPr>
            <w:r>
              <w:rPr>
                <w:rFonts w:hint="eastAsia"/>
                <w:kern w:val="0"/>
                <w:sz w:val="20"/>
                <w:szCs w:val="20"/>
              </w:rPr>
              <w:t>3</w:t>
            </w:r>
          </w:p>
        </w:tc>
        <w:tc>
          <w:tcPr>
            <w:tcW w:w="3492" w:type="dxa"/>
            <w:vAlign w:val="top"/>
          </w:tcPr>
          <w:p>
            <w:pPr>
              <w:spacing w:line="360" w:lineRule="auto"/>
              <w:rPr>
                <w:kern w:val="0"/>
                <w:sz w:val="20"/>
                <w:szCs w:val="20"/>
              </w:rPr>
            </w:pPr>
            <w:r>
              <w:rPr>
                <w:rFonts w:hint="eastAsia"/>
              </w:rPr>
              <w:t>服务地点：采购人指定的地点。</w:t>
            </w:r>
          </w:p>
        </w:tc>
        <w:tc>
          <w:tcPr>
            <w:tcW w:w="1880" w:type="pct"/>
          </w:tcPr>
          <w:p>
            <w:pPr>
              <w:rPr>
                <w:kern w:val="0"/>
                <w:sz w:val="20"/>
                <w:szCs w:val="20"/>
              </w:rPr>
            </w:pPr>
          </w:p>
        </w:tc>
        <w:tc>
          <w:tcPr>
            <w:tcW w:w="645" w:type="pct"/>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6" w:type="pct"/>
          </w:tcPr>
          <w:p>
            <w:pPr>
              <w:jc w:val="distribute"/>
              <w:rPr>
                <w:kern w:val="0"/>
                <w:sz w:val="20"/>
                <w:szCs w:val="20"/>
              </w:rPr>
            </w:pPr>
            <w:r>
              <w:rPr>
                <w:rFonts w:hint="eastAsia"/>
                <w:kern w:val="0"/>
                <w:sz w:val="20"/>
                <w:szCs w:val="20"/>
              </w:rPr>
              <w:t>4</w:t>
            </w:r>
          </w:p>
        </w:tc>
        <w:tc>
          <w:tcPr>
            <w:tcW w:w="3492" w:type="dxa"/>
            <w:vAlign w:val="top"/>
          </w:tcPr>
          <w:p>
            <w:pPr>
              <w:rPr>
                <w:kern w:val="0"/>
                <w:sz w:val="20"/>
                <w:szCs w:val="20"/>
              </w:rPr>
            </w:pPr>
            <w:r>
              <w:rPr>
                <w:rFonts w:hint="eastAsia"/>
                <w:kern w:val="0"/>
                <w:sz w:val="20"/>
                <w:szCs w:val="20"/>
              </w:rPr>
              <w:t>报价要求：</w:t>
            </w:r>
          </w:p>
          <w:p>
            <w:pPr>
              <w:rPr>
                <w:rFonts w:hint="eastAsia"/>
                <w:kern w:val="0"/>
                <w:sz w:val="20"/>
                <w:szCs w:val="20"/>
              </w:rPr>
            </w:pPr>
            <w:r>
              <w:rPr>
                <w:rFonts w:hint="eastAsia"/>
                <w:kern w:val="0"/>
                <w:sz w:val="20"/>
                <w:szCs w:val="20"/>
              </w:rPr>
              <w:t>1.本项目服务费采用包干制，应包括完成项目所需的一切费用。即：货物费（含主件和附件）、安装费、调试费、包装运输费、保管费、保修费、税金、保险费、风险费用</w:t>
            </w:r>
            <w:r>
              <w:rPr>
                <w:rFonts w:hint="eastAsia"/>
                <w:kern w:val="0"/>
                <w:sz w:val="20"/>
                <w:szCs w:val="20"/>
                <w:lang w:eastAsia="zh-CN"/>
              </w:rPr>
              <w:t>、</w:t>
            </w:r>
            <w:r>
              <w:rPr>
                <w:rFonts w:hint="eastAsia"/>
                <w:kern w:val="0"/>
                <w:sz w:val="20"/>
                <w:szCs w:val="20"/>
              </w:rPr>
              <w:t>误工费、一切不可预见费等一切费用。由投标供应商根据采购文件所提供的资料自行测算投标报价；一经中标，报价总价作为中标供应商与采购人签定的合同金额，合同期限内不做调整。</w:t>
            </w:r>
          </w:p>
          <w:p>
            <w:pPr>
              <w:rPr>
                <w:rFonts w:hint="eastAsia"/>
                <w:kern w:val="0"/>
                <w:sz w:val="20"/>
                <w:szCs w:val="20"/>
              </w:rPr>
            </w:pPr>
            <w:r>
              <w:rPr>
                <w:rFonts w:hint="eastAsia"/>
                <w:kern w:val="0"/>
                <w:sz w:val="20"/>
                <w:szCs w:val="20"/>
              </w:rPr>
              <w:t>2.投标供应商应当根据本企业的成本自行决定报价，但不得以低于其企业成本的报价投标。</w:t>
            </w:r>
          </w:p>
          <w:p>
            <w:pPr>
              <w:rPr>
                <w:rFonts w:hint="eastAsia"/>
                <w:kern w:val="0"/>
                <w:sz w:val="20"/>
                <w:szCs w:val="20"/>
              </w:rPr>
            </w:pPr>
            <w:r>
              <w:rPr>
                <w:rFonts w:hint="eastAsia"/>
                <w:kern w:val="0"/>
                <w:sz w:val="20"/>
                <w:szCs w:val="20"/>
              </w:rPr>
              <w:t>3.投标供应商的报价不得超过项目预算金额。</w:t>
            </w:r>
          </w:p>
          <w:p>
            <w:pPr>
              <w:rPr>
                <w:rFonts w:hint="eastAsia"/>
                <w:kern w:val="0"/>
                <w:sz w:val="20"/>
                <w:szCs w:val="20"/>
              </w:rPr>
            </w:pPr>
            <w:r>
              <w:rPr>
                <w:rFonts w:hint="eastAsia"/>
                <w:kern w:val="0"/>
                <w:sz w:val="20"/>
                <w:szCs w:val="20"/>
              </w:rPr>
              <w:t>4.投标供应商的报价，应当是本项目采购范围和采购文件及合同条款上所列的各项内容中所述的全部，不得以任何理由予以重复。</w:t>
            </w:r>
          </w:p>
          <w:p>
            <w:pPr>
              <w:rPr>
                <w:rFonts w:hint="eastAsia"/>
                <w:kern w:val="0"/>
                <w:sz w:val="20"/>
                <w:szCs w:val="20"/>
              </w:rPr>
            </w:pPr>
            <w:r>
              <w:rPr>
                <w:rFonts w:hint="eastAsia"/>
                <w:kern w:val="0"/>
                <w:sz w:val="20"/>
                <w:szCs w:val="20"/>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rPr>
                <w:rFonts w:hint="eastAsia"/>
                <w:kern w:val="0"/>
                <w:sz w:val="20"/>
                <w:szCs w:val="20"/>
              </w:rPr>
            </w:pPr>
            <w:r>
              <w:rPr>
                <w:rFonts w:hint="eastAsia"/>
                <w:kern w:val="0"/>
                <w:sz w:val="20"/>
                <w:szCs w:val="20"/>
              </w:rPr>
              <w:t>6.投标供应商应先到项目地点踏勘以充分了解项目的位置、情况、道路及任何其它足以影响投标报价的情况，任何因忽视或误解项目情况而导致的索赔或服务期限延长申请将不获批准。</w:t>
            </w:r>
          </w:p>
          <w:p>
            <w:pPr>
              <w:rPr>
                <w:kern w:val="0"/>
                <w:sz w:val="20"/>
                <w:szCs w:val="20"/>
              </w:rPr>
            </w:pPr>
            <w:r>
              <w:rPr>
                <w:rFonts w:hint="eastAsia"/>
                <w:kern w:val="0"/>
                <w:sz w:val="20"/>
                <w:szCs w:val="20"/>
              </w:rPr>
              <w:t>7.投标供应商不得期望通过索赔等方式获取补偿，否则，除可能遭到拒绝外，还可能将被作为不良行为记录在案，并可能影响其以后参加政府采购的项目投标。各投标供应商在报价时，应充分考虑报价的风险。</w:t>
            </w:r>
          </w:p>
        </w:tc>
        <w:tc>
          <w:tcPr>
            <w:tcW w:w="1880" w:type="pct"/>
          </w:tcPr>
          <w:p>
            <w:pPr>
              <w:rPr>
                <w:kern w:val="0"/>
                <w:sz w:val="20"/>
                <w:szCs w:val="20"/>
              </w:rPr>
            </w:pPr>
          </w:p>
        </w:tc>
        <w:tc>
          <w:tcPr>
            <w:tcW w:w="645" w:type="pct"/>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6" w:type="pct"/>
          </w:tcPr>
          <w:p>
            <w:pPr>
              <w:jc w:val="distribute"/>
              <w:rPr>
                <w:rFonts w:hint="eastAsia"/>
                <w:kern w:val="0"/>
                <w:sz w:val="20"/>
                <w:szCs w:val="20"/>
              </w:rPr>
            </w:pPr>
            <w:r>
              <w:rPr>
                <w:rFonts w:hint="eastAsia"/>
                <w:kern w:val="0"/>
                <w:sz w:val="20"/>
                <w:szCs w:val="20"/>
              </w:rPr>
              <w:t>5</w:t>
            </w:r>
          </w:p>
        </w:tc>
        <w:tc>
          <w:tcPr>
            <w:tcW w:w="3492" w:type="dxa"/>
            <w:vAlign w:val="top"/>
          </w:tcPr>
          <w:p>
            <w:pPr>
              <w:rPr>
                <w:kern w:val="0"/>
                <w:sz w:val="20"/>
                <w:szCs w:val="20"/>
              </w:rPr>
            </w:pPr>
            <w:r>
              <w:rPr>
                <w:rFonts w:hint="eastAsia"/>
                <w:kern w:val="0"/>
                <w:sz w:val="20"/>
                <w:szCs w:val="20"/>
              </w:rPr>
              <w:t>质量保证及售后服务：</w:t>
            </w:r>
          </w:p>
          <w:p>
            <w:pPr>
              <w:rPr>
                <w:rFonts w:hint="eastAsia"/>
                <w:kern w:val="0"/>
                <w:sz w:val="20"/>
                <w:szCs w:val="20"/>
              </w:rPr>
            </w:pPr>
            <w:r>
              <w:rPr>
                <w:rFonts w:hint="eastAsia"/>
                <w:kern w:val="0"/>
                <w:sz w:val="20"/>
                <w:szCs w:val="20"/>
              </w:rPr>
              <w:t>1.质保期1年以上，自验收合格之日起算。质保期内，产品出现任何问题都由中标供应商负责维修更换，全部服务费和更换产品或配件的费用均由中标供应商承担。中标供应商需承诺24小时内安排人员上门解决问题。质保期外，中标供应商仍需向采购人提供优质的售后技术服务，开通24小时热线电话接受采购人的电话技术咨询，如故障不能排除，中标供应商应在24小时内提供现场服务，待产品运行正常后撤离现场。</w:t>
            </w:r>
          </w:p>
          <w:p>
            <w:pPr>
              <w:rPr>
                <w:rFonts w:hint="eastAsia"/>
                <w:kern w:val="0"/>
                <w:sz w:val="20"/>
                <w:szCs w:val="20"/>
              </w:rPr>
            </w:pPr>
            <w:r>
              <w:rPr>
                <w:rFonts w:hint="eastAsia"/>
                <w:kern w:val="0"/>
                <w:sz w:val="20"/>
                <w:szCs w:val="20"/>
              </w:rPr>
              <w:t>2.移机前要对空调等移机过程中会涉及的设备进行排查，如果发现不正常运行，应提前先报备给采购人。 移机工作中应对院内原有的设施设备进行相应保护，损坏由中标供应商负责维修。</w:t>
            </w:r>
          </w:p>
          <w:p>
            <w:pPr>
              <w:rPr>
                <w:rFonts w:hint="eastAsia"/>
                <w:kern w:val="0"/>
                <w:sz w:val="20"/>
                <w:szCs w:val="20"/>
              </w:rPr>
            </w:pPr>
            <w:r>
              <w:rPr>
                <w:rFonts w:hint="eastAsia"/>
                <w:kern w:val="0"/>
                <w:sz w:val="20"/>
                <w:szCs w:val="20"/>
              </w:rPr>
              <w:t xml:space="preserve">3.中标供应商在进行空调移机服务时必须保证施工安全，作业中出现的风险由中标供应商承担，若有对采购人造成的损坏需承担赔偿责任   </w:t>
            </w:r>
          </w:p>
        </w:tc>
        <w:tc>
          <w:tcPr>
            <w:tcW w:w="1880" w:type="pct"/>
          </w:tcPr>
          <w:p>
            <w:pPr>
              <w:rPr>
                <w:kern w:val="0"/>
                <w:sz w:val="20"/>
                <w:szCs w:val="20"/>
              </w:rPr>
            </w:pPr>
          </w:p>
        </w:tc>
        <w:tc>
          <w:tcPr>
            <w:tcW w:w="645" w:type="pct"/>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6" w:type="pct"/>
          </w:tcPr>
          <w:p>
            <w:pPr>
              <w:jc w:val="distribute"/>
              <w:rPr>
                <w:kern w:val="0"/>
                <w:sz w:val="20"/>
                <w:szCs w:val="20"/>
              </w:rPr>
            </w:pPr>
            <w:r>
              <w:rPr>
                <w:kern w:val="0"/>
                <w:sz w:val="20"/>
                <w:szCs w:val="20"/>
              </w:rPr>
              <w:t>6</w:t>
            </w:r>
          </w:p>
        </w:tc>
        <w:tc>
          <w:tcPr>
            <w:tcW w:w="3492" w:type="dxa"/>
            <w:vAlign w:val="top"/>
          </w:tcPr>
          <w:p>
            <w:pPr>
              <w:rPr>
                <w:kern w:val="0"/>
                <w:sz w:val="20"/>
                <w:szCs w:val="20"/>
              </w:rPr>
            </w:pPr>
            <w:r>
              <w:rPr>
                <w:rFonts w:hint="eastAsia"/>
                <w:kern w:val="0"/>
                <w:sz w:val="20"/>
                <w:szCs w:val="20"/>
              </w:rPr>
              <w:t>安装及验收要求：（1）安装标准：符合我国国家现行有关技术规范和技术标准；负责安装、调试等并负担一切费用。（2）验收标准：实质性满足采购文件要求，并应符合我国现行有关技术规范和技术标准。（3）由使用科室、职能管理部门、供应商三方一齐现场验收，并在验收报告上签字确认。</w:t>
            </w:r>
          </w:p>
        </w:tc>
        <w:tc>
          <w:tcPr>
            <w:tcW w:w="1880" w:type="pct"/>
          </w:tcPr>
          <w:p>
            <w:pPr>
              <w:rPr>
                <w:kern w:val="0"/>
                <w:sz w:val="20"/>
                <w:szCs w:val="20"/>
              </w:rPr>
            </w:pPr>
          </w:p>
        </w:tc>
        <w:tc>
          <w:tcPr>
            <w:tcW w:w="645" w:type="pct"/>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6" w:type="pct"/>
          </w:tcPr>
          <w:p>
            <w:pPr>
              <w:jc w:val="distribute"/>
              <w:rPr>
                <w:kern w:val="0"/>
                <w:sz w:val="20"/>
                <w:szCs w:val="20"/>
              </w:rPr>
            </w:pPr>
            <w:r>
              <w:rPr>
                <w:kern w:val="0"/>
                <w:sz w:val="20"/>
                <w:szCs w:val="20"/>
              </w:rPr>
              <w:t>7</w:t>
            </w:r>
          </w:p>
        </w:tc>
        <w:tc>
          <w:tcPr>
            <w:tcW w:w="3492" w:type="dxa"/>
            <w:vAlign w:val="top"/>
          </w:tcPr>
          <w:p>
            <w:pPr>
              <w:rPr>
                <w:kern w:val="0"/>
                <w:sz w:val="20"/>
                <w:szCs w:val="20"/>
              </w:rPr>
            </w:pPr>
            <w:r>
              <w:rPr>
                <w:rFonts w:hint="eastAsia"/>
                <w:kern w:val="0"/>
                <w:sz w:val="20"/>
                <w:szCs w:val="20"/>
              </w:rPr>
              <w:t>付款方式：服务完工并验收合格后，采购人在中标供应商开具支付票据后向中标供应商一次性支付100%的货款。</w:t>
            </w:r>
          </w:p>
        </w:tc>
        <w:tc>
          <w:tcPr>
            <w:tcW w:w="1880" w:type="pct"/>
          </w:tcPr>
          <w:p>
            <w:pPr>
              <w:rPr>
                <w:kern w:val="0"/>
                <w:sz w:val="20"/>
                <w:szCs w:val="20"/>
              </w:rPr>
            </w:pPr>
          </w:p>
        </w:tc>
        <w:tc>
          <w:tcPr>
            <w:tcW w:w="645" w:type="pct"/>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6" w:type="pct"/>
          </w:tcPr>
          <w:p>
            <w:pPr>
              <w:jc w:val="distribute"/>
              <w:rPr>
                <w:kern w:val="0"/>
                <w:sz w:val="20"/>
                <w:szCs w:val="20"/>
              </w:rPr>
            </w:pPr>
            <w:r>
              <w:rPr>
                <w:kern w:val="0"/>
                <w:sz w:val="20"/>
                <w:szCs w:val="20"/>
              </w:rPr>
              <w:t>8</w:t>
            </w:r>
          </w:p>
        </w:tc>
        <w:tc>
          <w:tcPr>
            <w:tcW w:w="3492" w:type="dxa"/>
            <w:vAlign w:val="top"/>
          </w:tcPr>
          <w:p>
            <w:pPr>
              <w:rPr>
                <w:kern w:val="0"/>
                <w:sz w:val="20"/>
                <w:szCs w:val="20"/>
              </w:rPr>
            </w:pPr>
            <w:r>
              <w:rPr>
                <w:rFonts w:hint="eastAsia"/>
                <w:kern w:val="0"/>
                <w:sz w:val="20"/>
                <w:szCs w:val="20"/>
              </w:rPr>
              <w:t>违约责任：若中标供应商无法在约定时间内完成招投标文件的需求，或超出答复时间仍不履行的，视为中标供应商违约；中标供应商应当向采购人承担总价款30%违约赔偿责任，且采购人有权解除中标供</w:t>
            </w:r>
            <w:bookmarkStart w:id="0" w:name="_GoBack"/>
            <w:bookmarkEnd w:id="0"/>
            <w:r>
              <w:rPr>
                <w:rFonts w:hint="eastAsia"/>
                <w:kern w:val="0"/>
                <w:sz w:val="20"/>
                <w:szCs w:val="20"/>
              </w:rPr>
              <w:t>应商的中标资格。若中标供应商违约赔偿款不足以弥补采购人损失的，采购人有权要求中标供应商补足损失。</w:t>
            </w:r>
          </w:p>
        </w:tc>
        <w:tc>
          <w:tcPr>
            <w:tcW w:w="1880" w:type="pct"/>
          </w:tcPr>
          <w:p>
            <w:pPr>
              <w:rPr>
                <w:kern w:val="0"/>
                <w:sz w:val="20"/>
                <w:szCs w:val="20"/>
              </w:rPr>
            </w:pPr>
          </w:p>
        </w:tc>
        <w:tc>
          <w:tcPr>
            <w:tcW w:w="645" w:type="pct"/>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6" w:type="pct"/>
          </w:tcPr>
          <w:p>
            <w:pPr>
              <w:jc w:val="distribute"/>
              <w:rPr>
                <w:rFonts w:hint="eastAsia" w:eastAsia="宋体"/>
                <w:kern w:val="0"/>
                <w:sz w:val="20"/>
                <w:szCs w:val="20"/>
                <w:lang w:val="en-US" w:eastAsia="zh-CN"/>
              </w:rPr>
            </w:pPr>
            <w:r>
              <w:rPr>
                <w:rFonts w:hint="eastAsia"/>
                <w:kern w:val="0"/>
                <w:sz w:val="20"/>
                <w:szCs w:val="20"/>
                <w:lang w:val="en-US" w:eastAsia="zh-CN"/>
              </w:rPr>
              <w:t>9</w:t>
            </w:r>
          </w:p>
        </w:tc>
        <w:tc>
          <w:tcPr>
            <w:tcW w:w="3492" w:type="dxa"/>
            <w:vAlign w:val="top"/>
          </w:tcPr>
          <w:p>
            <w:pPr>
              <w:rPr>
                <w:kern w:val="0"/>
                <w:sz w:val="20"/>
                <w:szCs w:val="20"/>
              </w:rPr>
            </w:pPr>
            <w:r>
              <w:rPr>
                <w:rFonts w:hint="eastAsia"/>
                <w:kern w:val="0"/>
                <w:sz w:val="20"/>
                <w:szCs w:val="20"/>
              </w:rPr>
              <w:t>其他：</w:t>
            </w:r>
          </w:p>
          <w:p>
            <w:pPr>
              <w:rPr>
                <w:rFonts w:hint="eastAsia"/>
                <w:kern w:val="0"/>
                <w:sz w:val="20"/>
                <w:szCs w:val="20"/>
                <w:lang w:val="en-US" w:eastAsia="zh-CN"/>
              </w:rPr>
            </w:pPr>
            <w:r>
              <w:rPr>
                <w:rFonts w:hint="eastAsia"/>
                <w:kern w:val="0"/>
                <w:sz w:val="20"/>
                <w:szCs w:val="20"/>
                <w:lang w:val="en-US" w:eastAsia="zh-CN"/>
              </w:rPr>
              <w:t>1.</w:t>
            </w:r>
            <w:r>
              <w:rPr>
                <w:rFonts w:hint="eastAsia"/>
                <w:kern w:val="0"/>
                <w:sz w:val="20"/>
                <w:szCs w:val="20"/>
              </w:rPr>
              <w:t>从业人员要求：具备特种作业操作证（制冷与空调作业 ）、特种作业操作证（高空作业 ）、特种作业操作证（电工作业 ）。</w:t>
            </w:r>
          </w:p>
        </w:tc>
        <w:tc>
          <w:tcPr>
            <w:tcW w:w="1880" w:type="pct"/>
          </w:tcPr>
          <w:p>
            <w:pPr>
              <w:rPr>
                <w:kern w:val="0"/>
                <w:sz w:val="20"/>
                <w:szCs w:val="20"/>
              </w:rPr>
            </w:pPr>
          </w:p>
        </w:tc>
        <w:tc>
          <w:tcPr>
            <w:tcW w:w="645" w:type="pct"/>
          </w:tcPr>
          <w:p>
            <w:pPr>
              <w:rPr>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NDBhNzNiZDE1NzEwNDFhM2QwOGQ1ZjY1ODdlMzUifQ=="/>
  </w:docVars>
  <w:rsids>
    <w:rsidRoot w:val="00694056"/>
    <w:rsid w:val="00075022"/>
    <w:rsid w:val="001B245E"/>
    <w:rsid w:val="001C38ED"/>
    <w:rsid w:val="001F1B29"/>
    <w:rsid w:val="00270708"/>
    <w:rsid w:val="002936E6"/>
    <w:rsid w:val="00326756"/>
    <w:rsid w:val="00390D82"/>
    <w:rsid w:val="003A3331"/>
    <w:rsid w:val="00444E1C"/>
    <w:rsid w:val="00453FD4"/>
    <w:rsid w:val="004D770A"/>
    <w:rsid w:val="0055355D"/>
    <w:rsid w:val="00694056"/>
    <w:rsid w:val="00700A3E"/>
    <w:rsid w:val="00776F0C"/>
    <w:rsid w:val="007B5FBE"/>
    <w:rsid w:val="0085622A"/>
    <w:rsid w:val="00930762"/>
    <w:rsid w:val="009D2525"/>
    <w:rsid w:val="00A04F71"/>
    <w:rsid w:val="00A246EB"/>
    <w:rsid w:val="00A54F0D"/>
    <w:rsid w:val="00B977B6"/>
    <w:rsid w:val="00BA3D69"/>
    <w:rsid w:val="00D354E1"/>
    <w:rsid w:val="00D8487E"/>
    <w:rsid w:val="00D957BD"/>
    <w:rsid w:val="00DC0B0B"/>
    <w:rsid w:val="00E638EB"/>
    <w:rsid w:val="00EB18A0"/>
    <w:rsid w:val="00FE2C88"/>
    <w:rsid w:val="36727182"/>
    <w:rsid w:val="537D1662"/>
    <w:rsid w:val="541B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1463</Words>
  <Characters>1485</Characters>
  <Lines>10</Lines>
  <Paragraphs>2</Paragraphs>
  <TotalTime>0</TotalTime>
  <ScaleCrop>false</ScaleCrop>
  <LinksUpToDate>false</LinksUpToDate>
  <CharactersWithSpaces>1495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2022-07-22T07:54:00Z</dcterms:created>
  <dc:creator>Chilan</dc:creator>
  <cp:lastModifiedBy>Administrator</cp:lastModifiedBy>
  <dcterms:modified xsi:type="dcterms:W3CDTF">2023-07-12T08:19:59Z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6D25DDE3DC9D4532A98043D5DC26834A_12</vt:lpwstr>
  </property>
</Properties>
</file>