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附件三 ★商务条款偏离情况表 （“★”号条款为实质性条款，有任何一条负偏离则导致无效投标）。</w:t>
      </w:r>
    </w:p>
    <w:p>
      <w:pPr>
        <w:rPr>
          <w:sz w:val="24"/>
          <w:szCs w:val="24"/>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643"/>
        <w:gridCol w:w="3250"/>
        <w:gridCol w:w="2855"/>
        <w:gridCol w:w="646"/>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01" w:type="pct"/>
          </w:tcPr>
          <w:p>
            <w:pPr>
              <w:jc w:val="center"/>
              <w:rPr>
                <w:kern w:val="0"/>
                <w:sz w:val="20"/>
                <w:szCs w:val="20"/>
              </w:rPr>
            </w:pPr>
            <w:r>
              <w:rPr>
                <w:rFonts w:hint="eastAsia"/>
                <w:kern w:val="0"/>
                <w:sz w:val="20"/>
                <w:szCs w:val="20"/>
              </w:rPr>
              <w:t>序号</w:t>
            </w:r>
          </w:p>
        </w:tc>
        <w:tc>
          <w:tcPr>
            <w:tcW w:w="377" w:type="pct"/>
          </w:tcPr>
          <w:p>
            <w:pPr>
              <w:jc w:val="center"/>
              <w:rPr>
                <w:kern w:val="0"/>
                <w:sz w:val="20"/>
                <w:szCs w:val="20"/>
              </w:rPr>
            </w:pPr>
            <w:r>
              <w:rPr>
                <w:rFonts w:hint="eastAsia"/>
                <w:kern w:val="0"/>
                <w:sz w:val="20"/>
                <w:szCs w:val="20"/>
              </w:rPr>
              <w:t>目录</w:t>
            </w:r>
          </w:p>
        </w:tc>
        <w:tc>
          <w:tcPr>
            <w:tcW w:w="1907" w:type="pct"/>
          </w:tcPr>
          <w:p>
            <w:pPr>
              <w:jc w:val="center"/>
              <w:rPr>
                <w:kern w:val="0"/>
                <w:sz w:val="20"/>
                <w:szCs w:val="20"/>
              </w:rPr>
            </w:pPr>
            <w:r>
              <w:rPr>
                <w:rFonts w:hint="eastAsia"/>
                <w:kern w:val="0"/>
                <w:sz w:val="20"/>
                <w:szCs w:val="20"/>
              </w:rPr>
              <w:t>招标商务条款</w:t>
            </w:r>
          </w:p>
        </w:tc>
        <w:tc>
          <w:tcPr>
            <w:tcW w:w="1675" w:type="pct"/>
          </w:tcPr>
          <w:p>
            <w:pPr>
              <w:jc w:val="center"/>
              <w:rPr>
                <w:kern w:val="0"/>
                <w:sz w:val="20"/>
                <w:szCs w:val="20"/>
              </w:rPr>
            </w:pPr>
            <w:r>
              <w:rPr>
                <w:rFonts w:hint="eastAsia"/>
                <w:kern w:val="0"/>
                <w:sz w:val="20"/>
                <w:szCs w:val="20"/>
              </w:rPr>
              <w:t>投标商务条款</w:t>
            </w:r>
          </w:p>
        </w:tc>
        <w:tc>
          <w:tcPr>
            <w:tcW w:w="379" w:type="pct"/>
          </w:tcPr>
          <w:p>
            <w:pPr>
              <w:jc w:val="center"/>
              <w:rPr>
                <w:kern w:val="0"/>
                <w:sz w:val="20"/>
                <w:szCs w:val="20"/>
              </w:rPr>
            </w:pPr>
            <w:r>
              <w:rPr>
                <w:rFonts w:hint="eastAsia"/>
                <w:kern w:val="0"/>
                <w:sz w:val="20"/>
                <w:szCs w:val="20"/>
              </w:rPr>
              <w:t>偏离情况</w:t>
            </w:r>
          </w:p>
        </w:tc>
        <w:tc>
          <w:tcPr>
            <w:tcW w:w="359" w:type="pct"/>
          </w:tcPr>
          <w:p>
            <w:pPr>
              <w:jc w:val="center"/>
              <w:rPr>
                <w:kern w:val="0"/>
                <w:sz w:val="20"/>
                <w:szCs w:val="20"/>
              </w:rPr>
            </w:pPr>
            <w:r>
              <w:rPr>
                <w:rFonts w:hint="eastAsia"/>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tcPr>
          <w:p>
            <w:pPr>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377" w:type="pct"/>
          </w:tcPr>
          <w:p>
            <w:pPr>
              <w:rPr>
                <w:rFonts w:hint="eastAsia" w:ascii="宋体" w:hAnsi="宋体" w:eastAsia="宋体" w:cs="宋体"/>
                <w:kern w:val="0"/>
                <w:sz w:val="20"/>
                <w:szCs w:val="20"/>
              </w:rPr>
            </w:pPr>
            <w:r>
              <w:rPr>
                <w:rFonts w:hint="eastAsia" w:ascii="宋体" w:hAnsi="宋体" w:eastAsia="宋体" w:cs="宋体"/>
                <w:kern w:val="0"/>
                <w:sz w:val="20"/>
                <w:szCs w:val="20"/>
              </w:rPr>
              <w:t>服务期</w:t>
            </w:r>
          </w:p>
        </w:tc>
        <w:tc>
          <w:tcPr>
            <w:tcW w:w="1907" w:type="pct"/>
          </w:tcPr>
          <w:p>
            <w:pPr>
              <w:rPr>
                <w:rFonts w:hint="eastAsia" w:ascii="宋体" w:hAnsi="宋体" w:eastAsia="宋体" w:cs="宋体"/>
                <w:kern w:val="0"/>
                <w:szCs w:val="21"/>
              </w:rPr>
            </w:pPr>
            <w:r>
              <w:rPr>
                <w:rFonts w:hint="eastAsia" w:ascii="宋体" w:hAnsi="宋体" w:eastAsia="宋体" w:cs="宋体"/>
                <w:kern w:val="0"/>
                <w:szCs w:val="21"/>
              </w:rPr>
              <w:t>自中标之日起-2023年11月18日，会议时间为：2023年11月17日、18日，需在会议前3天完成所有服务准备。</w:t>
            </w:r>
            <w:bookmarkStart w:id="0" w:name="_GoBack"/>
            <w:bookmarkEnd w:id="0"/>
          </w:p>
        </w:tc>
        <w:tc>
          <w:tcPr>
            <w:tcW w:w="1675"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tcPr>
          <w:p>
            <w:pPr>
              <w:jc w:val="center"/>
              <w:rPr>
                <w:rFonts w:hint="eastAsia" w:ascii="宋体" w:hAnsi="宋体" w:eastAsia="宋体" w:cs="宋体"/>
                <w:kern w:val="0"/>
                <w:szCs w:val="21"/>
              </w:rPr>
            </w:pPr>
            <w:r>
              <w:rPr>
                <w:rFonts w:hint="eastAsia" w:ascii="宋体" w:hAnsi="宋体" w:eastAsia="宋体" w:cs="宋体"/>
                <w:kern w:val="0"/>
                <w:szCs w:val="21"/>
              </w:rPr>
              <w:t>2</w:t>
            </w:r>
          </w:p>
        </w:tc>
        <w:tc>
          <w:tcPr>
            <w:tcW w:w="377" w:type="pct"/>
          </w:tcPr>
          <w:p>
            <w:pPr>
              <w:rPr>
                <w:rFonts w:hint="eastAsia" w:ascii="宋体" w:hAnsi="宋体" w:eastAsia="宋体" w:cs="宋体"/>
                <w:kern w:val="0"/>
                <w:szCs w:val="21"/>
              </w:rPr>
            </w:pPr>
            <w:r>
              <w:rPr>
                <w:rFonts w:hint="eastAsia" w:ascii="宋体" w:hAnsi="宋体" w:eastAsia="宋体" w:cs="宋体"/>
                <w:kern w:val="0"/>
                <w:sz w:val="20"/>
                <w:szCs w:val="20"/>
              </w:rPr>
              <w:t>服务要求</w:t>
            </w:r>
          </w:p>
        </w:tc>
        <w:tc>
          <w:tcPr>
            <w:tcW w:w="1907" w:type="pct"/>
          </w:tcPr>
          <w:p>
            <w:pPr>
              <w:rPr>
                <w:rFonts w:hint="eastAsia" w:ascii="宋体" w:hAnsi="宋体" w:eastAsia="宋体" w:cs="宋体"/>
                <w:kern w:val="0"/>
                <w:szCs w:val="21"/>
              </w:rPr>
            </w:pPr>
            <w:r>
              <w:rPr>
                <w:rFonts w:hint="eastAsia" w:ascii="宋体" w:hAnsi="宋体" w:eastAsia="宋体" w:cs="宋体"/>
                <w:kern w:val="0"/>
                <w:szCs w:val="21"/>
              </w:rPr>
              <w:t>1、设计与制作完整，具备一定的传播性和创意性，符合采购人的要求。</w:t>
            </w:r>
          </w:p>
          <w:p>
            <w:pPr>
              <w:rPr>
                <w:rFonts w:hint="eastAsia" w:ascii="宋体" w:hAnsi="宋体" w:eastAsia="宋体" w:cs="宋体"/>
                <w:kern w:val="0"/>
                <w:szCs w:val="21"/>
              </w:rPr>
            </w:pPr>
            <w:r>
              <w:rPr>
                <w:rFonts w:hint="eastAsia" w:ascii="宋体" w:hAnsi="宋体" w:eastAsia="宋体" w:cs="宋体"/>
                <w:kern w:val="0"/>
                <w:szCs w:val="21"/>
              </w:rPr>
              <w:t>2、设计与排版沟通流程通畅，成品中没有产生重大失误。</w:t>
            </w:r>
          </w:p>
          <w:p>
            <w:pPr>
              <w:rPr>
                <w:rFonts w:hint="eastAsia" w:ascii="宋体" w:hAnsi="宋体" w:eastAsia="宋体" w:cs="宋体"/>
                <w:kern w:val="0"/>
                <w:szCs w:val="21"/>
              </w:rPr>
            </w:pPr>
            <w:r>
              <w:rPr>
                <w:rFonts w:hint="eastAsia" w:ascii="宋体" w:hAnsi="宋体" w:eastAsia="宋体" w:cs="宋体"/>
                <w:kern w:val="0"/>
                <w:szCs w:val="21"/>
              </w:rPr>
              <w:t>3、设计中所运用的的内容（包括文字、图片、符号等）知识版权清晰，毫无侵权、越轨、违法违规行为。</w:t>
            </w:r>
          </w:p>
          <w:p>
            <w:pPr>
              <w:rPr>
                <w:rFonts w:hint="eastAsia" w:ascii="宋体" w:hAnsi="宋体" w:eastAsia="宋体" w:cs="宋体"/>
                <w:kern w:val="0"/>
                <w:szCs w:val="21"/>
              </w:rPr>
            </w:pPr>
            <w:r>
              <w:rPr>
                <w:rFonts w:hint="eastAsia" w:ascii="宋体" w:hAnsi="宋体" w:eastAsia="宋体" w:cs="宋体"/>
                <w:kern w:val="0"/>
                <w:szCs w:val="21"/>
              </w:rPr>
              <w:t>4、所有设计与排版需经采购人确认同意后方可制作，如采购人有不满意或者需要修改的地方需修改至采购人满意为止。</w:t>
            </w:r>
          </w:p>
          <w:p>
            <w:pPr>
              <w:rPr>
                <w:rFonts w:hint="eastAsia" w:ascii="宋体" w:hAnsi="宋体" w:eastAsia="宋体" w:cs="宋体"/>
                <w:kern w:val="0"/>
                <w:szCs w:val="21"/>
              </w:rPr>
            </w:pPr>
            <w:r>
              <w:rPr>
                <w:rFonts w:hint="eastAsia" w:ascii="宋体" w:hAnsi="宋体" w:eastAsia="宋体" w:cs="宋体"/>
                <w:kern w:val="0"/>
                <w:szCs w:val="21"/>
              </w:rPr>
              <w:t>5、项目在实施过程中会出现不可预料的需求变更，中标人需积极配合采购人的需求变更，按照变更后的需求继续进行方案实施。如需求变更导致费用增加的，中标人采购人双方应调整其他项目保证总服务费用在成交金额内。</w:t>
            </w:r>
          </w:p>
        </w:tc>
        <w:tc>
          <w:tcPr>
            <w:tcW w:w="1675"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tcPr>
          <w:p>
            <w:pPr>
              <w:jc w:val="distribute"/>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377" w:type="pct"/>
          </w:tcPr>
          <w:p>
            <w:pPr>
              <w:rPr>
                <w:rFonts w:hint="eastAsia" w:ascii="宋体" w:hAnsi="宋体" w:eastAsia="宋体" w:cs="宋体"/>
                <w:kern w:val="0"/>
                <w:sz w:val="20"/>
                <w:szCs w:val="20"/>
              </w:rPr>
            </w:pPr>
            <w:r>
              <w:rPr>
                <w:rFonts w:hint="eastAsia" w:ascii="宋体" w:hAnsi="宋体" w:eastAsia="宋体" w:cs="宋体"/>
                <w:kern w:val="0"/>
                <w:sz w:val="20"/>
                <w:szCs w:val="20"/>
              </w:rPr>
              <w:t>服务地点</w:t>
            </w:r>
          </w:p>
        </w:tc>
        <w:tc>
          <w:tcPr>
            <w:tcW w:w="1907" w:type="pct"/>
          </w:tcPr>
          <w:p>
            <w:pPr>
              <w:rPr>
                <w:rFonts w:hint="eastAsia" w:ascii="宋体" w:hAnsi="宋体" w:eastAsia="宋体" w:cs="宋体"/>
                <w:kern w:val="0"/>
                <w:szCs w:val="21"/>
              </w:rPr>
            </w:pPr>
            <w:r>
              <w:rPr>
                <w:rFonts w:hint="eastAsia" w:ascii="宋体" w:hAnsi="宋体" w:eastAsia="宋体" w:cs="宋体"/>
                <w:kern w:val="0"/>
                <w:szCs w:val="21"/>
              </w:rPr>
              <w:t>深圳市</w:t>
            </w:r>
          </w:p>
        </w:tc>
        <w:tc>
          <w:tcPr>
            <w:tcW w:w="1675"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01" w:type="pct"/>
          </w:tcPr>
          <w:p>
            <w:pPr>
              <w:jc w:val="distribute"/>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377" w:type="pct"/>
          </w:tcPr>
          <w:p>
            <w:pPr>
              <w:rPr>
                <w:rFonts w:hint="eastAsia" w:ascii="宋体" w:hAnsi="宋体" w:eastAsia="宋体" w:cs="宋体"/>
                <w:kern w:val="0"/>
                <w:sz w:val="20"/>
                <w:szCs w:val="20"/>
              </w:rPr>
            </w:pPr>
            <w:r>
              <w:rPr>
                <w:rFonts w:hint="eastAsia" w:ascii="宋体" w:hAnsi="宋体" w:eastAsia="宋体" w:cs="宋体"/>
                <w:kern w:val="0"/>
                <w:sz w:val="20"/>
                <w:szCs w:val="20"/>
              </w:rPr>
              <w:t>报价要求</w:t>
            </w:r>
          </w:p>
        </w:tc>
        <w:tc>
          <w:tcPr>
            <w:tcW w:w="1907" w:type="pct"/>
          </w:tcPr>
          <w:p>
            <w:pPr>
              <w:rPr>
                <w:rFonts w:hint="eastAsia" w:ascii="宋体" w:hAnsi="宋体" w:eastAsia="宋体" w:cs="宋体"/>
                <w:kern w:val="0"/>
                <w:szCs w:val="21"/>
              </w:rPr>
            </w:pPr>
            <w:r>
              <w:rPr>
                <w:rFonts w:hint="eastAsia" w:ascii="宋体" w:hAnsi="宋体" w:eastAsia="宋体" w:cs="宋体"/>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rPr>
                <w:rFonts w:hint="eastAsia" w:ascii="宋体" w:hAnsi="宋体" w:eastAsia="宋体" w:cs="宋体"/>
                <w:kern w:val="0"/>
                <w:szCs w:val="21"/>
              </w:rPr>
            </w:pPr>
            <w:r>
              <w:rPr>
                <w:rFonts w:hint="eastAsia" w:ascii="宋体" w:hAnsi="宋体" w:eastAsia="宋体" w:cs="宋体"/>
                <w:kern w:val="0"/>
                <w:szCs w:val="21"/>
              </w:rPr>
              <w:t>2.投标供应商应当根据本企业的成本自行决定报价，但不得以低于其企业成本的报价投标。</w:t>
            </w:r>
          </w:p>
          <w:p>
            <w:pPr>
              <w:rPr>
                <w:rFonts w:hint="eastAsia" w:ascii="宋体" w:hAnsi="宋体" w:eastAsia="宋体" w:cs="宋体"/>
                <w:b/>
                <w:bCs/>
                <w:kern w:val="0"/>
                <w:szCs w:val="21"/>
              </w:rPr>
            </w:pPr>
            <w:r>
              <w:rPr>
                <w:rFonts w:hint="eastAsia" w:ascii="宋体" w:hAnsi="宋体" w:eastAsia="宋体" w:cs="宋体"/>
                <w:b/>
                <w:bCs/>
                <w:kern w:val="0"/>
                <w:szCs w:val="21"/>
              </w:rPr>
              <w:t>3.投标供应商的报价不得超过项目预算金额。</w:t>
            </w:r>
          </w:p>
          <w:p>
            <w:pPr>
              <w:rPr>
                <w:rFonts w:hint="eastAsia" w:ascii="宋体" w:hAnsi="宋体" w:eastAsia="宋体" w:cs="宋体"/>
                <w:kern w:val="0"/>
                <w:szCs w:val="21"/>
              </w:rPr>
            </w:pPr>
            <w:r>
              <w:rPr>
                <w:rFonts w:hint="eastAsia" w:ascii="宋体" w:hAnsi="宋体" w:eastAsia="宋体" w:cs="宋体"/>
                <w:kern w:val="0"/>
                <w:szCs w:val="21"/>
              </w:rPr>
              <w:t>4.投标供应商的报价，应当是本项目采购范围和采购文件及合同条款上所列的各项内容中所述的全部，不得以任何理由予以重复。</w:t>
            </w:r>
          </w:p>
          <w:p>
            <w:pPr>
              <w:rPr>
                <w:rFonts w:hint="eastAsia" w:ascii="宋体" w:hAnsi="宋体" w:eastAsia="宋体" w:cs="宋体"/>
                <w:kern w:val="0"/>
                <w:szCs w:val="21"/>
              </w:rPr>
            </w:pPr>
            <w:r>
              <w:rPr>
                <w:rFonts w:hint="eastAsia" w:ascii="宋体" w:hAnsi="宋体" w:eastAsia="宋体" w:cs="宋体"/>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rPr>
                <w:rFonts w:hint="eastAsia" w:ascii="宋体" w:hAnsi="宋体" w:eastAsia="宋体" w:cs="宋体"/>
                <w:kern w:val="0"/>
                <w:szCs w:val="21"/>
              </w:rPr>
            </w:pPr>
            <w:r>
              <w:rPr>
                <w:rFonts w:hint="eastAsia" w:ascii="宋体" w:hAnsi="宋体" w:eastAsia="宋体" w:cs="宋体"/>
                <w:kern w:val="0"/>
                <w:szCs w:val="21"/>
              </w:rPr>
              <w:t>6.投标供应商应先到项目地点踏勘以充分了解项目的位置、情况、道路及任何其它足以影响投标报价的情况，任何因忽视或误解项目情况而导致的索赔或服务期限延长申请将不获批准。</w:t>
            </w:r>
          </w:p>
          <w:p>
            <w:pPr>
              <w:rPr>
                <w:rFonts w:hint="eastAsia" w:ascii="宋体" w:hAnsi="宋体" w:eastAsia="宋体" w:cs="宋体"/>
                <w:kern w:val="0"/>
                <w:szCs w:val="21"/>
              </w:rPr>
            </w:pPr>
            <w:r>
              <w:rPr>
                <w:rFonts w:hint="eastAsia" w:ascii="宋体" w:hAnsi="宋体" w:eastAsia="宋体" w:cs="宋体"/>
                <w:kern w:val="0"/>
                <w:szCs w:val="21"/>
              </w:rPr>
              <w:t>7.投标供应商不得期望通过索赔等方式获取补偿，否则，除可能遭到拒绝外，还可能将被作为不良行为记录在案，并可能影响其以后参加政府采购的项目投标。各投标供应商在报价时，应充分考虑报价的风险。</w:t>
            </w:r>
          </w:p>
        </w:tc>
        <w:tc>
          <w:tcPr>
            <w:tcW w:w="1675"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01" w:type="pct"/>
          </w:tcPr>
          <w:p>
            <w:pP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377" w:type="pct"/>
          </w:tcPr>
          <w:p>
            <w:pPr>
              <w:rPr>
                <w:rFonts w:hint="eastAsia" w:ascii="宋体" w:hAnsi="宋体" w:eastAsia="宋体" w:cs="宋体"/>
                <w:kern w:val="0"/>
                <w:sz w:val="20"/>
                <w:szCs w:val="20"/>
              </w:rPr>
            </w:pPr>
            <w:r>
              <w:rPr>
                <w:rFonts w:hint="eastAsia" w:ascii="宋体" w:hAnsi="宋体" w:eastAsia="宋体" w:cs="宋体"/>
                <w:kern w:val="0"/>
                <w:sz w:val="20"/>
                <w:szCs w:val="20"/>
              </w:rPr>
              <w:t>付款方式</w:t>
            </w:r>
          </w:p>
        </w:tc>
        <w:tc>
          <w:tcPr>
            <w:tcW w:w="1907" w:type="pct"/>
          </w:tcPr>
          <w:p>
            <w:pPr>
              <w:rPr>
                <w:rFonts w:hint="eastAsia" w:ascii="宋体" w:hAnsi="宋体" w:eastAsia="宋体" w:cs="宋体"/>
                <w:kern w:val="0"/>
                <w:szCs w:val="21"/>
              </w:rPr>
            </w:pPr>
            <w:r>
              <w:rPr>
                <w:rFonts w:hint="eastAsia" w:ascii="宋体" w:hAnsi="宋体" w:eastAsia="宋体" w:cs="宋体"/>
                <w:kern w:val="0"/>
                <w:szCs w:val="21"/>
              </w:rPr>
              <w:t>采购人在收到所有服务成果后，中标人向采购人提供成交总金额发票，采购人收到发票后进行付款。</w:t>
            </w:r>
          </w:p>
        </w:tc>
        <w:tc>
          <w:tcPr>
            <w:tcW w:w="1675"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tcPr>
          <w:p>
            <w:pP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377" w:type="pct"/>
          </w:tcPr>
          <w:p>
            <w:pPr>
              <w:rPr>
                <w:rFonts w:hint="eastAsia" w:ascii="宋体" w:hAnsi="宋体" w:eastAsia="宋体" w:cs="宋体"/>
                <w:kern w:val="0"/>
                <w:sz w:val="20"/>
                <w:szCs w:val="20"/>
              </w:rPr>
            </w:pPr>
            <w:r>
              <w:rPr>
                <w:rFonts w:hint="eastAsia" w:ascii="宋体" w:hAnsi="宋体" w:eastAsia="宋体" w:cs="宋体"/>
                <w:kern w:val="0"/>
                <w:sz w:val="20"/>
                <w:szCs w:val="20"/>
              </w:rPr>
              <w:t>违约责任</w:t>
            </w:r>
          </w:p>
        </w:tc>
        <w:tc>
          <w:tcPr>
            <w:tcW w:w="1907" w:type="pct"/>
          </w:tcPr>
          <w:p>
            <w:pPr>
              <w:rPr>
                <w:rFonts w:hint="eastAsia" w:ascii="宋体" w:hAnsi="宋体" w:eastAsia="宋体" w:cs="宋体"/>
                <w:kern w:val="0"/>
                <w:szCs w:val="21"/>
              </w:rPr>
            </w:pPr>
            <w:r>
              <w:rPr>
                <w:rFonts w:hint="eastAsia" w:ascii="宋体" w:hAnsi="宋体" w:eastAsia="宋体" w:cs="宋体"/>
                <w:kern w:val="0"/>
                <w:szCs w:val="21"/>
              </w:rPr>
              <w:t>若中标供应商无法在约定时间内完成合同与招投标文件的商务需求，或超出答复时间仍不履行的，视为中标供应商违约；中标供应商应当向采购人承担合同总价款30%违约赔偿责任，且采购人有权解除合同。若中标供应商违约赔偿款不足以弥补采购人损失的，采购人有权要求中标供应商补足损失。</w:t>
            </w:r>
          </w:p>
        </w:tc>
        <w:tc>
          <w:tcPr>
            <w:tcW w:w="1675"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bl>
    <w:p>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1、偏离情况一栏请填入“正偏离/无偏离/负偏离”。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ZDE3OTQ4OTFmNGU5MmYzNzVlYzA4YjY4NzhhMTUifQ=="/>
  </w:docVars>
  <w:rsids>
    <w:rsidRoot w:val="00694056"/>
    <w:rsid w:val="000A57FF"/>
    <w:rsid w:val="001D6E11"/>
    <w:rsid w:val="00270708"/>
    <w:rsid w:val="00316D5E"/>
    <w:rsid w:val="00390D82"/>
    <w:rsid w:val="003A3331"/>
    <w:rsid w:val="00481D51"/>
    <w:rsid w:val="004A2289"/>
    <w:rsid w:val="004D770A"/>
    <w:rsid w:val="005A5DA5"/>
    <w:rsid w:val="00634E50"/>
    <w:rsid w:val="00694056"/>
    <w:rsid w:val="006F72F3"/>
    <w:rsid w:val="007820FA"/>
    <w:rsid w:val="00795368"/>
    <w:rsid w:val="00836DCC"/>
    <w:rsid w:val="0085622A"/>
    <w:rsid w:val="008C0BEF"/>
    <w:rsid w:val="009A1E78"/>
    <w:rsid w:val="009D2525"/>
    <w:rsid w:val="00A04F71"/>
    <w:rsid w:val="00A246EB"/>
    <w:rsid w:val="00A54F0D"/>
    <w:rsid w:val="00A62B9B"/>
    <w:rsid w:val="00B77CCE"/>
    <w:rsid w:val="00B84B66"/>
    <w:rsid w:val="00BA3D69"/>
    <w:rsid w:val="00C915D1"/>
    <w:rsid w:val="00C949ED"/>
    <w:rsid w:val="00D957BD"/>
    <w:rsid w:val="00E638EB"/>
    <w:rsid w:val="00EB18A0"/>
    <w:rsid w:val="00EC605D"/>
    <w:rsid w:val="00FE2C88"/>
    <w:rsid w:val="06A12660"/>
    <w:rsid w:val="08871D2A"/>
    <w:rsid w:val="09AF2373"/>
    <w:rsid w:val="0A8D3E3D"/>
    <w:rsid w:val="121A2353"/>
    <w:rsid w:val="12831CA9"/>
    <w:rsid w:val="1C3433ED"/>
    <w:rsid w:val="240510B5"/>
    <w:rsid w:val="4FF1145F"/>
    <w:rsid w:val="5144296E"/>
    <w:rsid w:val="51AC406F"/>
    <w:rsid w:val="54564D1F"/>
    <w:rsid w:val="567333AD"/>
    <w:rsid w:val="58D55B45"/>
    <w:rsid w:val="5AB602E7"/>
    <w:rsid w:val="642A4C48"/>
    <w:rsid w:val="6F7A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2</Pages>
  <Words>172</Words>
  <Characters>981</Characters>
  <Lines>8</Lines>
  <Paragraphs>2</Paragraphs>
  <TotalTime>0</TotalTime>
  <ScaleCrop>false</ScaleCrop>
  <LinksUpToDate>false</LinksUpToDate>
  <CharactersWithSpaces>1151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2022-07-22T07:54:00Z</dcterms:created>
  <dc:creator>Chilan</dc:creator>
  <cp:lastModifiedBy>cgzx</cp:lastModifiedBy>
  <dcterms:modified xsi:type="dcterms:W3CDTF">2023-11-02T07:01:22Z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C58D9F7532984385BF6EA5D356CF6B9B_12</vt:lpwstr>
  </property>
</Properties>
</file>