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95" w:rsidRDefault="003A3331" w:rsidP="00177095">
      <w:pPr>
        <w:jc w:val="left"/>
        <w:rPr>
          <w:sz w:val="24"/>
          <w:szCs w:val="24"/>
        </w:rPr>
      </w:pPr>
      <w:r w:rsidRPr="00DC2765">
        <w:rPr>
          <w:rFonts w:hint="eastAsia"/>
          <w:sz w:val="24"/>
          <w:szCs w:val="24"/>
        </w:rPr>
        <w:t>附件三</w:t>
      </w:r>
      <w:r w:rsidRPr="00DC2765">
        <w:rPr>
          <w:sz w:val="24"/>
          <w:szCs w:val="24"/>
        </w:rPr>
        <w:t xml:space="preserve"> </w:t>
      </w:r>
      <w:r w:rsidRPr="00DC2765">
        <w:rPr>
          <w:rFonts w:hint="eastAsia"/>
          <w:sz w:val="24"/>
          <w:szCs w:val="24"/>
        </w:rPr>
        <w:t>商务条款偏离情况表</w:t>
      </w:r>
      <w:r w:rsidR="00177095" w:rsidRPr="003E34DB">
        <w:rPr>
          <w:rFonts w:ascii="宋体" w:hAnsi="宋体" w:cs="宋体"/>
          <w:color w:val="333333"/>
          <w:kern w:val="0"/>
          <w:sz w:val="24"/>
          <w:szCs w:val="24"/>
        </w:rPr>
        <w:t>(</w:t>
      </w:r>
      <w:r w:rsidR="00177095">
        <w:rPr>
          <w:rFonts w:ascii="宋体" w:hAnsi="宋体" w:cs="宋体" w:hint="eastAsia"/>
          <w:color w:val="333333"/>
          <w:kern w:val="0"/>
          <w:sz w:val="24"/>
          <w:szCs w:val="24"/>
        </w:rPr>
        <w:t>所有</w:t>
      </w:r>
      <w:r w:rsidR="00177095">
        <w:rPr>
          <w:rFonts w:ascii="宋体" w:hAnsi="宋体" w:cs="宋体" w:hint="eastAsia"/>
          <w:color w:val="333333"/>
          <w:kern w:val="0"/>
          <w:sz w:val="24"/>
          <w:szCs w:val="24"/>
        </w:rPr>
        <w:t>商务</w:t>
      </w:r>
      <w:r w:rsidR="00177095">
        <w:rPr>
          <w:rFonts w:ascii="宋体" w:hAnsi="宋体" w:cs="宋体" w:hint="eastAsia"/>
          <w:color w:val="333333"/>
          <w:kern w:val="0"/>
          <w:sz w:val="24"/>
          <w:szCs w:val="24"/>
        </w:rPr>
        <w:t>条款均为</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实质性条款</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有任何一条负偏离将导致无效投标</w:t>
      </w:r>
      <w:r w:rsidR="00177095" w:rsidRPr="003E34DB">
        <w:rPr>
          <w:rFonts w:ascii="宋体" w:hAnsi="宋体" w:cs="宋体"/>
          <w:color w:val="333333"/>
          <w:kern w:val="0"/>
          <w:sz w:val="24"/>
          <w:szCs w:val="24"/>
        </w:rPr>
        <w:t>)</w:t>
      </w:r>
    </w:p>
    <w:p w:rsidR="003A3331" w:rsidRPr="00177095" w:rsidRDefault="003A3331" w:rsidP="003A3331">
      <w:pPr>
        <w:rPr>
          <w:sz w:val="24"/>
          <w:szCs w:val="24"/>
        </w:rPr>
      </w:pPr>
    </w:p>
    <w:tbl>
      <w:tblPr>
        <w:tblStyle w:val="a7"/>
        <w:tblW w:w="9923" w:type="dxa"/>
        <w:tblInd w:w="-856" w:type="dxa"/>
        <w:tblLook w:val="04A0" w:firstRow="1" w:lastRow="0" w:firstColumn="1" w:lastColumn="0" w:noHBand="0" w:noVBand="1"/>
      </w:tblPr>
      <w:tblGrid>
        <w:gridCol w:w="851"/>
        <w:gridCol w:w="1560"/>
        <w:gridCol w:w="4110"/>
        <w:gridCol w:w="1748"/>
        <w:gridCol w:w="1654"/>
      </w:tblGrid>
      <w:tr w:rsidR="006F72F3" w:rsidTr="00177095">
        <w:trPr>
          <w:trHeight w:val="452"/>
        </w:trPr>
        <w:tc>
          <w:tcPr>
            <w:tcW w:w="851"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序号</w:t>
            </w:r>
          </w:p>
        </w:tc>
        <w:tc>
          <w:tcPr>
            <w:tcW w:w="1560"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目录</w:t>
            </w:r>
          </w:p>
        </w:tc>
        <w:tc>
          <w:tcPr>
            <w:tcW w:w="4110"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招标商务条款</w:t>
            </w:r>
          </w:p>
        </w:tc>
        <w:tc>
          <w:tcPr>
            <w:tcW w:w="1748" w:type="dxa"/>
          </w:tcPr>
          <w:p w:rsidR="003A3331" w:rsidRPr="00177095" w:rsidRDefault="00316D5E" w:rsidP="00177095">
            <w:pPr>
              <w:jc w:val="center"/>
              <w:rPr>
                <w:rFonts w:ascii="宋体" w:hAnsi="宋体" w:cs="宋体"/>
                <w:color w:val="333333"/>
                <w:sz w:val="24"/>
                <w:szCs w:val="24"/>
              </w:rPr>
            </w:pPr>
            <w:r w:rsidRPr="00177095">
              <w:rPr>
                <w:rFonts w:ascii="宋体" w:hAnsi="宋体" w:cs="宋体" w:hint="eastAsia"/>
                <w:color w:val="333333"/>
                <w:sz w:val="24"/>
                <w:szCs w:val="24"/>
              </w:rPr>
              <w:t>投标商务条款</w:t>
            </w:r>
          </w:p>
        </w:tc>
        <w:tc>
          <w:tcPr>
            <w:tcW w:w="1654"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偏离情况</w:t>
            </w:r>
          </w:p>
        </w:tc>
      </w:tr>
      <w:tr w:rsidR="00177095" w:rsidTr="003B5D64">
        <w:trPr>
          <w:trHeight w:val="739"/>
        </w:trPr>
        <w:tc>
          <w:tcPr>
            <w:tcW w:w="851" w:type="dxa"/>
            <w:vAlign w:val="center"/>
          </w:tcPr>
          <w:p w:rsidR="00177095" w:rsidRDefault="00177095" w:rsidP="00177095">
            <w:pPr>
              <w:jc w:val="center"/>
              <w:rPr>
                <w:rFonts w:ascii="宋体" w:hAnsi="宋体" w:cs="宋体"/>
                <w:szCs w:val="21"/>
              </w:rPr>
            </w:pPr>
            <w:r>
              <w:rPr>
                <w:rFonts w:ascii="宋体" w:hAnsi="宋体" w:cs="宋体" w:hint="eastAsia"/>
                <w:szCs w:val="21"/>
              </w:rPr>
              <w:t>1</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交货时间</w:t>
            </w:r>
          </w:p>
        </w:tc>
        <w:tc>
          <w:tcPr>
            <w:tcW w:w="4110" w:type="dxa"/>
          </w:tcPr>
          <w:p w:rsidR="00177095" w:rsidRPr="00177095" w:rsidRDefault="00177095" w:rsidP="00177095">
            <w:pPr>
              <w:widowControl/>
              <w:spacing w:line="360" w:lineRule="auto"/>
              <w:rPr>
                <w:rFonts w:ascii="Times New Roman" w:hAnsi="Times New Roman"/>
                <w:szCs w:val="24"/>
              </w:rPr>
            </w:pPr>
            <w:r>
              <w:rPr>
                <w:rFonts w:ascii="Times New Roman" w:hAnsi="Times New Roman"/>
                <w:szCs w:val="24"/>
              </w:rPr>
              <w:t>合同签订后，接到采购人通知之日起</w:t>
            </w:r>
            <w:r w:rsidRPr="00177095">
              <w:rPr>
                <w:rFonts w:ascii="Times New Roman" w:hAnsi="Times New Roman"/>
                <w:szCs w:val="24"/>
              </w:rPr>
              <w:t xml:space="preserve"> </w:t>
            </w:r>
            <w:r w:rsidRPr="00177095">
              <w:rPr>
                <w:rFonts w:ascii="Times New Roman" w:hAnsi="Times New Roman" w:hint="eastAsia"/>
                <w:szCs w:val="24"/>
              </w:rPr>
              <w:t>30</w:t>
            </w:r>
            <w:r w:rsidRPr="00177095">
              <w:rPr>
                <w:rFonts w:ascii="Times New Roman" w:hAnsi="Times New Roman"/>
                <w:szCs w:val="24"/>
              </w:rPr>
              <w:t xml:space="preserve"> </w:t>
            </w:r>
            <w:proofErr w:type="gramStart"/>
            <w:r>
              <w:rPr>
                <w:rFonts w:ascii="Times New Roman" w:hAnsi="Times New Roman"/>
                <w:szCs w:val="24"/>
              </w:rPr>
              <w:t>个</w:t>
            </w:r>
            <w:proofErr w:type="gramEnd"/>
            <w:r>
              <w:rPr>
                <w:rFonts w:ascii="Times New Roman" w:hAnsi="Times New Roman"/>
                <w:szCs w:val="24"/>
              </w:rPr>
              <w:t>日历日内在采购人指定地点安装调试完毕。</w:t>
            </w:r>
          </w:p>
        </w:tc>
        <w:tc>
          <w:tcPr>
            <w:tcW w:w="1748" w:type="dxa"/>
          </w:tcPr>
          <w:p w:rsidR="00177095" w:rsidRDefault="00177095" w:rsidP="00177095"/>
        </w:tc>
        <w:tc>
          <w:tcPr>
            <w:tcW w:w="1654" w:type="dxa"/>
          </w:tcPr>
          <w:p w:rsidR="00177095" w:rsidRDefault="00177095" w:rsidP="00177095"/>
        </w:tc>
      </w:tr>
      <w:tr w:rsidR="00177095" w:rsidTr="00867432">
        <w:trPr>
          <w:trHeight w:val="4212"/>
        </w:trPr>
        <w:tc>
          <w:tcPr>
            <w:tcW w:w="851" w:type="dxa"/>
            <w:vAlign w:val="center"/>
          </w:tcPr>
          <w:p w:rsidR="00177095" w:rsidRDefault="00177095" w:rsidP="00177095">
            <w:pPr>
              <w:jc w:val="center"/>
              <w:rPr>
                <w:rFonts w:ascii="宋体" w:hAnsi="宋体" w:cs="宋体"/>
                <w:szCs w:val="21"/>
              </w:rPr>
            </w:pPr>
            <w:r>
              <w:rPr>
                <w:rFonts w:ascii="宋体" w:hAnsi="宋体" w:cs="宋体" w:hint="eastAsia"/>
                <w:szCs w:val="21"/>
              </w:rPr>
              <w:t>2</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质保期</w:t>
            </w:r>
          </w:p>
          <w:p w:rsidR="00177095" w:rsidRDefault="00177095" w:rsidP="00177095">
            <w:pPr>
              <w:jc w:val="left"/>
              <w:rPr>
                <w:rFonts w:ascii="宋体" w:hAnsi="宋体" w:cs="宋体"/>
                <w:color w:val="000000"/>
                <w:szCs w:val="21"/>
              </w:rPr>
            </w:pPr>
          </w:p>
        </w:tc>
        <w:tc>
          <w:tcPr>
            <w:tcW w:w="4110" w:type="dxa"/>
          </w:tcPr>
          <w:p w:rsidR="00177095" w:rsidRDefault="00177095" w:rsidP="00177095">
            <w:pPr>
              <w:widowControl/>
              <w:spacing w:line="360" w:lineRule="auto"/>
              <w:rPr>
                <w:rFonts w:ascii="Times New Roman" w:hAnsi="Times New Roman"/>
                <w:szCs w:val="24"/>
              </w:rPr>
            </w:pPr>
            <w:proofErr w:type="gramStart"/>
            <w:r w:rsidRPr="00177095">
              <w:rPr>
                <w:rFonts w:ascii="Times New Roman" w:hAnsi="Times New Roman" w:hint="eastAsia"/>
                <w:szCs w:val="24"/>
              </w:rPr>
              <w:t>自项目</w:t>
            </w:r>
            <w:proofErr w:type="gramEnd"/>
            <w:r>
              <w:rPr>
                <w:rFonts w:ascii="Times New Roman" w:hAnsi="Times New Roman"/>
                <w:szCs w:val="24"/>
              </w:rPr>
              <w:t>验收合格</w:t>
            </w:r>
            <w:r w:rsidRPr="00177095">
              <w:rPr>
                <w:rFonts w:ascii="Times New Roman" w:hAnsi="Times New Roman" w:hint="eastAsia"/>
                <w:szCs w:val="24"/>
              </w:rPr>
              <w:t>之日起，提供为期一年的软件维护服务，包括但不限于软件故障修复、软件升级（非重大功能变更）等。</w:t>
            </w:r>
          </w:p>
          <w:p w:rsidR="00177095" w:rsidRPr="00177095" w:rsidRDefault="00177095" w:rsidP="00177095">
            <w:pPr>
              <w:spacing w:line="360" w:lineRule="auto"/>
              <w:rPr>
                <w:rFonts w:ascii="Times New Roman" w:hAnsi="Times New Roman"/>
                <w:szCs w:val="24"/>
              </w:rPr>
            </w:pPr>
            <w:r w:rsidRPr="00177095">
              <w:rPr>
                <w:rFonts w:ascii="Times New Roman" w:hAnsi="Times New Roman" w:hint="eastAsia"/>
                <w:szCs w:val="24"/>
              </w:rPr>
              <w:t>硬件质保期：</w:t>
            </w:r>
            <w:proofErr w:type="gramStart"/>
            <w:r w:rsidRPr="00177095">
              <w:rPr>
                <w:rFonts w:ascii="Times New Roman" w:hAnsi="Times New Roman" w:hint="eastAsia"/>
                <w:szCs w:val="24"/>
              </w:rPr>
              <w:t>自项目</w:t>
            </w:r>
            <w:proofErr w:type="gramEnd"/>
            <w:r w:rsidRPr="00177095">
              <w:rPr>
                <w:rFonts w:ascii="Times New Roman" w:hAnsi="Times New Roman" w:hint="eastAsia"/>
                <w:szCs w:val="24"/>
              </w:rPr>
              <w:t>验收合格之日起，提供为期一年的硬件保修服务，涵盖所有提供的硬件设备（如医疗舱摄像头、车载智能终端、监护仪设备采集盒等），在此期间内，如因非人为因素导致的硬件故障，供应商应负责免费维修或更换。</w:t>
            </w:r>
          </w:p>
        </w:tc>
        <w:tc>
          <w:tcPr>
            <w:tcW w:w="1748" w:type="dxa"/>
          </w:tcPr>
          <w:p w:rsidR="00177095" w:rsidRPr="00270708" w:rsidRDefault="00177095" w:rsidP="00177095">
            <w:bookmarkStart w:id="0" w:name="_GoBack"/>
            <w:bookmarkEnd w:id="0"/>
          </w:p>
        </w:tc>
        <w:tc>
          <w:tcPr>
            <w:tcW w:w="1654" w:type="dxa"/>
          </w:tcPr>
          <w:p w:rsidR="00177095" w:rsidRDefault="00177095" w:rsidP="00177095"/>
        </w:tc>
      </w:tr>
      <w:tr w:rsidR="00177095" w:rsidTr="00177095">
        <w:trPr>
          <w:trHeight w:val="739"/>
        </w:trPr>
        <w:tc>
          <w:tcPr>
            <w:tcW w:w="851" w:type="dxa"/>
            <w:vAlign w:val="center"/>
          </w:tcPr>
          <w:p w:rsidR="00177095" w:rsidRDefault="00177095" w:rsidP="00177095">
            <w:pPr>
              <w:jc w:val="center"/>
              <w:rPr>
                <w:rFonts w:ascii="宋体" w:hAnsi="宋体" w:cs="宋体"/>
                <w:szCs w:val="21"/>
              </w:rPr>
            </w:pPr>
            <w:r>
              <w:rPr>
                <w:rFonts w:ascii="宋体" w:hAnsi="宋体" w:cs="宋体"/>
                <w:szCs w:val="21"/>
              </w:rPr>
              <w:t>3</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交货地点</w:t>
            </w:r>
          </w:p>
        </w:tc>
        <w:tc>
          <w:tcPr>
            <w:tcW w:w="4110" w:type="dxa"/>
            <w:vAlign w:val="center"/>
          </w:tcPr>
          <w:p w:rsidR="00177095" w:rsidRPr="00177095" w:rsidRDefault="00177095" w:rsidP="00177095">
            <w:pPr>
              <w:widowControl/>
              <w:spacing w:line="360" w:lineRule="auto"/>
              <w:rPr>
                <w:rFonts w:ascii="Times New Roman" w:hAnsi="Times New Roman"/>
                <w:szCs w:val="24"/>
              </w:rPr>
            </w:pPr>
            <w:r w:rsidRPr="00177095">
              <w:rPr>
                <w:rFonts w:ascii="Times New Roman" w:hAnsi="Times New Roman" w:hint="eastAsia"/>
                <w:szCs w:val="24"/>
              </w:rPr>
              <w:t>中山七院</w:t>
            </w:r>
          </w:p>
        </w:tc>
        <w:tc>
          <w:tcPr>
            <w:tcW w:w="1748" w:type="dxa"/>
          </w:tcPr>
          <w:p w:rsidR="00177095" w:rsidRDefault="00177095" w:rsidP="00177095"/>
        </w:tc>
        <w:tc>
          <w:tcPr>
            <w:tcW w:w="1654" w:type="dxa"/>
          </w:tcPr>
          <w:p w:rsidR="00177095" w:rsidRDefault="00177095" w:rsidP="00177095"/>
        </w:tc>
      </w:tr>
      <w:tr w:rsidR="00177095" w:rsidTr="003B5D64">
        <w:trPr>
          <w:trHeight w:val="739"/>
        </w:trPr>
        <w:tc>
          <w:tcPr>
            <w:tcW w:w="851" w:type="dxa"/>
            <w:vAlign w:val="center"/>
          </w:tcPr>
          <w:p w:rsidR="00177095" w:rsidRDefault="00177095" w:rsidP="00177095">
            <w:pPr>
              <w:jc w:val="center"/>
              <w:rPr>
                <w:rFonts w:ascii="宋体" w:hAnsi="宋体" w:cs="宋体"/>
                <w:szCs w:val="21"/>
              </w:rPr>
            </w:pPr>
            <w:r>
              <w:rPr>
                <w:rFonts w:ascii="宋体" w:hAnsi="宋体" w:cs="宋体"/>
                <w:szCs w:val="21"/>
              </w:rPr>
              <w:t>4</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hint="eastAsia"/>
                <w:szCs w:val="24"/>
              </w:rPr>
              <w:t>付款</w:t>
            </w:r>
            <w:r>
              <w:rPr>
                <w:rFonts w:ascii="Times New Roman" w:hAnsi="Times New Roman"/>
                <w:szCs w:val="24"/>
              </w:rPr>
              <w:t>方式</w:t>
            </w:r>
          </w:p>
        </w:tc>
        <w:tc>
          <w:tcPr>
            <w:tcW w:w="4110" w:type="dxa"/>
          </w:tcPr>
          <w:p w:rsidR="00177095" w:rsidRDefault="00177095" w:rsidP="00177095">
            <w:pPr>
              <w:widowControl/>
              <w:spacing w:line="360" w:lineRule="auto"/>
              <w:rPr>
                <w:rFonts w:ascii="Times New Roman" w:hAnsi="Times New Roman"/>
                <w:szCs w:val="24"/>
              </w:rPr>
            </w:pPr>
            <w:r>
              <w:rPr>
                <w:rFonts w:ascii="Times New Roman" w:hAnsi="Times New Roman" w:hint="eastAsia"/>
                <w:szCs w:val="24"/>
              </w:rPr>
              <w:t>验收</w:t>
            </w:r>
            <w:proofErr w:type="gramStart"/>
            <w:r>
              <w:rPr>
                <w:rFonts w:ascii="Times New Roman" w:hAnsi="Times New Roman" w:hint="eastAsia"/>
                <w:szCs w:val="24"/>
              </w:rPr>
              <w:t>收</w:t>
            </w:r>
            <w:proofErr w:type="gramEnd"/>
            <w:r>
              <w:rPr>
                <w:rFonts w:ascii="Times New Roman" w:hAnsi="Times New Roman" w:hint="eastAsia"/>
                <w:szCs w:val="24"/>
              </w:rPr>
              <w:t>流程：</w:t>
            </w:r>
            <w:r>
              <w:rPr>
                <w:rFonts w:ascii="Times New Roman" w:hAnsi="Times New Roman" w:hint="eastAsia"/>
                <w:szCs w:val="24"/>
              </w:rPr>
              <w:t>1.</w:t>
            </w:r>
            <w:r>
              <w:rPr>
                <w:rFonts w:ascii="Times New Roman" w:hAnsi="Times New Roman"/>
                <w:szCs w:val="24"/>
              </w:rPr>
              <w:t xml:space="preserve"> </w:t>
            </w:r>
            <w:r>
              <w:rPr>
                <w:rFonts w:ascii="Times New Roman" w:hAnsi="Times New Roman"/>
                <w:szCs w:val="24"/>
              </w:rPr>
              <w:t>中</w:t>
            </w:r>
            <w:r>
              <w:rPr>
                <w:rFonts w:ascii="Times New Roman" w:hAnsi="Times New Roman" w:hint="eastAsia"/>
                <w:szCs w:val="24"/>
              </w:rPr>
              <w:t> </w:t>
            </w:r>
            <w:r>
              <w:rPr>
                <w:rFonts w:ascii="Times New Roman" w:hAnsi="Times New Roman" w:hint="eastAsia"/>
                <w:szCs w:val="24"/>
              </w:rPr>
              <w:t>标人完成救护车改造服务后，需提前</w:t>
            </w:r>
            <w:r>
              <w:rPr>
                <w:rFonts w:ascii="Times New Roman" w:hAnsi="Times New Roman" w:hint="eastAsia"/>
                <w:szCs w:val="24"/>
              </w:rPr>
              <w:t>5</w:t>
            </w:r>
            <w:r>
              <w:rPr>
                <w:rFonts w:ascii="Times New Roman" w:hAnsi="Times New Roman" w:hint="eastAsia"/>
                <w:szCs w:val="24"/>
              </w:rPr>
              <w:t>个工作日书面通知采购人进行验收。</w:t>
            </w:r>
            <w:r>
              <w:rPr>
                <w:rFonts w:ascii="Times New Roman" w:hAnsi="Times New Roman" w:hint="eastAsia"/>
                <w:szCs w:val="24"/>
              </w:rPr>
              <w:t xml:space="preserve">2. </w:t>
            </w:r>
            <w:r>
              <w:rPr>
                <w:rFonts w:ascii="Times New Roman" w:hAnsi="Times New Roman" w:hint="eastAsia"/>
                <w:szCs w:val="24"/>
              </w:rPr>
              <w:t>采购人接到通知后，将组织相关人员依据项目内容和进度共同实施验收工作。</w:t>
            </w:r>
            <w:r>
              <w:rPr>
                <w:rFonts w:ascii="Times New Roman" w:hAnsi="Times New Roman" w:hint="eastAsia"/>
                <w:szCs w:val="24"/>
              </w:rPr>
              <w:t xml:space="preserve">3. </w:t>
            </w:r>
            <w:r>
              <w:rPr>
                <w:rFonts w:ascii="Times New Roman" w:hAnsi="Times New Roman" w:hint="eastAsia"/>
                <w:szCs w:val="24"/>
              </w:rPr>
              <w:t>验收过程中，中标人需提供必要的测试工具、文档和技术支持。</w:t>
            </w:r>
          </w:p>
          <w:p w:rsidR="00177095" w:rsidRPr="00177095" w:rsidRDefault="00177095" w:rsidP="00177095">
            <w:pPr>
              <w:widowControl/>
              <w:spacing w:line="360" w:lineRule="auto"/>
              <w:rPr>
                <w:rFonts w:ascii="Times New Roman" w:hAnsi="Times New Roman"/>
                <w:szCs w:val="24"/>
              </w:rPr>
            </w:pPr>
            <w:r>
              <w:rPr>
                <w:rFonts w:ascii="Times New Roman" w:hAnsi="Times New Roman" w:hint="eastAsia"/>
                <w:szCs w:val="24"/>
              </w:rPr>
              <w:t>验收标准：</w:t>
            </w:r>
            <w:r>
              <w:rPr>
                <w:rFonts w:ascii="Times New Roman" w:hAnsi="Times New Roman" w:hint="eastAsia"/>
                <w:szCs w:val="24"/>
              </w:rPr>
              <w:t xml:space="preserve">1. </w:t>
            </w:r>
            <w:r>
              <w:rPr>
                <w:rFonts w:ascii="Times New Roman" w:hAnsi="Times New Roman" w:hint="eastAsia"/>
                <w:szCs w:val="24"/>
              </w:rPr>
              <w:t>所有改造设备</w:t>
            </w:r>
            <w:proofErr w:type="gramStart"/>
            <w:r>
              <w:rPr>
                <w:rFonts w:ascii="Times New Roman" w:hAnsi="Times New Roman" w:hint="eastAsia"/>
                <w:szCs w:val="24"/>
              </w:rPr>
              <w:t>需正常</w:t>
            </w:r>
            <w:proofErr w:type="gramEnd"/>
            <w:r>
              <w:rPr>
                <w:rFonts w:ascii="Times New Roman" w:hAnsi="Times New Roman" w:hint="eastAsia"/>
                <w:szCs w:val="24"/>
              </w:rPr>
              <w:t>运行，功能符合招标参数要求。</w:t>
            </w:r>
            <w:r>
              <w:rPr>
                <w:rFonts w:ascii="Times New Roman" w:hAnsi="Times New Roman" w:hint="eastAsia"/>
                <w:szCs w:val="24"/>
              </w:rPr>
              <w:t xml:space="preserve">2. </w:t>
            </w:r>
            <w:r>
              <w:rPr>
                <w:rFonts w:ascii="Times New Roman" w:hAnsi="Times New Roman" w:hint="eastAsia"/>
                <w:szCs w:val="24"/>
              </w:rPr>
              <w:t>车载监护仪、心电设备、摄像头等数据需准确、实时回传至院前急救会诊系统，远程会诊功能正常。</w:t>
            </w:r>
            <w:r>
              <w:rPr>
                <w:rFonts w:ascii="Times New Roman" w:hAnsi="Times New Roman" w:hint="eastAsia"/>
                <w:szCs w:val="24"/>
              </w:rPr>
              <w:t xml:space="preserve">3. </w:t>
            </w:r>
            <w:r>
              <w:rPr>
                <w:rFonts w:ascii="Times New Roman" w:hAnsi="Times New Roman" w:hint="eastAsia"/>
                <w:szCs w:val="24"/>
              </w:rPr>
              <w:t>救护车运行轨迹，车载监护仪、摄像头并能在院内大屏综合展示。</w:t>
            </w:r>
            <w:r>
              <w:rPr>
                <w:rFonts w:ascii="Times New Roman" w:hAnsi="Times New Roman" w:hint="eastAsia"/>
                <w:szCs w:val="24"/>
              </w:rPr>
              <w:t>4.</w:t>
            </w:r>
            <w:r>
              <w:rPr>
                <w:rFonts w:ascii="Times New Roman" w:hAnsi="Times New Roman" w:hint="eastAsia"/>
                <w:szCs w:val="24"/>
              </w:rPr>
              <w:t>提供以上各类数据的获取接口，并能够</w:t>
            </w:r>
            <w:proofErr w:type="gramStart"/>
            <w:r>
              <w:rPr>
                <w:rFonts w:ascii="Times New Roman" w:hAnsi="Times New Roman" w:hint="eastAsia"/>
                <w:szCs w:val="24"/>
              </w:rPr>
              <w:t>正常访问</w:t>
            </w:r>
            <w:proofErr w:type="gramEnd"/>
            <w:r>
              <w:rPr>
                <w:rFonts w:ascii="Times New Roman" w:hAnsi="Times New Roman" w:hint="eastAsia"/>
                <w:szCs w:val="24"/>
              </w:rPr>
              <w:t>获取数据。</w:t>
            </w:r>
            <w:r>
              <w:rPr>
                <w:rFonts w:ascii="Times New Roman" w:hAnsi="Times New Roman" w:hint="eastAsia"/>
                <w:szCs w:val="24"/>
              </w:rPr>
              <w:t xml:space="preserve">5. </w:t>
            </w:r>
            <w:r>
              <w:rPr>
                <w:rFonts w:ascii="Times New Roman" w:hAnsi="Times New Roman"/>
                <w:szCs w:val="24"/>
              </w:rPr>
              <w:t>验收结果</w:t>
            </w:r>
            <w:r>
              <w:rPr>
                <w:rFonts w:ascii="Times New Roman" w:hAnsi="Times New Roman" w:hint="eastAsia"/>
                <w:szCs w:val="24"/>
              </w:rPr>
              <w:t>需形成书面报告，经双方签字确认后生效。</w:t>
            </w:r>
          </w:p>
        </w:tc>
        <w:tc>
          <w:tcPr>
            <w:tcW w:w="1748" w:type="dxa"/>
          </w:tcPr>
          <w:p w:rsidR="00177095" w:rsidRDefault="00177095" w:rsidP="00177095"/>
        </w:tc>
        <w:tc>
          <w:tcPr>
            <w:tcW w:w="1654" w:type="dxa"/>
          </w:tcPr>
          <w:p w:rsidR="00177095" w:rsidRDefault="00177095" w:rsidP="00177095"/>
        </w:tc>
      </w:tr>
      <w:tr w:rsidR="00177095" w:rsidTr="00E47398">
        <w:trPr>
          <w:trHeight w:val="4212"/>
        </w:trPr>
        <w:tc>
          <w:tcPr>
            <w:tcW w:w="851" w:type="dxa"/>
            <w:vAlign w:val="center"/>
          </w:tcPr>
          <w:p w:rsidR="00177095" w:rsidRDefault="00177095" w:rsidP="00177095">
            <w:pPr>
              <w:jc w:val="center"/>
              <w:rPr>
                <w:rFonts w:ascii="宋体" w:hAnsi="宋体" w:cs="宋体"/>
                <w:szCs w:val="21"/>
              </w:rPr>
            </w:pPr>
            <w:r>
              <w:rPr>
                <w:rFonts w:ascii="宋体" w:hAnsi="宋体" w:cs="宋体"/>
                <w:szCs w:val="21"/>
              </w:rPr>
              <w:lastRenderedPageBreak/>
              <w:t>5</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验收要求</w:t>
            </w:r>
          </w:p>
        </w:tc>
        <w:tc>
          <w:tcPr>
            <w:tcW w:w="4110" w:type="dxa"/>
          </w:tcPr>
          <w:p w:rsidR="00177095" w:rsidRPr="00177095" w:rsidRDefault="00177095" w:rsidP="00177095">
            <w:pPr>
              <w:widowControl/>
              <w:spacing w:line="360" w:lineRule="auto"/>
              <w:rPr>
                <w:rFonts w:ascii="Times New Roman" w:hAnsi="Times New Roman"/>
                <w:szCs w:val="24"/>
              </w:rPr>
            </w:pPr>
            <w:r w:rsidRPr="00177095">
              <w:rPr>
                <w:rFonts w:ascii="Times New Roman" w:hAnsi="Times New Roman"/>
                <w:szCs w:val="24"/>
              </w:rPr>
              <w:t>5.1</w:t>
            </w:r>
            <w:r w:rsidRPr="00177095">
              <w:rPr>
                <w:rFonts w:ascii="Times New Roman" w:hAnsi="Times New Roman" w:hint="eastAsia"/>
                <w:szCs w:val="24"/>
              </w:rPr>
              <w:t>由采购人按合同（如有）和采购文件、响应文件约定的要求和标准及中华人民共和国现行的验收规范和评定标准进行交货验收。</w:t>
            </w:r>
          </w:p>
          <w:p w:rsidR="00177095" w:rsidRPr="00177095" w:rsidRDefault="00177095" w:rsidP="00177095">
            <w:pPr>
              <w:widowControl/>
              <w:spacing w:line="360" w:lineRule="auto"/>
              <w:rPr>
                <w:rFonts w:ascii="Times New Roman" w:hAnsi="Times New Roman"/>
                <w:szCs w:val="24"/>
              </w:rPr>
            </w:pPr>
            <w:r w:rsidRPr="00177095">
              <w:rPr>
                <w:rFonts w:ascii="Times New Roman" w:hAnsi="Times New Roman" w:hint="eastAsia"/>
                <w:szCs w:val="24"/>
              </w:rPr>
              <w:t>5</w:t>
            </w:r>
            <w:r w:rsidRPr="00177095">
              <w:rPr>
                <w:rFonts w:ascii="Times New Roman" w:hAnsi="Times New Roman"/>
                <w:szCs w:val="24"/>
              </w:rPr>
              <w:t>.2</w:t>
            </w:r>
            <w:r w:rsidRPr="00177095">
              <w:rPr>
                <w:rFonts w:ascii="Times New Roman" w:hAnsi="Times New Roman" w:hint="eastAsia"/>
                <w:szCs w:val="24"/>
              </w:rPr>
              <w:t>验收要求：货物必须满足以下条件后方可被用户方接受：（</w:t>
            </w:r>
            <w:r w:rsidRPr="00177095">
              <w:rPr>
                <w:rFonts w:ascii="Times New Roman" w:hAnsi="Times New Roman" w:hint="eastAsia"/>
                <w:szCs w:val="24"/>
              </w:rPr>
              <w:t>1</w:t>
            </w:r>
            <w:r w:rsidRPr="00177095">
              <w:rPr>
                <w:rFonts w:ascii="Times New Roman" w:hAnsi="Times New Roman" w:hint="eastAsia"/>
                <w:szCs w:val="24"/>
              </w:rPr>
              <w:t>）货物全新</w:t>
            </w:r>
            <w:r w:rsidRPr="00177095">
              <w:rPr>
                <w:rFonts w:ascii="Times New Roman" w:hAnsi="Times New Roman" w:hint="eastAsia"/>
                <w:szCs w:val="24"/>
              </w:rPr>
              <w:t>,</w:t>
            </w:r>
            <w:r w:rsidRPr="00177095">
              <w:rPr>
                <w:rFonts w:ascii="Times New Roman" w:hAnsi="Times New Roman" w:hint="eastAsia"/>
                <w:szCs w:val="24"/>
              </w:rPr>
              <w:t>外观无伤痕变形或明显修饰痕迹。（</w:t>
            </w:r>
            <w:r w:rsidRPr="00177095">
              <w:rPr>
                <w:rFonts w:ascii="Times New Roman" w:hAnsi="Times New Roman" w:hint="eastAsia"/>
                <w:szCs w:val="24"/>
              </w:rPr>
              <w:t>2</w:t>
            </w:r>
            <w:r w:rsidRPr="00177095">
              <w:rPr>
                <w:rFonts w:ascii="Times New Roman" w:hAnsi="Times New Roman" w:hint="eastAsia"/>
                <w:szCs w:val="24"/>
              </w:rPr>
              <w:t>）按照采购文件要求及响应文件提供的技术参数验收必须合格。（</w:t>
            </w:r>
            <w:r w:rsidRPr="00177095">
              <w:rPr>
                <w:rFonts w:ascii="Times New Roman" w:hAnsi="Times New Roman" w:hint="eastAsia"/>
                <w:szCs w:val="24"/>
              </w:rPr>
              <w:t>3</w:t>
            </w:r>
            <w:r w:rsidRPr="00177095">
              <w:rPr>
                <w:rFonts w:ascii="Times New Roman" w:hAnsi="Times New Roman" w:hint="eastAsia"/>
                <w:szCs w:val="24"/>
              </w:rPr>
              <w:t>）在货物到货后，经验收合格后，双方共同签署验收报告。</w:t>
            </w:r>
          </w:p>
        </w:tc>
        <w:tc>
          <w:tcPr>
            <w:tcW w:w="1748" w:type="dxa"/>
          </w:tcPr>
          <w:p w:rsidR="00177095" w:rsidRDefault="00177095" w:rsidP="00177095"/>
        </w:tc>
        <w:tc>
          <w:tcPr>
            <w:tcW w:w="1654" w:type="dxa"/>
          </w:tcPr>
          <w:p w:rsidR="00177095" w:rsidRDefault="00177095" w:rsidP="00177095"/>
        </w:tc>
      </w:tr>
      <w:tr w:rsidR="00177095" w:rsidTr="00177095">
        <w:trPr>
          <w:trHeight w:val="2234"/>
        </w:trPr>
        <w:tc>
          <w:tcPr>
            <w:tcW w:w="851" w:type="dxa"/>
            <w:vAlign w:val="center"/>
          </w:tcPr>
          <w:p w:rsidR="00177095" w:rsidRDefault="00177095" w:rsidP="00177095">
            <w:pPr>
              <w:jc w:val="center"/>
              <w:rPr>
                <w:rFonts w:ascii="宋体" w:hAnsi="宋体" w:cs="宋体"/>
                <w:szCs w:val="21"/>
              </w:rPr>
            </w:pPr>
            <w:r>
              <w:rPr>
                <w:rFonts w:ascii="宋体" w:hAnsi="宋体" w:cs="宋体"/>
                <w:szCs w:val="21"/>
              </w:rPr>
              <w:t>6</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售后服务</w:t>
            </w:r>
          </w:p>
        </w:tc>
        <w:tc>
          <w:tcPr>
            <w:tcW w:w="4110" w:type="dxa"/>
          </w:tcPr>
          <w:p w:rsidR="00177095" w:rsidRPr="00177095" w:rsidRDefault="00177095" w:rsidP="00177095">
            <w:pPr>
              <w:widowControl/>
              <w:spacing w:line="360" w:lineRule="auto"/>
              <w:rPr>
                <w:rFonts w:ascii="Times New Roman" w:hAnsi="Times New Roman"/>
                <w:szCs w:val="24"/>
              </w:rPr>
            </w:pPr>
            <w:r>
              <w:rPr>
                <w:rFonts w:ascii="Times New Roman" w:hAnsi="Times New Roman"/>
                <w:szCs w:val="24"/>
              </w:rPr>
              <w:t>投标人必须按照指定的方式提供</w:t>
            </w:r>
            <w:r>
              <w:rPr>
                <w:rFonts w:ascii="Times New Roman" w:hAnsi="Times New Roman"/>
                <w:szCs w:val="24"/>
              </w:rPr>
              <w:t>7*24</w:t>
            </w:r>
            <w:r>
              <w:rPr>
                <w:rFonts w:ascii="Times New Roman" w:hAnsi="Times New Roman"/>
                <w:szCs w:val="24"/>
              </w:rPr>
              <w:t>小时支持维护服务，包括电话、远程维护等方式。必须保证有足够的人员（专人专职）及技术支持电话负责本系统运维工作，并保证</w:t>
            </w:r>
            <w:r>
              <w:rPr>
                <w:rFonts w:ascii="Times New Roman" w:hAnsi="Times New Roman"/>
                <w:szCs w:val="24"/>
              </w:rPr>
              <w:t>2</w:t>
            </w:r>
            <w:r>
              <w:rPr>
                <w:rFonts w:ascii="Times New Roman" w:hAnsi="Times New Roman"/>
                <w:szCs w:val="24"/>
              </w:rPr>
              <w:t>小时内响应</w:t>
            </w:r>
            <w:r>
              <w:rPr>
                <w:rFonts w:ascii="Times New Roman" w:hAnsi="Times New Roman"/>
                <w:szCs w:val="24"/>
              </w:rPr>
              <w:t>/24</w:t>
            </w:r>
            <w:r>
              <w:rPr>
                <w:rFonts w:ascii="Times New Roman" w:hAnsi="Times New Roman"/>
                <w:szCs w:val="24"/>
              </w:rPr>
              <w:t>小时之内解决问题，对于远程无法解决问题，应安排人员</w:t>
            </w:r>
            <w:r>
              <w:rPr>
                <w:rFonts w:ascii="Times New Roman" w:hAnsi="Times New Roman"/>
                <w:szCs w:val="24"/>
              </w:rPr>
              <w:t>24</w:t>
            </w:r>
            <w:r>
              <w:rPr>
                <w:rFonts w:ascii="Times New Roman" w:hAnsi="Times New Roman"/>
                <w:szCs w:val="24"/>
              </w:rPr>
              <w:t>小时内到达现场解决。</w:t>
            </w:r>
          </w:p>
        </w:tc>
        <w:tc>
          <w:tcPr>
            <w:tcW w:w="1748" w:type="dxa"/>
          </w:tcPr>
          <w:p w:rsidR="00177095" w:rsidRDefault="00177095" w:rsidP="00177095"/>
        </w:tc>
        <w:tc>
          <w:tcPr>
            <w:tcW w:w="1654" w:type="dxa"/>
          </w:tcPr>
          <w:p w:rsidR="00177095" w:rsidRDefault="00177095" w:rsidP="00177095"/>
        </w:tc>
      </w:tr>
      <w:tr w:rsidR="00177095" w:rsidTr="003B5D64">
        <w:trPr>
          <w:trHeight w:val="2007"/>
        </w:trPr>
        <w:tc>
          <w:tcPr>
            <w:tcW w:w="851" w:type="dxa"/>
            <w:vAlign w:val="center"/>
          </w:tcPr>
          <w:p w:rsidR="00177095" w:rsidRDefault="00177095" w:rsidP="00177095">
            <w:pPr>
              <w:jc w:val="center"/>
              <w:rPr>
                <w:rFonts w:ascii="宋体" w:hAnsi="宋体" w:cs="宋体"/>
                <w:szCs w:val="21"/>
              </w:rPr>
            </w:pPr>
            <w:r>
              <w:rPr>
                <w:rFonts w:ascii="宋体" w:hAnsi="宋体" w:cs="宋体"/>
                <w:szCs w:val="21"/>
              </w:rPr>
              <w:t>7</w:t>
            </w:r>
          </w:p>
        </w:tc>
        <w:tc>
          <w:tcPr>
            <w:tcW w:w="1560" w:type="dxa"/>
            <w:vAlign w:val="center"/>
          </w:tcPr>
          <w:p w:rsidR="00177095" w:rsidRDefault="00177095" w:rsidP="00177095">
            <w:pPr>
              <w:jc w:val="left"/>
              <w:rPr>
                <w:rFonts w:ascii="宋体" w:hAnsi="宋体" w:cs="宋体"/>
                <w:color w:val="000000"/>
                <w:szCs w:val="21"/>
              </w:rPr>
            </w:pPr>
            <w:r>
              <w:rPr>
                <w:rFonts w:ascii="Times New Roman" w:hAnsi="Times New Roman"/>
                <w:szCs w:val="24"/>
              </w:rPr>
              <w:t>违约责任与解决争议的方法</w:t>
            </w:r>
          </w:p>
        </w:tc>
        <w:tc>
          <w:tcPr>
            <w:tcW w:w="4110" w:type="dxa"/>
          </w:tcPr>
          <w:p w:rsidR="00177095" w:rsidRPr="00177095" w:rsidRDefault="00177095" w:rsidP="00177095">
            <w:pPr>
              <w:widowControl/>
              <w:spacing w:line="360" w:lineRule="auto"/>
              <w:rPr>
                <w:rFonts w:ascii="Times New Roman" w:hAnsi="Times New Roman"/>
                <w:szCs w:val="24"/>
              </w:rPr>
            </w:pPr>
            <w:r>
              <w:rPr>
                <w:rFonts w:ascii="Times New Roman" w:hAnsi="Times New Roman"/>
                <w:szCs w:val="24"/>
              </w:rPr>
              <w:t>合同双方如有一方不履行合同义务或者履行合同义务不符合合同约定的</w:t>
            </w:r>
            <w:r>
              <w:rPr>
                <w:rFonts w:ascii="Times New Roman" w:hAnsi="Times New Roman"/>
                <w:szCs w:val="24"/>
              </w:rPr>
              <w:t>,</w:t>
            </w:r>
            <w:r>
              <w:rPr>
                <w:rFonts w:ascii="Times New Roman" w:hAnsi="Times New Roman"/>
                <w:szCs w:val="24"/>
              </w:rPr>
              <w:t>除另有注明者外，均按合同总价的</w:t>
            </w:r>
            <w:r>
              <w:rPr>
                <w:rFonts w:ascii="Times New Roman" w:hAnsi="Times New Roman"/>
                <w:szCs w:val="24"/>
              </w:rPr>
              <w:t>1%</w:t>
            </w:r>
            <w:r>
              <w:rPr>
                <w:rFonts w:ascii="Times New Roman" w:hAnsi="Times New Roman"/>
                <w:szCs w:val="24"/>
              </w:rPr>
              <w:t>支付对方违约金，造成对方损失的还应赔偿损失。</w:t>
            </w:r>
          </w:p>
        </w:tc>
        <w:tc>
          <w:tcPr>
            <w:tcW w:w="1748" w:type="dxa"/>
          </w:tcPr>
          <w:p w:rsidR="00177095" w:rsidRDefault="00177095" w:rsidP="00177095"/>
        </w:tc>
        <w:tc>
          <w:tcPr>
            <w:tcW w:w="1654" w:type="dxa"/>
          </w:tcPr>
          <w:p w:rsidR="00177095" w:rsidRDefault="00177095" w:rsidP="00177095"/>
        </w:tc>
      </w:tr>
    </w:tbl>
    <w:p w:rsidR="00177095" w:rsidRDefault="00177095" w:rsidP="00177095">
      <w:pPr>
        <w:rPr>
          <w:rFonts w:ascii="宋体" w:hAnsi="宋体" w:cs="宋体"/>
          <w:color w:val="333333"/>
          <w:kern w:val="0"/>
          <w:sz w:val="24"/>
          <w:szCs w:val="24"/>
        </w:rPr>
      </w:pPr>
    </w:p>
    <w:p w:rsidR="00177095" w:rsidRPr="00177095" w:rsidRDefault="00177095" w:rsidP="00177095">
      <w:pPr>
        <w:rPr>
          <w:rFonts w:ascii="宋体" w:hAnsi="宋体" w:cs="宋体"/>
          <w:color w:val="333333"/>
          <w:kern w:val="0"/>
          <w:sz w:val="24"/>
          <w:szCs w:val="24"/>
        </w:rPr>
      </w:pPr>
      <w:r w:rsidRPr="00177095">
        <w:rPr>
          <w:rFonts w:ascii="宋体" w:hAnsi="宋体" w:cs="宋体"/>
          <w:color w:val="333333"/>
          <w:kern w:val="0"/>
          <w:sz w:val="24"/>
          <w:szCs w:val="24"/>
        </w:rPr>
        <w:t>备注：</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请逐项填写</w:t>
      </w:r>
      <w:r w:rsidRPr="00177095">
        <w:rPr>
          <w:rFonts w:ascii="宋体" w:hAnsi="宋体" w:cs="宋体" w:hint="eastAsia"/>
          <w:color w:val="333333"/>
          <w:kern w:val="0"/>
          <w:sz w:val="24"/>
          <w:szCs w:val="24"/>
        </w:rPr>
        <w:t>投标</w:t>
      </w:r>
      <w:r>
        <w:rPr>
          <w:rFonts w:ascii="宋体" w:hAnsi="宋体" w:cs="宋体" w:hint="eastAsia"/>
          <w:color w:val="333333"/>
          <w:kern w:val="0"/>
          <w:sz w:val="24"/>
          <w:szCs w:val="24"/>
        </w:rPr>
        <w:t>商务</w:t>
      </w:r>
      <w:r w:rsidRPr="00177095">
        <w:rPr>
          <w:rFonts w:ascii="宋体" w:hAnsi="宋体" w:cs="宋体" w:hint="eastAsia"/>
          <w:color w:val="333333"/>
          <w:kern w:val="0"/>
          <w:sz w:val="24"/>
          <w:szCs w:val="24"/>
        </w:rPr>
        <w:t>条款。</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偏离情况请填写 正偏离 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负偏离</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无偏离</w:t>
      </w:r>
      <w:r w:rsidRPr="00177095">
        <w:rPr>
          <w:rFonts w:ascii="宋体" w:hAnsi="宋体" w:cs="宋体" w:hint="eastAsia"/>
          <w:color w:val="333333"/>
          <w:kern w:val="0"/>
          <w:sz w:val="24"/>
          <w:szCs w:val="24"/>
        </w:rPr>
        <w:t>。</w:t>
      </w:r>
    </w:p>
    <w:p w:rsidR="008B3080" w:rsidRPr="00177095" w:rsidRDefault="001C4FB0" w:rsidP="003A3331"/>
    <w:sectPr w:rsidR="008B3080" w:rsidRPr="00177095" w:rsidSect="00306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FB0" w:rsidRDefault="001C4FB0" w:rsidP="00A246EB">
      <w:r>
        <w:separator/>
      </w:r>
    </w:p>
  </w:endnote>
  <w:endnote w:type="continuationSeparator" w:id="0">
    <w:p w:rsidR="001C4FB0" w:rsidRDefault="001C4FB0" w:rsidP="00A2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FB0" w:rsidRDefault="001C4FB0" w:rsidP="00A246EB">
      <w:r>
        <w:separator/>
      </w:r>
    </w:p>
  </w:footnote>
  <w:footnote w:type="continuationSeparator" w:id="0">
    <w:p w:rsidR="001C4FB0" w:rsidRDefault="001C4FB0" w:rsidP="00A2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7B86"/>
    <w:multiLevelType w:val="hybridMultilevel"/>
    <w:tmpl w:val="DBA026B8"/>
    <w:lvl w:ilvl="0" w:tplc="C64A9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56"/>
    <w:rsid w:val="000A57FF"/>
    <w:rsid w:val="00177095"/>
    <w:rsid w:val="001C4FB0"/>
    <w:rsid w:val="00270708"/>
    <w:rsid w:val="00316D5E"/>
    <w:rsid w:val="0038067B"/>
    <w:rsid w:val="00390D82"/>
    <w:rsid w:val="003A3331"/>
    <w:rsid w:val="0044783A"/>
    <w:rsid w:val="00481D51"/>
    <w:rsid w:val="004D770A"/>
    <w:rsid w:val="00694056"/>
    <w:rsid w:val="006F72F3"/>
    <w:rsid w:val="00795368"/>
    <w:rsid w:val="0085622A"/>
    <w:rsid w:val="008C0BEF"/>
    <w:rsid w:val="009A1E78"/>
    <w:rsid w:val="009D2525"/>
    <w:rsid w:val="00A04F71"/>
    <w:rsid w:val="00A246EB"/>
    <w:rsid w:val="00A54F0D"/>
    <w:rsid w:val="00AB6701"/>
    <w:rsid w:val="00B2314F"/>
    <w:rsid w:val="00B77CCE"/>
    <w:rsid w:val="00BA3D69"/>
    <w:rsid w:val="00C949ED"/>
    <w:rsid w:val="00D957BD"/>
    <w:rsid w:val="00E638EB"/>
    <w:rsid w:val="00EB18A0"/>
    <w:rsid w:val="00EC605D"/>
    <w:rsid w:val="00FE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CFBC5"/>
  <w15:chartTrackingRefBased/>
  <w15:docId w15:val="{54BBD5AE-EB80-4BFF-B3E5-FF310D3B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6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6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46EB"/>
    <w:rPr>
      <w:sz w:val="18"/>
      <w:szCs w:val="18"/>
    </w:rPr>
  </w:style>
  <w:style w:type="paragraph" w:styleId="a5">
    <w:name w:val="footer"/>
    <w:basedOn w:val="a"/>
    <w:link w:val="a6"/>
    <w:uiPriority w:val="99"/>
    <w:unhideWhenUsed/>
    <w:rsid w:val="00A246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46EB"/>
    <w:rPr>
      <w:sz w:val="18"/>
      <w:szCs w:val="18"/>
    </w:rPr>
  </w:style>
  <w:style w:type="table" w:styleId="a7">
    <w:name w:val="Table Grid"/>
    <w:basedOn w:val="a1"/>
    <w:uiPriority w:val="59"/>
    <w:qFormat/>
    <w:rsid w:val="00A246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dc:creator>
  <cp:keywords/>
  <dc:description/>
  <cp:lastModifiedBy>采购中心</cp:lastModifiedBy>
  <cp:revision>15</cp:revision>
  <dcterms:created xsi:type="dcterms:W3CDTF">2022-07-22T07:54:00Z</dcterms:created>
  <dcterms:modified xsi:type="dcterms:W3CDTF">2024-10-22T08:19:00Z</dcterms:modified>
</cp:coreProperties>
</file>