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331" w:rsidRPr="00177095" w:rsidRDefault="003A3331" w:rsidP="00A614F7">
      <w:pPr>
        <w:jc w:val="left"/>
        <w:rPr>
          <w:sz w:val="24"/>
          <w:szCs w:val="24"/>
        </w:rPr>
      </w:pPr>
      <w:r w:rsidRPr="00DC2765">
        <w:rPr>
          <w:rFonts w:hint="eastAsia"/>
          <w:sz w:val="24"/>
          <w:szCs w:val="24"/>
        </w:rPr>
        <w:t>附件三</w:t>
      </w:r>
      <w:r w:rsidRPr="00DC2765">
        <w:rPr>
          <w:sz w:val="24"/>
          <w:szCs w:val="24"/>
        </w:rPr>
        <w:t xml:space="preserve"> </w:t>
      </w:r>
      <w:r w:rsidRPr="00DC2765">
        <w:rPr>
          <w:rFonts w:hint="eastAsia"/>
          <w:sz w:val="24"/>
          <w:szCs w:val="24"/>
        </w:rPr>
        <w:t>商务条款偏离情况表</w:t>
      </w:r>
      <w:r w:rsidR="00177095" w:rsidRPr="003E34DB">
        <w:rPr>
          <w:rFonts w:ascii="宋体" w:hAnsi="宋体" w:cs="宋体"/>
          <w:color w:val="333333"/>
          <w:kern w:val="0"/>
          <w:sz w:val="24"/>
          <w:szCs w:val="24"/>
        </w:rPr>
        <w:t>(</w:t>
      </w:r>
      <w:r w:rsidR="00177095">
        <w:rPr>
          <w:rFonts w:ascii="宋体" w:hAnsi="宋体" w:cs="宋体" w:hint="eastAsia"/>
          <w:color w:val="333333"/>
          <w:kern w:val="0"/>
          <w:sz w:val="24"/>
          <w:szCs w:val="24"/>
        </w:rPr>
        <w:t>所有商务条款均为</w:t>
      </w:r>
      <w:r w:rsidR="00177095" w:rsidRPr="003E34DB">
        <w:rPr>
          <w:rFonts w:ascii="宋体" w:hAnsi="宋体" w:cs="宋体" w:hint="eastAsia"/>
          <w:color w:val="333333"/>
          <w:kern w:val="0"/>
          <w:sz w:val="24"/>
          <w:szCs w:val="24"/>
        </w:rPr>
        <w:t>★</w:t>
      </w:r>
      <w:r w:rsidR="00177095">
        <w:rPr>
          <w:rFonts w:ascii="宋体" w:hAnsi="宋体" w:cs="宋体" w:hint="eastAsia"/>
          <w:color w:val="333333"/>
          <w:kern w:val="0"/>
          <w:sz w:val="24"/>
          <w:szCs w:val="24"/>
        </w:rPr>
        <w:t>实质性条款</w:t>
      </w:r>
      <w:r w:rsidR="00177095" w:rsidRPr="003E34DB">
        <w:rPr>
          <w:rFonts w:ascii="宋体" w:hAnsi="宋体" w:cs="宋体" w:hint="eastAsia"/>
          <w:color w:val="333333"/>
          <w:kern w:val="0"/>
          <w:sz w:val="24"/>
          <w:szCs w:val="24"/>
        </w:rPr>
        <w:t>，</w:t>
      </w:r>
      <w:r w:rsidR="00177095">
        <w:rPr>
          <w:rFonts w:ascii="宋体" w:hAnsi="宋体" w:cs="宋体" w:hint="eastAsia"/>
          <w:color w:val="333333"/>
          <w:kern w:val="0"/>
          <w:sz w:val="24"/>
          <w:szCs w:val="24"/>
        </w:rPr>
        <w:t>有任何一条负偏离将导致无效投标</w:t>
      </w:r>
      <w:r w:rsidR="00177095" w:rsidRPr="003E34DB">
        <w:rPr>
          <w:rFonts w:ascii="宋体" w:hAnsi="宋体" w:cs="宋体"/>
          <w:color w:val="333333"/>
          <w:kern w:val="0"/>
          <w:sz w:val="24"/>
          <w:szCs w:val="24"/>
        </w:rPr>
        <w:t>)</w:t>
      </w:r>
    </w:p>
    <w:tbl>
      <w:tblPr>
        <w:tblStyle w:val="a7"/>
        <w:tblW w:w="9923" w:type="dxa"/>
        <w:tblInd w:w="-856" w:type="dxa"/>
        <w:tblLook w:val="04A0" w:firstRow="1" w:lastRow="0" w:firstColumn="1" w:lastColumn="0" w:noHBand="0" w:noVBand="1"/>
      </w:tblPr>
      <w:tblGrid>
        <w:gridCol w:w="851"/>
        <w:gridCol w:w="1560"/>
        <w:gridCol w:w="3118"/>
        <w:gridCol w:w="3119"/>
        <w:gridCol w:w="1275"/>
      </w:tblGrid>
      <w:tr w:rsidR="006F72F3" w:rsidTr="00BF4E5B">
        <w:trPr>
          <w:trHeight w:val="452"/>
        </w:trPr>
        <w:tc>
          <w:tcPr>
            <w:tcW w:w="851"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序号</w:t>
            </w:r>
          </w:p>
        </w:tc>
        <w:tc>
          <w:tcPr>
            <w:tcW w:w="1560"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目录</w:t>
            </w:r>
          </w:p>
        </w:tc>
        <w:tc>
          <w:tcPr>
            <w:tcW w:w="3118"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招标商务条款</w:t>
            </w:r>
          </w:p>
        </w:tc>
        <w:tc>
          <w:tcPr>
            <w:tcW w:w="3119" w:type="dxa"/>
          </w:tcPr>
          <w:p w:rsidR="003A3331" w:rsidRPr="00177095" w:rsidRDefault="00316D5E" w:rsidP="00177095">
            <w:pPr>
              <w:jc w:val="center"/>
              <w:rPr>
                <w:rFonts w:ascii="宋体" w:hAnsi="宋体" w:cs="宋体"/>
                <w:color w:val="333333"/>
                <w:sz w:val="24"/>
                <w:szCs w:val="24"/>
              </w:rPr>
            </w:pPr>
            <w:r w:rsidRPr="00177095">
              <w:rPr>
                <w:rFonts w:ascii="宋体" w:hAnsi="宋体" w:cs="宋体" w:hint="eastAsia"/>
                <w:color w:val="333333"/>
                <w:sz w:val="24"/>
                <w:szCs w:val="24"/>
              </w:rPr>
              <w:t>投标商务条款</w:t>
            </w:r>
          </w:p>
        </w:tc>
        <w:tc>
          <w:tcPr>
            <w:tcW w:w="1275"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偏离情况</w:t>
            </w:r>
          </w:p>
        </w:tc>
      </w:tr>
      <w:tr w:rsidR="00777717" w:rsidTr="00FF3340">
        <w:trPr>
          <w:trHeight w:val="739"/>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1</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免费维保期</w:t>
            </w:r>
          </w:p>
        </w:tc>
        <w:tc>
          <w:tcPr>
            <w:tcW w:w="3118" w:type="dxa"/>
          </w:tcPr>
          <w:p w:rsidR="00777717" w:rsidRDefault="00777717" w:rsidP="00777717">
            <w:pPr>
              <w:widowControl/>
              <w:jc w:val="left"/>
              <w:rPr>
                <w:rFonts w:ascii="宋体" w:hAnsi="宋体" w:cs="宋体"/>
                <w:szCs w:val="21"/>
              </w:rPr>
            </w:pPr>
            <w:r>
              <w:rPr>
                <w:rFonts w:ascii="宋体" w:hAnsi="宋体" w:cs="宋体" w:hint="eastAsia"/>
                <w:sz w:val="21"/>
                <w:szCs w:val="21"/>
              </w:rPr>
              <w:t>提供2年免费维保，自验收合格之日算起</w:t>
            </w:r>
          </w:p>
        </w:tc>
        <w:tc>
          <w:tcPr>
            <w:tcW w:w="3119" w:type="dxa"/>
          </w:tcPr>
          <w:p w:rsidR="00777717" w:rsidRDefault="00777717" w:rsidP="00777717"/>
        </w:tc>
        <w:tc>
          <w:tcPr>
            <w:tcW w:w="1275" w:type="dxa"/>
          </w:tcPr>
          <w:p w:rsidR="00777717" w:rsidRDefault="00777717" w:rsidP="00777717"/>
        </w:tc>
      </w:tr>
      <w:tr w:rsidR="00777717" w:rsidTr="00FF3340">
        <w:trPr>
          <w:trHeight w:val="1137"/>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2</w:t>
            </w:r>
          </w:p>
        </w:tc>
        <w:tc>
          <w:tcPr>
            <w:tcW w:w="1560" w:type="dxa"/>
            <w:vAlign w:val="center"/>
          </w:tcPr>
          <w:p w:rsidR="00777717" w:rsidRPr="0035648A" w:rsidRDefault="00777717" w:rsidP="00777717">
            <w:pPr>
              <w:spacing w:line="360" w:lineRule="auto"/>
              <w:jc w:val="center"/>
              <w:rPr>
                <w:rFonts w:ascii="宋体" w:hAnsi="宋体" w:cs="宋体"/>
                <w:szCs w:val="21"/>
              </w:rPr>
            </w:pPr>
            <w:r>
              <w:rPr>
                <w:rFonts w:ascii="宋体" w:hAnsi="宋体" w:cs="宋体" w:hint="eastAsia"/>
                <w:sz w:val="21"/>
                <w:szCs w:val="21"/>
              </w:rPr>
              <w:t>维修响应及故障解决时间</w:t>
            </w:r>
          </w:p>
        </w:tc>
        <w:tc>
          <w:tcPr>
            <w:tcW w:w="3118" w:type="dxa"/>
          </w:tcPr>
          <w:p w:rsidR="00777717" w:rsidRPr="0035648A" w:rsidRDefault="00777717" w:rsidP="00777717">
            <w:pPr>
              <w:widowControl/>
              <w:jc w:val="left"/>
              <w:rPr>
                <w:rFonts w:ascii="宋体" w:hAnsi="宋体" w:cs="宋体"/>
                <w:szCs w:val="21"/>
              </w:rPr>
            </w:pPr>
            <w:r>
              <w:rPr>
                <w:rFonts w:ascii="宋体" w:hAnsi="宋体" w:cs="宋体" w:hint="eastAsia"/>
                <w:bCs/>
                <w:sz w:val="21"/>
                <w:szCs w:val="21"/>
              </w:rPr>
              <w:t>在保修期内，如遇与所供产品有关的问题在接</w:t>
            </w:r>
            <w:r>
              <w:rPr>
                <w:rFonts w:ascii="宋体" w:hAnsi="宋体" w:cs="宋体" w:hint="eastAsia"/>
                <w:bCs/>
                <w:szCs w:val="21"/>
              </w:rPr>
              <w:t>采购人</w:t>
            </w:r>
            <w:r>
              <w:rPr>
                <w:rFonts w:ascii="宋体" w:hAnsi="宋体" w:cs="宋体" w:hint="eastAsia"/>
                <w:bCs/>
                <w:sz w:val="21"/>
                <w:szCs w:val="21"/>
              </w:rPr>
              <w:t>通知后2小时内响应，如远程无法解决应24小时内赶到现场提供免费服务。</w:t>
            </w:r>
          </w:p>
        </w:tc>
        <w:tc>
          <w:tcPr>
            <w:tcW w:w="3119" w:type="dxa"/>
          </w:tcPr>
          <w:p w:rsidR="00777717" w:rsidRPr="00270708" w:rsidRDefault="00777717" w:rsidP="00777717"/>
        </w:tc>
        <w:tc>
          <w:tcPr>
            <w:tcW w:w="1275" w:type="dxa"/>
          </w:tcPr>
          <w:p w:rsidR="00777717" w:rsidRDefault="00777717" w:rsidP="00777717"/>
        </w:tc>
      </w:tr>
      <w:tr w:rsidR="00777717" w:rsidTr="00FF3340">
        <w:trPr>
          <w:trHeight w:val="739"/>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3</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备品要求</w:t>
            </w:r>
          </w:p>
        </w:tc>
        <w:tc>
          <w:tcPr>
            <w:tcW w:w="3118" w:type="dxa"/>
          </w:tcPr>
          <w:p w:rsidR="00777717" w:rsidRDefault="00777717" w:rsidP="00777717">
            <w:pPr>
              <w:widowControl/>
              <w:jc w:val="left"/>
              <w:rPr>
                <w:rFonts w:ascii="宋体" w:hAnsi="宋体" w:cs="宋体"/>
                <w:szCs w:val="21"/>
              </w:rPr>
            </w:pPr>
            <w:r>
              <w:rPr>
                <w:rFonts w:ascii="宋体" w:hAnsi="宋体" w:cs="宋体" w:hint="eastAsia"/>
                <w:bCs/>
                <w:sz w:val="21"/>
                <w:szCs w:val="21"/>
              </w:rPr>
              <w:t>在质保期内，中标供应商应</w:t>
            </w:r>
            <w:proofErr w:type="gramStart"/>
            <w:r>
              <w:rPr>
                <w:rFonts w:ascii="宋体" w:hAnsi="宋体" w:cs="宋体" w:hint="eastAsia"/>
                <w:bCs/>
                <w:sz w:val="21"/>
                <w:szCs w:val="21"/>
              </w:rPr>
              <w:t>无偿并</w:t>
            </w:r>
            <w:proofErr w:type="gramEnd"/>
            <w:r>
              <w:rPr>
                <w:rFonts w:ascii="宋体" w:hAnsi="宋体" w:cs="宋体" w:hint="eastAsia"/>
                <w:bCs/>
                <w:sz w:val="21"/>
                <w:szCs w:val="21"/>
              </w:rPr>
              <w:t>迅速更换由于元件缺陷及制造工艺等问题而发生故障的产品。</w:t>
            </w:r>
          </w:p>
        </w:tc>
        <w:tc>
          <w:tcPr>
            <w:tcW w:w="3119" w:type="dxa"/>
          </w:tcPr>
          <w:p w:rsidR="00777717" w:rsidRDefault="00777717" w:rsidP="00777717"/>
        </w:tc>
        <w:tc>
          <w:tcPr>
            <w:tcW w:w="1275" w:type="dxa"/>
          </w:tcPr>
          <w:p w:rsidR="00777717" w:rsidRDefault="00777717" w:rsidP="00777717"/>
        </w:tc>
      </w:tr>
      <w:tr w:rsidR="00777717" w:rsidTr="00FF3340">
        <w:trPr>
          <w:trHeight w:val="739"/>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4</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关于交货</w:t>
            </w:r>
          </w:p>
        </w:tc>
        <w:tc>
          <w:tcPr>
            <w:tcW w:w="3118" w:type="dxa"/>
          </w:tcPr>
          <w:p w:rsidR="00777717" w:rsidRDefault="00777717" w:rsidP="00777717">
            <w:pPr>
              <w:widowControl/>
              <w:jc w:val="left"/>
              <w:rPr>
                <w:rFonts w:ascii="宋体" w:hAnsi="宋体" w:cs="宋体"/>
                <w:bCs/>
                <w:szCs w:val="21"/>
              </w:rPr>
            </w:pPr>
            <w:r>
              <w:rPr>
                <w:rFonts w:ascii="宋体" w:hAnsi="宋体" w:cs="宋体" w:hint="eastAsia"/>
                <w:bCs/>
                <w:sz w:val="21"/>
                <w:szCs w:val="21"/>
              </w:rPr>
              <w:t>1交货时间：</w:t>
            </w:r>
            <w:r w:rsidR="0072758F">
              <w:rPr>
                <w:rFonts w:ascii="宋体" w:hAnsi="宋体" w:cs="宋体" w:hint="eastAsia"/>
                <w:bCs/>
                <w:szCs w:val="21"/>
              </w:rPr>
              <w:t>中标后</w:t>
            </w:r>
            <w:r w:rsidRPr="003A4A5D">
              <w:rPr>
                <w:rFonts w:ascii="宋体" w:hAnsi="宋体" w:cs="宋体" w:hint="eastAsia"/>
                <w:bCs/>
                <w:sz w:val="21"/>
                <w:szCs w:val="21"/>
              </w:rPr>
              <w:t>20</w:t>
            </w:r>
            <w:r>
              <w:rPr>
                <w:rFonts w:ascii="宋体" w:hAnsi="宋体" w:cs="宋体" w:hint="eastAsia"/>
                <w:bCs/>
                <w:sz w:val="21"/>
                <w:szCs w:val="21"/>
              </w:rPr>
              <w:t>天内送货到达，交货时间是指所有货物运抵采购人指定交货地点并安装调试完毕后交付用户验收的日期。</w:t>
            </w:r>
          </w:p>
          <w:p w:rsidR="00777717" w:rsidRDefault="00777717" w:rsidP="00777717">
            <w:pPr>
              <w:widowControl/>
              <w:jc w:val="left"/>
              <w:rPr>
                <w:rFonts w:ascii="宋体" w:hAnsi="宋体" w:cs="宋体"/>
                <w:bCs/>
                <w:szCs w:val="21"/>
              </w:rPr>
            </w:pPr>
            <w:r>
              <w:rPr>
                <w:rFonts w:ascii="宋体" w:hAnsi="宋体" w:cs="宋体" w:hint="eastAsia"/>
                <w:bCs/>
                <w:szCs w:val="21"/>
              </w:rPr>
              <w:t>2</w:t>
            </w:r>
            <w:r>
              <w:rPr>
                <w:rFonts w:ascii="宋体" w:hAnsi="宋体" w:cs="宋体" w:hint="eastAsia"/>
                <w:bCs/>
                <w:sz w:val="21"/>
                <w:szCs w:val="21"/>
              </w:rPr>
              <w:t>交货地点：</w:t>
            </w:r>
            <w:r>
              <w:rPr>
                <w:rFonts w:ascii="宋体" w:hAnsi="宋体" w:cs="宋体" w:hint="eastAsia"/>
                <w:bCs/>
                <w:szCs w:val="21"/>
              </w:rPr>
              <w:t>中山七院</w:t>
            </w:r>
            <w:r w:rsidR="00235D35">
              <w:rPr>
                <w:rFonts w:ascii="宋体" w:hAnsi="宋体" w:cs="宋体" w:hint="eastAsia"/>
                <w:bCs/>
                <w:sz w:val="21"/>
                <w:szCs w:val="21"/>
              </w:rPr>
              <w:t>生物样本库</w:t>
            </w:r>
            <w:bookmarkStart w:id="0" w:name="_GoBack"/>
            <w:bookmarkEnd w:id="0"/>
            <w:r>
              <w:rPr>
                <w:rFonts w:ascii="宋体" w:hAnsi="宋体" w:cs="宋体" w:hint="eastAsia"/>
                <w:bCs/>
                <w:sz w:val="21"/>
                <w:szCs w:val="21"/>
              </w:rPr>
              <w:t>实验仪器场地</w:t>
            </w:r>
          </w:p>
          <w:p w:rsidR="00777717" w:rsidRDefault="00777717" w:rsidP="00777717">
            <w:pPr>
              <w:widowControl/>
              <w:jc w:val="left"/>
              <w:rPr>
                <w:rFonts w:ascii="宋体" w:hAnsi="宋体" w:cs="宋体"/>
                <w:szCs w:val="21"/>
              </w:rPr>
            </w:pPr>
            <w:r>
              <w:rPr>
                <w:rFonts w:ascii="宋体" w:hAnsi="宋体" w:cs="宋体"/>
                <w:bCs/>
                <w:szCs w:val="21"/>
              </w:rPr>
              <w:t>3</w:t>
            </w:r>
            <w:r>
              <w:rPr>
                <w:rFonts w:ascii="宋体" w:hAnsi="宋体" w:cs="宋体" w:hint="eastAsia"/>
                <w:bCs/>
                <w:sz w:val="21"/>
                <w:szCs w:val="21"/>
              </w:rPr>
              <w:t>投标人必须承担的设备运输、安装调试、验收检测的义务。</w:t>
            </w:r>
          </w:p>
        </w:tc>
        <w:tc>
          <w:tcPr>
            <w:tcW w:w="3119" w:type="dxa"/>
          </w:tcPr>
          <w:p w:rsidR="00777717" w:rsidRDefault="00777717" w:rsidP="00777717"/>
        </w:tc>
        <w:tc>
          <w:tcPr>
            <w:tcW w:w="1275" w:type="dxa"/>
          </w:tcPr>
          <w:p w:rsidR="00777717" w:rsidRDefault="00777717" w:rsidP="00777717"/>
        </w:tc>
      </w:tr>
      <w:tr w:rsidR="00777717" w:rsidTr="00FF3340">
        <w:trPr>
          <w:trHeight w:val="1975"/>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5</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关于安装、调试及验收方式</w:t>
            </w:r>
          </w:p>
        </w:tc>
        <w:tc>
          <w:tcPr>
            <w:tcW w:w="3118" w:type="dxa"/>
          </w:tcPr>
          <w:p w:rsidR="00777717" w:rsidRDefault="00777717" w:rsidP="00777717">
            <w:pPr>
              <w:widowControl/>
              <w:jc w:val="left"/>
              <w:rPr>
                <w:rFonts w:ascii="宋体" w:hAnsi="宋体" w:cs="宋体"/>
                <w:bCs/>
                <w:szCs w:val="21"/>
              </w:rPr>
            </w:pPr>
            <w:r>
              <w:rPr>
                <w:rFonts w:ascii="宋体" w:hAnsi="宋体" w:cs="宋体" w:hint="eastAsia"/>
                <w:szCs w:val="21"/>
              </w:rPr>
              <w:t>1</w:t>
            </w:r>
            <w:r>
              <w:rPr>
                <w:rFonts w:ascii="宋体" w:hAnsi="宋体" w:cs="宋体" w:hint="eastAsia"/>
                <w:bCs/>
                <w:sz w:val="21"/>
                <w:szCs w:val="21"/>
              </w:rPr>
              <w:t>中标供应商应当派有经验的技术人员到现场进行安装、调试，直到设备正常使用。</w:t>
            </w:r>
          </w:p>
          <w:p w:rsidR="00777717" w:rsidRDefault="00777717" w:rsidP="00777717">
            <w:pPr>
              <w:widowControl/>
              <w:jc w:val="left"/>
              <w:rPr>
                <w:rFonts w:ascii="宋体" w:hAnsi="宋体" w:cs="宋体"/>
                <w:bCs/>
                <w:szCs w:val="21"/>
              </w:rPr>
            </w:pPr>
            <w:r>
              <w:rPr>
                <w:rFonts w:ascii="宋体" w:hAnsi="宋体" w:cs="宋体" w:hint="eastAsia"/>
                <w:szCs w:val="21"/>
              </w:rPr>
              <w:t>2</w:t>
            </w:r>
            <w:r>
              <w:rPr>
                <w:rFonts w:ascii="宋体" w:hAnsi="宋体" w:cs="宋体" w:hint="eastAsia"/>
                <w:bCs/>
                <w:sz w:val="21"/>
                <w:szCs w:val="21"/>
              </w:rPr>
              <w:t>由采购人按采购文件、响应文件约定的要求和标准及中华人民共和国现行的验收规范和评定标准进行交货验收。</w:t>
            </w:r>
          </w:p>
          <w:p w:rsidR="00777717" w:rsidRDefault="00777717" w:rsidP="00777717">
            <w:pPr>
              <w:rPr>
                <w:rFonts w:ascii="宋体" w:hAnsi="宋体" w:cs="宋体"/>
                <w:bCs/>
                <w:szCs w:val="21"/>
              </w:rPr>
            </w:pPr>
            <w:r>
              <w:rPr>
                <w:rFonts w:ascii="宋体" w:hAnsi="宋体" w:cs="宋体" w:hint="eastAsia"/>
                <w:szCs w:val="21"/>
              </w:rPr>
              <w:t>3</w:t>
            </w:r>
            <w:r>
              <w:rPr>
                <w:rFonts w:ascii="宋体" w:hAnsi="宋体" w:cs="宋体" w:hint="eastAsia"/>
                <w:bCs/>
                <w:sz w:val="21"/>
                <w:szCs w:val="21"/>
              </w:rPr>
              <w:t>验收要求：货物必须满足以下条件后方可被</w:t>
            </w:r>
            <w:r>
              <w:rPr>
                <w:rFonts w:ascii="宋体" w:hAnsi="宋体" w:cs="宋体" w:hint="eastAsia"/>
                <w:bCs/>
                <w:szCs w:val="21"/>
              </w:rPr>
              <w:t>采购人</w:t>
            </w:r>
            <w:r>
              <w:rPr>
                <w:rFonts w:ascii="宋体" w:hAnsi="宋体" w:cs="宋体" w:hint="eastAsia"/>
                <w:bCs/>
                <w:sz w:val="21"/>
                <w:szCs w:val="21"/>
              </w:rPr>
              <w:t>接受：</w:t>
            </w:r>
          </w:p>
          <w:p w:rsidR="00777717" w:rsidRDefault="00777717" w:rsidP="00777717">
            <w:pPr>
              <w:numPr>
                <w:ilvl w:val="0"/>
                <w:numId w:val="2"/>
              </w:numPr>
              <w:rPr>
                <w:rFonts w:ascii="宋体" w:hAnsi="宋体" w:cs="宋体"/>
                <w:bCs/>
                <w:szCs w:val="21"/>
              </w:rPr>
            </w:pPr>
            <w:r>
              <w:rPr>
                <w:rFonts w:ascii="宋体" w:hAnsi="宋体" w:cs="宋体" w:hint="eastAsia"/>
                <w:bCs/>
                <w:sz w:val="21"/>
                <w:szCs w:val="21"/>
              </w:rPr>
              <w:t>设备全新,外观无伤痕变形或明显修饰痕迹。</w:t>
            </w:r>
          </w:p>
          <w:p w:rsidR="00777717" w:rsidRDefault="00777717" w:rsidP="00777717">
            <w:pPr>
              <w:numPr>
                <w:ilvl w:val="0"/>
                <w:numId w:val="2"/>
              </w:numPr>
              <w:rPr>
                <w:rFonts w:ascii="宋体" w:hAnsi="宋体" w:cs="宋体"/>
                <w:bCs/>
                <w:szCs w:val="21"/>
              </w:rPr>
            </w:pPr>
            <w:r>
              <w:rPr>
                <w:rFonts w:ascii="宋体" w:hAnsi="宋体" w:cs="宋体" w:hint="eastAsia"/>
                <w:bCs/>
                <w:sz w:val="21"/>
                <w:szCs w:val="21"/>
              </w:rPr>
              <w:t>必须符合有关国标的规定，响应文件提供的技术数据经实测证实是真实的，检验及质量保证期内达到的性能指标与要求一致，达到或优于相应标准。</w:t>
            </w:r>
          </w:p>
          <w:p w:rsidR="00777717" w:rsidRDefault="00777717" w:rsidP="00777717">
            <w:pPr>
              <w:numPr>
                <w:ilvl w:val="0"/>
                <w:numId w:val="2"/>
              </w:numPr>
              <w:rPr>
                <w:rFonts w:ascii="宋体" w:hAnsi="宋体" w:cs="宋体"/>
                <w:bCs/>
                <w:szCs w:val="21"/>
              </w:rPr>
            </w:pPr>
            <w:r>
              <w:rPr>
                <w:rFonts w:ascii="宋体" w:hAnsi="宋体" w:cs="宋体" w:hint="eastAsia"/>
                <w:bCs/>
                <w:sz w:val="21"/>
                <w:szCs w:val="21"/>
              </w:rPr>
              <w:t>全部设备已按规定数量移交完毕。</w:t>
            </w:r>
          </w:p>
          <w:p w:rsidR="00777717" w:rsidRDefault="00777717" w:rsidP="00777717">
            <w:pPr>
              <w:widowControl/>
              <w:numPr>
                <w:ilvl w:val="0"/>
                <w:numId w:val="2"/>
              </w:numPr>
              <w:jc w:val="left"/>
              <w:rPr>
                <w:rFonts w:ascii="宋体" w:hAnsi="宋体" w:cs="宋体"/>
                <w:bCs/>
                <w:szCs w:val="21"/>
              </w:rPr>
            </w:pPr>
            <w:r w:rsidRPr="003A4A5D">
              <w:rPr>
                <w:rFonts w:ascii="宋体" w:hAnsi="宋体" w:cs="宋体" w:hint="eastAsia"/>
                <w:bCs/>
                <w:sz w:val="21"/>
                <w:szCs w:val="21"/>
              </w:rPr>
              <w:lastRenderedPageBreak/>
              <w:t>按照采购文件要求及响应文件提供的技术参数验收必须合格。</w:t>
            </w:r>
          </w:p>
          <w:p w:rsidR="00777717" w:rsidRPr="003A4A5D" w:rsidRDefault="00777717" w:rsidP="00777717">
            <w:pPr>
              <w:widowControl/>
              <w:numPr>
                <w:ilvl w:val="0"/>
                <w:numId w:val="2"/>
              </w:numPr>
              <w:jc w:val="left"/>
              <w:rPr>
                <w:rFonts w:ascii="宋体" w:hAnsi="宋体" w:cs="宋体"/>
                <w:bCs/>
                <w:szCs w:val="21"/>
              </w:rPr>
            </w:pPr>
            <w:r w:rsidRPr="003A4A5D">
              <w:rPr>
                <w:rFonts w:ascii="宋体" w:hAnsi="宋体" w:cs="宋体" w:hint="eastAsia"/>
                <w:bCs/>
                <w:szCs w:val="21"/>
              </w:rPr>
              <w:t>在货物安装调试合格后，能达到采购人使用要求，由采购人组织验收，双方共同签署验收报告。</w:t>
            </w:r>
          </w:p>
          <w:p w:rsidR="00777717" w:rsidRPr="003A4A5D" w:rsidRDefault="00777717" w:rsidP="00777717">
            <w:pPr>
              <w:widowControl/>
              <w:jc w:val="left"/>
              <w:rPr>
                <w:rFonts w:ascii="宋体" w:hAnsi="宋体" w:cs="宋体"/>
                <w:szCs w:val="21"/>
              </w:rPr>
            </w:pPr>
            <w:r>
              <w:rPr>
                <w:rFonts w:ascii="宋体" w:hAnsi="宋体" w:cs="宋体"/>
                <w:szCs w:val="21"/>
              </w:rPr>
              <w:t>4</w:t>
            </w:r>
            <w:r>
              <w:rPr>
                <w:rFonts w:ascii="宋体" w:hAnsi="宋体" w:cs="宋体" w:hint="eastAsia"/>
                <w:bCs/>
                <w:sz w:val="21"/>
                <w:szCs w:val="21"/>
              </w:rPr>
              <w:t>所有设备及配件需根据</w:t>
            </w:r>
            <w:r>
              <w:rPr>
                <w:rFonts w:ascii="宋体" w:hAnsi="宋体" w:cs="宋体" w:hint="eastAsia"/>
                <w:bCs/>
                <w:szCs w:val="21"/>
              </w:rPr>
              <w:t>采购人</w:t>
            </w:r>
            <w:r>
              <w:rPr>
                <w:rFonts w:ascii="宋体" w:hAnsi="宋体" w:cs="宋体" w:hint="eastAsia"/>
                <w:bCs/>
                <w:sz w:val="21"/>
                <w:szCs w:val="21"/>
              </w:rPr>
              <w:t>要求进行安装调试。</w:t>
            </w:r>
          </w:p>
        </w:tc>
        <w:tc>
          <w:tcPr>
            <w:tcW w:w="3119" w:type="dxa"/>
          </w:tcPr>
          <w:p w:rsidR="00777717" w:rsidRDefault="00777717" w:rsidP="00777717"/>
        </w:tc>
        <w:tc>
          <w:tcPr>
            <w:tcW w:w="1275" w:type="dxa"/>
          </w:tcPr>
          <w:p w:rsidR="00777717" w:rsidRDefault="00777717" w:rsidP="00777717"/>
        </w:tc>
      </w:tr>
      <w:tr w:rsidR="00777717" w:rsidTr="00FF3340">
        <w:trPr>
          <w:trHeight w:val="490"/>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6</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关于违约</w:t>
            </w:r>
          </w:p>
        </w:tc>
        <w:tc>
          <w:tcPr>
            <w:tcW w:w="3118" w:type="dxa"/>
          </w:tcPr>
          <w:p w:rsidR="00777717" w:rsidRDefault="00777717" w:rsidP="00777717">
            <w:pPr>
              <w:widowControl/>
              <w:jc w:val="left"/>
              <w:rPr>
                <w:rFonts w:ascii="宋体" w:hAnsi="宋体" w:cs="宋体"/>
                <w:szCs w:val="21"/>
              </w:rPr>
            </w:pPr>
            <w:r>
              <w:rPr>
                <w:rFonts w:ascii="宋体" w:hAnsi="宋体" w:cs="宋体" w:hint="eastAsia"/>
                <w:sz w:val="21"/>
                <w:szCs w:val="21"/>
              </w:rPr>
              <w:t>如投标人未按照投标文件中承诺的时间完成供货及安装调试，投标人应承担延期服务的违约责任，向采购人每日偿付中标金额 0.5%的违约金。逾期超过30 日的，投标人需向采购人另行支付中标金额的 30%的违约金，且采购人有权单方取消采购。另外，投标人赔偿采购人因此造成的实际经济损失。</w:t>
            </w:r>
          </w:p>
        </w:tc>
        <w:tc>
          <w:tcPr>
            <w:tcW w:w="3119" w:type="dxa"/>
          </w:tcPr>
          <w:p w:rsidR="00777717" w:rsidRDefault="00777717" w:rsidP="00777717"/>
        </w:tc>
        <w:tc>
          <w:tcPr>
            <w:tcW w:w="1275" w:type="dxa"/>
          </w:tcPr>
          <w:p w:rsidR="00777717" w:rsidRDefault="00777717" w:rsidP="00777717"/>
        </w:tc>
      </w:tr>
      <w:tr w:rsidR="00777717" w:rsidTr="00BF4E5B">
        <w:trPr>
          <w:trHeight w:val="490"/>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7</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关于付款</w:t>
            </w:r>
          </w:p>
        </w:tc>
        <w:tc>
          <w:tcPr>
            <w:tcW w:w="3118" w:type="dxa"/>
            <w:vAlign w:val="center"/>
          </w:tcPr>
          <w:p w:rsidR="00777717" w:rsidRDefault="00777717" w:rsidP="00777717">
            <w:pPr>
              <w:widowControl/>
              <w:jc w:val="left"/>
              <w:rPr>
                <w:rFonts w:ascii="宋体" w:hAnsi="宋体" w:cs="宋体"/>
                <w:szCs w:val="21"/>
              </w:rPr>
            </w:pPr>
            <w:r>
              <w:rPr>
                <w:rFonts w:ascii="宋体" w:hAnsi="宋体" w:cs="宋体" w:hint="eastAsia"/>
                <w:bCs/>
                <w:sz w:val="21"/>
                <w:szCs w:val="21"/>
              </w:rPr>
              <w:t>到货安装并验收合格，且采购</w:t>
            </w:r>
            <w:r>
              <w:rPr>
                <w:rFonts w:ascii="宋体" w:hAnsi="宋体" w:cs="宋体" w:hint="eastAsia"/>
                <w:bCs/>
                <w:szCs w:val="21"/>
              </w:rPr>
              <w:t>人</w:t>
            </w:r>
            <w:r>
              <w:rPr>
                <w:rFonts w:ascii="宋体" w:hAnsi="宋体" w:cs="宋体" w:hint="eastAsia"/>
                <w:bCs/>
                <w:sz w:val="21"/>
                <w:szCs w:val="21"/>
              </w:rPr>
              <w:t>在收到中标供应商开具的全额发票后10个工作日内支付中标总金额的100%。</w:t>
            </w:r>
          </w:p>
        </w:tc>
        <w:tc>
          <w:tcPr>
            <w:tcW w:w="3119" w:type="dxa"/>
          </w:tcPr>
          <w:p w:rsidR="00777717" w:rsidRDefault="00777717" w:rsidP="00777717"/>
        </w:tc>
        <w:tc>
          <w:tcPr>
            <w:tcW w:w="1275" w:type="dxa"/>
          </w:tcPr>
          <w:p w:rsidR="00777717" w:rsidRDefault="00777717" w:rsidP="00777717"/>
        </w:tc>
      </w:tr>
      <w:tr w:rsidR="00777717" w:rsidTr="00BF4E5B">
        <w:trPr>
          <w:trHeight w:val="490"/>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8</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货物运输及包装方式要求</w:t>
            </w:r>
          </w:p>
        </w:tc>
        <w:tc>
          <w:tcPr>
            <w:tcW w:w="3118" w:type="dxa"/>
            <w:vAlign w:val="center"/>
          </w:tcPr>
          <w:p w:rsidR="00777717" w:rsidRDefault="00777717" w:rsidP="00777717">
            <w:pPr>
              <w:widowControl/>
              <w:jc w:val="left"/>
              <w:rPr>
                <w:rFonts w:ascii="宋体" w:hAnsi="宋体" w:cs="宋体"/>
                <w:szCs w:val="21"/>
              </w:rPr>
            </w:pPr>
            <w:r>
              <w:rPr>
                <w:rFonts w:ascii="宋体" w:hAnsi="宋体" w:cs="宋体" w:hint="eastAsia"/>
                <w:sz w:val="21"/>
                <w:szCs w:val="21"/>
              </w:rPr>
              <w:t>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3119" w:type="dxa"/>
          </w:tcPr>
          <w:p w:rsidR="00777717" w:rsidRDefault="00777717" w:rsidP="00777717"/>
        </w:tc>
        <w:tc>
          <w:tcPr>
            <w:tcW w:w="1275" w:type="dxa"/>
          </w:tcPr>
          <w:p w:rsidR="00777717" w:rsidRDefault="00777717" w:rsidP="00777717"/>
        </w:tc>
      </w:tr>
      <w:tr w:rsidR="00777717" w:rsidTr="00BF4E5B">
        <w:trPr>
          <w:trHeight w:val="490"/>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9</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 w:val="21"/>
                <w:szCs w:val="21"/>
              </w:rPr>
              <w:t>关于培训</w:t>
            </w:r>
          </w:p>
        </w:tc>
        <w:tc>
          <w:tcPr>
            <w:tcW w:w="3118" w:type="dxa"/>
            <w:vAlign w:val="center"/>
          </w:tcPr>
          <w:p w:rsidR="00777717" w:rsidRDefault="00777717" w:rsidP="00777717">
            <w:pPr>
              <w:widowControl/>
              <w:jc w:val="left"/>
              <w:rPr>
                <w:rFonts w:ascii="宋体" w:hAnsi="宋体" w:cs="宋体"/>
                <w:szCs w:val="21"/>
              </w:rPr>
            </w:pPr>
            <w:r>
              <w:rPr>
                <w:rFonts w:ascii="宋体" w:hAnsi="宋体" w:cs="宋体" w:hint="eastAsia"/>
                <w:szCs w:val="21"/>
              </w:rPr>
              <w:t>中标人</w:t>
            </w:r>
            <w:r>
              <w:rPr>
                <w:rFonts w:ascii="宋体" w:hAnsi="宋体" w:cs="宋体" w:hint="eastAsia"/>
                <w:sz w:val="21"/>
                <w:szCs w:val="21"/>
              </w:rPr>
              <w:t>负责提供产品使用培训及相关咨询。</w:t>
            </w:r>
          </w:p>
        </w:tc>
        <w:tc>
          <w:tcPr>
            <w:tcW w:w="3119" w:type="dxa"/>
          </w:tcPr>
          <w:p w:rsidR="00777717" w:rsidRDefault="00777717" w:rsidP="00777717"/>
        </w:tc>
        <w:tc>
          <w:tcPr>
            <w:tcW w:w="1275" w:type="dxa"/>
          </w:tcPr>
          <w:p w:rsidR="00777717" w:rsidRDefault="00777717" w:rsidP="00777717"/>
        </w:tc>
      </w:tr>
      <w:tr w:rsidR="00777717" w:rsidTr="00BF4E5B">
        <w:trPr>
          <w:trHeight w:val="490"/>
        </w:trPr>
        <w:tc>
          <w:tcPr>
            <w:tcW w:w="851"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1560" w:type="dxa"/>
            <w:vAlign w:val="center"/>
          </w:tcPr>
          <w:p w:rsidR="00777717" w:rsidRDefault="00777717" w:rsidP="00777717">
            <w:pPr>
              <w:spacing w:line="360" w:lineRule="auto"/>
              <w:jc w:val="center"/>
              <w:rPr>
                <w:rFonts w:ascii="宋体" w:hAnsi="宋体" w:cs="宋体"/>
                <w:szCs w:val="21"/>
              </w:rPr>
            </w:pPr>
            <w:r>
              <w:rPr>
                <w:rFonts w:ascii="宋体" w:hAnsi="宋体" w:cs="宋体" w:hint="eastAsia"/>
                <w:szCs w:val="21"/>
              </w:rPr>
              <w:t>报价要求</w:t>
            </w:r>
          </w:p>
        </w:tc>
        <w:tc>
          <w:tcPr>
            <w:tcW w:w="3118" w:type="dxa"/>
            <w:vAlign w:val="center"/>
          </w:tcPr>
          <w:p w:rsidR="00777717" w:rsidRDefault="00777717" w:rsidP="00777717">
            <w:pPr>
              <w:widowControl/>
              <w:jc w:val="left"/>
              <w:rPr>
                <w:rFonts w:ascii="宋体" w:hAnsi="宋体" w:cs="宋体"/>
                <w:szCs w:val="21"/>
              </w:rPr>
            </w:pPr>
            <w:r>
              <w:rPr>
                <w:rFonts w:ascii="宋体" w:hAnsi="宋体" w:cs="宋体" w:hint="eastAsia"/>
                <w:szCs w:val="21"/>
              </w:rPr>
              <w:t>本项目预算金额：人民3</w:t>
            </w:r>
            <w:r>
              <w:rPr>
                <w:rFonts w:ascii="宋体" w:hAnsi="宋体" w:cs="宋体"/>
                <w:szCs w:val="21"/>
              </w:rPr>
              <w:t>1500</w:t>
            </w:r>
            <w:r>
              <w:rPr>
                <w:rFonts w:ascii="宋体" w:hAnsi="宋体" w:cs="宋体" w:hint="eastAsia"/>
                <w:szCs w:val="21"/>
              </w:rPr>
              <w:t>元，响应报价超过预算金额的视为无效响应。响应总价必须是完成该项目的一切费用总和，包括设备费、运输费、装卸费、保险费、技术培训费、设备安装费、调试费、售后服务费、国家规定的各项税费等。采购人不需再支付其他费用。</w:t>
            </w:r>
          </w:p>
        </w:tc>
        <w:tc>
          <w:tcPr>
            <w:tcW w:w="3119" w:type="dxa"/>
          </w:tcPr>
          <w:p w:rsidR="00777717" w:rsidRDefault="00777717" w:rsidP="00777717"/>
        </w:tc>
        <w:tc>
          <w:tcPr>
            <w:tcW w:w="1275" w:type="dxa"/>
          </w:tcPr>
          <w:p w:rsidR="00777717" w:rsidRDefault="00777717" w:rsidP="00777717"/>
        </w:tc>
      </w:tr>
    </w:tbl>
    <w:p w:rsidR="00177095" w:rsidRDefault="00177095" w:rsidP="00177095">
      <w:pPr>
        <w:rPr>
          <w:rFonts w:ascii="宋体" w:hAnsi="宋体" w:cs="宋体"/>
          <w:color w:val="333333"/>
          <w:kern w:val="0"/>
          <w:sz w:val="24"/>
          <w:szCs w:val="24"/>
        </w:rPr>
      </w:pPr>
    </w:p>
    <w:p w:rsidR="00177095" w:rsidRPr="00177095" w:rsidRDefault="00177095" w:rsidP="00177095">
      <w:pPr>
        <w:rPr>
          <w:rFonts w:ascii="宋体" w:hAnsi="宋体" w:cs="宋体"/>
          <w:color w:val="333333"/>
          <w:kern w:val="0"/>
          <w:sz w:val="24"/>
          <w:szCs w:val="24"/>
        </w:rPr>
      </w:pPr>
      <w:r w:rsidRPr="00177095">
        <w:rPr>
          <w:rFonts w:ascii="宋体" w:hAnsi="宋体" w:cs="宋体"/>
          <w:color w:val="333333"/>
          <w:kern w:val="0"/>
          <w:sz w:val="24"/>
          <w:szCs w:val="24"/>
        </w:rPr>
        <w:lastRenderedPageBreak/>
        <w:t>备注：</w:t>
      </w:r>
    </w:p>
    <w:p w:rsidR="00177095" w:rsidRPr="00177095" w:rsidRDefault="00177095" w:rsidP="00177095">
      <w:pPr>
        <w:numPr>
          <w:ilvl w:val="0"/>
          <w:numId w:val="1"/>
        </w:numPr>
        <w:rPr>
          <w:rFonts w:ascii="宋体" w:hAnsi="宋体" w:cs="宋体"/>
          <w:color w:val="333333"/>
          <w:kern w:val="0"/>
          <w:sz w:val="24"/>
          <w:szCs w:val="24"/>
        </w:rPr>
      </w:pPr>
      <w:r w:rsidRPr="00177095">
        <w:rPr>
          <w:rFonts w:ascii="宋体" w:hAnsi="宋体" w:cs="宋体"/>
          <w:color w:val="333333"/>
          <w:kern w:val="0"/>
          <w:sz w:val="24"/>
          <w:szCs w:val="24"/>
        </w:rPr>
        <w:t>请逐项填写</w:t>
      </w:r>
      <w:r w:rsidRPr="00177095">
        <w:rPr>
          <w:rFonts w:ascii="宋体" w:hAnsi="宋体" w:cs="宋体" w:hint="eastAsia"/>
          <w:color w:val="333333"/>
          <w:kern w:val="0"/>
          <w:sz w:val="24"/>
          <w:szCs w:val="24"/>
        </w:rPr>
        <w:t>投标</w:t>
      </w:r>
      <w:r>
        <w:rPr>
          <w:rFonts w:ascii="宋体" w:hAnsi="宋体" w:cs="宋体" w:hint="eastAsia"/>
          <w:color w:val="333333"/>
          <w:kern w:val="0"/>
          <w:sz w:val="24"/>
          <w:szCs w:val="24"/>
        </w:rPr>
        <w:t>商务</w:t>
      </w:r>
      <w:r w:rsidRPr="00177095">
        <w:rPr>
          <w:rFonts w:ascii="宋体" w:hAnsi="宋体" w:cs="宋体" w:hint="eastAsia"/>
          <w:color w:val="333333"/>
          <w:kern w:val="0"/>
          <w:sz w:val="24"/>
          <w:szCs w:val="24"/>
        </w:rPr>
        <w:t>条款。</w:t>
      </w:r>
    </w:p>
    <w:p w:rsidR="00177095" w:rsidRPr="00177095" w:rsidRDefault="00177095" w:rsidP="00177095">
      <w:pPr>
        <w:numPr>
          <w:ilvl w:val="0"/>
          <w:numId w:val="1"/>
        </w:numPr>
        <w:rPr>
          <w:rFonts w:ascii="宋体" w:hAnsi="宋体" w:cs="宋体"/>
          <w:color w:val="333333"/>
          <w:kern w:val="0"/>
          <w:sz w:val="24"/>
          <w:szCs w:val="24"/>
        </w:rPr>
      </w:pPr>
      <w:r w:rsidRPr="00177095">
        <w:rPr>
          <w:rFonts w:ascii="宋体" w:hAnsi="宋体" w:cs="宋体"/>
          <w:color w:val="333333"/>
          <w:kern w:val="0"/>
          <w:sz w:val="24"/>
          <w:szCs w:val="24"/>
        </w:rPr>
        <w:t>偏离情况请填写 正偏离 或</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负偏离</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或</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无偏离</w:t>
      </w:r>
      <w:r w:rsidRPr="00177095">
        <w:rPr>
          <w:rFonts w:ascii="宋体" w:hAnsi="宋体" w:cs="宋体" w:hint="eastAsia"/>
          <w:color w:val="333333"/>
          <w:kern w:val="0"/>
          <w:sz w:val="24"/>
          <w:szCs w:val="24"/>
        </w:rPr>
        <w:t>。</w:t>
      </w:r>
    </w:p>
    <w:p w:rsidR="008B3080" w:rsidRPr="00177095" w:rsidRDefault="00D15A9E" w:rsidP="003A3331"/>
    <w:sectPr w:rsidR="008B3080" w:rsidRPr="00177095" w:rsidSect="00306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A9E" w:rsidRDefault="00D15A9E" w:rsidP="00A246EB">
      <w:r>
        <w:separator/>
      </w:r>
    </w:p>
  </w:endnote>
  <w:endnote w:type="continuationSeparator" w:id="0">
    <w:p w:rsidR="00D15A9E" w:rsidRDefault="00D15A9E" w:rsidP="00A2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A9E" w:rsidRDefault="00D15A9E" w:rsidP="00A246EB">
      <w:r>
        <w:separator/>
      </w:r>
    </w:p>
  </w:footnote>
  <w:footnote w:type="continuationSeparator" w:id="0">
    <w:p w:rsidR="00D15A9E" w:rsidRDefault="00D15A9E" w:rsidP="00A2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617B7A"/>
    <w:multiLevelType w:val="singleLevel"/>
    <w:tmpl w:val="AD617B7A"/>
    <w:lvl w:ilvl="0">
      <w:start w:val="1"/>
      <w:numFmt w:val="decimal"/>
      <w:suff w:val="nothing"/>
      <w:lvlText w:val="（%1）"/>
      <w:lvlJc w:val="left"/>
    </w:lvl>
  </w:abstractNum>
  <w:abstractNum w:abstractNumId="1" w15:restartNumberingAfterBreak="0">
    <w:nsid w:val="145E7B86"/>
    <w:multiLevelType w:val="hybridMultilevel"/>
    <w:tmpl w:val="DBA026B8"/>
    <w:lvl w:ilvl="0" w:tplc="C64A9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56"/>
    <w:rsid w:val="00095075"/>
    <w:rsid w:val="000A57FF"/>
    <w:rsid w:val="00177095"/>
    <w:rsid w:val="001C4FB0"/>
    <w:rsid w:val="00235D35"/>
    <w:rsid w:val="00270708"/>
    <w:rsid w:val="00316D5E"/>
    <w:rsid w:val="0038067B"/>
    <w:rsid w:val="00390D82"/>
    <w:rsid w:val="003A3331"/>
    <w:rsid w:val="0044783A"/>
    <w:rsid w:val="00481D51"/>
    <w:rsid w:val="004D770A"/>
    <w:rsid w:val="005D3359"/>
    <w:rsid w:val="00663124"/>
    <w:rsid w:val="00694056"/>
    <w:rsid w:val="006A513E"/>
    <w:rsid w:val="006F72F3"/>
    <w:rsid w:val="0072758F"/>
    <w:rsid w:val="00777717"/>
    <w:rsid w:val="00795368"/>
    <w:rsid w:val="007B1266"/>
    <w:rsid w:val="0085622A"/>
    <w:rsid w:val="008C0BEF"/>
    <w:rsid w:val="009A1E78"/>
    <w:rsid w:val="009D2525"/>
    <w:rsid w:val="009E4B8A"/>
    <w:rsid w:val="009F24EF"/>
    <w:rsid w:val="00A04F71"/>
    <w:rsid w:val="00A246EB"/>
    <w:rsid w:val="00A26569"/>
    <w:rsid w:val="00A5331E"/>
    <w:rsid w:val="00A54F0D"/>
    <w:rsid w:val="00A614F7"/>
    <w:rsid w:val="00AB6701"/>
    <w:rsid w:val="00B2314F"/>
    <w:rsid w:val="00B77CCE"/>
    <w:rsid w:val="00BA3D69"/>
    <w:rsid w:val="00BF4E5B"/>
    <w:rsid w:val="00C949ED"/>
    <w:rsid w:val="00D15A9E"/>
    <w:rsid w:val="00D957BD"/>
    <w:rsid w:val="00E638EB"/>
    <w:rsid w:val="00EB18A0"/>
    <w:rsid w:val="00EC605D"/>
    <w:rsid w:val="00FE2C88"/>
    <w:rsid w:val="00FF4029"/>
    <w:rsid w:val="00FF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B0A92"/>
  <w15:chartTrackingRefBased/>
  <w15:docId w15:val="{54BBD5AE-EB80-4BFF-B3E5-FF310D3B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46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6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46EB"/>
    <w:rPr>
      <w:sz w:val="18"/>
      <w:szCs w:val="18"/>
    </w:rPr>
  </w:style>
  <w:style w:type="paragraph" w:styleId="a5">
    <w:name w:val="footer"/>
    <w:basedOn w:val="a"/>
    <w:link w:val="a6"/>
    <w:uiPriority w:val="99"/>
    <w:unhideWhenUsed/>
    <w:rsid w:val="00A246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46EB"/>
    <w:rPr>
      <w:sz w:val="18"/>
      <w:szCs w:val="18"/>
    </w:rPr>
  </w:style>
  <w:style w:type="table" w:styleId="a7">
    <w:name w:val="Table Grid"/>
    <w:basedOn w:val="a1"/>
    <w:uiPriority w:val="59"/>
    <w:qFormat/>
    <w:rsid w:val="00A246E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nhideWhenUsed/>
    <w:qFormat/>
    <w:rsid w:val="00663124"/>
    <w:pPr>
      <w:spacing w:after="120"/>
    </w:pPr>
    <w:rPr>
      <w:rFonts w:asciiTheme="minorHAnsi" w:eastAsiaTheme="minorEastAsia" w:hAnsiTheme="minorHAnsi" w:cstheme="minorBidi"/>
      <w:szCs w:val="24"/>
    </w:rPr>
  </w:style>
  <w:style w:type="character" w:customStyle="1" w:styleId="a9">
    <w:name w:val="正文文本 字符"/>
    <w:basedOn w:val="a0"/>
    <w:link w:val="a8"/>
    <w:qFormat/>
    <w:rsid w:val="00663124"/>
    <w:rPr>
      <w:szCs w:val="24"/>
    </w:rPr>
  </w:style>
  <w:style w:type="paragraph" w:styleId="aa">
    <w:name w:val="annotation text"/>
    <w:basedOn w:val="a"/>
    <w:link w:val="ab"/>
    <w:uiPriority w:val="99"/>
    <w:semiHidden/>
    <w:unhideWhenUsed/>
    <w:qFormat/>
    <w:rsid w:val="00663124"/>
    <w:pPr>
      <w:jc w:val="left"/>
    </w:pPr>
  </w:style>
  <w:style w:type="character" w:customStyle="1" w:styleId="ab">
    <w:name w:val="批注文字 字符"/>
    <w:basedOn w:val="a0"/>
    <w:link w:val="aa"/>
    <w:uiPriority w:val="99"/>
    <w:semiHidden/>
    <w:qFormat/>
    <w:rsid w:val="00663124"/>
    <w:rPr>
      <w:rFonts w:ascii="Calibri" w:eastAsia="宋体" w:hAnsi="Calibri" w:cs="Times New Roman"/>
    </w:rPr>
  </w:style>
  <w:style w:type="character" w:styleId="ac">
    <w:name w:val="annotation reference"/>
    <w:basedOn w:val="a0"/>
    <w:uiPriority w:val="99"/>
    <w:semiHidden/>
    <w:unhideWhenUsed/>
    <w:qFormat/>
    <w:rsid w:val="00663124"/>
    <w:rPr>
      <w:sz w:val="21"/>
      <w:szCs w:val="21"/>
    </w:rPr>
  </w:style>
  <w:style w:type="paragraph" w:styleId="ad">
    <w:name w:val="Balloon Text"/>
    <w:basedOn w:val="a"/>
    <w:link w:val="ae"/>
    <w:uiPriority w:val="99"/>
    <w:semiHidden/>
    <w:unhideWhenUsed/>
    <w:rsid w:val="00663124"/>
    <w:rPr>
      <w:sz w:val="18"/>
      <w:szCs w:val="18"/>
    </w:rPr>
  </w:style>
  <w:style w:type="character" w:customStyle="1" w:styleId="ae">
    <w:name w:val="批注框文本 字符"/>
    <w:basedOn w:val="a0"/>
    <w:link w:val="ad"/>
    <w:uiPriority w:val="99"/>
    <w:semiHidden/>
    <w:rsid w:val="0066312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Chilan</dc:creator>
  <cp:keywords/>
  <dc:description/>
  <cp:lastModifiedBy>采购中心</cp:lastModifiedBy>
  <cp:revision>26</cp:revision>
  <dcterms:created xsi:type="dcterms:W3CDTF">2022-07-22T07:54:00Z</dcterms:created>
  <dcterms:modified xsi:type="dcterms:W3CDTF">2024-12-19T08:02:00Z</dcterms:modified>
</cp:coreProperties>
</file>