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A0058">
      <w:pPr>
        <w:jc w:val="left"/>
        <w:rPr>
          <w:rFonts w:ascii="宋体" w:hAnsi="宋体" w:cs="宋体"/>
          <w:color w:val="333333"/>
          <w:kern w:val="0"/>
          <w:sz w:val="24"/>
          <w:szCs w:val="24"/>
        </w:rPr>
      </w:pPr>
      <w:r>
        <w:rPr>
          <w:rFonts w:hint="eastAsia"/>
          <w:sz w:val="24"/>
          <w:szCs w:val="24"/>
        </w:rPr>
        <w:t>附件三</w:t>
      </w:r>
      <w:r>
        <w:rPr>
          <w:sz w:val="24"/>
          <w:szCs w:val="24"/>
        </w:rPr>
        <w:t xml:space="preserve"> </w:t>
      </w:r>
      <w:r>
        <w:rPr>
          <w:rFonts w:hint="eastAsia"/>
          <w:sz w:val="24"/>
          <w:szCs w:val="24"/>
        </w:rPr>
        <w:t>商务条款偏离情况表</w:t>
      </w:r>
      <w:r>
        <w:rPr>
          <w:rFonts w:ascii="宋体" w:hAnsi="宋体" w:cs="宋体"/>
          <w:color w:val="333333"/>
          <w:kern w:val="0"/>
          <w:sz w:val="24"/>
          <w:szCs w:val="24"/>
        </w:rPr>
        <w:t>(</w:t>
      </w:r>
      <w:r>
        <w:rPr>
          <w:rFonts w:hint="eastAsia" w:ascii="宋体" w:hAnsi="宋体" w:cs="宋体"/>
          <w:color w:val="333333"/>
          <w:kern w:val="0"/>
          <w:sz w:val="24"/>
          <w:szCs w:val="24"/>
        </w:rPr>
        <w:t>所有商务条款均为★实质性条款，有任何一条负偏离将导致无效投标</w:t>
      </w:r>
      <w:r>
        <w:rPr>
          <w:rFonts w:ascii="宋体" w:hAnsi="宋体" w:cs="宋体"/>
          <w:color w:val="333333"/>
          <w:kern w:val="0"/>
          <w:sz w:val="24"/>
          <w:szCs w:val="24"/>
        </w:rPr>
        <w:t>)</w:t>
      </w:r>
    </w:p>
    <w:p w14:paraId="4861AC67">
      <w:pPr>
        <w:jc w:val="left"/>
        <w:rPr>
          <w:rFonts w:ascii="宋体" w:hAnsi="宋体" w:cs="宋体"/>
          <w:color w:val="333333"/>
          <w:kern w:val="0"/>
          <w:sz w:val="24"/>
          <w:szCs w:val="24"/>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3572"/>
        <w:gridCol w:w="3024"/>
        <w:gridCol w:w="1236"/>
      </w:tblGrid>
      <w:tr w14:paraId="0728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03" w:type="pct"/>
          </w:tcPr>
          <w:p w14:paraId="6438EF0A">
            <w:pPr>
              <w:jc w:val="center"/>
              <w:rPr>
                <w:rFonts w:ascii="宋体" w:hAnsi="宋体" w:cs="宋体"/>
                <w:color w:val="333333"/>
                <w:kern w:val="0"/>
                <w:sz w:val="24"/>
                <w:szCs w:val="24"/>
              </w:rPr>
            </w:pPr>
            <w:r>
              <w:rPr>
                <w:rFonts w:hint="eastAsia" w:ascii="宋体" w:hAnsi="宋体" w:cs="宋体"/>
                <w:color w:val="333333"/>
                <w:kern w:val="0"/>
                <w:sz w:val="24"/>
                <w:szCs w:val="24"/>
              </w:rPr>
              <w:t>序号</w:t>
            </w:r>
          </w:p>
        </w:tc>
        <w:tc>
          <w:tcPr>
            <w:tcW w:w="2096" w:type="pct"/>
          </w:tcPr>
          <w:p w14:paraId="76DA6A94">
            <w:pPr>
              <w:jc w:val="center"/>
              <w:rPr>
                <w:rFonts w:ascii="宋体" w:hAnsi="宋体" w:cs="宋体"/>
                <w:color w:val="333333"/>
                <w:kern w:val="0"/>
                <w:sz w:val="24"/>
                <w:szCs w:val="24"/>
              </w:rPr>
            </w:pPr>
            <w:r>
              <w:rPr>
                <w:rFonts w:hint="eastAsia" w:ascii="宋体" w:hAnsi="宋体" w:cs="宋体"/>
                <w:color w:val="333333"/>
                <w:kern w:val="0"/>
                <w:sz w:val="24"/>
                <w:szCs w:val="24"/>
              </w:rPr>
              <w:t>招标商务条款</w:t>
            </w:r>
          </w:p>
        </w:tc>
        <w:tc>
          <w:tcPr>
            <w:tcW w:w="1774" w:type="pct"/>
          </w:tcPr>
          <w:p w14:paraId="63A9DA23">
            <w:pPr>
              <w:jc w:val="center"/>
              <w:rPr>
                <w:rFonts w:ascii="宋体" w:hAnsi="宋体" w:cs="宋体"/>
                <w:color w:val="333333"/>
                <w:kern w:val="0"/>
                <w:sz w:val="24"/>
                <w:szCs w:val="24"/>
              </w:rPr>
            </w:pPr>
            <w:r>
              <w:rPr>
                <w:rFonts w:hint="eastAsia" w:ascii="宋体" w:hAnsi="宋体" w:cs="宋体"/>
                <w:color w:val="333333"/>
                <w:kern w:val="0"/>
                <w:sz w:val="24"/>
                <w:szCs w:val="24"/>
              </w:rPr>
              <w:t>投标商务条款</w:t>
            </w:r>
          </w:p>
        </w:tc>
        <w:tc>
          <w:tcPr>
            <w:tcW w:w="725" w:type="pct"/>
          </w:tcPr>
          <w:p w14:paraId="330C8DCD">
            <w:pPr>
              <w:jc w:val="center"/>
              <w:rPr>
                <w:rFonts w:ascii="宋体" w:hAnsi="宋体" w:cs="宋体"/>
                <w:color w:val="333333"/>
                <w:kern w:val="0"/>
                <w:sz w:val="24"/>
                <w:szCs w:val="24"/>
              </w:rPr>
            </w:pPr>
            <w:r>
              <w:rPr>
                <w:rFonts w:hint="eastAsia" w:ascii="宋体" w:hAnsi="宋体" w:cs="宋体"/>
                <w:color w:val="333333"/>
                <w:kern w:val="0"/>
                <w:sz w:val="24"/>
                <w:szCs w:val="24"/>
              </w:rPr>
              <w:t>偏离情况</w:t>
            </w:r>
          </w:p>
        </w:tc>
      </w:tr>
      <w:tr w14:paraId="7183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03" w:type="pct"/>
            <w:vAlign w:val="center"/>
          </w:tcPr>
          <w:p w14:paraId="5054DCA2">
            <w:pPr>
              <w:spacing w:line="360" w:lineRule="auto"/>
              <w:jc w:val="center"/>
              <w:rPr>
                <w:rFonts w:ascii="宋体" w:hAnsi="宋体" w:cs="宋体"/>
                <w:kern w:val="0"/>
                <w:sz w:val="20"/>
                <w:szCs w:val="21"/>
              </w:rPr>
            </w:pPr>
            <w:r>
              <w:rPr>
                <w:rFonts w:hint="eastAsia" w:ascii="宋体" w:hAnsi="宋体" w:cs="宋体"/>
                <w:kern w:val="0"/>
                <w:sz w:val="20"/>
                <w:szCs w:val="21"/>
              </w:rPr>
              <w:t>1</w:t>
            </w:r>
          </w:p>
        </w:tc>
        <w:tc>
          <w:tcPr>
            <w:tcW w:w="2096" w:type="pct"/>
            <w:vAlign w:val="center"/>
          </w:tcPr>
          <w:p w14:paraId="1B5A98F3">
            <w:pPr>
              <w:widowControl/>
              <w:numPr>
                <w:ilvl w:val="0"/>
                <w:numId w:val="0"/>
              </w:numPr>
              <w:ind w:left="0" w:leftChars="0" w:firstLine="0" w:firstLineChars="0"/>
              <w:jc w:val="left"/>
              <w:rPr>
                <w:rFonts w:hint="eastAsia" w:ascii="宋体" w:hAnsi="宋体" w:cs="宋体"/>
                <w:kern w:val="0"/>
                <w:sz w:val="20"/>
                <w:szCs w:val="21"/>
              </w:rPr>
            </w:pPr>
            <w:r>
              <w:rPr>
                <w:rFonts w:hint="eastAsia" w:ascii="宋体" w:hAnsi="宋体" w:eastAsia="宋体" w:cs="宋体"/>
                <w:kern w:val="0"/>
                <w:szCs w:val="21"/>
              </w:rPr>
              <w:t>交货时间：合同签订后7天内送货，</w:t>
            </w:r>
            <w:r>
              <w:rPr>
                <w:rFonts w:hint="eastAsia" w:ascii="Times New Roman" w:hAnsi="Times New Roman" w:eastAsia="宋体" w:cs="Times New Roman"/>
                <w:szCs w:val="21"/>
              </w:rPr>
              <w:t>交货产品</w:t>
            </w:r>
            <w:r>
              <w:rPr>
                <w:rFonts w:hint="eastAsia" w:ascii="宋体" w:hAnsi="宋体" w:cs="宋体"/>
                <w:kern w:val="0"/>
                <w:szCs w:val="21"/>
              </w:rPr>
              <w:t>须为</w:t>
            </w:r>
            <w:r>
              <w:rPr>
                <w:rFonts w:hint="eastAsia" w:ascii="宋体" w:hAnsi="宋体" w:eastAsia="宋体" w:cs="宋体"/>
                <w:kern w:val="0"/>
                <w:szCs w:val="21"/>
              </w:rPr>
              <w:t>全新未拆封产品，</w:t>
            </w:r>
            <w:r>
              <w:rPr>
                <w:rFonts w:hint="eastAsia" w:ascii="宋体" w:hAnsi="宋体" w:cs="宋体"/>
                <w:szCs w:val="21"/>
              </w:rPr>
              <w:t>交货地点：由采购人指定地点。</w:t>
            </w:r>
          </w:p>
        </w:tc>
        <w:tc>
          <w:tcPr>
            <w:tcW w:w="1774" w:type="pct"/>
          </w:tcPr>
          <w:p w14:paraId="34BFA5DB">
            <w:pPr>
              <w:rPr>
                <w:kern w:val="0"/>
                <w:sz w:val="20"/>
                <w:szCs w:val="20"/>
              </w:rPr>
            </w:pPr>
          </w:p>
        </w:tc>
        <w:tc>
          <w:tcPr>
            <w:tcW w:w="725" w:type="pct"/>
          </w:tcPr>
          <w:p w14:paraId="2BB487CD">
            <w:pPr>
              <w:rPr>
                <w:kern w:val="0"/>
                <w:sz w:val="20"/>
                <w:szCs w:val="20"/>
              </w:rPr>
            </w:pPr>
          </w:p>
        </w:tc>
      </w:tr>
      <w:tr w14:paraId="320C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03" w:type="pct"/>
            <w:vAlign w:val="center"/>
          </w:tcPr>
          <w:p w14:paraId="1BB700B3">
            <w:pPr>
              <w:spacing w:line="360" w:lineRule="auto"/>
              <w:jc w:val="center"/>
              <w:rPr>
                <w:rFonts w:ascii="宋体" w:hAnsi="宋体" w:cs="宋体"/>
                <w:kern w:val="0"/>
                <w:sz w:val="20"/>
                <w:szCs w:val="21"/>
              </w:rPr>
            </w:pPr>
            <w:r>
              <w:rPr>
                <w:rFonts w:hint="eastAsia" w:ascii="宋体" w:hAnsi="宋体" w:cs="宋体"/>
                <w:kern w:val="0"/>
                <w:sz w:val="20"/>
                <w:szCs w:val="21"/>
              </w:rPr>
              <w:t>2</w:t>
            </w:r>
          </w:p>
        </w:tc>
        <w:tc>
          <w:tcPr>
            <w:tcW w:w="2096" w:type="pct"/>
            <w:vAlign w:val="center"/>
          </w:tcPr>
          <w:p w14:paraId="65BFAFDB">
            <w:pPr>
              <w:widowControl/>
              <w:numPr>
                <w:ilvl w:val="0"/>
                <w:numId w:val="0"/>
              </w:numPr>
              <w:spacing w:after="120"/>
              <w:ind w:left="0" w:leftChars="0" w:firstLine="0" w:firstLineChars="0"/>
              <w:jc w:val="left"/>
              <w:rPr>
                <w:rFonts w:hint="eastAsia" w:ascii="宋体" w:hAnsi="宋体"/>
                <w:spacing w:val="-3"/>
                <w:sz w:val="24"/>
                <w:szCs w:val="24"/>
              </w:rPr>
            </w:pPr>
            <w:r>
              <w:rPr>
                <w:rFonts w:hint="eastAsia" w:ascii="宋体" w:hAnsi="宋体" w:cs="宋体"/>
                <w:szCs w:val="21"/>
              </w:rPr>
              <w:t>安装调试时间：货到【7】个日历日内完成。</w:t>
            </w:r>
          </w:p>
        </w:tc>
        <w:tc>
          <w:tcPr>
            <w:tcW w:w="1774" w:type="pct"/>
          </w:tcPr>
          <w:p w14:paraId="240A52F9">
            <w:pPr>
              <w:rPr>
                <w:kern w:val="0"/>
                <w:sz w:val="20"/>
                <w:szCs w:val="20"/>
              </w:rPr>
            </w:pPr>
          </w:p>
        </w:tc>
        <w:tc>
          <w:tcPr>
            <w:tcW w:w="725" w:type="pct"/>
          </w:tcPr>
          <w:p w14:paraId="39EDBC10">
            <w:pPr>
              <w:rPr>
                <w:kern w:val="0"/>
                <w:sz w:val="20"/>
                <w:szCs w:val="20"/>
              </w:rPr>
            </w:pPr>
          </w:p>
        </w:tc>
      </w:tr>
      <w:tr w14:paraId="7ED8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03" w:type="pct"/>
            <w:vAlign w:val="center"/>
          </w:tcPr>
          <w:p w14:paraId="0CCA721B">
            <w:pPr>
              <w:spacing w:line="360" w:lineRule="auto"/>
              <w:jc w:val="center"/>
              <w:rPr>
                <w:rFonts w:ascii="宋体" w:hAnsi="宋体" w:cs="宋体"/>
                <w:kern w:val="0"/>
                <w:sz w:val="20"/>
                <w:szCs w:val="21"/>
              </w:rPr>
            </w:pPr>
            <w:r>
              <w:rPr>
                <w:rFonts w:hint="eastAsia" w:ascii="宋体" w:hAnsi="宋体" w:cs="宋体"/>
                <w:kern w:val="0"/>
                <w:sz w:val="20"/>
                <w:szCs w:val="21"/>
              </w:rPr>
              <w:t>3</w:t>
            </w:r>
          </w:p>
        </w:tc>
        <w:tc>
          <w:tcPr>
            <w:tcW w:w="2096" w:type="pct"/>
            <w:vAlign w:val="center"/>
          </w:tcPr>
          <w:p w14:paraId="717C41CA">
            <w:pPr>
              <w:widowControl/>
              <w:numPr>
                <w:ilvl w:val="0"/>
                <w:numId w:val="0"/>
              </w:numPr>
              <w:ind w:left="0" w:leftChars="0" w:firstLine="0" w:firstLineChars="0"/>
              <w:jc w:val="left"/>
              <w:rPr>
                <w:rFonts w:ascii="宋体" w:hAnsi="宋体" w:cs="宋体"/>
                <w:kern w:val="0"/>
                <w:sz w:val="20"/>
                <w:szCs w:val="21"/>
              </w:rPr>
            </w:pPr>
            <w:r>
              <w:rPr>
                <w:rFonts w:hint="eastAsia" w:ascii="宋体" w:hAnsi="宋体" w:cs="宋体"/>
                <w:kern w:val="0"/>
                <w:szCs w:val="21"/>
              </w:rPr>
              <w:t>设备安装调试完毕后，投标人提交盖章版的验收报告及验收需要的相关资料。验收应在双方共同参加下进行。采购人在设备正常运转后，无故障方签署项目验收报告。保修期自采购人签署验收报告之日起开始计算。</w:t>
            </w:r>
          </w:p>
        </w:tc>
        <w:tc>
          <w:tcPr>
            <w:tcW w:w="1774" w:type="pct"/>
          </w:tcPr>
          <w:p w14:paraId="28BC51CD">
            <w:pPr>
              <w:rPr>
                <w:kern w:val="0"/>
                <w:sz w:val="20"/>
                <w:szCs w:val="20"/>
              </w:rPr>
            </w:pPr>
          </w:p>
        </w:tc>
        <w:tc>
          <w:tcPr>
            <w:tcW w:w="725" w:type="pct"/>
          </w:tcPr>
          <w:p w14:paraId="6FA77E7A">
            <w:pPr>
              <w:rPr>
                <w:kern w:val="0"/>
                <w:sz w:val="20"/>
                <w:szCs w:val="20"/>
              </w:rPr>
            </w:pPr>
          </w:p>
        </w:tc>
      </w:tr>
      <w:tr w14:paraId="6084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03" w:type="pct"/>
            <w:vAlign w:val="center"/>
          </w:tcPr>
          <w:p w14:paraId="4A6EA7F7">
            <w:pPr>
              <w:spacing w:line="360" w:lineRule="auto"/>
              <w:jc w:val="center"/>
              <w:rPr>
                <w:rFonts w:ascii="宋体" w:hAnsi="宋体" w:cs="宋体"/>
                <w:kern w:val="0"/>
                <w:sz w:val="20"/>
                <w:szCs w:val="21"/>
              </w:rPr>
            </w:pPr>
            <w:r>
              <w:rPr>
                <w:rFonts w:hint="eastAsia" w:ascii="宋体" w:hAnsi="宋体" w:cs="宋体"/>
                <w:kern w:val="0"/>
                <w:sz w:val="20"/>
                <w:szCs w:val="21"/>
              </w:rPr>
              <w:t>4</w:t>
            </w:r>
          </w:p>
        </w:tc>
        <w:tc>
          <w:tcPr>
            <w:tcW w:w="2096" w:type="pct"/>
            <w:vAlign w:val="center"/>
          </w:tcPr>
          <w:p w14:paraId="2F3A0903">
            <w:pPr>
              <w:widowControl/>
              <w:numPr>
                <w:ilvl w:val="0"/>
                <w:numId w:val="0"/>
              </w:numPr>
              <w:ind w:left="0" w:leftChars="0" w:firstLine="0" w:firstLineChars="0"/>
              <w:jc w:val="left"/>
              <w:rPr>
                <w:rFonts w:ascii="宋体" w:hAnsi="宋体" w:cs="宋体"/>
                <w:kern w:val="0"/>
                <w:sz w:val="20"/>
                <w:szCs w:val="21"/>
              </w:rPr>
            </w:pPr>
            <w:r>
              <w:rPr>
                <w:rFonts w:hint="eastAsia" w:ascii="宋体" w:hAnsi="宋体" w:cs="宋体"/>
                <w:kern w:val="0"/>
                <w:szCs w:val="21"/>
              </w:rPr>
              <w:t>验收时如发现所交付的设备有短装、次品、损坏或其它不符合本项目规定之情形，采购人可作现场记录，或由双方签署备忘录。此现场记录或备忘录可用作换货、补充缺失、更换损坏部件和追责的有效证据。由此产生的换货、补充缺失、更换损坏部件和追责有关费用由投标人承担。在采购人提出换货要求的情况下，</w:t>
            </w:r>
            <w:r>
              <w:rPr>
                <w:rFonts w:hint="eastAsia" w:ascii="宋体" w:hAnsi="宋体" w:cs="宋体"/>
                <w:szCs w:val="21"/>
                <w:lang w:bidi="ar"/>
              </w:rPr>
              <w:t>投标人</w:t>
            </w:r>
            <w:r>
              <w:rPr>
                <w:rFonts w:hint="eastAsia" w:ascii="宋体" w:hAnsi="宋体" w:eastAsia="宋体" w:cs="宋体"/>
                <w:szCs w:val="21"/>
                <w:lang w:bidi="ar"/>
              </w:rPr>
              <w:t>应</w:t>
            </w:r>
            <w:r>
              <w:rPr>
                <w:rFonts w:hint="eastAsia" w:ascii="宋体" w:hAnsi="宋体" w:cs="宋体"/>
                <w:szCs w:val="21"/>
                <w:lang w:bidi="ar"/>
              </w:rPr>
              <w:t>在</w:t>
            </w:r>
            <w:r>
              <w:rPr>
                <w:rFonts w:hint="eastAsia" w:ascii="宋体" w:hAnsi="宋体" w:eastAsia="宋体" w:cs="宋体"/>
                <w:szCs w:val="21"/>
                <w:lang w:bidi="ar"/>
              </w:rPr>
              <w:t>【7】</w:t>
            </w:r>
            <w:r>
              <w:rPr>
                <w:rFonts w:hint="eastAsia" w:ascii="宋体" w:hAnsi="宋体" w:cs="宋体"/>
                <w:szCs w:val="21"/>
                <w:lang w:bidi="ar"/>
              </w:rPr>
              <w:t>个日历日</w:t>
            </w:r>
            <w:r>
              <w:rPr>
                <w:rFonts w:hint="eastAsia" w:ascii="宋体" w:hAnsi="宋体" w:eastAsia="宋体" w:cs="宋体"/>
                <w:szCs w:val="21"/>
                <w:lang w:bidi="ar"/>
              </w:rPr>
              <w:t>内换货。</w:t>
            </w:r>
            <w:r>
              <w:rPr>
                <w:rFonts w:hint="eastAsia" w:ascii="宋体" w:hAnsi="宋体" w:cs="宋体"/>
                <w:kern w:val="0"/>
                <w:szCs w:val="21"/>
              </w:rPr>
              <w:t>换货的相关费用由投标人承担。</w:t>
            </w:r>
          </w:p>
        </w:tc>
        <w:tc>
          <w:tcPr>
            <w:tcW w:w="1774" w:type="pct"/>
          </w:tcPr>
          <w:p w14:paraId="0CABF612">
            <w:pPr>
              <w:rPr>
                <w:kern w:val="0"/>
                <w:sz w:val="20"/>
                <w:szCs w:val="20"/>
              </w:rPr>
            </w:pPr>
          </w:p>
        </w:tc>
        <w:tc>
          <w:tcPr>
            <w:tcW w:w="725" w:type="pct"/>
          </w:tcPr>
          <w:p w14:paraId="3641C526">
            <w:pPr>
              <w:rPr>
                <w:kern w:val="0"/>
                <w:sz w:val="20"/>
                <w:szCs w:val="20"/>
              </w:rPr>
            </w:pPr>
          </w:p>
        </w:tc>
      </w:tr>
      <w:tr w14:paraId="55AB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403" w:type="pct"/>
            <w:vAlign w:val="center"/>
          </w:tcPr>
          <w:p w14:paraId="66D056EA">
            <w:pPr>
              <w:spacing w:line="360" w:lineRule="auto"/>
              <w:jc w:val="center"/>
              <w:rPr>
                <w:rFonts w:ascii="宋体" w:hAnsi="宋体" w:cs="宋体"/>
                <w:kern w:val="0"/>
                <w:sz w:val="20"/>
                <w:szCs w:val="21"/>
              </w:rPr>
            </w:pPr>
            <w:r>
              <w:rPr>
                <w:rFonts w:hint="eastAsia" w:ascii="宋体" w:hAnsi="宋体" w:cs="宋体"/>
                <w:kern w:val="0"/>
                <w:sz w:val="20"/>
                <w:szCs w:val="21"/>
              </w:rPr>
              <w:t>5</w:t>
            </w:r>
          </w:p>
        </w:tc>
        <w:tc>
          <w:tcPr>
            <w:tcW w:w="2096" w:type="pct"/>
            <w:vAlign w:val="center"/>
          </w:tcPr>
          <w:p w14:paraId="75527916">
            <w:pPr>
              <w:widowControl/>
              <w:numPr>
                <w:ilvl w:val="0"/>
                <w:numId w:val="0"/>
              </w:numPr>
              <w:ind w:left="0" w:leftChars="0" w:firstLine="0" w:firstLineChars="0"/>
              <w:jc w:val="left"/>
              <w:rPr>
                <w:rFonts w:ascii="宋体" w:hAnsi="宋体" w:cs="宋体"/>
                <w:kern w:val="0"/>
                <w:sz w:val="20"/>
                <w:szCs w:val="21"/>
              </w:rPr>
            </w:pPr>
            <w:r>
              <w:rPr>
                <w:rFonts w:hint="eastAsia" w:ascii="宋体" w:hAnsi="宋体" w:cs="宋体"/>
                <w:kern w:val="0"/>
                <w:szCs w:val="21"/>
              </w:rPr>
              <w:t>培训：投标人应依据采购人需求提供技术培训，保证使用人员正常操作设备的各种功能。</w:t>
            </w:r>
          </w:p>
        </w:tc>
        <w:tc>
          <w:tcPr>
            <w:tcW w:w="1774" w:type="pct"/>
          </w:tcPr>
          <w:p w14:paraId="072DC902">
            <w:pPr>
              <w:rPr>
                <w:kern w:val="0"/>
                <w:sz w:val="20"/>
                <w:szCs w:val="20"/>
              </w:rPr>
            </w:pPr>
          </w:p>
        </w:tc>
        <w:tc>
          <w:tcPr>
            <w:tcW w:w="725" w:type="pct"/>
          </w:tcPr>
          <w:p w14:paraId="6C728C08">
            <w:pPr>
              <w:rPr>
                <w:kern w:val="0"/>
                <w:sz w:val="20"/>
                <w:szCs w:val="20"/>
              </w:rPr>
            </w:pPr>
          </w:p>
        </w:tc>
      </w:tr>
      <w:tr w14:paraId="5AFF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6C9876E6">
            <w:pPr>
              <w:spacing w:line="360" w:lineRule="auto"/>
              <w:jc w:val="center"/>
              <w:rPr>
                <w:rFonts w:ascii="宋体" w:hAnsi="宋体" w:cs="宋体"/>
                <w:kern w:val="0"/>
                <w:sz w:val="20"/>
                <w:szCs w:val="21"/>
              </w:rPr>
            </w:pPr>
            <w:r>
              <w:rPr>
                <w:rFonts w:hint="eastAsia" w:ascii="宋体" w:hAnsi="宋体" w:cs="宋体"/>
                <w:kern w:val="0"/>
                <w:sz w:val="20"/>
                <w:szCs w:val="21"/>
              </w:rPr>
              <w:t>6</w:t>
            </w:r>
          </w:p>
        </w:tc>
        <w:tc>
          <w:tcPr>
            <w:tcW w:w="2096" w:type="pct"/>
            <w:vAlign w:val="center"/>
          </w:tcPr>
          <w:p w14:paraId="04737C76">
            <w:pPr>
              <w:widowControl/>
              <w:numPr>
                <w:ilvl w:val="0"/>
                <w:numId w:val="0"/>
              </w:numPr>
              <w:ind w:left="0" w:leftChars="0" w:firstLine="0" w:firstLineChars="0"/>
              <w:jc w:val="left"/>
              <w:rPr>
                <w:rFonts w:ascii="宋体" w:hAnsi="宋体" w:cs="宋体"/>
                <w:kern w:val="0"/>
                <w:sz w:val="20"/>
                <w:szCs w:val="21"/>
              </w:rPr>
            </w:pPr>
            <w:r>
              <w:rPr>
                <w:rFonts w:hint="eastAsia" w:ascii="宋体" w:hAnsi="宋体" w:eastAsia="宋体" w:cs="宋体"/>
                <w:kern w:val="0"/>
                <w:szCs w:val="21"/>
              </w:rPr>
              <w:t>付款方式：到货使用无异常，验收合格后，凭发票一次性付清货款。</w:t>
            </w:r>
          </w:p>
        </w:tc>
        <w:tc>
          <w:tcPr>
            <w:tcW w:w="1774" w:type="pct"/>
          </w:tcPr>
          <w:p w14:paraId="49B06B71">
            <w:pPr>
              <w:rPr>
                <w:kern w:val="0"/>
                <w:sz w:val="20"/>
                <w:szCs w:val="20"/>
              </w:rPr>
            </w:pPr>
          </w:p>
        </w:tc>
        <w:tc>
          <w:tcPr>
            <w:tcW w:w="725" w:type="pct"/>
          </w:tcPr>
          <w:p w14:paraId="1C1C41EE">
            <w:pPr>
              <w:rPr>
                <w:kern w:val="0"/>
                <w:sz w:val="20"/>
                <w:szCs w:val="20"/>
              </w:rPr>
            </w:pPr>
          </w:p>
        </w:tc>
      </w:tr>
      <w:tr w14:paraId="3A28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6023B914">
            <w:pPr>
              <w:spacing w:line="360" w:lineRule="auto"/>
              <w:jc w:val="center"/>
              <w:rPr>
                <w:rFonts w:hint="eastAsia" w:ascii="宋体" w:hAnsi="宋体" w:eastAsia="宋体" w:cs="宋体"/>
                <w:kern w:val="0"/>
                <w:sz w:val="20"/>
                <w:szCs w:val="21"/>
                <w:lang w:val="en-US" w:eastAsia="zh-CN"/>
              </w:rPr>
            </w:pPr>
            <w:r>
              <w:rPr>
                <w:rFonts w:hint="eastAsia" w:ascii="宋体" w:hAnsi="宋体" w:cs="宋体"/>
                <w:kern w:val="0"/>
                <w:sz w:val="20"/>
                <w:szCs w:val="21"/>
                <w:lang w:val="en-US" w:eastAsia="zh-CN"/>
              </w:rPr>
              <w:t>7</w:t>
            </w:r>
          </w:p>
        </w:tc>
        <w:tc>
          <w:tcPr>
            <w:tcW w:w="2096" w:type="pct"/>
            <w:vAlign w:val="center"/>
          </w:tcPr>
          <w:p w14:paraId="6628A0FF">
            <w:pPr>
              <w:widowControl/>
              <w:numPr>
                <w:ilvl w:val="0"/>
                <w:numId w:val="0"/>
              </w:numPr>
              <w:ind w:left="0" w:leftChars="0" w:firstLine="0" w:firstLineChars="0"/>
              <w:jc w:val="left"/>
              <w:rPr>
                <w:rFonts w:ascii="宋体" w:hAnsi="宋体" w:cs="宋体"/>
                <w:kern w:val="0"/>
                <w:sz w:val="20"/>
                <w:szCs w:val="21"/>
              </w:rPr>
            </w:pPr>
            <w:r>
              <w:rPr>
                <w:rFonts w:hint="eastAsia" w:ascii="宋体" w:hAnsi="宋体" w:eastAsia="宋体" w:cs="宋体"/>
                <w:kern w:val="0"/>
                <w:szCs w:val="21"/>
              </w:rPr>
              <w:t>保修：自验收合格之日起，由投标人提供3年的免费保修服务，软件提供终身免费升级服务。</w:t>
            </w:r>
            <w:r>
              <w:rPr>
                <w:rFonts w:hint="eastAsia" w:ascii="宋体" w:hAnsi="宋体" w:eastAsia="宋体" w:cs="宋体"/>
                <w:color w:val="auto"/>
                <w:kern w:val="0"/>
                <w:szCs w:val="21"/>
              </w:rPr>
              <w:t>保修范围：整机保修。</w:t>
            </w:r>
          </w:p>
        </w:tc>
        <w:tc>
          <w:tcPr>
            <w:tcW w:w="1774" w:type="pct"/>
          </w:tcPr>
          <w:p w14:paraId="0F950D11">
            <w:pPr>
              <w:rPr>
                <w:kern w:val="0"/>
                <w:sz w:val="20"/>
                <w:szCs w:val="20"/>
              </w:rPr>
            </w:pPr>
          </w:p>
        </w:tc>
        <w:tc>
          <w:tcPr>
            <w:tcW w:w="725" w:type="pct"/>
          </w:tcPr>
          <w:p w14:paraId="229E87D3">
            <w:pPr>
              <w:rPr>
                <w:kern w:val="0"/>
                <w:sz w:val="20"/>
                <w:szCs w:val="20"/>
              </w:rPr>
            </w:pPr>
          </w:p>
        </w:tc>
      </w:tr>
      <w:tr w14:paraId="7EBA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5C231C9F">
            <w:pPr>
              <w:spacing w:line="360" w:lineRule="auto"/>
              <w:jc w:val="center"/>
              <w:rPr>
                <w:rFonts w:hint="eastAsia" w:ascii="宋体" w:hAnsi="宋体" w:eastAsia="宋体" w:cs="宋体"/>
                <w:kern w:val="0"/>
                <w:sz w:val="20"/>
                <w:szCs w:val="21"/>
                <w:lang w:val="en-US" w:eastAsia="zh-CN"/>
              </w:rPr>
            </w:pPr>
            <w:r>
              <w:rPr>
                <w:rFonts w:hint="eastAsia" w:ascii="宋体" w:hAnsi="宋体" w:cs="宋体"/>
                <w:kern w:val="0"/>
                <w:sz w:val="20"/>
                <w:szCs w:val="21"/>
                <w:lang w:val="en-US" w:eastAsia="zh-CN"/>
              </w:rPr>
              <w:t>8</w:t>
            </w:r>
          </w:p>
        </w:tc>
        <w:tc>
          <w:tcPr>
            <w:tcW w:w="2096" w:type="pct"/>
            <w:vAlign w:val="center"/>
          </w:tcPr>
          <w:p w14:paraId="6ED02409">
            <w:pPr>
              <w:widowControl/>
              <w:numPr>
                <w:ilvl w:val="0"/>
                <w:numId w:val="0"/>
              </w:numPr>
              <w:ind w:leftChars="0"/>
              <w:jc w:val="left"/>
              <w:rPr>
                <w:rFonts w:hint="eastAsia" w:ascii="宋体" w:hAnsi="宋体" w:eastAsia="宋体" w:cs="宋体"/>
                <w:kern w:val="0"/>
                <w:szCs w:val="21"/>
              </w:rPr>
            </w:pPr>
            <w:r>
              <w:rPr>
                <w:rFonts w:hint="eastAsia" w:ascii="宋体" w:hAnsi="宋体" w:eastAsia="宋体" w:cs="宋体"/>
                <w:kern w:val="0"/>
                <w:szCs w:val="21"/>
              </w:rPr>
              <w:t>售后服务要求：</w:t>
            </w:r>
          </w:p>
          <w:p w14:paraId="293FC100">
            <w:pPr>
              <w:widowControl/>
              <w:jc w:val="left"/>
              <w:rPr>
                <w:rFonts w:hint="eastAsia" w:ascii="宋体" w:hAnsi="宋体" w:eastAsia="宋体" w:cs="宋体"/>
                <w:kern w:val="0"/>
                <w:szCs w:val="21"/>
              </w:rPr>
            </w:pPr>
            <w:r>
              <w:rPr>
                <w:rFonts w:hint="eastAsia" w:ascii="宋体" w:hAnsi="宋体" w:eastAsia="宋体" w:cs="宋体"/>
                <w:kern w:val="0"/>
                <w:szCs w:val="21"/>
              </w:rPr>
              <w:t>8.1 保修期内，供应商接到维修通知，应于24小时内到达现场处理，如货物在检修48小时后故障仍无法排除，在最短72小时内更换零配件，修复故障货物。 若72小时内未完成修复的，投标人应按采购人要求免费提供备用机，且货物的保修期以延期修复天数的双倍计算延长保修期。（即每延期修复1天，保修期延长2天。）</w:t>
            </w:r>
          </w:p>
          <w:p w14:paraId="1CB95B49">
            <w:pPr>
              <w:widowControl/>
              <w:jc w:val="left"/>
              <w:rPr>
                <w:rFonts w:ascii="宋体" w:hAnsi="宋体" w:cs="宋体"/>
                <w:kern w:val="0"/>
                <w:sz w:val="20"/>
                <w:szCs w:val="21"/>
              </w:rPr>
            </w:pPr>
            <w:r>
              <w:rPr>
                <w:rFonts w:hint="eastAsia" w:ascii="宋体" w:hAnsi="宋体" w:eastAsia="宋体" w:cs="宋体"/>
                <w:kern w:val="0"/>
                <w:szCs w:val="21"/>
              </w:rPr>
              <w:t>8.2 所有货物保修服务方式均为供应商派员到用户货物使用现场进行保修， 保修期内产生的一切费用均由供应商承担。</w:t>
            </w:r>
          </w:p>
        </w:tc>
        <w:tc>
          <w:tcPr>
            <w:tcW w:w="1774" w:type="pct"/>
          </w:tcPr>
          <w:p w14:paraId="4992FECE">
            <w:pPr>
              <w:rPr>
                <w:kern w:val="0"/>
                <w:sz w:val="20"/>
                <w:szCs w:val="20"/>
              </w:rPr>
            </w:pPr>
          </w:p>
        </w:tc>
        <w:tc>
          <w:tcPr>
            <w:tcW w:w="725" w:type="pct"/>
          </w:tcPr>
          <w:p w14:paraId="2A543FE4">
            <w:pPr>
              <w:rPr>
                <w:kern w:val="0"/>
                <w:sz w:val="20"/>
                <w:szCs w:val="20"/>
              </w:rPr>
            </w:pPr>
          </w:p>
        </w:tc>
      </w:tr>
      <w:tr w14:paraId="466A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754475BD">
            <w:pPr>
              <w:spacing w:line="360" w:lineRule="auto"/>
              <w:jc w:val="center"/>
              <w:rPr>
                <w:rFonts w:hint="eastAsia" w:ascii="宋体" w:hAnsi="宋体" w:eastAsia="宋体" w:cs="宋体"/>
                <w:kern w:val="0"/>
                <w:sz w:val="20"/>
                <w:szCs w:val="21"/>
                <w:lang w:val="en-US" w:eastAsia="zh-CN"/>
              </w:rPr>
            </w:pPr>
            <w:r>
              <w:rPr>
                <w:rFonts w:hint="eastAsia" w:ascii="宋体" w:hAnsi="宋体" w:cs="宋体"/>
                <w:kern w:val="0"/>
                <w:sz w:val="20"/>
                <w:szCs w:val="21"/>
                <w:lang w:val="en-US" w:eastAsia="zh-CN"/>
              </w:rPr>
              <w:t>9</w:t>
            </w:r>
          </w:p>
        </w:tc>
        <w:tc>
          <w:tcPr>
            <w:tcW w:w="2096" w:type="pct"/>
            <w:vAlign w:val="center"/>
          </w:tcPr>
          <w:p w14:paraId="3CCCB62D">
            <w:pPr>
              <w:widowControl/>
              <w:jc w:val="left"/>
              <w:rPr>
                <w:rFonts w:ascii="宋体" w:hAnsi="宋体" w:cs="宋体"/>
                <w:kern w:val="0"/>
                <w:sz w:val="20"/>
                <w:szCs w:val="21"/>
              </w:rPr>
            </w:pPr>
            <w:r>
              <w:rPr>
                <w:rFonts w:hint="eastAsia" w:ascii="宋体" w:hAnsi="宋体" w:eastAsia="宋体" w:cs="宋体"/>
                <w:kern w:val="0"/>
                <w:szCs w:val="21"/>
              </w:rPr>
              <w:t>报价包含设备的设计、包装、仓储、运输、保险、装卸、报装、安装调试、培训等与采购设备及服务相关的所有含税费用。</w:t>
            </w:r>
          </w:p>
        </w:tc>
        <w:tc>
          <w:tcPr>
            <w:tcW w:w="1774" w:type="pct"/>
          </w:tcPr>
          <w:p w14:paraId="07952665">
            <w:pPr>
              <w:rPr>
                <w:kern w:val="0"/>
                <w:sz w:val="20"/>
                <w:szCs w:val="20"/>
              </w:rPr>
            </w:pPr>
          </w:p>
        </w:tc>
        <w:tc>
          <w:tcPr>
            <w:tcW w:w="725" w:type="pct"/>
          </w:tcPr>
          <w:p w14:paraId="4281DB0B">
            <w:pPr>
              <w:rPr>
                <w:kern w:val="0"/>
                <w:sz w:val="20"/>
                <w:szCs w:val="20"/>
              </w:rPr>
            </w:pPr>
          </w:p>
        </w:tc>
      </w:tr>
      <w:tr w14:paraId="0510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5259AEE7">
            <w:pPr>
              <w:spacing w:line="360" w:lineRule="auto"/>
              <w:jc w:val="center"/>
              <w:rPr>
                <w:rFonts w:hint="default" w:ascii="宋体" w:hAnsi="宋体" w:eastAsia="宋体" w:cs="宋体"/>
                <w:kern w:val="0"/>
                <w:sz w:val="20"/>
                <w:szCs w:val="21"/>
                <w:lang w:val="en-US" w:eastAsia="zh-CN"/>
              </w:rPr>
            </w:pPr>
            <w:r>
              <w:rPr>
                <w:rFonts w:hint="eastAsia" w:ascii="宋体" w:hAnsi="宋体" w:cs="宋体"/>
                <w:kern w:val="0"/>
                <w:sz w:val="20"/>
                <w:szCs w:val="21"/>
                <w:lang w:val="en-US" w:eastAsia="zh-CN"/>
              </w:rPr>
              <w:t>10</w:t>
            </w:r>
          </w:p>
        </w:tc>
        <w:tc>
          <w:tcPr>
            <w:tcW w:w="2096" w:type="pct"/>
            <w:vAlign w:val="center"/>
          </w:tcPr>
          <w:p w14:paraId="2F5D9CBA">
            <w:pPr>
              <w:widowControl/>
              <w:jc w:val="left"/>
              <w:rPr>
                <w:rFonts w:hint="eastAsia" w:ascii="宋体" w:hAnsi="宋体" w:eastAsia="宋体" w:cs="宋体"/>
                <w:kern w:val="0"/>
                <w:szCs w:val="21"/>
              </w:rPr>
            </w:pPr>
            <w:r>
              <w:rPr>
                <w:rFonts w:hint="eastAsia" w:ascii="宋体" w:hAnsi="宋体" w:eastAsia="宋体" w:cs="宋体"/>
                <w:kern w:val="0"/>
                <w:szCs w:val="21"/>
              </w:rPr>
              <w:t>违约责任</w:t>
            </w:r>
          </w:p>
          <w:p w14:paraId="54E62085">
            <w:pPr>
              <w:widowControl/>
              <w:jc w:val="left"/>
              <w:rPr>
                <w:rFonts w:hint="eastAsia" w:ascii="宋体" w:hAnsi="宋体" w:eastAsia="宋体" w:cs="宋体"/>
                <w:kern w:val="0"/>
                <w:szCs w:val="21"/>
              </w:rPr>
            </w:pPr>
            <w:r>
              <w:rPr>
                <w:rFonts w:hint="eastAsia" w:ascii="宋体" w:hAnsi="宋体" w:eastAsia="宋体" w:cs="宋体"/>
                <w:kern w:val="0"/>
                <w:szCs w:val="21"/>
              </w:rPr>
              <w:t>10.1投标人所交产品的品种、型号、规格、质量、功能、技术参数等方面不能实质性满足招标文件要求的，采购人有权拒绝收货，投标人向采购人偿付合同金额【30】%的违约金。</w:t>
            </w:r>
          </w:p>
          <w:p w14:paraId="2E5924D1">
            <w:pPr>
              <w:widowControl/>
              <w:jc w:val="left"/>
              <w:rPr>
                <w:rFonts w:hint="eastAsia" w:ascii="宋体" w:hAnsi="宋体" w:eastAsia="宋体" w:cs="宋体"/>
                <w:kern w:val="0"/>
                <w:szCs w:val="21"/>
              </w:rPr>
            </w:pPr>
            <w:r>
              <w:rPr>
                <w:rFonts w:hint="eastAsia" w:ascii="宋体" w:hAnsi="宋体" w:eastAsia="宋体" w:cs="宋体"/>
                <w:kern w:val="0"/>
                <w:szCs w:val="21"/>
              </w:rPr>
              <w:t>10.2投标人逾期交货，或逾期完成安装的，投标人均应支付逾期违约金，每日按合同总价的【0.5%】计算；如逾期超过30天，采购人还有权单方解除本合同。因逾期给采购人带来的相应损失，采购人有权追偿。</w:t>
            </w:r>
          </w:p>
          <w:p w14:paraId="49C33991">
            <w:pPr>
              <w:widowControl/>
              <w:rPr>
                <w:rFonts w:ascii="宋体" w:hAnsi="宋体" w:cs="宋体"/>
                <w:kern w:val="0"/>
                <w:sz w:val="20"/>
                <w:szCs w:val="21"/>
              </w:rPr>
            </w:pPr>
            <w:r>
              <w:rPr>
                <w:rFonts w:hint="eastAsia" w:ascii="宋体" w:hAnsi="宋体" w:eastAsia="宋体" w:cs="宋体"/>
                <w:kern w:val="0"/>
                <w:szCs w:val="21"/>
              </w:rPr>
              <w:t>10.3投标人未按中标文件规定的期限，修理、换货、退货的，采购人有权向投标人按对应货物的购买价值同等金额为标准收取违约金。</w:t>
            </w:r>
          </w:p>
        </w:tc>
        <w:tc>
          <w:tcPr>
            <w:tcW w:w="1774" w:type="pct"/>
          </w:tcPr>
          <w:p w14:paraId="7F48B973">
            <w:pPr>
              <w:rPr>
                <w:kern w:val="0"/>
                <w:sz w:val="20"/>
                <w:szCs w:val="20"/>
              </w:rPr>
            </w:pPr>
          </w:p>
        </w:tc>
        <w:tc>
          <w:tcPr>
            <w:tcW w:w="725" w:type="pct"/>
          </w:tcPr>
          <w:p w14:paraId="443C0EC7">
            <w:pPr>
              <w:rPr>
                <w:kern w:val="0"/>
                <w:sz w:val="20"/>
                <w:szCs w:val="20"/>
              </w:rPr>
            </w:pPr>
          </w:p>
        </w:tc>
      </w:tr>
    </w:tbl>
    <w:p w14:paraId="62978A76">
      <w:pPr>
        <w:jc w:val="left"/>
        <w:rPr>
          <w:rFonts w:ascii="宋体" w:hAnsi="宋体" w:cs="宋体"/>
          <w:color w:val="333333"/>
          <w:kern w:val="0"/>
          <w:sz w:val="24"/>
          <w:szCs w:val="24"/>
        </w:rPr>
      </w:pPr>
      <w:bookmarkStart w:id="0" w:name="_GoBack"/>
      <w:bookmarkEnd w:id="0"/>
    </w:p>
    <w:p w14:paraId="36A31326">
      <w:pPr>
        <w:rPr>
          <w:rFonts w:ascii="宋体" w:hAnsi="宋体" w:cs="宋体"/>
          <w:color w:val="333333"/>
          <w:kern w:val="0"/>
          <w:sz w:val="24"/>
          <w:szCs w:val="24"/>
        </w:rPr>
      </w:pPr>
    </w:p>
    <w:p w14:paraId="72BED36B">
      <w:pPr>
        <w:rPr>
          <w:rFonts w:ascii="宋体" w:hAnsi="宋体" w:cs="宋体"/>
          <w:color w:val="333333"/>
          <w:kern w:val="0"/>
          <w:sz w:val="24"/>
          <w:szCs w:val="24"/>
        </w:rPr>
      </w:pPr>
      <w:r>
        <w:rPr>
          <w:rFonts w:ascii="宋体" w:hAnsi="宋体" w:cs="宋体"/>
          <w:color w:val="333333"/>
          <w:kern w:val="0"/>
          <w:sz w:val="24"/>
          <w:szCs w:val="24"/>
        </w:rPr>
        <w:t>备注：</w:t>
      </w:r>
    </w:p>
    <w:p w14:paraId="0C79455D">
      <w:pPr>
        <w:numPr>
          <w:ilvl w:val="0"/>
          <w:numId w:val="1"/>
        </w:numPr>
        <w:rPr>
          <w:rFonts w:ascii="宋体" w:hAnsi="宋体" w:cs="宋体"/>
          <w:color w:val="333333"/>
          <w:kern w:val="0"/>
          <w:sz w:val="24"/>
          <w:szCs w:val="24"/>
        </w:rPr>
      </w:pPr>
      <w:r>
        <w:rPr>
          <w:rFonts w:ascii="宋体" w:hAnsi="宋体" w:cs="宋体"/>
          <w:color w:val="333333"/>
          <w:kern w:val="0"/>
          <w:sz w:val="24"/>
          <w:szCs w:val="24"/>
        </w:rPr>
        <w:t>请逐项填写</w:t>
      </w:r>
      <w:r>
        <w:rPr>
          <w:rFonts w:hint="eastAsia" w:ascii="宋体" w:hAnsi="宋体" w:cs="宋体"/>
          <w:color w:val="333333"/>
          <w:kern w:val="0"/>
          <w:sz w:val="24"/>
          <w:szCs w:val="24"/>
        </w:rPr>
        <w:t>投标商务条款。</w:t>
      </w:r>
    </w:p>
    <w:p w14:paraId="44BA5D7C">
      <w:pPr>
        <w:numPr>
          <w:ilvl w:val="0"/>
          <w:numId w:val="1"/>
        </w:numPr>
      </w:pPr>
      <w:r>
        <w:rPr>
          <w:rFonts w:ascii="宋体" w:hAnsi="宋体" w:cs="宋体"/>
          <w:color w:val="333333"/>
          <w:kern w:val="0"/>
          <w:sz w:val="24"/>
          <w:szCs w:val="24"/>
        </w:rPr>
        <w:t>偏离情况请填写 正偏离 或</w:t>
      </w:r>
      <w:r>
        <w:rPr>
          <w:rFonts w:hint="eastAsia" w:ascii="宋体" w:hAnsi="宋体" w:cs="宋体"/>
          <w:color w:val="333333"/>
          <w:kern w:val="0"/>
          <w:sz w:val="24"/>
          <w:szCs w:val="24"/>
        </w:rPr>
        <w:t xml:space="preserve"> </w:t>
      </w:r>
      <w:r>
        <w:rPr>
          <w:rFonts w:ascii="宋体" w:hAnsi="宋体" w:cs="宋体"/>
          <w:color w:val="333333"/>
          <w:kern w:val="0"/>
          <w:sz w:val="24"/>
          <w:szCs w:val="24"/>
        </w:rPr>
        <w:t>负偏离</w:t>
      </w:r>
      <w:r>
        <w:rPr>
          <w:rFonts w:hint="eastAsia" w:ascii="宋体" w:hAnsi="宋体" w:cs="宋体"/>
          <w:color w:val="333333"/>
          <w:kern w:val="0"/>
          <w:sz w:val="24"/>
          <w:szCs w:val="24"/>
        </w:rPr>
        <w:t xml:space="preserve"> </w:t>
      </w:r>
      <w:r>
        <w:rPr>
          <w:rFonts w:ascii="宋体" w:hAnsi="宋体" w:cs="宋体"/>
          <w:color w:val="333333"/>
          <w:kern w:val="0"/>
          <w:sz w:val="24"/>
          <w:szCs w:val="24"/>
        </w:rPr>
        <w:t>或</w:t>
      </w:r>
      <w:r>
        <w:rPr>
          <w:rFonts w:hint="eastAsia" w:ascii="宋体" w:hAnsi="宋体" w:cs="宋体"/>
          <w:color w:val="333333"/>
          <w:kern w:val="0"/>
          <w:sz w:val="24"/>
          <w:szCs w:val="24"/>
        </w:rPr>
        <w:t xml:space="preserve"> </w:t>
      </w:r>
      <w:r>
        <w:rPr>
          <w:rFonts w:ascii="宋体" w:hAnsi="宋体" w:cs="宋体"/>
          <w:color w:val="333333"/>
          <w:kern w:val="0"/>
          <w:sz w:val="24"/>
          <w:szCs w:val="24"/>
        </w:rPr>
        <w:t>无偏离</w:t>
      </w:r>
      <w:r>
        <w:rPr>
          <w:rFonts w:hint="eastAsia" w:ascii="宋体" w:hAnsi="宋体" w:cs="宋体"/>
          <w:color w:val="333333"/>
          <w:kern w:val="0"/>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5E7B86"/>
    <w:multiLevelType w:val="multilevel"/>
    <w:tmpl w:val="145E7B8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056"/>
    <w:rsid w:val="00095075"/>
    <w:rsid w:val="000A57FF"/>
    <w:rsid w:val="00177095"/>
    <w:rsid w:val="001C4FB0"/>
    <w:rsid w:val="00235D35"/>
    <w:rsid w:val="00270708"/>
    <w:rsid w:val="00316D5E"/>
    <w:rsid w:val="0038067B"/>
    <w:rsid w:val="00390D82"/>
    <w:rsid w:val="003A3331"/>
    <w:rsid w:val="0044783A"/>
    <w:rsid w:val="00481D51"/>
    <w:rsid w:val="004D770A"/>
    <w:rsid w:val="00560D1D"/>
    <w:rsid w:val="005D3359"/>
    <w:rsid w:val="00663124"/>
    <w:rsid w:val="00694056"/>
    <w:rsid w:val="006A513E"/>
    <w:rsid w:val="006F72F3"/>
    <w:rsid w:val="00702C18"/>
    <w:rsid w:val="0072758F"/>
    <w:rsid w:val="00777717"/>
    <w:rsid w:val="00795368"/>
    <w:rsid w:val="007B1266"/>
    <w:rsid w:val="0085622A"/>
    <w:rsid w:val="008C0BEF"/>
    <w:rsid w:val="009A1E78"/>
    <w:rsid w:val="009D2525"/>
    <w:rsid w:val="009E4B8A"/>
    <w:rsid w:val="009F24EF"/>
    <w:rsid w:val="00A04F71"/>
    <w:rsid w:val="00A246EB"/>
    <w:rsid w:val="00A26569"/>
    <w:rsid w:val="00A5331E"/>
    <w:rsid w:val="00A54F0D"/>
    <w:rsid w:val="00A614F7"/>
    <w:rsid w:val="00AB6701"/>
    <w:rsid w:val="00B2314F"/>
    <w:rsid w:val="00B77CCE"/>
    <w:rsid w:val="00BA3D69"/>
    <w:rsid w:val="00BF4E5B"/>
    <w:rsid w:val="00C949ED"/>
    <w:rsid w:val="00D15A9E"/>
    <w:rsid w:val="00D957BD"/>
    <w:rsid w:val="00E638EB"/>
    <w:rsid w:val="00EB18A0"/>
    <w:rsid w:val="00EC605D"/>
    <w:rsid w:val="00FE2C88"/>
    <w:rsid w:val="00FF4029"/>
    <w:rsid w:val="00FF5CE5"/>
    <w:rsid w:val="3EC44247"/>
    <w:rsid w:val="4D224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ody Text"/>
    <w:basedOn w:val="1"/>
    <w:link w:val="13"/>
    <w:unhideWhenUsed/>
    <w:qFormat/>
    <w:uiPriority w:val="0"/>
    <w:pPr>
      <w:spacing w:after="120"/>
    </w:pPr>
    <w:rPr>
      <w:rFonts w:asciiTheme="minorHAnsi" w:hAnsiTheme="minorHAnsi" w:eastAsiaTheme="minorEastAsia" w:cstheme="minorBidi"/>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正文文本 字符"/>
    <w:basedOn w:val="9"/>
    <w:link w:val="3"/>
    <w:qFormat/>
    <w:uiPriority w:val="0"/>
    <w:rPr>
      <w:szCs w:val="24"/>
    </w:rPr>
  </w:style>
  <w:style w:type="character" w:customStyle="1" w:styleId="14">
    <w:name w:val="批注文字 字符"/>
    <w:basedOn w:val="9"/>
    <w:link w:val="2"/>
    <w:semiHidden/>
    <w:qFormat/>
    <w:uiPriority w:val="99"/>
    <w:rPr>
      <w:rFonts w:ascii="Calibri" w:hAnsi="Calibri" w:eastAsia="宋体" w:cs="Times New Roman"/>
    </w:rPr>
  </w:style>
  <w:style w:type="character" w:customStyle="1" w:styleId="15">
    <w:name w:val="批注框文本 字符"/>
    <w:basedOn w:val="9"/>
    <w:link w:val="4"/>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755</Words>
  <Characters>773</Characters>
  <Lines>5</Lines>
  <Paragraphs>1</Paragraphs>
  <TotalTime>2</TotalTime>
  <ScaleCrop>false</ScaleCrop>
  <LinksUpToDate>false</LinksUpToDate>
  <CharactersWithSpaces>781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2022-07-22T07:54:00Z</dcterms:created>
  <dc:creator>Chilan</dc:creator>
  <cp:lastModifiedBy>采购办</cp:lastModifiedBy>
  <dcterms:modified xsi:type="dcterms:W3CDTF">2026-08-06T01:43:36Z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eyJoZGlkIjoiMmIwZTBkMDNjZjhiZGI5YzAzZjU2MDAzZTE2ZjFkM2IiLCJ1c2VySWQiOiIzNTA5ODA2NjkifQ==</vt:lpwstr>
  </property>
  <property fmtid="{D5CDD505-2E9C-101B-9397-08002B2CF9AE}" pid="3" name="KSOProductBuildVer">
    <vt:lpwstr>2052-12.1.0.28043</vt:lpwstr>
  </property>
  <property fmtid="{D5CDD505-2E9C-101B-9397-08002B2CF9AE}" pid="4" name="ICV">
    <vt:lpwstr>F662497B9D44475EA0A1EA53A779BFE0_12</vt:lpwstr>
  </property>
</Properties>
</file>