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331" w:rsidRPr="00DC2765" w:rsidRDefault="003A3331" w:rsidP="003A3331">
      <w:pPr>
        <w:rPr>
          <w:sz w:val="24"/>
          <w:szCs w:val="24"/>
        </w:rPr>
      </w:pPr>
      <w:r w:rsidRPr="00DC2765">
        <w:rPr>
          <w:rFonts w:hint="eastAsia"/>
          <w:sz w:val="24"/>
          <w:szCs w:val="24"/>
        </w:rPr>
        <w:t>附件三</w:t>
      </w:r>
      <w:r w:rsidRPr="00DC2765">
        <w:rPr>
          <w:sz w:val="24"/>
          <w:szCs w:val="24"/>
        </w:rPr>
        <w:t xml:space="preserve"> </w:t>
      </w:r>
      <w:r w:rsidRPr="00DC2765">
        <w:rPr>
          <w:rFonts w:hint="eastAsia"/>
          <w:sz w:val="24"/>
          <w:szCs w:val="24"/>
        </w:rPr>
        <w:t>商务条款偏离情况表</w:t>
      </w:r>
      <w:r w:rsidRPr="00DC2765">
        <w:rPr>
          <w:sz w:val="24"/>
          <w:szCs w:val="24"/>
        </w:rPr>
        <w:t xml:space="preserve"> (</w:t>
      </w:r>
      <w:r w:rsidR="002936E6">
        <w:rPr>
          <w:rFonts w:hint="eastAsia"/>
          <w:sz w:val="24"/>
          <w:szCs w:val="24"/>
        </w:rPr>
        <w:t>所有条款为</w:t>
      </w:r>
      <w:r w:rsidRPr="00DC2765">
        <w:rPr>
          <w:rFonts w:hint="eastAsia"/>
          <w:sz w:val="24"/>
          <w:szCs w:val="24"/>
        </w:rPr>
        <w:t>不可负偏离条款，</w:t>
      </w:r>
      <w:proofErr w:type="gramStart"/>
      <w:r w:rsidRPr="00DC2765">
        <w:rPr>
          <w:rFonts w:hint="eastAsia"/>
          <w:sz w:val="24"/>
          <w:szCs w:val="24"/>
        </w:rPr>
        <w:t>否则废标</w:t>
      </w:r>
      <w:proofErr w:type="gramEnd"/>
      <w:r w:rsidRPr="00DC2765">
        <w:rPr>
          <w:sz w:val="24"/>
          <w:szCs w:val="24"/>
        </w:rPr>
        <w:t>)</w:t>
      </w:r>
      <w:r w:rsidRPr="00DC2765">
        <w:rPr>
          <w:rFonts w:hint="eastAsia"/>
          <w:sz w:val="24"/>
          <w:szCs w:val="24"/>
        </w:rPr>
        <w:t>。</w:t>
      </w:r>
    </w:p>
    <w:tbl>
      <w:tblPr>
        <w:tblStyle w:val="a7"/>
        <w:tblW w:w="5000" w:type="pct"/>
        <w:tblLook w:val="04A0" w:firstRow="1" w:lastRow="0" w:firstColumn="1" w:lastColumn="0" w:noHBand="0" w:noVBand="1"/>
      </w:tblPr>
      <w:tblGrid>
        <w:gridCol w:w="707"/>
        <w:gridCol w:w="3400"/>
        <w:gridCol w:w="3119"/>
        <w:gridCol w:w="1070"/>
      </w:tblGrid>
      <w:tr w:rsidR="00B977B6" w:rsidTr="00B977B6">
        <w:trPr>
          <w:trHeight w:val="452"/>
        </w:trPr>
        <w:tc>
          <w:tcPr>
            <w:tcW w:w="426" w:type="pct"/>
          </w:tcPr>
          <w:p w:rsidR="00B977B6" w:rsidRDefault="00B977B6" w:rsidP="00DC2765">
            <w:r>
              <w:rPr>
                <w:rFonts w:hint="eastAsia"/>
              </w:rPr>
              <w:t>序号</w:t>
            </w:r>
          </w:p>
        </w:tc>
        <w:tc>
          <w:tcPr>
            <w:tcW w:w="2049" w:type="pct"/>
          </w:tcPr>
          <w:p w:rsidR="00B977B6" w:rsidRDefault="00B977B6" w:rsidP="00B977B6">
            <w:pPr>
              <w:jc w:val="center"/>
            </w:pPr>
            <w:r>
              <w:rPr>
                <w:rFonts w:hint="eastAsia"/>
              </w:rPr>
              <w:t>招标商务条款</w:t>
            </w:r>
          </w:p>
        </w:tc>
        <w:tc>
          <w:tcPr>
            <w:tcW w:w="1880" w:type="pct"/>
          </w:tcPr>
          <w:p w:rsidR="00B977B6" w:rsidRDefault="00B977B6" w:rsidP="00B977B6">
            <w:pPr>
              <w:jc w:val="center"/>
            </w:pPr>
            <w:r>
              <w:rPr>
                <w:rFonts w:hint="eastAsia"/>
              </w:rPr>
              <w:t>投标商务条款</w:t>
            </w:r>
          </w:p>
        </w:tc>
        <w:tc>
          <w:tcPr>
            <w:tcW w:w="645" w:type="pct"/>
          </w:tcPr>
          <w:p w:rsidR="00B977B6" w:rsidRDefault="00B977B6" w:rsidP="00DC2765">
            <w:r>
              <w:rPr>
                <w:rFonts w:hint="eastAsia"/>
              </w:rPr>
              <w:t>偏离情况</w:t>
            </w:r>
          </w:p>
        </w:tc>
      </w:tr>
      <w:tr w:rsidR="00B977B6" w:rsidTr="00B977B6">
        <w:trPr>
          <w:trHeight w:val="739"/>
        </w:trPr>
        <w:tc>
          <w:tcPr>
            <w:tcW w:w="426" w:type="pct"/>
          </w:tcPr>
          <w:p w:rsidR="00B977B6" w:rsidRDefault="00B977B6" w:rsidP="00B977B6">
            <w:pPr>
              <w:jc w:val="center"/>
            </w:pPr>
            <w:r>
              <w:rPr>
                <w:rFonts w:hint="eastAsia"/>
              </w:rPr>
              <w:t>1</w:t>
            </w:r>
          </w:p>
        </w:tc>
        <w:tc>
          <w:tcPr>
            <w:tcW w:w="2049" w:type="pct"/>
          </w:tcPr>
          <w:p w:rsidR="00B977B6" w:rsidRPr="00B977B6" w:rsidRDefault="001C38ED" w:rsidP="00A54F0D">
            <w:r w:rsidRPr="001C38ED">
              <w:rPr>
                <w:rFonts w:hint="eastAsia"/>
              </w:rPr>
              <w:t>服务期：合同签订后</w:t>
            </w:r>
            <w:r w:rsidRPr="001C38ED">
              <w:rPr>
                <w:rFonts w:hint="eastAsia"/>
              </w:rPr>
              <w:t>10</w:t>
            </w:r>
            <w:r w:rsidRPr="001C38ED">
              <w:rPr>
                <w:rFonts w:hint="eastAsia"/>
              </w:rPr>
              <w:t>个工作日内完成；工作时间安排在周五至周日夜间，不影响医院工作日正常开诊。</w:t>
            </w:r>
          </w:p>
        </w:tc>
        <w:tc>
          <w:tcPr>
            <w:tcW w:w="1880" w:type="pct"/>
          </w:tcPr>
          <w:p w:rsidR="00B977B6" w:rsidRDefault="00B977B6" w:rsidP="00DC2765"/>
        </w:tc>
        <w:tc>
          <w:tcPr>
            <w:tcW w:w="645" w:type="pct"/>
          </w:tcPr>
          <w:p w:rsidR="00B977B6" w:rsidRDefault="00B977B6" w:rsidP="00DC2765"/>
        </w:tc>
      </w:tr>
      <w:tr w:rsidR="00B977B6" w:rsidTr="00B977B6">
        <w:trPr>
          <w:trHeight w:val="739"/>
        </w:trPr>
        <w:tc>
          <w:tcPr>
            <w:tcW w:w="426" w:type="pct"/>
          </w:tcPr>
          <w:p w:rsidR="00B977B6" w:rsidRDefault="00B977B6" w:rsidP="00DC2765">
            <w:pPr>
              <w:jc w:val="center"/>
            </w:pPr>
            <w:r>
              <w:rPr>
                <w:rFonts w:hint="eastAsia"/>
              </w:rPr>
              <w:t>2</w:t>
            </w:r>
          </w:p>
        </w:tc>
        <w:tc>
          <w:tcPr>
            <w:tcW w:w="2049" w:type="pct"/>
          </w:tcPr>
          <w:p w:rsidR="00B977B6" w:rsidRPr="00B977B6" w:rsidRDefault="00B977B6" w:rsidP="00A54F0D">
            <w:pPr>
              <w:spacing w:line="360" w:lineRule="auto"/>
            </w:pPr>
            <w:r w:rsidRPr="00B977B6">
              <w:rPr>
                <w:rFonts w:hint="eastAsia"/>
              </w:rPr>
              <w:t>服务地点：深圳市光明区新湖街道</w:t>
            </w:r>
            <w:proofErr w:type="gramStart"/>
            <w:r w:rsidRPr="00B977B6">
              <w:rPr>
                <w:rFonts w:hint="eastAsia"/>
              </w:rPr>
              <w:t>圳</w:t>
            </w:r>
            <w:proofErr w:type="gramEnd"/>
            <w:r w:rsidRPr="00B977B6">
              <w:rPr>
                <w:rFonts w:hint="eastAsia"/>
              </w:rPr>
              <w:t>园路</w:t>
            </w:r>
            <w:r w:rsidRPr="00B977B6">
              <w:rPr>
                <w:rFonts w:hint="eastAsia"/>
              </w:rPr>
              <w:t>628</w:t>
            </w:r>
            <w:r w:rsidRPr="00B977B6">
              <w:rPr>
                <w:rFonts w:hint="eastAsia"/>
              </w:rPr>
              <w:t>号</w:t>
            </w:r>
          </w:p>
        </w:tc>
        <w:tc>
          <w:tcPr>
            <w:tcW w:w="1880" w:type="pct"/>
          </w:tcPr>
          <w:p w:rsidR="00B977B6" w:rsidRPr="00270708" w:rsidRDefault="00B977B6" w:rsidP="00DC2765"/>
        </w:tc>
        <w:tc>
          <w:tcPr>
            <w:tcW w:w="645" w:type="pct"/>
          </w:tcPr>
          <w:p w:rsidR="00B977B6" w:rsidRDefault="00B977B6" w:rsidP="00DC2765"/>
        </w:tc>
      </w:tr>
      <w:tr w:rsidR="00B977B6" w:rsidTr="00B977B6">
        <w:trPr>
          <w:trHeight w:val="739"/>
        </w:trPr>
        <w:tc>
          <w:tcPr>
            <w:tcW w:w="426" w:type="pct"/>
          </w:tcPr>
          <w:p w:rsidR="00B977B6" w:rsidRDefault="00B977B6" w:rsidP="00DC2765">
            <w:pPr>
              <w:jc w:val="distribute"/>
            </w:pPr>
            <w:r>
              <w:rPr>
                <w:rFonts w:hint="eastAsia"/>
              </w:rPr>
              <w:t>3</w:t>
            </w:r>
          </w:p>
        </w:tc>
        <w:tc>
          <w:tcPr>
            <w:tcW w:w="2049" w:type="pct"/>
          </w:tcPr>
          <w:p w:rsidR="001C38ED" w:rsidRDefault="001C38ED" w:rsidP="001C38ED">
            <w:r w:rsidRPr="001C38ED">
              <w:rPr>
                <w:rFonts w:hint="eastAsia"/>
              </w:rPr>
              <w:t>报价要求：</w:t>
            </w:r>
          </w:p>
          <w:p w:rsidR="0055355D" w:rsidRDefault="0055355D" w:rsidP="001C38ED">
            <w:r w:rsidRPr="0055355D">
              <w:rPr>
                <w:rFonts w:hint="eastAsia"/>
              </w:rPr>
              <w:t>1.</w:t>
            </w:r>
            <w:r w:rsidRPr="0055355D">
              <w:rPr>
                <w:rFonts w:hint="eastAsia"/>
              </w:rPr>
              <w:t>本项目服务费采用包干制，应包括材料费、服务成本、法定税费、企业的利润以及合同实施过程中应预见和不可预见费用等完成本采购内容所需的一切费用。由投标供应商根据采购文件所提供的资料自行测算投标报价；一经中标，报价总价作为中标供应商与采购人</w:t>
            </w:r>
            <w:proofErr w:type="gramStart"/>
            <w:r w:rsidRPr="0055355D">
              <w:rPr>
                <w:rFonts w:hint="eastAsia"/>
              </w:rPr>
              <w:t>签定</w:t>
            </w:r>
            <w:proofErr w:type="gramEnd"/>
            <w:r w:rsidRPr="0055355D">
              <w:rPr>
                <w:rFonts w:hint="eastAsia"/>
              </w:rPr>
              <w:t>的合同金额，合同期限内不做调整。</w:t>
            </w:r>
          </w:p>
          <w:p w:rsidR="001C38ED" w:rsidRDefault="001C38ED" w:rsidP="001C38ED">
            <w:r>
              <w:rPr>
                <w:rFonts w:hint="eastAsia"/>
              </w:rPr>
              <w:t>2.</w:t>
            </w:r>
            <w:r>
              <w:rPr>
                <w:rFonts w:hint="eastAsia"/>
              </w:rPr>
              <w:t>投标供应商应当根据本企业的成本自行决定报价，但不得以低于其企业成本的报价投标。</w:t>
            </w:r>
          </w:p>
          <w:p w:rsidR="001C38ED" w:rsidRDefault="001C38ED" w:rsidP="001C38ED">
            <w:r>
              <w:rPr>
                <w:rFonts w:hint="eastAsia"/>
              </w:rPr>
              <w:t>3.</w:t>
            </w:r>
            <w:r>
              <w:rPr>
                <w:rFonts w:hint="eastAsia"/>
              </w:rPr>
              <w:t>投标供应商的报价不得超过项目预算金额。</w:t>
            </w:r>
          </w:p>
          <w:p w:rsidR="001C38ED" w:rsidRDefault="001C38ED" w:rsidP="001C38ED">
            <w:r>
              <w:rPr>
                <w:rFonts w:hint="eastAsia"/>
              </w:rPr>
              <w:t>4.</w:t>
            </w:r>
            <w:r>
              <w:rPr>
                <w:rFonts w:hint="eastAsia"/>
              </w:rPr>
              <w:t>投标供应商的报价，应当是本项目采购范围和采购文件及合同条款上所列的各项内容中所述的全部，不得以任何理由予以重复。</w:t>
            </w:r>
          </w:p>
          <w:p w:rsidR="001C38ED" w:rsidRDefault="001C38ED" w:rsidP="001C38ED">
            <w:r>
              <w:rPr>
                <w:rFonts w:hint="eastAsia"/>
              </w:rPr>
              <w:t>5.</w:t>
            </w:r>
            <w:r>
              <w:rPr>
                <w:rFonts w:hint="eastAsia"/>
              </w:rPr>
              <w:t>除非采购人通过修改采购文件予以更正，否则，投标供应商应毫无例外地按响应文件所列的清单</w:t>
            </w:r>
            <w:proofErr w:type="gramStart"/>
            <w:r>
              <w:rPr>
                <w:rFonts w:hint="eastAsia"/>
              </w:rPr>
              <w:t>中项目</w:t>
            </w:r>
            <w:proofErr w:type="gramEnd"/>
            <w:r>
              <w:rPr>
                <w:rFonts w:hint="eastAsia"/>
              </w:rPr>
              <w:t>和数量填报综合单价和合价。投标供应商未</w:t>
            </w:r>
            <w:proofErr w:type="gramStart"/>
            <w:r>
              <w:rPr>
                <w:rFonts w:hint="eastAsia"/>
              </w:rPr>
              <w:t>填综合</w:t>
            </w:r>
            <w:proofErr w:type="gramEnd"/>
            <w:r>
              <w:rPr>
                <w:rFonts w:hint="eastAsia"/>
              </w:rPr>
              <w:t>单价或合价的项目，在实施后，将不得以支付，并视作该项费用已包括在其它有价款的综合单价或合价内。</w:t>
            </w:r>
          </w:p>
          <w:p w:rsidR="001C38ED" w:rsidRDefault="001C38ED" w:rsidP="001C38ED">
            <w:r>
              <w:rPr>
                <w:rFonts w:hint="eastAsia"/>
              </w:rPr>
              <w:t>6.</w:t>
            </w:r>
            <w:r>
              <w:rPr>
                <w:rFonts w:hint="eastAsia"/>
              </w:rPr>
              <w:t>投标供应商应先到项目地点踏勘以充分了解项目的位置、情况、道路及任何其它足以影响投标报价的情况，任何因忽视或误解项目情况而导致的索赔或服务期限延长申请将不获批准。</w:t>
            </w:r>
          </w:p>
          <w:p w:rsidR="00B977B6" w:rsidRPr="00B977B6" w:rsidRDefault="001C38ED" w:rsidP="001C38ED">
            <w:r>
              <w:rPr>
                <w:rFonts w:hint="eastAsia"/>
              </w:rPr>
              <w:t>7.</w:t>
            </w:r>
            <w:r>
              <w:rPr>
                <w:rFonts w:hint="eastAsia"/>
              </w:rPr>
              <w:t>投标供应商不得期望通过索赔等方式获取补偿，否则，除可能遭到拒绝外，还可能将被作为不良行为记录在</w:t>
            </w:r>
            <w:r>
              <w:rPr>
                <w:rFonts w:hint="eastAsia"/>
              </w:rPr>
              <w:lastRenderedPageBreak/>
              <w:t>案，并可能影响其以后参加政府采购的项目投标。各投标供应商在报价时，应充分考虑报价的风险。</w:t>
            </w:r>
          </w:p>
        </w:tc>
        <w:tc>
          <w:tcPr>
            <w:tcW w:w="1880" w:type="pct"/>
          </w:tcPr>
          <w:p w:rsidR="00B977B6" w:rsidRDefault="00B977B6" w:rsidP="00DC2765"/>
        </w:tc>
        <w:tc>
          <w:tcPr>
            <w:tcW w:w="645" w:type="pct"/>
          </w:tcPr>
          <w:p w:rsidR="00B977B6" w:rsidRDefault="00B977B6" w:rsidP="00DC2765"/>
        </w:tc>
      </w:tr>
      <w:tr w:rsidR="0055355D" w:rsidTr="00B977B6">
        <w:trPr>
          <w:trHeight w:val="739"/>
        </w:trPr>
        <w:tc>
          <w:tcPr>
            <w:tcW w:w="426" w:type="pct"/>
          </w:tcPr>
          <w:p w:rsidR="0055355D" w:rsidRDefault="0055355D" w:rsidP="00DC2765">
            <w:pPr>
              <w:jc w:val="distribute"/>
            </w:pPr>
            <w:r>
              <w:rPr>
                <w:rFonts w:hint="eastAsia"/>
              </w:rPr>
              <w:t>4</w:t>
            </w:r>
          </w:p>
        </w:tc>
        <w:tc>
          <w:tcPr>
            <w:tcW w:w="2049" w:type="pct"/>
          </w:tcPr>
          <w:p w:rsidR="0055355D" w:rsidRDefault="0055355D" w:rsidP="0055355D">
            <w:r>
              <w:rPr>
                <w:rFonts w:hint="eastAsia"/>
              </w:rPr>
              <w:t>质量保证及售后服务：</w:t>
            </w:r>
          </w:p>
          <w:p w:rsidR="0055355D" w:rsidRPr="00B977B6" w:rsidRDefault="00D354E1" w:rsidP="0055355D">
            <w:r w:rsidRPr="00D354E1">
              <w:rPr>
                <w:rFonts w:hint="eastAsia"/>
              </w:rPr>
              <w:t>项目质保期：</w:t>
            </w:r>
            <w:r w:rsidRPr="00D354E1">
              <w:rPr>
                <w:rFonts w:hint="eastAsia"/>
              </w:rPr>
              <w:t>2</w:t>
            </w:r>
            <w:r w:rsidRPr="00D354E1">
              <w:rPr>
                <w:rFonts w:hint="eastAsia"/>
              </w:rPr>
              <w:t>年，</w:t>
            </w:r>
            <w:r w:rsidRPr="00D354E1">
              <w:rPr>
                <w:rFonts w:hint="eastAsia"/>
              </w:rPr>
              <w:t>2</w:t>
            </w:r>
            <w:r w:rsidRPr="00D354E1">
              <w:rPr>
                <w:rFonts w:hint="eastAsia"/>
              </w:rPr>
              <w:t>年内灯具、钢丝绳及电源等相关问题导致影响门诊大厅照明的，由中标供应商对其进行免费维修更换，</w:t>
            </w:r>
            <w:r w:rsidRPr="00D354E1">
              <w:rPr>
                <w:rFonts w:hint="eastAsia"/>
              </w:rPr>
              <w:t>24</w:t>
            </w:r>
            <w:r w:rsidRPr="00D354E1">
              <w:rPr>
                <w:rFonts w:hint="eastAsia"/>
              </w:rPr>
              <w:t>小时内响应且在发生之日起两个日历日内处理完毕。</w:t>
            </w:r>
          </w:p>
        </w:tc>
        <w:tc>
          <w:tcPr>
            <w:tcW w:w="1880" w:type="pct"/>
          </w:tcPr>
          <w:p w:rsidR="0055355D" w:rsidRDefault="0055355D" w:rsidP="00DC2765"/>
        </w:tc>
        <w:tc>
          <w:tcPr>
            <w:tcW w:w="645" w:type="pct"/>
          </w:tcPr>
          <w:p w:rsidR="0055355D" w:rsidRDefault="0055355D" w:rsidP="00DC2765"/>
        </w:tc>
      </w:tr>
      <w:tr w:rsidR="00D354E1" w:rsidTr="00B977B6">
        <w:trPr>
          <w:trHeight w:val="739"/>
        </w:trPr>
        <w:tc>
          <w:tcPr>
            <w:tcW w:w="426" w:type="pct"/>
          </w:tcPr>
          <w:p w:rsidR="00D354E1" w:rsidRDefault="00D354E1" w:rsidP="00DC2765">
            <w:pPr>
              <w:jc w:val="distribute"/>
              <w:rPr>
                <w:rFonts w:hint="eastAsia"/>
              </w:rPr>
            </w:pPr>
            <w:r>
              <w:rPr>
                <w:rFonts w:hint="eastAsia"/>
              </w:rPr>
              <w:t>5</w:t>
            </w:r>
          </w:p>
        </w:tc>
        <w:tc>
          <w:tcPr>
            <w:tcW w:w="2049" w:type="pct"/>
          </w:tcPr>
          <w:p w:rsidR="00D354E1" w:rsidRPr="00D354E1" w:rsidRDefault="00D354E1" w:rsidP="00D354E1">
            <w:r w:rsidRPr="00D354E1">
              <w:rPr>
                <w:rFonts w:hint="eastAsia"/>
              </w:rPr>
              <w:t>验收方式：</w:t>
            </w:r>
          </w:p>
          <w:p w:rsidR="00D354E1" w:rsidRPr="00D354E1" w:rsidRDefault="00D354E1" w:rsidP="00D354E1">
            <w:pPr>
              <w:rPr>
                <w:rFonts w:hint="eastAsia"/>
              </w:rPr>
            </w:pPr>
            <w:r w:rsidRPr="00D354E1">
              <w:rPr>
                <w:rFonts w:hint="eastAsia"/>
              </w:rPr>
              <w:t>1</w:t>
            </w:r>
            <w:r w:rsidRPr="00D354E1">
              <w:rPr>
                <w:rFonts w:hint="eastAsia"/>
              </w:rPr>
              <w:t>、由采购人按合同和采购文件、响应文件约定的要求和标准及中华人民共和国现行的验收规范和评定标准进行服务验收。</w:t>
            </w:r>
          </w:p>
          <w:p w:rsidR="00D354E1" w:rsidRPr="00D354E1" w:rsidRDefault="00D354E1" w:rsidP="00D354E1">
            <w:pPr>
              <w:rPr>
                <w:rFonts w:hint="eastAsia"/>
              </w:rPr>
            </w:pPr>
            <w:r w:rsidRPr="00D354E1">
              <w:rPr>
                <w:rFonts w:hint="eastAsia"/>
              </w:rPr>
              <w:t>2</w:t>
            </w:r>
            <w:r w:rsidRPr="00D354E1">
              <w:rPr>
                <w:rFonts w:hint="eastAsia"/>
              </w:rPr>
              <w:t>、（</w:t>
            </w:r>
            <w:r w:rsidRPr="00D354E1">
              <w:rPr>
                <w:rFonts w:hint="eastAsia"/>
              </w:rPr>
              <w:t>1</w:t>
            </w:r>
            <w:r w:rsidRPr="00D354E1">
              <w:rPr>
                <w:rFonts w:hint="eastAsia"/>
              </w:rPr>
              <w:t>）必须符合有关国标的规定。响应文件提供的技术数据经实测证实是真实的。检验时的性能指标与要求一致，达到或优于相应标准。（</w:t>
            </w:r>
            <w:r w:rsidRPr="00D354E1">
              <w:rPr>
                <w:rFonts w:hint="eastAsia"/>
              </w:rPr>
              <w:t>2</w:t>
            </w:r>
            <w:r w:rsidRPr="00D354E1">
              <w:rPr>
                <w:rFonts w:hint="eastAsia"/>
              </w:rPr>
              <w:t>）技术文件资料、备件等已按规定数量移交完毕。（</w:t>
            </w:r>
            <w:r w:rsidRPr="00D354E1">
              <w:rPr>
                <w:rFonts w:hint="eastAsia"/>
              </w:rPr>
              <w:t>3</w:t>
            </w:r>
            <w:r w:rsidRPr="00D354E1">
              <w:rPr>
                <w:rFonts w:hint="eastAsia"/>
              </w:rPr>
              <w:t>）按照采购文件要求及响应文件提供的技术参数验收必须合格。（</w:t>
            </w:r>
            <w:r w:rsidRPr="00D354E1">
              <w:rPr>
                <w:rFonts w:hint="eastAsia"/>
              </w:rPr>
              <w:t>4</w:t>
            </w:r>
            <w:r w:rsidRPr="00D354E1">
              <w:rPr>
                <w:rFonts w:hint="eastAsia"/>
              </w:rPr>
              <w:t>）所有技术指标达到技术规范书要求，经验收合格后，双方共同签署验收报告。</w:t>
            </w:r>
          </w:p>
        </w:tc>
        <w:tc>
          <w:tcPr>
            <w:tcW w:w="1880" w:type="pct"/>
          </w:tcPr>
          <w:p w:rsidR="00D354E1" w:rsidRDefault="00D354E1" w:rsidP="00DC2765"/>
        </w:tc>
        <w:tc>
          <w:tcPr>
            <w:tcW w:w="645" w:type="pct"/>
          </w:tcPr>
          <w:p w:rsidR="00D354E1" w:rsidRDefault="00D354E1" w:rsidP="00DC2765"/>
        </w:tc>
      </w:tr>
      <w:tr w:rsidR="00B977B6" w:rsidTr="00B977B6">
        <w:trPr>
          <w:trHeight w:val="739"/>
        </w:trPr>
        <w:tc>
          <w:tcPr>
            <w:tcW w:w="426" w:type="pct"/>
          </w:tcPr>
          <w:p w:rsidR="00B977B6" w:rsidRDefault="00D354E1" w:rsidP="00DC2765">
            <w:pPr>
              <w:jc w:val="distribute"/>
            </w:pPr>
            <w:r>
              <w:t>6</w:t>
            </w:r>
          </w:p>
        </w:tc>
        <w:tc>
          <w:tcPr>
            <w:tcW w:w="2049" w:type="pct"/>
          </w:tcPr>
          <w:p w:rsidR="001B245E" w:rsidRDefault="00B977B6" w:rsidP="001C38ED">
            <w:pPr>
              <w:spacing w:line="360" w:lineRule="auto"/>
            </w:pPr>
            <w:r w:rsidRPr="00B977B6">
              <w:rPr>
                <w:rFonts w:hint="eastAsia"/>
              </w:rPr>
              <w:t>付款方式：</w:t>
            </w:r>
          </w:p>
          <w:p w:rsidR="001C38ED" w:rsidRDefault="001C38ED" w:rsidP="001B245E">
            <w:r>
              <w:rPr>
                <w:rFonts w:hint="eastAsia"/>
              </w:rPr>
              <w:t>1.</w:t>
            </w:r>
            <w:r>
              <w:rPr>
                <w:rFonts w:hint="eastAsia"/>
              </w:rPr>
              <w:t>项目验收合格后，中标供应商提供以下文件后，采购人即向中标供应商支付合同金额</w:t>
            </w:r>
            <w:r>
              <w:rPr>
                <w:rFonts w:hint="eastAsia"/>
              </w:rPr>
              <w:t xml:space="preserve"> 90 %</w:t>
            </w:r>
            <w:r>
              <w:rPr>
                <w:rFonts w:hint="eastAsia"/>
              </w:rPr>
              <w:t>款项。</w:t>
            </w:r>
          </w:p>
          <w:p w:rsidR="001C38ED" w:rsidRDefault="001C38ED" w:rsidP="001B245E">
            <w:r>
              <w:rPr>
                <w:rFonts w:hint="eastAsia"/>
              </w:rPr>
              <w:t>（</w:t>
            </w:r>
            <w:r>
              <w:rPr>
                <w:rFonts w:hint="eastAsia"/>
              </w:rPr>
              <w:t>1</w:t>
            </w:r>
            <w:r>
              <w:rPr>
                <w:rFonts w:hint="eastAsia"/>
              </w:rPr>
              <w:t>）采购人验收证明（加盖采购人公章）；</w:t>
            </w:r>
          </w:p>
          <w:p w:rsidR="001C38ED" w:rsidRDefault="001C38ED" w:rsidP="001B245E">
            <w:r>
              <w:rPr>
                <w:rFonts w:hint="eastAsia"/>
              </w:rPr>
              <w:t>（</w:t>
            </w:r>
            <w:r>
              <w:rPr>
                <w:rFonts w:hint="eastAsia"/>
              </w:rPr>
              <w:t>2</w:t>
            </w:r>
            <w:r>
              <w:rPr>
                <w:rFonts w:hint="eastAsia"/>
              </w:rPr>
              <w:t>）中标供应商开具的正式发票；</w:t>
            </w:r>
            <w:r>
              <w:rPr>
                <w:rFonts w:hint="eastAsia"/>
              </w:rPr>
              <w:t xml:space="preserve">    </w:t>
            </w:r>
          </w:p>
          <w:p w:rsidR="00B977B6" w:rsidRPr="002936E6" w:rsidRDefault="001C38ED" w:rsidP="001B245E">
            <w:r>
              <w:rPr>
                <w:rFonts w:hint="eastAsia"/>
              </w:rPr>
              <w:t>2.</w:t>
            </w:r>
            <w:r>
              <w:rPr>
                <w:rFonts w:hint="eastAsia"/>
              </w:rPr>
              <w:t>中标供应商在</w:t>
            </w:r>
            <w:r>
              <w:rPr>
                <w:rFonts w:hint="eastAsia"/>
              </w:rPr>
              <w:t>2</w:t>
            </w:r>
            <w:r>
              <w:rPr>
                <w:rFonts w:hint="eastAsia"/>
              </w:rPr>
              <w:t>年质保期结束后按照采购人的相关要求提出正式申请，采购人将合同金额</w:t>
            </w:r>
            <w:r>
              <w:rPr>
                <w:rFonts w:hint="eastAsia"/>
              </w:rPr>
              <w:t xml:space="preserve"> 10 %</w:t>
            </w:r>
            <w:r>
              <w:rPr>
                <w:rFonts w:hint="eastAsia"/>
              </w:rPr>
              <w:t>款项支付给中标供应商。</w:t>
            </w:r>
          </w:p>
        </w:tc>
        <w:tc>
          <w:tcPr>
            <w:tcW w:w="1880" w:type="pct"/>
          </w:tcPr>
          <w:p w:rsidR="00B977B6" w:rsidRDefault="00B977B6" w:rsidP="00DC2765"/>
        </w:tc>
        <w:tc>
          <w:tcPr>
            <w:tcW w:w="645" w:type="pct"/>
          </w:tcPr>
          <w:p w:rsidR="00B977B6" w:rsidRDefault="00B977B6" w:rsidP="00DC2765"/>
        </w:tc>
      </w:tr>
      <w:tr w:rsidR="00B977B6" w:rsidTr="00B977B6">
        <w:trPr>
          <w:trHeight w:val="739"/>
        </w:trPr>
        <w:tc>
          <w:tcPr>
            <w:tcW w:w="426" w:type="pct"/>
          </w:tcPr>
          <w:p w:rsidR="00B977B6" w:rsidRDefault="00D354E1" w:rsidP="00DC2765">
            <w:pPr>
              <w:jc w:val="distribute"/>
            </w:pPr>
            <w:r>
              <w:t>7</w:t>
            </w:r>
          </w:p>
        </w:tc>
        <w:tc>
          <w:tcPr>
            <w:tcW w:w="2049" w:type="pct"/>
          </w:tcPr>
          <w:p w:rsidR="00B977B6" w:rsidRPr="00B977B6" w:rsidRDefault="00B977B6" w:rsidP="001B245E">
            <w:r>
              <w:rPr>
                <w:rFonts w:hint="eastAsia"/>
              </w:rPr>
              <w:t>违约责任：</w:t>
            </w:r>
            <w:r w:rsidR="001C38ED" w:rsidRPr="001C38ED">
              <w:rPr>
                <w:rFonts w:hint="eastAsia"/>
              </w:rPr>
              <w:t>因中标供应商原因导致逾期完成供货的，每逾期</w:t>
            </w:r>
            <w:r w:rsidR="001C38ED" w:rsidRPr="001C38ED">
              <w:rPr>
                <w:rFonts w:hint="eastAsia"/>
              </w:rPr>
              <w:t>1</w:t>
            </w:r>
            <w:r w:rsidR="001C38ED" w:rsidRPr="001C38ED">
              <w:rPr>
                <w:rFonts w:hint="eastAsia"/>
              </w:rPr>
              <w:t>天中标供应商向采购人偿付总价款</w:t>
            </w:r>
            <w:bookmarkStart w:id="0" w:name="_GoBack"/>
            <w:bookmarkEnd w:id="0"/>
            <w:r w:rsidR="001C38ED" w:rsidRPr="001C38ED">
              <w:rPr>
                <w:rFonts w:hint="eastAsia"/>
              </w:rPr>
              <w:t>1%</w:t>
            </w:r>
            <w:r w:rsidR="001C38ED" w:rsidRPr="001C38ED">
              <w:rPr>
                <w:rFonts w:hint="eastAsia"/>
              </w:rPr>
              <w:t>的违约金，但累计违约金总额不超过总价款的</w:t>
            </w:r>
            <w:r w:rsidR="001C38ED" w:rsidRPr="001C38ED">
              <w:rPr>
                <w:rFonts w:hint="eastAsia"/>
              </w:rPr>
              <w:t>30%</w:t>
            </w:r>
            <w:r w:rsidR="001C38ED" w:rsidRPr="001C38ED">
              <w:rPr>
                <w:rFonts w:hint="eastAsia"/>
              </w:rPr>
              <w:t>。中标供应商应保证所供货物为全新正品、达到国家标准或行业标准。</w:t>
            </w:r>
          </w:p>
        </w:tc>
        <w:tc>
          <w:tcPr>
            <w:tcW w:w="1880" w:type="pct"/>
          </w:tcPr>
          <w:p w:rsidR="00B977B6" w:rsidRDefault="00B977B6" w:rsidP="00DC2765"/>
        </w:tc>
        <w:tc>
          <w:tcPr>
            <w:tcW w:w="645" w:type="pct"/>
          </w:tcPr>
          <w:p w:rsidR="00B977B6" w:rsidRDefault="00B977B6" w:rsidP="00DC2765"/>
        </w:tc>
      </w:tr>
      <w:tr w:rsidR="00B977B6" w:rsidTr="00B977B6">
        <w:trPr>
          <w:trHeight w:val="739"/>
        </w:trPr>
        <w:tc>
          <w:tcPr>
            <w:tcW w:w="426" w:type="pct"/>
          </w:tcPr>
          <w:p w:rsidR="00B977B6" w:rsidRDefault="00D354E1" w:rsidP="00DC2765">
            <w:pPr>
              <w:jc w:val="distribute"/>
            </w:pPr>
            <w:r>
              <w:lastRenderedPageBreak/>
              <w:t>8</w:t>
            </w:r>
          </w:p>
        </w:tc>
        <w:tc>
          <w:tcPr>
            <w:tcW w:w="2049" w:type="pct"/>
          </w:tcPr>
          <w:p w:rsidR="001C38ED" w:rsidRDefault="001C38ED" w:rsidP="001B245E">
            <w:r>
              <w:rPr>
                <w:rFonts w:hint="eastAsia"/>
              </w:rPr>
              <w:t>其他：</w:t>
            </w:r>
          </w:p>
          <w:p w:rsidR="001C38ED" w:rsidRDefault="001C38ED" w:rsidP="001B245E">
            <w:r>
              <w:rPr>
                <w:rFonts w:hint="eastAsia"/>
              </w:rPr>
              <w:t>1.</w:t>
            </w:r>
            <w:r>
              <w:rPr>
                <w:rFonts w:hint="eastAsia"/>
              </w:rPr>
              <w:t>从业人员要求：从事带电操作及高空作业人员须持证上岗</w:t>
            </w:r>
            <w:r>
              <w:rPr>
                <w:rFonts w:hint="eastAsia"/>
              </w:rPr>
              <w:t>(</w:t>
            </w:r>
            <w:r>
              <w:rPr>
                <w:rFonts w:hint="eastAsia"/>
              </w:rPr>
              <w:t>电工操作证、高空作业操作证</w:t>
            </w:r>
            <w:r>
              <w:rPr>
                <w:rFonts w:hint="eastAsia"/>
              </w:rPr>
              <w:t>)</w:t>
            </w:r>
          </w:p>
          <w:p w:rsidR="001C38ED" w:rsidRDefault="00326756" w:rsidP="001B245E">
            <w:r w:rsidRPr="00326756">
              <w:rPr>
                <w:rFonts w:hint="eastAsia"/>
              </w:rPr>
              <w:t>2.</w:t>
            </w:r>
            <w:r w:rsidRPr="00326756">
              <w:rPr>
                <w:rFonts w:hint="eastAsia"/>
              </w:rPr>
              <w:t>维修工作中应对院内原有的设施设备进行相应保护，损坏由中标供应商负责维修。</w:t>
            </w:r>
          </w:p>
          <w:p w:rsidR="00B977B6" w:rsidRDefault="001C38ED" w:rsidP="001B245E">
            <w:r>
              <w:rPr>
                <w:rFonts w:hint="eastAsia"/>
              </w:rPr>
              <w:t>3.</w:t>
            </w:r>
            <w:r>
              <w:rPr>
                <w:rFonts w:hint="eastAsia"/>
              </w:rPr>
              <w:t>中标供应商在进行叶子灯拆除及安装时必须保证施工安全，作业中出现的风险由中标供应商承担，若有对采购人造成的损坏需承担赔偿责任。</w:t>
            </w:r>
          </w:p>
        </w:tc>
        <w:tc>
          <w:tcPr>
            <w:tcW w:w="1880" w:type="pct"/>
          </w:tcPr>
          <w:p w:rsidR="00B977B6" w:rsidRDefault="00B977B6" w:rsidP="00DC2765"/>
        </w:tc>
        <w:tc>
          <w:tcPr>
            <w:tcW w:w="645" w:type="pct"/>
          </w:tcPr>
          <w:p w:rsidR="00B977B6" w:rsidRDefault="00B977B6" w:rsidP="00DC2765"/>
        </w:tc>
      </w:tr>
    </w:tbl>
    <w:p w:rsidR="008B3080" w:rsidRPr="003A3331" w:rsidRDefault="007B5FBE" w:rsidP="001C38ED"/>
    <w:sectPr w:rsidR="008B3080" w:rsidRPr="003A3331" w:rsidSect="003061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FBE" w:rsidRDefault="007B5FBE" w:rsidP="00A246EB">
      <w:r>
        <w:separator/>
      </w:r>
    </w:p>
  </w:endnote>
  <w:endnote w:type="continuationSeparator" w:id="0">
    <w:p w:rsidR="007B5FBE" w:rsidRDefault="007B5FBE" w:rsidP="00A24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FBE" w:rsidRDefault="007B5FBE" w:rsidP="00A246EB">
      <w:r>
        <w:separator/>
      </w:r>
    </w:p>
  </w:footnote>
  <w:footnote w:type="continuationSeparator" w:id="0">
    <w:p w:rsidR="007B5FBE" w:rsidRDefault="007B5FBE" w:rsidP="00A246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056"/>
    <w:rsid w:val="00075022"/>
    <w:rsid w:val="001B245E"/>
    <w:rsid w:val="001C38ED"/>
    <w:rsid w:val="001F1B29"/>
    <w:rsid w:val="00270708"/>
    <w:rsid w:val="002936E6"/>
    <w:rsid w:val="00326756"/>
    <w:rsid w:val="00390D82"/>
    <w:rsid w:val="003A3331"/>
    <w:rsid w:val="00444E1C"/>
    <w:rsid w:val="00453FD4"/>
    <w:rsid w:val="004D770A"/>
    <w:rsid w:val="0055355D"/>
    <w:rsid w:val="00694056"/>
    <w:rsid w:val="00700A3E"/>
    <w:rsid w:val="00776F0C"/>
    <w:rsid w:val="007B5FBE"/>
    <w:rsid w:val="0085622A"/>
    <w:rsid w:val="00930762"/>
    <w:rsid w:val="009D2525"/>
    <w:rsid w:val="00A04F71"/>
    <w:rsid w:val="00A246EB"/>
    <w:rsid w:val="00A54F0D"/>
    <w:rsid w:val="00B977B6"/>
    <w:rsid w:val="00BA3D69"/>
    <w:rsid w:val="00D354E1"/>
    <w:rsid w:val="00D8487E"/>
    <w:rsid w:val="00D957BD"/>
    <w:rsid w:val="00DC0B0B"/>
    <w:rsid w:val="00E638EB"/>
    <w:rsid w:val="00EB18A0"/>
    <w:rsid w:val="00FE2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A75A2"/>
  <w15:chartTrackingRefBased/>
  <w15:docId w15:val="{54BBD5AE-EB80-4BFF-B3E5-FF310D3B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46E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46E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246EB"/>
    <w:rPr>
      <w:sz w:val="18"/>
      <w:szCs w:val="18"/>
    </w:rPr>
  </w:style>
  <w:style w:type="paragraph" w:styleId="a5">
    <w:name w:val="footer"/>
    <w:basedOn w:val="a"/>
    <w:link w:val="a6"/>
    <w:uiPriority w:val="99"/>
    <w:unhideWhenUsed/>
    <w:rsid w:val="00A246E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246EB"/>
    <w:rPr>
      <w:sz w:val="18"/>
      <w:szCs w:val="18"/>
    </w:rPr>
  </w:style>
  <w:style w:type="table" w:styleId="a7">
    <w:name w:val="Table Grid"/>
    <w:basedOn w:val="a1"/>
    <w:uiPriority w:val="59"/>
    <w:qFormat/>
    <w:rsid w:val="00A246E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Chilan</dc:creator>
  <cp:keywords/>
  <dc:description/>
  <cp:lastModifiedBy>Administrator</cp:lastModifiedBy>
  <cp:revision>15</cp:revision>
  <dcterms:created xsi:type="dcterms:W3CDTF">2022-07-22T07:54:00Z</dcterms:created>
  <dcterms:modified xsi:type="dcterms:W3CDTF">2023-04-12T01:43:00Z</dcterms:modified>
</cp:coreProperties>
</file>