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9E4CE">
      <w:pPr>
        <w:jc w:val="left"/>
        <w:rPr>
          <w:sz w:val="24"/>
          <w:szCs w:val="24"/>
        </w:rPr>
      </w:pPr>
      <w:r>
        <w:rPr>
          <w:rFonts w:hint="eastAsia" w:ascii="宋体" w:hAnsi="宋体" w:cs="宋体"/>
          <w:color w:val="333333"/>
          <w:kern w:val="0"/>
          <w:sz w:val="24"/>
          <w:szCs w:val="24"/>
        </w:rPr>
        <w:t>附件二 ★技术条款偏离情况表</w:t>
      </w:r>
      <w:r>
        <w:rPr>
          <w:rFonts w:ascii="宋体" w:hAnsi="宋体" w:cs="宋体"/>
          <w:color w:val="333333"/>
          <w:kern w:val="0"/>
          <w:sz w:val="24"/>
          <w:szCs w:val="24"/>
        </w:rPr>
        <w:t xml:space="preserve"> </w:t>
      </w:r>
      <w:r>
        <w:rPr>
          <w:rFonts w:hint="eastAsia" w:ascii="宋体" w:hAnsi="宋体" w:cs="宋体"/>
          <w:color w:val="333333"/>
          <w:kern w:val="0"/>
          <w:sz w:val="24"/>
          <w:szCs w:val="24"/>
        </w:rPr>
        <w:t>（“★”号条款为实质性条款，有任何一条负偏离则导致无效投标）</w:t>
      </w:r>
    </w:p>
    <w:tbl>
      <w:tblPr>
        <w:tblStyle w:val="12"/>
        <w:tblW w:w="51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3099"/>
        <w:gridCol w:w="2359"/>
        <w:gridCol w:w="1537"/>
        <w:gridCol w:w="1198"/>
      </w:tblGrid>
      <w:tr w14:paraId="70CE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3" w:type="pct"/>
          </w:tcPr>
          <w:p w14:paraId="740CBBB8">
            <w:pPr>
              <w:jc w:val="center"/>
              <w:rPr>
                <w:kern w:val="0"/>
                <w:sz w:val="20"/>
                <w:szCs w:val="20"/>
              </w:rPr>
            </w:pPr>
            <w:r>
              <w:rPr>
                <w:rFonts w:hint="eastAsia"/>
                <w:kern w:val="0"/>
                <w:sz w:val="20"/>
                <w:szCs w:val="20"/>
              </w:rPr>
              <w:t>序号</w:t>
            </w:r>
          </w:p>
        </w:tc>
        <w:tc>
          <w:tcPr>
            <w:tcW w:w="1764" w:type="pct"/>
          </w:tcPr>
          <w:p w14:paraId="512AF2F4">
            <w:pPr>
              <w:jc w:val="center"/>
              <w:rPr>
                <w:kern w:val="0"/>
                <w:sz w:val="20"/>
                <w:szCs w:val="20"/>
              </w:rPr>
            </w:pPr>
            <w:r>
              <w:rPr>
                <w:rFonts w:hint="eastAsia"/>
                <w:kern w:val="0"/>
                <w:sz w:val="20"/>
                <w:szCs w:val="20"/>
              </w:rPr>
              <w:t>招标技术条款</w:t>
            </w:r>
          </w:p>
        </w:tc>
        <w:tc>
          <w:tcPr>
            <w:tcW w:w="1343" w:type="pct"/>
          </w:tcPr>
          <w:p w14:paraId="72FB7216">
            <w:pPr>
              <w:jc w:val="center"/>
              <w:rPr>
                <w:kern w:val="0"/>
                <w:sz w:val="20"/>
                <w:szCs w:val="20"/>
              </w:rPr>
            </w:pPr>
            <w:r>
              <w:rPr>
                <w:rFonts w:hint="eastAsia"/>
                <w:kern w:val="0"/>
                <w:sz w:val="20"/>
                <w:szCs w:val="20"/>
              </w:rPr>
              <w:t>投标技术条款</w:t>
            </w:r>
          </w:p>
        </w:tc>
        <w:tc>
          <w:tcPr>
            <w:tcW w:w="875" w:type="pct"/>
          </w:tcPr>
          <w:p w14:paraId="3DF42A2E">
            <w:pPr>
              <w:jc w:val="center"/>
              <w:rPr>
                <w:kern w:val="0"/>
                <w:sz w:val="20"/>
                <w:szCs w:val="20"/>
              </w:rPr>
            </w:pPr>
            <w:r>
              <w:rPr>
                <w:rFonts w:hint="eastAsia"/>
                <w:kern w:val="0"/>
                <w:sz w:val="20"/>
                <w:szCs w:val="20"/>
              </w:rPr>
              <w:t>偏离情况</w:t>
            </w:r>
          </w:p>
        </w:tc>
        <w:tc>
          <w:tcPr>
            <w:tcW w:w="682" w:type="pct"/>
          </w:tcPr>
          <w:p w14:paraId="026933FA">
            <w:pPr>
              <w:jc w:val="center"/>
              <w:rPr>
                <w:kern w:val="0"/>
                <w:sz w:val="20"/>
                <w:szCs w:val="20"/>
              </w:rPr>
            </w:pPr>
            <w:r>
              <w:rPr>
                <w:rFonts w:hint="eastAsia"/>
                <w:kern w:val="0"/>
                <w:sz w:val="20"/>
                <w:szCs w:val="20"/>
              </w:rPr>
              <w:t>备注</w:t>
            </w:r>
          </w:p>
        </w:tc>
      </w:tr>
      <w:tr w14:paraId="59CF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3" w:type="pct"/>
            <w:vAlign w:val="center"/>
          </w:tcPr>
          <w:p w14:paraId="2612473C">
            <w:pPr>
              <w:spacing w:line="360" w:lineRule="auto"/>
              <w:jc w:val="center"/>
              <w:rPr>
                <w:rFonts w:hint="eastAsia" w:cs="仿宋" w:asciiTheme="minorEastAsia" w:hAnsiTheme="minorEastAsia" w:eastAsiaTheme="minorEastAsia"/>
                <w:bCs/>
                <w:sz w:val="24"/>
                <w:szCs w:val="24"/>
                <w:lang w:val="en-US" w:eastAsia="zh-CN"/>
              </w:rPr>
            </w:pPr>
            <w:r>
              <w:rPr>
                <w:rFonts w:hint="eastAsia" w:cs="仿宋" w:asciiTheme="minorEastAsia" w:hAnsiTheme="minorEastAsia" w:eastAsiaTheme="minorEastAsia"/>
                <w:bCs/>
                <w:sz w:val="24"/>
                <w:szCs w:val="24"/>
                <w:lang w:val="en-US" w:eastAsia="zh-CN"/>
              </w:rPr>
              <w:t>1</w:t>
            </w:r>
          </w:p>
        </w:tc>
        <w:tc>
          <w:tcPr>
            <w:tcW w:w="1764" w:type="pct"/>
            <w:vAlign w:val="center"/>
          </w:tcPr>
          <w:p w14:paraId="328F3971">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1.项目名称：TURBT联合化疗及免疫治疗在多发T1HG及T2期膀胱癌患者保留膀胱治疗中有效性及安全性的前瞻性、多中心、双臂、随机对照研究，受试者例数为86例，保险期限为2年</w:t>
            </w:r>
          </w:p>
        </w:tc>
        <w:tc>
          <w:tcPr>
            <w:tcW w:w="1343" w:type="pct"/>
          </w:tcPr>
          <w:p w14:paraId="6939F0B2">
            <w:pPr>
              <w:widowControl/>
              <w:jc w:val="center"/>
              <w:textAlignment w:val="center"/>
              <w:rPr>
                <w:rFonts w:ascii="宋体" w:hAnsi="宋体" w:cs="宋体"/>
                <w:color w:val="333333"/>
                <w:kern w:val="0"/>
                <w:sz w:val="24"/>
                <w:szCs w:val="24"/>
              </w:rPr>
            </w:pPr>
          </w:p>
        </w:tc>
        <w:tc>
          <w:tcPr>
            <w:tcW w:w="875" w:type="pct"/>
          </w:tcPr>
          <w:p w14:paraId="724A52AC">
            <w:pPr>
              <w:widowControl/>
              <w:jc w:val="center"/>
              <w:textAlignment w:val="center"/>
              <w:rPr>
                <w:rFonts w:ascii="宋体" w:hAnsi="宋体" w:cs="宋体"/>
                <w:color w:val="333333"/>
                <w:kern w:val="0"/>
                <w:sz w:val="24"/>
                <w:szCs w:val="24"/>
              </w:rPr>
            </w:pPr>
          </w:p>
        </w:tc>
        <w:tc>
          <w:tcPr>
            <w:tcW w:w="682" w:type="pct"/>
            <w:vAlign w:val="center"/>
          </w:tcPr>
          <w:p w14:paraId="69481476">
            <w:pPr>
              <w:rPr>
                <w:rFonts w:ascii="Calibri" w:hAnsi="宋体" w:eastAsia="宋体" w:cs="Times New Roman"/>
                <w:kern w:val="2"/>
                <w:sz w:val="21"/>
                <w:szCs w:val="21"/>
                <w:lang w:val="en-US" w:eastAsia="zh-CN" w:bidi="ar-SA"/>
              </w:rPr>
            </w:pPr>
          </w:p>
        </w:tc>
      </w:tr>
      <w:tr w14:paraId="575E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3" w:type="pct"/>
            <w:vAlign w:val="center"/>
          </w:tcPr>
          <w:p w14:paraId="7970092A">
            <w:pPr>
              <w:spacing w:line="360" w:lineRule="auto"/>
              <w:jc w:val="center"/>
              <w:rPr>
                <w:rFonts w:hint="default" w:cs="仿宋" w:asciiTheme="minorEastAsia" w:hAnsiTheme="minorEastAsia" w:eastAsiaTheme="minorEastAsia"/>
                <w:bCs/>
                <w:sz w:val="24"/>
                <w:szCs w:val="24"/>
                <w:lang w:val="en-US" w:eastAsia="zh-CN"/>
              </w:rPr>
            </w:pPr>
            <w:r>
              <w:rPr>
                <w:rFonts w:hint="eastAsia" w:cs="仿宋" w:asciiTheme="minorEastAsia" w:hAnsiTheme="minorEastAsia" w:eastAsiaTheme="minorEastAsia"/>
                <w:bCs/>
                <w:sz w:val="24"/>
                <w:szCs w:val="24"/>
                <w:lang w:val="en-US" w:eastAsia="zh-CN"/>
              </w:rPr>
              <w:t>2</w:t>
            </w:r>
          </w:p>
        </w:tc>
        <w:tc>
          <w:tcPr>
            <w:tcW w:w="1764" w:type="pct"/>
            <w:vAlign w:val="center"/>
          </w:tcPr>
          <w:p w14:paraId="7A9A0A33">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2.保险名称：药物临床试验责任险</w:t>
            </w:r>
          </w:p>
        </w:tc>
        <w:tc>
          <w:tcPr>
            <w:tcW w:w="1343" w:type="pct"/>
          </w:tcPr>
          <w:p w14:paraId="1F74EB34">
            <w:pPr>
              <w:widowControl/>
              <w:jc w:val="center"/>
              <w:textAlignment w:val="center"/>
              <w:rPr>
                <w:rFonts w:ascii="宋体" w:hAnsi="宋体" w:cs="宋体"/>
                <w:color w:val="333333"/>
                <w:kern w:val="0"/>
                <w:sz w:val="24"/>
                <w:szCs w:val="24"/>
              </w:rPr>
            </w:pPr>
          </w:p>
        </w:tc>
        <w:tc>
          <w:tcPr>
            <w:tcW w:w="875" w:type="pct"/>
          </w:tcPr>
          <w:p w14:paraId="498C8951">
            <w:pPr>
              <w:widowControl/>
              <w:jc w:val="center"/>
              <w:textAlignment w:val="center"/>
              <w:rPr>
                <w:rFonts w:ascii="宋体" w:hAnsi="宋体" w:cs="宋体"/>
                <w:color w:val="333333"/>
                <w:kern w:val="0"/>
                <w:sz w:val="24"/>
                <w:szCs w:val="24"/>
              </w:rPr>
            </w:pPr>
          </w:p>
        </w:tc>
        <w:tc>
          <w:tcPr>
            <w:tcW w:w="682" w:type="pct"/>
            <w:vAlign w:val="center"/>
          </w:tcPr>
          <w:p w14:paraId="2DA59F55">
            <w:pPr>
              <w:rPr>
                <w:rFonts w:ascii="Calibri" w:hAnsi="宋体" w:eastAsia="宋体" w:cs="Times New Roman"/>
                <w:kern w:val="2"/>
                <w:sz w:val="21"/>
                <w:szCs w:val="21"/>
                <w:lang w:val="en-US" w:eastAsia="zh-CN" w:bidi="ar-SA"/>
              </w:rPr>
            </w:pPr>
          </w:p>
        </w:tc>
      </w:tr>
      <w:tr w14:paraId="1DFE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3" w:type="pct"/>
            <w:vAlign w:val="center"/>
          </w:tcPr>
          <w:p w14:paraId="6BCE6F2E">
            <w:pPr>
              <w:spacing w:line="360" w:lineRule="auto"/>
              <w:jc w:val="center"/>
              <w:rPr>
                <w:rFonts w:hint="default" w:cs="仿宋" w:asciiTheme="minorEastAsia" w:hAnsiTheme="minorEastAsia" w:eastAsiaTheme="minorEastAsia"/>
                <w:bCs/>
                <w:sz w:val="24"/>
                <w:szCs w:val="24"/>
                <w:lang w:val="en-US" w:eastAsia="zh-CN"/>
              </w:rPr>
            </w:pPr>
            <w:r>
              <w:rPr>
                <w:rFonts w:hint="eastAsia" w:cs="仿宋" w:asciiTheme="minorEastAsia" w:hAnsiTheme="minorEastAsia" w:eastAsiaTheme="minorEastAsia"/>
                <w:bCs/>
                <w:sz w:val="24"/>
                <w:szCs w:val="24"/>
                <w:lang w:val="en-US" w:eastAsia="zh-CN"/>
              </w:rPr>
              <w:t>3</w:t>
            </w:r>
          </w:p>
        </w:tc>
        <w:tc>
          <w:tcPr>
            <w:tcW w:w="1764" w:type="pct"/>
            <w:vAlign w:val="center"/>
          </w:tcPr>
          <w:p w14:paraId="4B111ACF">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3、投保人：中山大学附属第七医院（深圳）</w:t>
            </w:r>
          </w:p>
        </w:tc>
        <w:tc>
          <w:tcPr>
            <w:tcW w:w="1343" w:type="pct"/>
          </w:tcPr>
          <w:p w14:paraId="4458B815">
            <w:pPr>
              <w:widowControl/>
              <w:jc w:val="center"/>
              <w:textAlignment w:val="center"/>
              <w:rPr>
                <w:rFonts w:ascii="宋体" w:hAnsi="宋体" w:cs="宋体"/>
                <w:color w:val="333333"/>
                <w:kern w:val="0"/>
                <w:sz w:val="24"/>
                <w:szCs w:val="24"/>
              </w:rPr>
            </w:pPr>
          </w:p>
        </w:tc>
        <w:tc>
          <w:tcPr>
            <w:tcW w:w="875" w:type="pct"/>
          </w:tcPr>
          <w:p w14:paraId="799703B0">
            <w:pPr>
              <w:widowControl/>
              <w:jc w:val="center"/>
              <w:textAlignment w:val="center"/>
              <w:rPr>
                <w:rFonts w:ascii="宋体" w:hAnsi="宋体" w:cs="宋体"/>
                <w:color w:val="333333"/>
                <w:kern w:val="0"/>
                <w:sz w:val="24"/>
                <w:szCs w:val="24"/>
              </w:rPr>
            </w:pPr>
          </w:p>
        </w:tc>
        <w:tc>
          <w:tcPr>
            <w:tcW w:w="682" w:type="pct"/>
            <w:vAlign w:val="center"/>
          </w:tcPr>
          <w:p w14:paraId="418F1228">
            <w:pPr>
              <w:rPr>
                <w:rFonts w:ascii="Calibri" w:hAnsi="宋体" w:eastAsia="宋体" w:cs="Times New Roman"/>
                <w:kern w:val="2"/>
                <w:sz w:val="21"/>
                <w:szCs w:val="21"/>
                <w:lang w:val="en-US" w:eastAsia="zh-CN" w:bidi="ar-SA"/>
              </w:rPr>
            </w:pPr>
          </w:p>
        </w:tc>
      </w:tr>
      <w:tr w14:paraId="044A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3" w:type="pct"/>
            <w:vAlign w:val="center"/>
          </w:tcPr>
          <w:p w14:paraId="32D351B2">
            <w:pPr>
              <w:spacing w:line="360" w:lineRule="auto"/>
              <w:jc w:val="center"/>
              <w:rPr>
                <w:rFonts w:hint="default" w:cs="仿宋" w:asciiTheme="minorEastAsia" w:hAnsiTheme="minorEastAsia" w:eastAsiaTheme="minorEastAsia"/>
                <w:bCs/>
                <w:sz w:val="24"/>
                <w:szCs w:val="24"/>
                <w:lang w:val="en-US" w:eastAsia="zh-CN"/>
              </w:rPr>
            </w:pPr>
            <w:r>
              <w:rPr>
                <w:rFonts w:hint="eastAsia" w:cs="仿宋" w:asciiTheme="minorEastAsia" w:hAnsiTheme="minorEastAsia" w:eastAsiaTheme="minorEastAsia"/>
                <w:bCs/>
                <w:sz w:val="24"/>
                <w:szCs w:val="24"/>
                <w:lang w:val="en-US" w:eastAsia="zh-CN"/>
              </w:rPr>
              <w:t>4</w:t>
            </w:r>
          </w:p>
        </w:tc>
        <w:tc>
          <w:tcPr>
            <w:tcW w:w="1764" w:type="pct"/>
            <w:vAlign w:val="center"/>
          </w:tcPr>
          <w:p w14:paraId="125A0DC6">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4、被保险人（受试者）</w:t>
            </w:r>
          </w:p>
          <w:p w14:paraId="10387E05">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参与“TURBT联合化疗及免疫治疗在多发T1HG及T2期膀胱癌患者保留膀胱治疗中有效性及安全性的前瞻性、多中心、双臂、随机对照研究”项目受试者</w:t>
            </w:r>
          </w:p>
        </w:tc>
        <w:tc>
          <w:tcPr>
            <w:tcW w:w="1343" w:type="pct"/>
          </w:tcPr>
          <w:p w14:paraId="08DAE41C">
            <w:pPr>
              <w:widowControl/>
              <w:jc w:val="center"/>
              <w:textAlignment w:val="center"/>
              <w:rPr>
                <w:rFonts w:ascii="宋体" w:hAnsi="宋体" w:cs="宋体"/>
                <w:color w:val="333333"/>
                <w:kern w:val="0"/>
                <w:sz w:val="24"/>
                <w:szCs w:val="24"/>
              </w:rPr>
            </w:pPr>
          </w:p>
        </w:tc>
        <w:tc>
          <w:tcPr>
            <w:tcW w:w="875" w:type="pct"/>
          </w:tcPr>
          <w:p w14:paraId="63594F38">
            <w:pPr>
              <w:widowControl/>
              <w:jc w:val="center"/>
              <w:textAlignment w:val="center"/>
              <w:rPr>
                <w:rFonts w:ascii="宋体" w:hAnsi="宋体" w:cs="宋体"/>
                <w:color w:val="333333"/>
                <w:kern w:val="0"/>
                <w:sz w:val="24"/>
                <w:szCs w:val="24"/>
              </w:rPr>
            </w:pPr>
          </w:p>
        </w:tc>
        <w:tc>
          <w:tcPr>
            <w:tcW w:w="682" w:type="pct"/>
            <w:vAlign w:val="center"/>
          </w:tcPr>
          <w:p w14:paraId="09108C3E">
            <w:pPr>
              <w:rPr>
                <w:rFonts w:ascii="Calibri" w:hAnsi="宋体" w:eastAsia="宋体" w:cs="Times New Roman"/>
                <w:kern w:val="2"/>
                <w:sz w:val="21"/>
                <w:szCs w:val="21"/>
                <w:lang w:val="en-US" w:eastAsia="zh-CN" w:bidi="ar-SA"/>
              </w:rPr>
            </w:pPr>
          </w:p>
        </w:tc>
      </w:tr>
      <w:tr w14:paraId="3D12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3" w:type="pct"/>
            <w:vAlign w:val="center"/>
          </w:tcPr>
          <w:p w14:paraId="5D428A2A">
            <w:pPr>
              <w:spacing w:line="360" w:lineRule="auto"/>
              <w:jc w:val="center"/>
              <w:rPr>
                <w:rFonts w:hint="default" w:cs="仿宋" w:asciiTheme="minorEastAsia" w:hAnsiTheme="minorEastAsia" w:eastAsiaTheme="minorEastAsia"/>
                <w:bCs/>
                <w:sz w:val="24"/>
                <w:szCs w:val="24"/>
                <w:lang w:val="en-US" w:eastAsia="zh-CN"/>
              </w:rPr>
            </w:pPr>
            <w:r>
              <w:rPr>
                <w:rFonts w:hint="eastAsia" w:cs="仿宋" w:asciiTheme="minorEastAsia" w:hAnsiTheme="minorEastAsia" w:eastAsiaTheme="minorEastAsia"/>
                <w:bCs/>
                <w:sz w:val="24"/>
                <w:szCs w:val="24"/>
                <w:lang w:val="en-US" w:eastAsia="zh-CN"/>
              </w:rPr>
              <w:t>5</w:t>
            </w:r>
          </w:p>
        </w:tc>
        <w:tc>
          <w:tcPr>
            <w:tcW w:w="1764" w:type="pct"/>
            <w:vAlign w:val="center"/>
          </w:tcPr>
          <w:p w14:paraId="7C47E0F9">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5、保险对象</w:t>
            </w:r>
          </w:p>
          <w:p w14:paraId="62EF99FD">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参与“TURBT联合化疗及免疫治疗在多发T1HG及T2期膀胱癌患者保留膀胱治疗中有效性及安全性的前瞻性、多中心、双臂、随机对照研究”项目受试者</w:t>
            </w:r>
          </w:p>
        </w:tc>
        <w:tc>
          <w:tcPr>
            <w:tcW w:w="1343" w:type="pct"/>
          </w:tcPr>
          <w:p w14:paraId="1FD29D1E">
            <w:pPr>
              <w:widowControl/>
              <w:jc w:val="center"/>
              <w:textAlignment w:val="center"/>
              <w:rPr>
                <w:rFonts w:ascii="宋体" w:hAnsi="宋体" w:cs="宋体"/>
                <w:color w:val="333333"/>
                <w:kern w:val="0"/>
                <w:sz w:val="24"/>
                <w:szCs w:val="24"/>
              </w:rPr>
            </w:pPr>
          </w:p>
        </w:tc>
        <w:tc>
          <w:tcPr>
            <w:tcW w:w="875" w:type="pct"/>
          </w:tcPr>
          <w:p w14:paraId="34F575B4">
            <w:pPr>
              <w:widowControl/>
              <w:jc w:val="center"/>
              <w:textAlignment w:val="center"/>
              <w:rPr>
                <w:rFonts w:ascii="宋体" w:hAnsi="宋体" w:cs="宋体"/>
                <w:color w:val="333333"/>
                <w:kern w:val="0"/>
                <w:sz w:val="24"/>
                <w:szCs w:val="24"/>
              </w:rPr>
            </w:pPr>
          </w:p>
        </w:tc>
        <w:tc>
          <w:tcPr>
            <w:tcW w:w="682" w:type="pct"/>
            <w:vAlign w:val="center"/>
          </w:tcPr>
          <w:p w14:paraId="61B01750">
            <w:pPr>
              <w:rPr>
                <w:rFonts w:ascii="Calibri" w:hAnsi="宋体" w:eastAsia="宋体" w:cs="Times New Roman"/>
                <w:kern w:val="2"/>
                <w:sz w:val="21"/>
                <w:szCs w:val="21"/>
                <w:lang w:val="en-US" w:eastAsia="zh-CN" w:bidi="ar-SA"/>
              </w:rPr>
            </w:pPr>
          </w:p>
        </w:tc>
      </w:tr>
      <w:tr w14:paraId="58BA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3" w:type="pct"/>
            <w:vAlign w:val="center"/>
          </w:tcPr>
          <w:p w14:paraId="0835F8CA">
            <w:pPr>
              <w:spacing w:line="360" w:lineRule="auto"/>
              <w:jc w:val="center"/>
              <w:rPr>
                <w:rFonts w:hint="default" w:cs="仿宋" w:asciiTheme="minorEastAsia" w:hAnsiTheme="minorEastAsia" w:eastAsiaTheme="minorEastAsia"/>
                <w:bCs/>
                <w:sz w:val="24"/>
                <w:szCs w:val="24"/>
                <w:lang w:val="en-US" w:eastAsia="zh-CN"/>
              </w:rPr>
            </w:pPr>
            <w:r>
              <w:rPr>
                <w:rFonts w:hint="eastAsia" w:cs="仿宋" w:asciiTheme="minorEastAsia" w:hAnsiTheme="minorEastAsia" w:eastAsiaTheme="minorEastAsia"/>
                <w:bCs/>
                <w:sz w:val="24"/>
                <w:szCs w:val="24"/>
                <w:lang w:val="en-US" w:eastAsia="zh-CN"/>
              </w:rPr>
              <w:t>6</w:t>
            </w:r>
          </w:p>
        </w:tc>
        <w:tc>
          <w:tcPr>
            <w:tcW w:w="1764" w:type="pct"/>
            <w:vAlign w:val="center"/>
          </w:tcPr>
          <w:p w14:paraId="6DFDF28C">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6、保单承保方式</w:t>
            </w:r>
          </w:p>
          <w:p w14:paraId="1CAA7243">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在保险期间或本保险合同载明的追溯期内，被保险人（受试者）在中华人民共和国境内（不包括港、澳、台地区）依法从事本保险合同载明的药物临床试验活动中，因保险单明细表中列明的试验药物或试验相关产品，导致试验发生严重不良事件，造成受试者人身伤亡，由受试者及其索赔权利人在保险期间内首次向被保险人提出损害赔偿请求依照中华人民共和国法律应由被保险人承担的经济赔偿责任，保险人按照本保险合同约定负责赔偿。</w:t>
            </w:r>
          </w:p>
          <w:p w14:paraId="3C343DD4">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保险事故发生后，被保险人（受试者）因保险事故而被提起仲裁或者诉讼的，对应由被保险人支付的仲裁或诉讼费用以及事先经保险人书面同意支付的其他必要的、合理的费用，保险人按照保险合同约定负责赔偿。</w:t>
            </w:r>
          </w:p>
        </w:tc>
        <w:tc>
          <w:tcPr>
            <w:tcW w:w="1343" w:type="pct"/>
          </w:tcPr>
          <w:p w14:paraId="6A918AD2">
            <w:pPr>
              <w:widowControl/>
              <w:jc w:val="center"/>
              <w:textAlignment w:val="center"/>
              <w:rPr>
                <w:rFonts w:ascii="宋体" w:hAnsi="宋体" w:cs="宋体"/>
                <w:color w:val="333333"/>
                <w:kern w:val="0"/>
                <w:sz w:val="24"/>
                <w:szCs w:val="24"/>
              </w:rPr>
            </w:pPr>
          </w:p>
        </w:tc>
        <w:tc>
          <w:tcPr>
            <w:tcW w:w="875" w:type="pct"/>
          </w:tcPr>
          <w:p w14:paraId="6B97B291">
            <w:pPr>
              <w:widowControl/>
              <w:jc w:val="center"/>
              <w:textAlignment w:val="center"/>
              <w:rPr>
                <w:rFonts w:ascii="宋体" w:hAnsi="宋体" w:cs="宋体"/>
                <w:color w:val="333333"/>
                <w:kern w:val="0"/>
                <w:sz w:val="24"/>
                <w:szCs w:val="24"/>
              </w:rPr>
            </w:pPr>
          </w:p>
        </w:tc>
        <w:tc>
          <w:tcPr>
            <w:tcW w:w="682" w:type="pct"/>
            <w:vAlign w:val="center"/>
          </w:tcPr>
          <w:p w14:paraId="6A0DBB4A">
            <w:pPr>
              <w:rPr>
                <w:rFonts w:ascii="Calibri" w:hAnsi="宋体" w:eastAsia="宋体" w:cs="Times New Roman"/>
                <w:kern w:val="2"/>
                <w:sz w:val="21"/>
                <w:szCs w:val="21"/>
                <w:lang w:val="en-US" w:eastAsia="zh-CN" w:bidi="ar-SA"/>
              </w:rPr>
            </w:pPr>
          </w:p>
        </w:tc>
      </w:tr>
      <w:tr w14:paraId="3628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3" w:type="pct"/>
            <w:vAlign w:val="center"/>
          </w:tcPr>
          <w:p w14:paraId="57CD6386">
            <w:pPr>
              <w:spacing w:line="360" w:lineRule="auto"/>
              <w:jc w:val="center"/>
              <w:rPr>
                <w:rFonts w:hint="default" w:cs="仿宋" w:asciiTheme="minorEastAsia" w:hAnsiTheme="minorEastAsia" w:eastAsiaTheme="minorEastAsia"/>
                <w:bCs/>
                <w:sz w:val="24"/>
                <w:szCs w:val="24"/>
                <w:lang w:val="en-US" w:eastAsia="zh-CN"/>
              </w:rPr>
            </w:pPr>
            <w:r>
              <w:rPr>
                <w:rFonts w:hint="eastAsia" w:cs="仿宋" w:asciiTheme="minorEastAsia" w:hAnsiTheme="minorEastAsia" w:eastAsiaTheme="minorEastAsia"/>
                <w:bCs/>
                <w:sz w:val="24"/>
                <w:szCs w:val="24"/>
                <w:lang w:val="en-US" w:eastAsia="zh-CN"/>
              </w:rPr>
              <w:t>7</w:t>
            </w:r>
          </w:p>
        </w:tc>
        <w:tc>
          <w:tcPr>
            <w:tcW w:w="1764" w:type="pct"/>
            <w:vAlign w:val="center"/>
          </w:tcPr>
          <w:p w14:paraId="658A8FDC">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7.赔偿限额</w:t>
            </w:r>
          </w:p>
          <w:p w14:paraId="51E53104">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对于每次事故造成的损失，保险人在每次事故赔偿限额内计算赔偿，其中对每位受害者的赔偿金额不得超过每人赔偿限额；对每次事故承担的法律费用的赔偿金额在每次事故赔偿限额内计算赔偿，最高不超过每次事故赔偿限额的 10%，对每人承担的法律费用的赔偿金额在每人赔偿限额内计算赔偿，最高不超过每人赔偿限额的 10%，但本保险合同另有约定的除外；</w:t>
            </w:r>
          </w:p>
          <w:p w14:paraId="4D41CC6C">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 xml:space="preserve">在以上的基础上，保险人在扣除每次事故免赔额或根据本保险合同载明的每次事故免赔率计算的免赔额后进行赔偿； </w:t>
            </w:r>
          </w:p>
          <w:p w14:paraId="762568B6">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在保险期间内，保险人对多次事故损失的累计赔偿金额不超过累计赔偿限额。</w:t>
            </w:r>
          </w:p>
          <w:p w14:paraId="4A009E32">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每人每次事故赔偿限额：20万元；</w:t>
            </w:r>
          </w:p>
          <w:p w14:paraId="674C6275">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每次事故赔偿限额：200万元；</w:t>
            </w:r>
          </w:p>
          <w:p w14:paraId="4E7519D4">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累计赔偿限额：200万元。</w:t>
            </w:r>
          </w:p>
        </w:tc>
        <w:tc>
          <w:tcPr>
            <w:tcW w:w="1343" w:type="pct"/>
          </w:tcPr>
          <w:p w14:paraId="0B1F11BF">
            <w:pPr>
              <w:widowControl/>
              <w:jc w:val="center"/>
              <w:textAlignment w:val="center"/>
              <w:rPr>
                <w:rFonts w:ascii="宋体" w:hAnsi="宋体" w:cs="宋体"/>
                <w:color w:val="333333"/>
                <w:kern w:val="0"/>
                <w:sz w:val="24"/>
                <w:szCs w:val="24"/>
              </w:rPr>
            </w:pPr>
          </w:p>
        </w:tc>
        <w:tc>
          <w:tcPr>
            <w:tcW w:w="875" w:type="pct"/>
          </w:tcPr>
          <w:p w14:paraId="6073426D">
            <w:pPr>
              <w:widowControl/>
              <w:jc w:val="center"/>
              <w:textAlignment w:val="center"/>
              <w:rPr>
                <w:rFonts w:ascii="宋体" w:hAnsi="宋体" w:cs="宋体"/>
                <w:color w:val="333333"/>
                <w:kern w:val="0"/>
                <w:sz w:val="24"/>
                <w:szCs w:val="24"/>
              </w:rPr>
            </w:pPr>
          </w:p>
        </w:tc>
        <w:tc>
          <w:tcPr>
            <w:tcW w:w="682" w:type="pct"/>
            <w:vAlign w:val="center"/>
          </w:tcPr>
          <w:p w14:paraId="131ED51D">
            <w:pPr>
              <w:rPr>
                <w:rFonts w:ascii="Calibri" w:hAnsi="宋体" w:eastAsia="宋体" w:cs="Times New Roman"/>
                <w:kern w:val="2"/>
                <w:sz w:val="21"/>
                <w:szCs w:val="21"/>
                <w:lang w:val="en-US" w:eastAsia="zh-CN" w:bidi="ar-SA"/>
              </w:rPr>
            </w:pPr>
          </w:p>
        </w:tc>
      </w:tr>
      <w:tr w14:paraId="678C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3" w:type="pct"/>
            <w:vAlign w:val="center"/>
          </w:tcPr>
          <w:p w14:paraId="728D7FE1">
            <w:pPr>
              <w:spacing w:line="360" w:lineRule="auto"/>
              <w:jc w:val="center"/>
              <w:rPr>
                <w:rFonts w:hint="default" w:cs="仿宋" w:asciiTheme="minorEastAsia" w:hAnsiTheme="minorEastAsia" w:eastAsiaTheme="minorEastAsia"/>
                <w:bCs/>
                <w:sz w:val="24"/>
                <w:szCs w:val="24"/>
                <w:lang w:val="en-US" w:eastAsia="zh-CN"/>
              </w:rPr>
            </w:pPr>
            <w:r>
              <w:rPr>
                <w:rFonts w:hint="eastAsia" w:cs="仿宋" w:asciiTheme="minorEastAsia" w:hAnsiTheme="minorEastAsia" w:eastAsiaTheme="minorEastAsia"/>
                <w:bCs/>
                <w:sz w:val="24"/>
                <w:szCs w:val="24"/>
                <w:lang w:val="en-US" w:eastAsia="zh-CN"/>
              </w:rPr>
              <w:t>8</w:t>
            </w:r>
          </w:p>
        </w:tc>
        <w:tc>
          <w:tcPr>
            <w:tcW w:w="1764" w:type="pct"/>
            <w:vAlign w:val="center"/>
          </w:tcPr>
          <w:p w14:paraId="31884F7A">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8、免赔额</w:t>
            </w:r>
          </w:p>
          <w:p w14:paraId="36E303DC">
            <w:pPr>
              <w:jc w:val="center"/>
              <w:rPr>
                <w:rFonts w:hint="default" w:ascii="Calibri" w:hAnsi="宋体" w:eastAsia="宋体" w:cs="Times New Roman"/>
                <w:kern w:val="2"/>
                <w:sz w:val="21"/>
                <w:szCs w:val="21"/>
                <w:lang w:val="en-US" w:eastAsia="zh-CN" w:bidi="ar-SA"/>
              </w:rPr>
            </w:pPr>
            <w:r>
              <w:rPr>
                <w:rFonts w:hint="default" w:ascii="Calibri" w:hAnsi="宋体" w:eastAsia="宋体" w:cs="Times New Roman"/>
                <w:kern w:val="2"/>
                <w:sz w:val="21"/>
                <w:szCs w:val="21"/>
                <w:lang w:val="en-US" w:eastAsia="zh-CN" w:bidi="ar-SA"/>
              </w:rPr>
              <w:t>10000元</w:t>
            </w:r>
            <w:bookmarkStart w:id="0" w:name="_GoBack"/>
            <w:bookmarkEnd w:id="0"/>
          </w:p>
        </w:tc>
        <w:tc>
          <w:tcPr>
            <w:tcW w:w="1343" w:type="pct"/>
          </w:tcPr>
          <w:p w14:paraId="1635CE08">
            <w:pPr>
              <w:widowControl/>
              <w:jc w:val="center"/>
              <w:textAlignment w:val="center"/>
              <w:rPr>
                <w:rFonts w:ascii="宋体" w:hAnsi="宋体" w:cs="宋体"/>
                <w:color w:val="333333"/>
                <w:kern w:val="0"/>
                <w:sz w:val="24"/>
                <w:szCs w:val="24"/>
              </w:rPr>
            </w:pPr>
          </w:p>
        </w:tc>
        <w:tc>
          <w:tcPr>
            <w:tcW w:w="875" w:type="pct"/>
          </w:tcPr>
          <w:p w14:paraId="5CD35B56">
            <w:pPr>
              <w:widowControl/>
              <w:jc w:val="center"/>
              <w:textAlignment w:val="center"/>
              <w:rPr>
                <w:rFonts w:ascii="宋体" w:hAnsi="宋体" w:cs="宋体"/>
                <w:color w:val="333333"/>
                <w:kern w:val="0"/>
                <w:sz w:val="24"/>
                <w:szCs w:val="24"/>
              </w:rPr>
            </w:pPr>
          </w:p>
        </w:tc>
        <w:tc>
          <w:tcPr>
            <w:tcW w:w="682" w:type="pct"/>
            <w:vAlign w:val="center"/>
          </w:tcPr>
          <w:p w14:paraId="73131C9E">
            <w:pPr>
              <w:rPr>
                <w:rFonts w:ascii="Calibri" w:hAnsi="宋体" w:eastAsia="宋体" w:cs="Times New Roman"/>
                <w:kern w:val="2"/>
                <w:sz w:val="21"/>
                <w:szCs w:val="21"/>
                <w:lang w:val="en-US" w:eastAsia="zh-CN" w:bidi="ar-SA"/>
              </w:rPr>
            </w:pPr>
          </w:p>
        </w:tc>
      </w:tr>
    </w:tbl>
    <w:p w14:paraId="1999EBDC">
      <w:pPr>
        <w:keepNext w:val="0"/>
        <w:keepLines w:val="0"/>
        <w:pageBreakBefore w:val="0"/>
        <w:widowControl w:val="0"/>
        <w:kinsoku/>
        <w:wordWrap/>
        <w:overflowPunct/>
        <w:topLinePunct w:val="0"/>
        <w:autoSpaceDE/>
        <w:autoSpaceDN/>
        <w:bidi w:val="0"/>
        <w:adjustRightInd/>
        <w:snapToGrid/>
        <w:spacing w:line="240" w:lineRule="auto"/>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3FEDC37F">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cs="仿宋" w:asciiTheme="minorEastAsia" w:hAnsiTheme="minorEastAsia" w:eastAsiaTheme="minorEastAsia"/>
          <w:bCs/>
          <w:sz w:val="24"/>
          <w:szCs w:val="24"/>
        </w:rPr>
        <w:t>1、偏离情况一栏请填入“正偏离/无偏离/负偏离”。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zZDE3OTQ4OTFmNGU5MmYzNzVlYzA4YjY4NzhhMTUifQ=="/>
  </w:docVars>
  <w:rsids>
    <w:rsidRoot w:val="001D255B"/>
    <w:rsid w:val="00106486"/>
    <w:rsid w:val="001D21D8"/>
    <w:rsid w:val="001D255B"/>
    <w:rsid w:val="001E140C"/>
    <w:rsid w:val="002C61CB"/>
    <w:rsid w:val="002F0631"/>
    <w:rsid w:val="00353A5B"/>
    <w:rsid w:val="003F106F"/>
    <w:rsid w:val="004D770A"/>
    <w:rsid w:val="00575565"/>
    <w:rsid w:val="005A22AE"/>
    <w:rsid w:val="005A4B7A"/>
    <w:rsid w:val="005C331D"/>
    <w:rsid w:val="006A5995"/>
    <w:rsid w:val="006B7460"/>
    <w:rsid w:val="00802815"/>
    <w:rsid w:val="009E3E4E"/>
    <w:rsid w:val="00A04F71"/>
    <w:rsid w:val="00B56652"/>
    <w:rsid w:val="00B6753F"/>
    <w:rsid w:val="00BF227F"/>
    <w:rsid w:val="00C84D24"/>
    <w:rsid w:val="00CB19DD"/>
    <w:rsid w:val="00D638A6"/>
    <w:rsid w:val="00D97DBD"/>
    <w:rsid w:val="00DA1D1D"/>
    <w:rsid w:val="00DF05C6"/>
    <w:rsid w:val="00F1569E"/>
    <w:rsid w:val="00F37692"/>
    <w:rsid w:val="00F42053"/>
    <w:rsid w:val="00F6679A"/>
    <w:rsid w:val="00FB3AC3"/>
    <w:rsid w:val="00FC216E"/>
    <w:rsid w:val="00FD1B85"/>
    <w:rsid w:val="05062C38"/>
    <w:rsid w:val="058A6084"/>
    <w:rsid w:val="05F7033F"/>
    <w:rsid w:val="0C3A7B38"/>
    <w:rsid w:val="0C6F1945"/>
    <w:rsid w:val="12B133F3"/>
    <w:rsid w:val="17D53469"/>
    <w:rsid w:val="190D6ED4"/>
    <w:rsid w:val="1F9E45C4"/>
    <w:rsid w:val="304477AE"/>
    <w:rsid w:val="31FA3E49"/>
    <w:rsid w:val="324B7CBA"/>
    <w:rsid w:val="34CF499A"/>
    <w:rsid w:val="351E7F08"/>
    <w:rsid w:val="360F1920"/>
    <w:rsid w:val="38956A3A"/>
    <w:rsid w:val="3FB76A46"/>
    <w:rsid w:val="43165F50"/>
    <w:rsid w:val="4A4B26F8"/>
    <w:rsid w:val="4AD9649E"/>
    <w:rsid w:val="4BBC2BA9"/>
    <w:rsid w:val="4DC211D1"/>
    <w:rsid w:val="522004B6"/>
    <w:rsid w:val="54247B45"/>
    <w:rsid w:val="594830D8"/>
    <w:rsid w:val="5C321615"/>
    <w:rsid w:val="5E8C325E"/>
    <w:rsid w:val="639130C5"/>
    <w:rsid w:val="68210EBB"/>
    <w:rsid w:val="739C5B7C"/>
    <w:rsid w:val="765B265A"/>
    <w:rsid w:val="76764C90"/>
    <w:rsid w:val="7C0F5CA3"/>
    <w:rsid w:val="7C865254"/>
    <w:rsid w:val="7D160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3"/>
    <w:next w:val="4"/>
    <w:link w:val="16"/>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1"/>
    <w:next w:val="1"/>
    <w:link w:val="17"/>
    <w:autoRedefine/>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rPr>
      <w:sz w:val="24"/>
    </w:rPr>
  </w:style>
  <w:style w:type="paragraph" w:styleId="6">
    <w:name w:val="toc 5"/>
    <w:basedOn w:val="1"/>
    <w:qFormat/>
    <w:uiPriority w:val="0"/>
    <w:pPr>
      <w:ind w:left="1680" w:leftChars="800"/>
    </w:pPr>
  </w:style>
  <w:style w:type="paragraph" w:styleId="7">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2"/>
    <w:basedOn w:val="1"/>
    <w:qFormat/>
    <w:uiPriority w:val="0"/>
    <w:pPr>
      <w:spacing w:line="360" w:lineRule="auto"/>
    </w:pPr>
    <w:rPr>
      <w:sz w:val="24"/>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8"/>
    <w:autoRedefine/>
    <w:qFormat/>
    <w:uiPriority w:val="99"/>
    <w:rPr>
      <w:sz w:val="18"/>
      <w:szCs w:val="18"/>
    </w:rPr>
  </w:style>
  <w:style w:type="character" w:customStyle="1" w:styleId="15">
    <w:name w:val="页脚 字符"/>
    <w:basedOn w:val="13"/>
    <w:link w:val="7"/>
    <w:autoRedefine/>
    <w:qFormat/>
    <w:uiPriority w:val="99"/>
    <w:rPr>
      <w:sz w:val="18"/>
      <w:szCs w:val="18"/>
    </w:rPr>
  </w:style>
  <w:style w:type="character" w:customStyle="1" w:styleId="16">
    <w:name w:val="标题 2 字符"/>
    <w:basedOn w:val="13"/>
    <w:link w:val="2"/>
    <w:autoRedefine/>
    <w:qFormat/>
    <w:uiPriority w:val="0"/>
    <w:rPr>
      <w:rFonts w:ascii="宋体" w:hAnsi="宋体" w:eastAsia="宋体" w:cs="Times New Roman"/>
      <w:b/>
      <w:kern w:val="0"/>
      <w:sz w:val="24"/>
      <w:szCs w:val="20"/>
    </w:rPr>
  </w:style>
  <w:style w:type="character" w:customStyle="1" w:styleId="17">
    <w:name w:val="标题 3 字符"/>
    <w:basedOn w:val="13"/>
    <w:link w:val="3"/>
    <w:autoRedefine/>
    <w:semiHidden/>
    <w:qFormat/>
    <w:uiPriority w:val="9"/>
    <w:rPr>
      <w:rFonts w:ascii="Calibri" w:hAnsi="Calibri" w:eastAsia="宋体" w:cs="Times New Roman"/>
      <w:b/>
      <w:bCs/>
      <w:sz w:val="32"/>
      <w:szCs w:val="32"/>
    </w:rPr>
  </w:style>
  <w:style w:type="character" w:customStyle="1" w:styleId="18">
    <w:name w:val="标题 4 字符"/>
    <w:basedOn w:val="13"/>
    <w:link w:val="4"/>
    <w:autoRedefine/>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2</Pages>
  <Words>273</Words>
  <Characters>282</Characters>
  <Lines>6</Lines>
  <Paragraphs>1</Paragraphs>
  <TotalTime>0</TotalTime>
  <ScaleCrop>false</ScaleCrop>
  <LinksUpToDate>false</LinksUpToDate>
  <CharactersWithSpaces>284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2022-07-22T07:53:00Z</dcterms:created>
  <dc:creator>Chilan</dc:creator>
  <cp:lastModifiedBy>cgzx</cp:lastModifiedBy>
  <dcterms:modified xsi:type="dcterms:W3CDTF">2024-08-28T02:57:05Z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CC87498739914B2590D65FA0FFFEE469_12</vt:lpwstr>
  </property>
</Properties>
</file>