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附件二 ★技术条款偏离情况表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（“★”号条款为实质性条款，有任何一条负偏离则导致无效投标）</w:t>
      </w:r>
    </w:p>
    <w:p>
      <w:pPr>
        <w:jc w:val="left"/>
        <w:rPr>
          <w:sz w:val="24"/>
          <w:szCs w:val="24"/>
        </w:rPr>
      </w:pPr>
    </w:p>
    <w:tbl>
      <w:tblPr>
        <w:tblStyle w:val="8"/>
        <w:tblW w:w="48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072"/>
        <w:gridCol w:w="2403"/>
        <w:gridCol w:w="1975"/>
        <w:gridCol w:w="1301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646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货物</w:t>
            </w:r>
            <w:r>
              <w:rPr>
                <w:rFonts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48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招标技术条款</w:t>
            </w:r>
          </w:p>
        </w:tc>
        <w:tc>
          <w:tcPr>
            <w:tcW w:w="1190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投标技术条款</w:t>
            </w:r>
          </w:p>
        </w:tc>
        <w:tc>
          <w:tcPr>
            <w:tcW w:w="784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偏离情况</w:t>
            </w:r>
          </w:p>
        </w:tc>
        <w:tc>
          <w:tcPr>
            <w:tcW w:w="616" w:type="pct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6" w:type="pct"/>
            <w:vMerge w:val="restar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0"/>
              </w:rPr>
              <w:t>脂肪瘤切除术训练模块</w:t>
            </w:r>
          </w:p>
        </w:tc>
        <w:tc>
          <w:tcPr>
            <w:tcW w:w="1448" w:type="pct"/>
            <w:vAlign w:val="center"/>
          </w:tcPr>
          <w:p>
            <w:pPr>
              <w:widowControl/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</w:rPr>
              <w:t>1.1</w:t>
            </w:r>
            <w:r>
              <w:rPr>
                <w:rFonts w:hint="eastAsia"/>
                <w:kern w:val="0"/>
              </w:rPr>
              <w:t>三层结构设计，便于掌握脂肪瘤切除术与分层缝合的操作技巧，规格尺寸长</w:t>
            </w:r>
            <w:r>
              <w:rPr>
                <w:kern w:val="0"/>
                <w:highlight w:val="yellow"/>
              </w:rPr>
              <w:t>120</w:t>
            </w:r>
            <w:r>
              <w:rPr>
                <w:rFonts w:hint="eastAsia" w:ascii="宋体" w:hAnsi="宋体" w:cs="宋体"/>
                <w:kern w:val="0"/>
                <w:highlight w:val="yellow"/>
              </w:rPr>
              <w:t>±</w:t>
            </w:r>
            <w:r>
              <w:rPr>
                <w:rFonts w:hint="eastAsia"/>
                <w:kern w:val="0"/>
                <w:highlight w:val="yellow"/>
              </w:rPr>
              <w:t>20mm</w:t>
            </w:r>
            <w:r>
              <w:rPr>
                <w:kern w:val="0"/>
                <w:highlight w:val="yellow"/>
              </w:rPr>
              <w:t>*</w:t>
            </w:r>
            <w:r>
              <w:rPr>
                <w:rFonts w:hint="eastAsia"/>
                <w:kern w:val="0"/>
                <w:highlight w:val="yellow"/>
              </w:rPr>
              <w:t>宽</w:t>
            </w:r>
            <w:r>
              <w:rPr>
                <w:kern w:val="0"/>
                <w:highlight w:val="yellow"/>
              </w:rPr>
              <w:t>15</w:t>
            </w:r>
            <w:r>
              <w:rPr>
                <w:rFonts w:hint="eastAsia"/>
                <w:kern w:val="0"/>
                <w:highlight w:val="yellow"/>
              </w:rPr>
              <w:t>5</w:t>
            </w:r>
            <w:r>
              <w:rPr>
                <w:rFonts w:hint="eastAsia" w:ascii="宋体" w:hAnsi="宋体" w:cs="宋体"/>
                <w:kern w:val="0"/>
                <w:highlight w:val="yellow"/>
              </w:rPr>
              <w:t>±</w:t>
            </w:r>
            <w:r>
              <w:rPr>
                <w:rFonts w:hint="eastAsia"/>
                <w:kern w:val="0"/>
                <w:highlight w:val="yellow"/>
              </w:rPr>
              <w:t>20</w:t>
            </w:r>
            <w:r>
              <w:rPr>
                <w:kern w:val="0"/>
                <w:highlight w:val="yellow"/>
              </w:rPr>
              <w:t>mm</w:t>
            </w:r>
            <w:r>
              <w:rPr>
                <w:rFonts w:hint="eastAsia"/>
                <w:kern w:val="0"/>
              </w:rPr>
              <w:t>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widowControl/>
              <w:jc w:val="left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6" w:type="pct"/>
            <w:vMerge w:val="continue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</w:rPr>
              <w:t>1. 2</w:t>
            </w:r>
            <w:r>
              <w:rPr>
                <w:rFonts w:hint="eastAsia"/>
              </w:rPr>
              <w:t>采用乳胶发泡技术一次成型，可反复使用。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46" w:type="pct"/>
            <w:vMerge w:val="continue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</w:rPr>
              <w:t>1. 3</w:t>
            </w:r>
            <w:r>
              <w:rPr>
                <w:rFonts w:hint="eastAsia"/>
                <w:kern w:val="0"/>
              </w:rPr>
              <w:t>配套有临床技能考试指导，具有</w:t>
            </w:r>
            <w:r>
              <w:rPr>
                <w:rFonts w:hint="eastAsia" w:ascii="等线" w:hAnsi="等线" w:cs="等线"/>
                <w:color w:val="000000"/>
                <w:kern w:val="0"/>
                <w:szCs w:val="21"/>
              </w:rPr>
              <w:t>详细的考试记录柱状图，包括评估与解释的分数、准备工作的分数、操作的分数、操作后处理的分数、终末质量的分数等</w:t>
            </w:r>
            <w:r>
              <w:rPr>
                <w:rFonts w:hint="eastAsia"/>
                <w:kern w:val="0"/>
              </w:rPr>
              <w:t>，</w:t>
            </w:r>
            <w:r>
              <w:rPr>
                <w:rFonts w:hint="eastAsia"/>
                <w:b/>
                <w:bCs/>
                <w:kern w:val="0"/>
                <w:highlight w:val="yellow"/>
              </w:rPr>
              <w:t>针对上述全部功能提供产品该功能界面照片证明该功能。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配置要求</w:t>
            </w:r>
          </w:p>
          <w:p>
            <w:pPr>
              <w:numPr>
                <w:numId w:val="0"/>
              </w:numPr>
              <w:jc w:val="both"/>
              <w:rPr>
                <w:rFonts w:hint="default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.1</w:t>
            </w:r>
            <w:r>
              <w:rPr>
                <w:rFonts w:hint="eastAsia"/>
                <w:bCs/>
                <w:kern w:val="0"/>
              </w:rPr>
              <w:t>脂肪瘤切除术训练模块</w:t>
            </w:r>
            <w:r>
              <w:rPr>
                <w:rFonts w:hint="eastAsia"/>
                <w:bCs/>
                <w:kern w:val="0"/>
                <w:lang w:val="en-US" w:eastAsia="zh-CN"/>
              </w:rPr>
              <w:t xml:space="preserve"> 数量 </w:t>
            </w:r>
            <w:r>
              <w:rPr>
                <w:kern w:val="0"/>
              </w:rPr>
              <w:t>50</w:t>
            </w:r>
            <w:r>
              <w:rPr>
                <w:rFonts w:hint="eastAsia"/>
                <w:color w:val="333333"/>
                <w:shd w:val="clear" w:color="auto" w:fill="FFFFFF"/>
              </w:rPr>
              <w:t>块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6" w:type="pct"/>
            <w:vMerge w:val="restart"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0"/>
              </w:rPr>
              <w:t>脓肿鉴别与切开模块</w:t>
            </w: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/>
                <w:kern w:val="0"/>
              </w:rPr>
            </w:pPr>
            <w:r>
              <w:rPr>
                <w:kern w:val="0"/>
              </w:rPr>
              <w:t>1.1</w:t>
            </w:r>
            <w:r>
              <w:rPr>
                <w:rFonts w:hint="eastAsia"/>
                <w:kern w:val="0"/>
              </w:rPr>
              <w:t>可进行蜂窝组织炎以及脓肿的鉴别诊断。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/>
                <w:kern w:val="0"/>
              </w:rPr>
            </w:pPr>
            <w:r>
              <w:rPr>
                <w:kern w:val="0"/>
              </w:rPr>
              <w:t>1.2</w:t>
            </w:r>
            <w:r>
              <w:rPr>
                <w:rFonts w:hint="eastAsia"/>
                <w:kern w:val="0"/>
              </w:rPr>
              <w:t>可进行脓肿切开、引流、包扎练习。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/>
                <w:kern w:val="0"/>
              </w:rPr>
            </w:pPr>
            <w:r>
              <w:rPr>
                <w:kern w:val="0"/>
              </w:rPr>
              <w:t>1.3</w:t>
            </w:r>
            <w:r>
              <w:rPr>
                <w:rFonts w:hint="eastAsia"/>
                <w:kern w:val="0"/>
              </w:rPr>
              <w:t>模块有蜂窝织炎及脓肿两种病变，可通过触摸波动感、抽出脓液进行鉴别诊断。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/>
                <w:kern w:val="0"/>
              </w:rPr>
            </w:pPr>
            <w:r>
              <w:rPr>
                <w:kern w:val="0"/>
              </w:rPr>
              <w:t>1.4</w:t>
            </w:r>
            <w:r>
              <w:rPr>
                <w:rFonts w:hint="eastAsia"/>
                <w:kern w:val="0"/>
              </w:rPr>
              <w:t>脓肿切开后可观察到脓液，性状逼真。</w:t>
            </w:r>
            <w:r>
              <w:rPr>
                <w:rFonts w:hint="eastAsia"/>
                <w:b/>
                <w:bCs/>
                <w:kern w:val="0"/>
                <w:highlight w:val="yellow"/>
              </w:rPr>
              <w:t>需提供切开模块后，有脓液状态的照片实物照片证明该功能。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/>
                <w:kern w:val="0"/>
              </w:rPr>
            </w:pPr>
            <w:r>
              <w:rPr>
                <w:kern w:val="0"/>
              </w:rPr>
              <w:t>1.5</w:t>
            </w:r>
            <w:r>
              <w:rPr>
                <w:rFonts w:hint="eastAsia"/>
                <w:kern w:val="0"/>
              </w:rPr>
              <w:t>配套有临床技能考试指导，具有</w:t>
            </w:r>
            <w:r>
              <w:rPr>
                <w:rFonts w:hint="eastAsia" w:ascii="等线" w:hAnsi="等线" w:cs="等线"/>
                <w:color w:val="000000"/>
                <w:kern w:val="0"/>
                <w:szCs w:val="21"/>
              </w:rPr>
              <w:t>详细的考试记录柱状图，包括评估与解释的分数、准备工作的分数、操作的分数、操作后处理的分数、终末质量的分数等</w:t>
            </w:r>
            <w:r>
              <w:rPr>
                <w:rFonts w:hint="eastAsia"/>
                <w:kern w:val="0"/>
              </w:rPr>
              <w:t>，</w:t>
            </w:r>
            <w:r>
              <w:rPr>
                <w:rFonts w:hint="eastAsia"/>
                <w:b/>
                <w:bCs/>
                <w:kern w:val="0"/>
                <w:highlight w:val="yellow"/>
              </w:rPr>
              <w:t>针对上述全部功能提供产品该功能界面照片证明该功能。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2.</w:t>
            </w:r>
            <w:r>
              <w:rPr>
                <w:rFonts w:hint="eastAsia"/>
                <w:b/>
                <w:kern w:val="0"/>
              </w:rPr>
              <w:t>配置要求</w:t>
            </w:r>
          </w:p>
          <w:p>
            <w:pPr>
              <w:numPr>
                <w:numId w:val="0"/>
              </w:numPr>
              <w:ind w:leftChars="0"/>
              <w:jc w:val="both"/>
              <w:rPr>
                <w:rFonts w:hint="default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.1</w:t>
            </w:r>
            <w:r>
              <w:rPr>
                <w:rFonts w:hint="eastAsia"/>
                <w:bCs/>
                <w:kern w:val="0"/>
              </w:rPr>
              <w:t>脓肿鉴别与切开模块</w:t>
            </w:r>
            <w:r>
              <w:rPr>
                <w:rFonts w:hint="eastAsia"/>
                <w:bCs/>
                <w:kern w:val="0"/>
                <w:lang w:val="en-US" w:eastAsia="zh-CN"/>
              </w:rPr>
              <w:t xml:space="preserve">数量 </w:t>
            </w:r>
            <w:r>
              <w:rPr>
                <w:rFonts w:hint="eastAsia"/>
                <w:kern w:val="0"/>
              </w:rPr>
              <w:t>1</w:t>
            </w:r>
            <w:r>
              <w:rPr>
                <w:kern w:val="0"/>
              </w:rPr>
              <w:t>00</w:t>
            </w:r>
            <w:r>
              <w:rPr>
                <w:rFonts w:hint="eastAsia"/>
                <w:color w:val="333333"/>
                <w:shd w:val="clear" w:color="auto" w:fill="FFFFFF"/>
              </w:rPr>
              <w:t>块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restart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6" w:type="pct"/>
            <w:vMerge w:val="restart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0"/>
              </w:rPr>
              <w:t>表皮常见病变处理训练模块</w:t>
            </w: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kern w:val="0"/>
              </w:rPr>
              <w:t>1.1</w:t>
            </w:r>
            <w:r>
              <w:rPr>
                <w:rFonts w:hint="eastAsia"/>
                <w:b/>
                <w:bCs/>
                <w:kern w:val="0"/>
                <w:highlight w:val="yellow"/>
              </w:rPr>
              <w:t>包含至少三种病</w:t>
            </w:r>
            <w:r>
              <w:rPr>
                <w:rFonts w:hint="eastAsia"/>
                <w:kern w:val="0"/>
              </w:rPr>
              <w:t>变模型：皮赘、皮肤痣、脂溢性角化病。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kern w:val="0"/>
              </w:rPr>
              <w:t>1.2</w:t>
            </w:r>
            <w:r>
              <w:rPr>
                <w:rFonts w:hint="eastAsia"/>
                <w:kern w:val="0"/>
              </w:rPr>
              <w:t>可进行皮赘剪除术、皮肤痣切除术、脂溢性角化病刮除术等基本技能操作。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kern w:val="0"/>
              </w:rPr>
              <w:t>1.3</w:t>
            </w:r>
            <w:r>
              <w:rPr>
                <w:rFonts w:hint="eastAsia"/>
                <w:kern w:val="0"/>
              </w:rPr>
              <w:t>采用乳胶发泡技术一次成型，可反复使用。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kern w:val="0"/>
              </w:rPr>
              <w:t>1.4</w:t>
            </w:r>
            <w:r>
              <w:rPr>
                <w:rFonts w:hint="eastAsia"/>
                <w:kern w:val="0"/>
              </w:rPr>
              <w:t>配套有临床技能考试指导，具有</w:t>
            </w:r>
            <w:r>
              <w:rPr>
                <w:rFonts w:hint="eastAsia" w:ascii="等线" w:hAnsi="等线" w:cs="等线"/>
                <w:color w:val="000000"/>
                <w:kern w:val="0"/>
                <w:szCs w:val="21"/>
              </w:rPr>
              <w:t>详细的考试记录柱状图，包括评估与解释的分数、准备工作的分数、操作的分数、操作后处理的分数、终末质量的分数等</w:t>
            </w:r>
            <w:r>
              <w:rPr>
                <w:rFonts w:hint="eastAsia"/>
                <w:kern w:val="0"/>
              </w:rPr>
              <w:t>，</w:t>
            </w:r>
            <w:r>
              <w:rPr>
                <w:rFonts w:hint="eastAsia"/>
                <w:b/>
                <w:bCs/>
                <w:kern w:val="0"/>
                <w:highlight w:val="yellow"/>
              </w:rPr>
              <w:t>针对上述全部功能提供产品该功能界面照片证明该功能。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2.</w:t>
            </w:r>
            <w:r>
              <w:rPr>
                <w:rFonts w:hint="eastAsia"/>
                <w:b/>
                <w:kern w:val="0"/>
              </w:rPr>
              <w:t>配置要求</w:t>
            </w:r>
          </w:p>
          <w:p>
            <w:pPr>
              <w:numPr>
                <w:numId w:val="0"/>
              </w:numPr>
              <w:ind w:leftChars="0"/>
              <w:jc w:val="both"/>
              <w:rPr>
                <w:rFonts w:hint="default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.1</w:t>
            </w:r>
            <w:r>
              <w:rPr>
                <w:rFonts w:hint="eastAsia"/>
                <w:bCs/>
                <w:kern w:val="0"/>
              </w:rPr>
              <w:t>表皮常见病变处理训练模块</w:t>
            </w:r>
            <w:r>
              <w:rPr>
                <w:rFonts w:hint="eastAsia"/>
                <w:bCs/>
                <w:kern w:val="0"/>
                <w:lang w:val="en-US" w:eastAsia="zh-CN"/>
              </w:rPr>
              <w:t xml:space="preserve"> 数量 </w:t>
            </w:r>
            <w:r>
              <w:rPr>
                <w:kern w:val="0"/>
              </w:rPr>
              <w:t>50</w:t>
            </w:r>
            <w:r>
              <w:rPr>
                <w:rFonts w:hint="eastAsia"/>
                <w:color w:val="333333"/>
                <w:shd w:val="clear" w:color="auto" w:fill="FFFFFF"/>
              </w:rPr>
              <w:t>块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restart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46" w:type="pct"/>
            <w:vMerge w:val="restart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0"/>
              </w:rPr>
              <w:t>皮脂腺囊肿切除术训练模块</w:t>
            </w: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kern w:val="0"/>
              </w:rPr>
              <w:t>1.1</w:t>
            </w:r>
            <w:r>
              <w:rPr>
                <w:rFonts w:hint="eastAsia"/>
                <w:kern w:val="0"/>
              </w:rPr>
              <w:t>模型皮肤柔韧有弹性，手感逼真，易清洗。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kern w:val="0"/>
              </w:rPr>
              <w:t>1.2</w:t>
            </w:r>
            <w:r>
              <w:rPr>
                <w:rFonts w:hint="eastAsia"/>
                <w:kern w:val="0"/>
              </w:rPr>
              <w:t>模型模拟真实皮脂腺囊肿，形状为圆形、有弹性，高出皮面，可推动。可按皮脂腺囊肿切除术的操作常规行消毒、铺巾、局麻、切开（沿着皮纹方向设计梭形皮肤切口）、剥离、摘除、缝合。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kern w:val="0"/>
              </w:rPr>
              <w:t>1.3</w:t>
            </w:r>
            <w:r>
              <w:rPr>
                <w:rFonts w:hint="eastAsia"/>
                <w:kern w:val="0"/>
              </w:rPr>
              <w:t>配套有临床技能考试指导，具有</w:t>
            </w:r>
            <w:r>
              <w:rPr>
                <w:rFonts w:hint="eastAsia" w:ascii="等线" w:hAnsi="等线" w:cs="等线"/>
                <w:color w:val="000000"/>
                <w:kern w:val="0"/>
                <w:szCs w:val="21"/>
              </w:rPr>
              <w:t>详细的考试记录柱状图，包括评估与解释的分数、准备工作的分数、操作的分数、操作后处理的分数、终末质量的分数等</w:t>
            </w:r>
            <w:r>
              <w:rPr>
                <w:rFonts w:hint="eastAsia"/>
                <w:kern w:val="0"/>
              </w:rPr>
              <w:t>，</w:t>
            </w:r>
            <w:r>
              <w:rPr>
                <w:rFonts w:hint="eastAsia"/>
                <w:b/>
                <w:bCs/>
                <w:kern w:val="0"/>
                <w:highlight w:val="yellow"/>
              </w:rPr>
              <w:t>针对上述全部功能提供产品该功能界面照片证明该功能。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2.</w:t>
            </w:r>
            <w:r>
              <w:rPr>
                <w:rFonts w:hint="eastAsia"/>
                <w:b/>
                <w:kern w:val="0"/>
              </w:rPr>
              <w:t>配置要求</w:t>
            </w:r>
            <w:r>
              <w:rPr>
                <w:rFonts w:hint="eastAsia"/>
                <w:b/>
                <w:kern w:val="0"/>
                <w:lang w:val="en-US" w:eastAsia="zh-CN"/>
              </w:rPr>
              <w:t xml:space="preserve"> </w:t>
            </w:r>
          </w:p>
          <w:p>
            <w:pPr>
              <w:numPr>
                <w:numId w:val="0"/>
              </w:numPr>
              <w:ind w:leftChars="0"/>
              <w:jc w:val="both"/>
              <w:rPr>
                <w:rFonts w:hint="default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.1</w:t>
            </w:r>
            <w:r>
              <w:rPr>
                <w:rFonts w:hint="eastAsia"/>
                <w:bCs/>
                <w:kern w:val="0"/>
              </w:rPr>
              <w:t>皮脂腺囊肿切除术训练模块</w:t>
            </w:r>
            <w:r>
              <w:rPr>
                <w:rFonts w:hint="eastAsia"/>
                <w:bCs/>
                <w:kern w:val="0"/>
                <w:lang w:val="en-US" w:eastAsia="zh-CN"/>
              </w:rPr>
              <w:t xml:space="preserve"> 数量 </w:t>
            </w:r>
            <w:r>
              <w:rPr>
                <w:kern w:val="0"/>
              </w:rPr>
              <w:t>50</w:t>
            </w:r>
            <w:r>
              <w:rPr>
                <w:rFonts w:hint="eastAsia"/>
                <w:color w:val="333333"/>
                <w:shd w:val="clear" w:color="auto" w:fill="FFFFFF"/>
              </w:rPr>
              <w:t>块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restart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46" w:type="pct"/>
            <w:vMerge w:val="restart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0"/>
              </w:rPr>
              <w:t>会阴侧切</w:t>
            </w:r>
            <w:r>
              <w:rPr>
                <w:b/>
                <w:bCs/>
                <w:kern w:val="0"/>
              </w:rPr>
              <w:t>+/</w:t>
            </w:r>
            <w:r>
              <w:rPr>
                <w:rFonts w:hint="eastAsia"/>
                <w:b/>
                <w:bCs/>
                <w:kern w:val="0"/>
              </w:rPr>
              <w:t>裂伤缝合术训练模块</w:t>
            </w: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kern w:val="0"/>
                <w:szCs w:val="21"/>
              </w:rPr>
              <w:t>1.1</w:t>
            </w:r>
            <w:r>
              <w:rPr>
                <w:rFonts w:hint="eastAsia"/>
                <w:kern w:val="0"/>
              </w:rPr>
              <w:t>由左侧、右侧、正中、无切口会阴4种模型组成，</w:t>
            </w:r>
            <w:r>
              <w:rPr>
                <w:rFonts w:hint="eastAsia"/>
                <w:b/>
                <w:bCs/>
                <w:kern w:val="0"/>
                <w:highlight w:val="yellow"/>
              </w:rPr>
              <w:t>需提供参数描述的模型具有左侧、右侧、正中、无切口四种状态的照片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1.2</w:t>
            </w:r>
            <w:r>
              <w:rPr>
                <w:rFonts w:hint="eastAsia"/>
                <w:kern w:val="0"/>
              </w:rPr>
              <w:t>模型由特殊材质做成，同一部位可反复进行缝合练习，针眼不明显；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1.3</w:t>
            </w:r>
            <w:r>
              <w:rPr>
                <w:rFonts w:hint="eastAsia"/>
                <w:kern w:val="0"/>
              </w:rPr>
              <w:t>可在任意部位自行切口进行缝合练习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szCs w:val="21"/>
              </w:rPr>
              <w:t xml:space="preserve">1.4 </w:t>
            </w:r>
            <w:r>
              <w:rPr>
                <w:rFonts w:hint="eastAsia"/>
                <w:kern w:val="0"/>
              </w:rPr>
              <w:t>外阴切开缝合：正中、偏左、偏右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1.5 </w:t>
            </w:r>
            <w:r>
              <w:rPr>
                <w:rFonts w:hint="eastAsia"/>
                <w:kern w:val="0"/>
              </w:rPr>
              <w:t>可练习拆线术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2.</w:t>
            </w:r>
            <w:r>
              <w:rPr>
                <w:rFonts w:hint="eastAsia"/>
                <w:b/>
                <w:kern w:val="0"/>
              </w:rPr>
              <w:t>配置要求</w:t>
            </w:r>
            <w:r>
              <w:rPr>
                <w:rFonts w:hint="eastAsia"/>
                <w:b/>
                <w:kern w:val="0"/>
                <w:lang w:val="en-US" w:eastAsia="zh-CN"/>
              </w:rPr>
              <w:t xml:space="preserve"> </w:t>
            </w:r>
          </w:p>
          <w:p>
            <w:pPr>
              <w:numPr>
                <w:numId w:val="0"/>
              </w:numPr>
              <w:ind w:leftChars="0"/>
              <w:jc w:val="both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.1</w:t>
            </w:r>
            <w:r>
              <w:rPr>
                <w:rFonts w:hint="eastAsia"/>
                <w:bCs/>
              </w:rPr>
              <w:t>会阴侧切</w:t>
            </w:r>
            <w:r>
              <w:rPr>
                <w:bCs/>
              </w:rPr>
              <w:t>+/</w:t>
            </w:r>
            <w:r>
              <w:rPr>
                <w:rFonts w:hint="eastAsia"/>
                <w:bCs/>
              </w:rPr>
              <w:t>裂伤缝合术训练模块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</w:rPr>
              <w:t>数量</w:t>
            </w:r>
            <w:r>
              <w:rPr>
                <w:rFonts w:hint="eastAsia"/>
                <w:kern w:val="0"/>
                <w:lang w:val="en-US" w:eastAsia="zh-CN"/>
              </w:rPr>
              <w:t xml:space="preserve"> </w:t>
            </w:r>
            <w:r>
              <w:rPr>
                <w:kern w:val="0"/>
              </w:rPr>
              <w:t>6</w:t>
            </w:r>
            <w:r>
              <w:rPr>
                <w:rFonts w:hint="eastAsia"/>
                <w:kern w:val="0"/>
              </w:rPr>
              <w:t>套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restart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46" w:type="pct"/>
            <w:vMerge w:val="restart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高级皮肤缝合练习模块</w:t>
            </w: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1.1</w:t>
            </w: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皮肤模块分层清晰，具有皮肤真实的组织张力；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1. 2</w:t>
            </w: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可多部位练习皮肤切开、缝合、打结、拆线等外科操作技能；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1. 3</w:t>
            </w: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显示至少3种以上不同的缝合切口，更方便学习和示教。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  <w:highlight w:val="yellow"/>
              </w:rPr>
              <w:t>需提供切开模块实物照片证明该功能。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2.</w:t>
            </w:r>
            <w:r>
              <w:rPr>
                <w:rFonts w:hint="eastAsia"/>
                <w:b/>
                <w:kern w:val="0"/>
              </w:rPr>
              <w:t>配置要求</w:t>
            </w:r>
          </w:p>
          <w:p>
            <w:pPr>
              <w:numPr>
                <w:numId w:val="0"/>
              </w:numPr>
              <w:ind w:leftChars="0"/>
              <w:jc w:val="both"/>
              <w:rPr>
                <w:rFonts w:hint="default" w:eastAsiaTheme="minorEastAsia"/>
                <w:b/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.1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高级皮肤缝合练习模块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数量 </w:t>
            </w:r>
            <w:r>
              <w:rPr>
                <w:kern w:val="0"/>
              </w:rPr>
              <w:t>50</w:t>
            </w:r>
            <w:r>
              <w:rPr>
                <w:rFonts w:hint="eastAsia"/>
                <w:kern w:val="0"/>
              </w:rPr>
              <w:t>块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restart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7</w:t>
            </w:r>
          </w:p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restart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动脉穿刺训练手臂</w:t>
            </w: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.1</w:t>
            </w: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模拟成人手臂的大小；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.2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手臂的</w:t>
            </w: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皮肤和血管可单独更换；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.3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手臂上</w:t>
            </w: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可触摸肱动脉和桡动脉搏动；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.4</w:t>
            </w: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动脉采血训练：正确穿刺后有明显的落空感和喷射感，且有模拟血液喷出。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646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pct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2.</w:t>
            </w:r>
            <w:r>
              <w:rPr>
                <w:rFonts w:hint="eastAsia"/>
                <w:b/>
                <w:kern w:val="0"/>
              </w:rPr>
              <w:t>配置要求</w:t>
            </w:r>
            <w:r>
              <w:rPr>
                <w:rFonts w:hint="eastAsia"/>
                <w:b/>
                <w:kern w:val="0"/>
                <w:lang w:val="en-US" w:eastAsia="zh-CN"/>
              </w:rPr>
              <w:t xml:space="preserve"> </w:t>
            </w:r>
          </w:p>
          <w:p>
            <w:pPr>
              <w:numPr>
                <w:numId w:val="0"/>
              </w:numPr>
              <w:ind w:leftChars="0"/>
              <w:jc w:val="both"/>
              <w:rPr>
                <w:rFonts w:hint="default" w:eastAsiaTheme="minorEastAsia"/>
                <w:b/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.1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动脉穿刺训练手臂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数量 </w:t>
            </w: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>个</w:t>
            </w:r>
          </w:p>
        </w:tc>
        <w:tc>
          <w:tcPr>
            <w:tcW w:w="1190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84" w:type="pct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1、偏离情况一栏请填入“正偏离/无偏离/负偏离”。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94796"/>
    <w:multiLevelType w:val="singleLevel"/>
    <w:tmpl w:val="0B29479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ZDE3OTQ4OTFmNGU5MmYzNzVlYzA4YjY4NzhhMTUifQ=="/>
  </w:docVars>
  <w:rsids>
    <w:rsidRoot w:val="001D255B"/>
    <w:rsid w:val="00106486"/>
    <w:rsid w:val="001D21D8"/>
    <w:rsid w:val="001D255B"/>
    <w:rsid w:val="001E140C"/>
    <w:rsid w:val="002C61CB"/>
    <w:rsid w:val="002F0631"/>
    <w:rsid w:val="00353A5B"/>
    <w:rsid w:val="003F106F"/>
    <w:rsid w:val="004D770A"/>
    <w:rsid w:val="00575565"/>
    <w:rsid w:val="005A22AE"/>
    <w:rsid w:val="005A4B7A"/>
    <w:rsid w:val="005C331D"/>
    <w:rsid w:val="006A5995"/>
    <w:rsid w:val="006B7460"/>
    <w:rsid w:val="00802815"/>
    <w:rsid w:val="009E3E4E"/>
    <w:rsid w:val="00A04F71"/>
    <w:rsid w:val="00B56652"/>
    <w:rsid w:val="00B6753F"/>
    <w:rsid w:val="00BF227F"/>
    <w:rsid w:val="00C84D24"/>
    <w:rsid w:val="00CB19DD"/>
    <w:rsid w:val="00D638A6"/>
    <w:rsid w:val="00D97DBD"/>
    <w:rsid w:val="00DA1D1D"/>
    <w:rsid w:val="00DF05C6"/>
    <w:rsid w:val="00F1569E"/>
    <w:rsid w:val="00F37692"/>
    <w:rsid w:val="00F42053"/>
    <w:rsid w:val="00F6679A"/>
    <w:rsid w:val="00FB3AC3"/>
    <w:rsid w:val="00FC216E"/>
    <w:rsid w:val="00FD1B85"/>
    <w:rsid w:val="05062C38"/>
    <w:rsid w:val="058A6084"/>
    <w:rsid w:val="05F7033F"/>
    <w:rsid w:val="0C3A7B38"/>
    <w:rsid w:val="0C6F1945"/>
    <w:rsid w:val="0E4D09B7"/>
    <w:rsid w:val="12B133F3"/>
    <w:rsid w:val="17D53469"/>
    <w:rsid w:val="304477AE"/>
    <w:rsid w:val="31FA3E49"/>
    <w:rsid w:val="324B7CBA"/>
    <w:rsid w:val="34CF499A"/>
    <w:rsid w:val="43165F50"/>
    <w:rsid w:val="4AD9649E"/>
    <w:rsid w:val="4BBC2BA9"/>
    <w:rsid w:val="5C321615"/>
    <w:rsid w:val="5E8C325E"/>
    <w:rsid w:val="639130C5"/>
    <w:rsid w:val="71A5190A"/>
    <w:rsid w:val="76764C90"/>
    <w:rsid w:val="7D16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4"/>
    <w:link w:val="12"/>
    <w:autoRedefine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1"/>
    <w:next w:val="1"/>
    <w:link w:val="13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标题 2 字符"/>
    <w:basedOn w:val="9"/>
    <w:link w:val="2"/>
    <w:autoRedefine/>
    <w:qFormat/>
    <w:uiPriority w:val="0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13">
    <w:name w:val="标题 3 字符"/>
    <w:basedOn w:val="9"/>
    <w:link w:val="3"/>
    <w:autoRedefine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4">
    <w:name w:val="标题 4 字符"/>
    <w:basedOn w:val="9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144</Words>
  <Characters>826</Characters>
  <Lines>6</Lines>
  <Paragraphs>1</Paragraphs>
  <TotalTime>0</TotalTime>
  <ScaleCrop>false</ScaleCrop>
  <LinksUpToDate>false</LinksUpToDate>
  <CharactersWithSpaces>969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2022-07-22T07:53:00Z</dcterms:created>
  <dc:creator>Chilan</dc:creator>
  <cp:lastModifiedBy>cgzx</cp:lastModifiedBy>
  <dcterms:modified xsi:type="dcterms:W3CDTF">2024-03-15T01:54:15Z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CC87498739914B2590D65FA0FFFEE469_12</vt:lpwstr>
  </property>
</Properties>
</file>