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0DAD" w14:textId="77777777" w:rsidR="002C61CB" w:rsidRPr="00DC2765" w:rsidRDefault="002C61CB" w:rsidP="002C61CB">
      <w:pPr>
        <w:jc w:val="left"/>
        <w:rPr>
          <w:sz w:val="24"/>
          <w:szCs w:val="24"/>
        </w:rPr>
      </w:pPr>
      <w:r>
        <w:rPr>
          <w:rFonts w:hint="eastAsia"/>
        </w:rPr>
        <w:t>附件二</w:t>
      </w:r>
      <w:r>
        <w:rPr>
          <w:rFonts w:hint="eastAsia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DC2765">
        <w:rPr>
          <w:sz w:val="24"/>
          <w:szCs w:val="24"/>
        </w:rPr>
        <w:t>(</w:t>
      </w:r>
      <w:r w:rsidR="00513985">
        <w:rPr>
          <w:rFonts w:hint="eastAsia"/>
          <w:sz w:val="24"/>
          <w:szCs w:val="24"/>
        </w:rPr>
        <w:t>所有条款为</w:t>
      </w:r>
      <w:r w:rsidRPr="00DC2765">
        <w:rPr>
          <w:rFonts w:hint="eastAsia"/>
          <w:sz w:val="24"/>
          <w:szCs w:val="24"/>
        </w:rPr>
        <w:t>不可负偏离条款，否则废标</w:t>
      </w:r>
      <w:r w:rsidRPr="00DC2765">
        <w:rPr>
          <w:sz w:val="24"/>
          <w:szCs w:val="24"/>
        </w:rPr>
        <w:t>)</w:t>
      </w:r>
      <w:r w:rsidRPr="00DC2765">
        <w:rPr>
          <w:rFonts w:hint="eastAsia"/>
          <w:sz w:val="24"/>
          <w:szCs w:val="24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91"/>
        <w:gridCol w:w="6753"/>
        <w:gridCol w:w="576"/>
        <w:gridCol w:w="576"/>
      </w:tblGrid>
      <w:tr w:rsidR="00554C94" w14:paraId="6117B78A" w14:textId="77777777" w:rsidTr="00A262F7">
        <w:trPr>
          <w:trHeight w:val="515"/>
        </w:trPr>
        <w:tc>
          <w:tcPr>
            <w:tcW w:w="236" w:type="pct"/>
            <w:vAlign w:val="center"/>
          </w:tcPr>
          <w:p w14:paraId="4D37A29A" w14:textId="77777777" w:rsidR="00554C94" w:rsidRDefault="00554C94" w:rsidP="004E604E">
            <w:r>
              <w:rPr>
                <w:rFonts w:hint="eastAsia"/>
              </w:rPr>
              <w:t>序号</w:t>
            </w:r>
          </w:p>
        </w:tc>
        <w:tc>
          <w:tcPr>
            <w:tcW w:w="3862" w:type="pct"/>
            <w:vAlign w:val="center"/>
          </w:tcPr>
          <w:p w14:paraId="6A65D86B" w14:textId="77777777" w:rsidR="00554C94" w:rsidRDefault="00554C94" w:rsidP="00D96E88">
            <w:pPr>
              <w:ind w:leftChars="100" w:left="210"/>
              <w:jc w:val="center"/>
            </w:pPr>
            <w:r>
              <w:rPr>
                <w:rFonts w:hint="eastAsia"/>
              </w:rPr>
              <w:t>招标技术条款</w:t>
            </w:r>
          </w:p>
        </w:tc>
        <w:tc>
          <w:tcPr>
            <w:tcW w:w="555" w:type="pct"/>
            <w:vAlign w:val="center"/>
          </w:tcPr>
          <w:p w14:paraId="602C5EFB" w14:textId="77777777" w:rsidR="00554C94" w:rsidRDefault="00554C94" w:rsidP="00D96E88">
            <w:pPr>
              <w:ind w:leftChars="100" w:left="210"/>
              <w:jc w:val="center"/>
            </w:pPr>
            <w:r>
              <w:rPr>
                <w:rFonts w:hint="eastAsia"/>
              </w:rPr>
              <w:t>投标技术条款</w:t>
            </w:r>
          </w:p>
        </w:tc>
        <w:tc>
          <w:tcPr>
            <w:tcW w:w="347" w:type="pct"/>
            <w:vAlign w:val="center"/>
          </w:tcPr>
          <w:p w14:paraId="2144A26B" w14:textId="77777777" w:rsidR="00554C94" w:rsidRDefault="00554C94" w:rsidP="00D96E88">
            <w:pPr>
              <w:ind w:leftChars="100" w:left="210"/>
              <w:jc w:val="center"/>
            </w:pPr>
            <w:r>
              <w:rPr>
                <w:rFonts w:hint="eastAsia"/>
              </w:rPr>
              <w:t>偏离情况</w:t>
            </w:r>
          </w:p>
        </w:tc>
      </w:tr>
      <w:tr w:rsidR="00554C94" w14:paraId="250F491B" w14:textId="77777777" w:rsidTr="00A262F7">
        <w:trPr>
          <w:trHeight w:val="39"/>
        </w:trPr>
        <w:tc>
          <w:tcPr>
            <w:tcW w:w="236" w:type="pct"/>
            <w:vAlign w:val="center"/>
          </w:tcPr>
          <w:p w14:paraId="65E90CB6" w14:textId="77777777" w:rsidR="00554C94" w:rsidRDefault="007C5FDD" w:rsidP="00F667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862" w:type="pct"/>
            <w:vAlign w:val="center"/>
          </w:tcPr>
          <w:p w14:paraId="468B8EB4" w14:textId="77777777" w:rsidR="00A262F7" w:rsidRDefault="00A262F7" w:rsidP="00A262F7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color w:val="333333"/>
                <w:sz w:val="24"/>
                <w:szCs w:val="24"/>
              </w:rPr>
            </w:pPr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对住院</w:t>
            </w:r>
            <w:proofErr w:type="gramStart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楼</w:t>
            </w:r>
            <w:proofErr w:type="gramEnd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楼顶冷却水管</w:t>
            </w:r>
            <w:proofErr w:type="gramStart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保温棉外的</w:t>
            </w:r>
            <w:proofErr w:type="gramEnd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原彩钢板保护</w:t>
            </w:r>
            <w:proofErr w:type="gramStart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套进行</w:t>
            </w:r>
            <w:proofErr w:type="gramEnd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拆除外运处置及更换新的直管弯管彩钢板保护套，主要包括东西走向的两条冷却水供回水主管（含保温棉及彩钢板保护套周长分别为2.3米和2.34米，长度分别都为45米）、两条冷却塔组</w:t>
            </w:r>
            <w:proofErr w:type="gramStart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间东西</w:t>
            </w:r>
            <w:proofErr w:type="gramEnd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走向的冷却水管（含保温棉及彩钢板保护套周长分别都为1.01米，长度分别都为6米），10条南北走向的冷却水管（含保温棉及彩钢板保护套周长分别都为1.26米，长度分别都为1.38米），具体如下图所示及以现场为准。</w:t>
            </w:r>
          </w:p>
          <w:p w14:paraId="72EE68C7" w14:textId="77777777" w:rsidR="00A262F7" w:rsidRDefault="00A262F7" w:rsidP="00A262F7">
            <w:pPr>
              <w:widowControl/>
              <w:shd w:val="clear" w:color="auto" w:fill="FFFFFF"/>
              <w:spacing w:line="360" w:lineRule="auto"/>
              <w:ind w:firstLineChars="200" w:firstLine="400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368EE2" wp14:editId="2B143FDB">
                  <wp:extent cx="4476750" cy="1454150"/>
                  <wp:effectExtent l="0" t="0" r="0" b="0"/>
                  <wp:docPr id="20054738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8998B51" w14:textId="55300E69" w:rsidR="00554C94" w:rsidRPr="00877FB7" w:rsidRDefault="00554C94" w:rsidP="00877FB7">
            <w:pPr>
              <w:widowControl/>
              <w:shd w:val="clear" w:color="auto" w:fill="FFFFFF"/>
              <w:spacing w:line="360" w:lineRule="auto"/>
              <w:jc w:val="left"/>
              <w:rPr>
                <w:b/>
                <w:szCs w:val="21"/>
              </w:rPr>
            </w:pPr>
          </w:p>
        </w:tc>
        <w:tc>
          <w:tcPr>
            <w:tcW w:w="555" w:type="pct"/>
          </w:tcPr>
          <w:p w14:paraId="75827D29" w14:textId="77777777" w:rsidR="00554C94" w:rsidRPr="00901EA0" w:rsidRDefault="00554C94" w:rsidP="00F6679A">
            <w:pPr>
              <w:jc w:val="center"/>
            </w:pPr>
          </w:p>
        </w:tc>
        <w:tc>
          <w:tcPr>
            <w:tcW w:w="347" w:type="pct"/>
          </w:tcPr>
          <w:p w14:paraId="2A088CD3" w14:textId="77777777" w:rsidR="00554C94" w:rsidRDefault="00554C94" w:rsidP="00F6679A">
            <w:pPr>
              <w:jc w:val="center"/>
            </w:pPr>
          </w:p>
        </w:tc>
      </w:tr>
      <w:tr w:rsidR="007C5FDD" w14:paraId="5D85FBDF" w14:textId="77777777" w:rsidTr="00A262F7">
        <w:trPr>
          <w:trHeight w:val="36"/>
        </w:trPr>
        <w:tc>
          <w:tcPr>
            <w:tcW w:w="236" w:type="pct"/>
            <w:vAlign w:val="center"/>
          </w:tcPr>
          <w:p w14:paraId="56744B1A" w14:textId="77777777" w:rsidR="007C5FDD" w:rsidRDefault="007C5FDD" w:rsidP="00F667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3862" w:type="pct"/>
            <w:vAlign w:val="center"/>
          </w:tcPr>
          <w:p w14:paraId="67C5BE14" w14:textId="77777777" w:rsidR="00A262F7" w:rsidRPr="00EB38DC" w:rsidRDefault="00A262F7" w:rsidP="00A262F7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color w:val="333333"/>
                <w:sz w:val="24"/>
                <w:szCs w:val="24"/>
              </w:rPr>
            </w:pPr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使用材料包括热镀锌基板且厚度为0.5mm的浅蓝</w:t>
            </w:r>
            <w:proofErr w:type="gramStart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色央企</w:t>
            </w:r>
            <w:proofErr w:type="gramEnd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鞍钢品牌彩钢板、涂层为HDP高耐久性聚酯、45°弯头套、三通等，确保安装工艺符合规范要求，美观，耐腐蚀，防止水渗入保温棉，每段彩钢板1米，每段搭接及环</w:t>
            </w:r>
            <w:proofErr w:type="gramStart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向塔接长度</w:t>
            </w:r>
            <w:proofErr w:type="gramEnd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不小于5cm，</w:t>
            </w:r>
            <w:proofErr w:type="gramStart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塔接一端</w:t>
            </w:r>
            <w:proofErr w:type="gramEnd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应压出</w:t>
            </w:r>
            <w:proofErr w:type="gramStart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凸</w:t>
            </w:r>
            <w:proofErr w:type="gramEnd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筋，环向接缝为水平线下45°位置，保护套除环活动缝外，应用抽</w:t>
            </w:r>
            <w:proofErr w:type="gramStart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蕊</w:t>
            </w:r>
            <w:proofErr w:type="gramEnd"/>
            <w:r w:rsidRPr="00EB38DC">
              <w:rPr>
                <w:rFonts w:ascii="宋体" w:hAnsi="宋体" w:cs="宋体" w:hint="eastAsia"/>
                <w:color w:val="333333"/>
                <w:sz w:val="24"/>
                <w:szCs w:val="24"/>
              </w:rPr>
              <w:t>铆钉固定，固定间距为20cm。</w:t>
            </w:r>
          </w:p>
          <w:p w14:paraId="46720A6C" w14:textId="2FA5C888" w:rsidR="007C5FDD" w:rsidRPr="00A262F7" w:rsidRDefault="007C5FDD" w:rsidP="00877FB7">
            <w:pPr>
              <w:spacing w:line="360" w:lineRule="auto"/>
              <w:jc w:val="left"/>
              <w:rPr>
                <w:b/>
                <w:szCs w:val="21"/>
              </w:rPr>
            </w:pPr>
          </w:p>
        </w:tc>
        <w:tc>
          <w:tcPr>
            <w:tcW w:w="555" w:type="pct"/>
          </w:tcPr>
          <w:p w14:paraId="2006B33E" w14:textId="77777777" w:rsidR="007C5FDD" w:rsidRDefault="007C5FDD" w:rsidP="00F6679A">
            <w:pPr>
              <w:jc w:val="center"/>
            </w:pPr>
          </w:p>
        </w:tc>
        <w:tc>
          <w:tcPr>
            <w:tcW w:w="347" w:type="pct"/>
          </w:tcPr>
          <w:p w14:paraId="3C171B7A" w14:textId="77777777" w:rsidR="007C5FDD" w:rsidRDefault="007C5FDD" w:rsidP="00F6679A">
            <w:pPr>
              <w:jc w:val="center"/>
            </w:pPr>
          </w:p>
        </w:tc>
      </w:tr>
    </w:tbl>
    <w:p w14:paraId="1B3B10D2" w14:textId="77777777" w:rsidR="00FC216E" w:rsidRPr="00A262F7" w:rsidRDefault="00FC216E" w:rsidP="00877FB7"/>
    <w:sectPr w:rsidR="00FC216E" w:rsidRPr="00A2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B382" w14:textId="77777777" w:rsidR="001379EE" w:rsidRDefault="001379EE" w:rsidP="00FC216E">
      <w:r>
        <w:separator/>
      </w:r>
    </w:p>
  </w:endnote>
  <w:endnote w:type="continuationSeparator" w:id="0">
    <w:p w14:paraId="28000B08" w14:textId="77777777" w:rsidR="001379EE" w:rsidRDefault="001379EE" w:rsidP="00FC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3988" w14:textId="77777777" w:rsidR="001379EE" w:rsidRDefault="001379EE" w:rsidP="00FC216E">
      <w:r>
        <w:separator/>
      </w:r>
    </w:p>
  </w:footnote>
  <w:footnote w:type="continuationSeparator" w:id="0">
    <w:p w14:paraId="3970C061" w14:textId="77777777" w:rsidR="001379EE" w:rsidRDefault="001379EE" w:rsidP="00FC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5B"/>
    <w:rsid w:val="000A6E20"/>
    <w:rsid w:val="001379EE"/>
    <w:rsid w:val="00180295"/>
    <w:rsid w:val="0018113F"/>
    <w:rsid w:val="001D255B"/>
    <w:rsid w:val="001E49A2"/>
    <w:rsid w:val="002C61CB"/>
    <w:rsid w:val="003F106F"/>
    <w:rsid w:val="004052AC"/>
    <w:rsid w:val="004D770A"/>
    <w:rsid w:val="004E604E"/>
    <w:rsid w:val="00513985"/>
    <w:rsid w:val="005313C6"/>
    <w:rsid w:val="00554C94"/>
    <w:rsid w:val="005A4B7A"/>
    <w:rsid w:val="007402B5"/>
    <w:rsid w:val="007C5FDD"/>
    <w:rsid w:val="00877FB7"/>
    <w:rsid w:val="00901EA0"/>
    <w:rsid w:val="00964E31"/>
    <w:rsid w:val="0097739D"/>
    <w:rsid w:val="00A04F71"/>
    <w:rsid w:val="00A262F7"/>
    <w:rsid w:val="00B96210"/>
    <w:rsid w:val="00BF227F"/>
    <w:rsid w:val="00C84D24"/>
    <w:rsid w:val="00CE75BA"/>
    <w:rsid w:val="00D97DBD"/>
    <w:rsid w:val="00DA1D1D"/>
    <w:rsid w:val="00E23A26"/>
    <w:rsid w:val="00F6679A"/>
    <w:rsid w:val="00FC216E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F62F9"/>
  <w15:chartTrackingRefBased/>
  <w15:docId w15:val="{35817D9E-5AF8-4761-9AEA-6EF65208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6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3"/>
    <w:next w:val="4"/>
    <w:link w:val="20"/>
    <w:qFormat/>
    <w:rsid w:val="00F6679A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1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16E"/>
    <w:rPr>
      <w:sz w:val="18"/>
      <w:szCs w:val="18"/>
    </w:rPr>
  </w:style>
  <w:style w:type="table" w:styleId="a7">
    <w:name w:val="Table Grid"/>
    <w:basedOn w:val="a1"/>
    <w:uiPriority w:val="59"/>
    <w:qFormat/>
    <w:rsid w:val="00FC21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F6679A"/>
    <w:rPr>
      <w:rFonts w:ascii="宋体" w:eastAsia="宋体" w:hAnsi="宋体" w:cs="Times New Roman"/>
      <w:b/>
      <w:kern w:val="0"/>
      <w:sz w:val="24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F6679A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79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Chilan</dc:creator>
  <cp:keywords/>
  <dc:description/>
  <cp:lastModifiedBy>囧 囧</cp:lastModifiedBy>
  <cp:revision>39</cp:revision>
  <dcterms:created xsi:type="dcterms:W3CDTF">2022-07-22T07:53:00Z</dcterms:created>
  <dcterms:modified xsi:type="dcterms:W3CDTF">2023-05-25T13:24:00Z</dcterms:modified>
</cp:coreProperties>
</file>