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8519A">
      <w:pPr>
        <w:jc w:val="left"/>
        <w:rPr>
          <w:sz w:val="24"/>
          <w:szCs w:val="24"/>
        </w:rPr>
      </w:pPr>
      <w:r>
        <w:rPr>
          <w:rFonts w:hint="eastAsia"/>
        </w:rPr>
        <w:t xml:space="preserve">附件二 </w:t>
      </w:r>
      <w:r>
        <w:rPr>
          <w:rFonts w:hint="eastAsia" w:ascii="宋体" w:hAnsi="宋体" w:cs="宋体"/>
          <w:color w:val="333333"/>
          <w:kern w:val="0"/>
          <w:sz w:val="24"/>
          <w:szCs w:val="24"/>
        </w:rPr>
        <w:t>技术条款偏离情况表</w:t>
      </w:r>
      <w:r>
        <w:rPr>
          <w:rFonts w:ascii="宋体" w:hAnsi="宋体" w:cs="宋体"/>
          <w:color w:val="333333"/>
          <w:kern w:val="0"/>
          <w:sz w:val="24"/>
          <w:szCs w:val="24"/>
        </w:rPr>
        <w:t xml:space="preserve"> </w:t>
      </w:r>
      <w:r>
        <w:rPr>
          <w:sz w:val="24"/>
          <w:szCs w:val="24"/>
        </w:rPr>
        <w:t>(</w:t>
      </w:r>
      <w:r>
        <w:rPr>
          <w:rFonts w:hint="eastAsia"/>
          <w:sz w:val="24"/>
          <w:szCs w:val="24"/>
        </w:rPr>
        <w:t>所有条款为不可负偏离条款，否则废标</w:t>
      </w:r>
      <w:r>
        <w:rPr>
          <w:sz w:val="24"/>
          <w:szCs w:val="24"/>
        </w:rPr>
        <w:t>)</w:t>
      </w:r>
      <w:r>
        <w:rPr>
          <w:rFonts w:hint="eastAsia"/>
          <w:sz w:val="24"/>
          <w:szCs w:val="24"/>
        </w:rPr>
        <w:t>。</w:t>
      </w:r>
    </w:p>
    <w:tbl>
      <w:tblPr>
        <w:tblStyle w:val="9"/>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7139"/>
        <w:gridCol w:w="511"/>
        <w:gridCol w:w="654"/>
      </w:tblGrid>
      <w:tr w14:paraId="576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 w:type="pct"/>
            <w:vAlign w:val="center"/>
          </w:tcPr>
          <w:p w14:paraId="29BC643B">
            <w:pPr>
              <w:rPr>
                <w:kern w:val="0"/>
                <w:sz w:val="20"/>
                <w:szCs w:val="20"/>
              </w:rPr>
            </w:pPr>
            <w:r>
              <w:rPr>
                <w:rFonts w:hint="eastAsia"/>
                <w:kern w:val="0"/>
                <w:sz w:val="20"/>
                <w:szCs w:val="20"/>
              </w:rPr>
              <w:t>序号</w:t>
            </w:r>
          </w:p>
        </w:tc>
        <w:tc>
          <w:tcPr>
            <w:tcW w:w="4119" w:type="pct"/>
            <w:vAlign w:val="center"/>
          </w:tcPr>
          <w:p w14:paraId="40522633">
            <w:pPr>
              <w:ind w:left="210" w:leftChars="100"/>
              <w:jc w:val="center"/>
              <w:rPr>
                <w:kern w:val="0"/>
                <w:sz w:val="20"/>
                <w:szCs w:val="20"/>
              </w:rPr>
            </w:pPr>
            <w:r>
              <w:rPr>
                <w:rFonts w:hint="eastAsia"/>
                <w:kern w:val="0"/>
                <w:sz w:val="20"/>
                <w:szCs w:val="20"/>
              </w:rPr>
              <w:t>招标技术条款</w:t>
            </w:r>
          </w:p>
        </w:tc>
        <w:tc>
          <w:tcPr>
            <w:tcW w:w="295" w:type="pct"/>
            <w:vAlign w:val="center"/>
          </w:tcPr>
          <w:p w14:paraId="535FE95F">
            <w:pPr>
              <w:ind w:left="210" w:leftChars="100"/>
              <w:jc w:val="center"/>
              <w:rPr>
                <w:kern w:val="0"/>
                <w:sz w:val="20"/>
                <w:szCs w:val="20"/>
              </w:rPr>
            </w:pPr>
            <w:r>
              <w:rPr>
                <w:rFonts w:hint="eastAsia"/>
                <w:kern w:val="0"/>
                <w:sz w:val="20"/>
                <w:szCs w:val="20"/>
              </w:rPr>
              <w:t>投标技术条款</w:t>
            </w:r>
          </w:p>
        </w:tc>
        <w:tc>
          <w:tcPr>
            <w:tcW w:w="377" w:type="pct"/>
            <w:vAlign w:val="center"/>
          </w:tcPr>
          <w:p w14:paraId="7C5457CD">
            <w:pPr>
              <w:ind w:left="210" w:leftChars="100"/>
              <w:jc w:val="center"/>
              <w:rPr>
                <w:kern w:val="0"/>
                <w:sz w:val="20"/>
                <w:szCs w:val="20"/>
              </w:rPr>
            </w:pPr>
            <w:r>
              <w:rPr>
                <w:rFonts w:hint="eastAsia"/>
                <w:kern w:val="0"/>
                <w:sz w:val="20"/>
                <w:szCs w:val="20"/>
              </w:rPr>
              <w:t>偏离情况</w:t>
            </w:r>
          </w:p>
        </w:tc>
      </w:tr>
      <w:tr w14:paraId="557E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07" w:type="pct"/>
            <w:vAlign w:val="center"/>
          </w:tcPr>
          <w:p w14:paraId="3A8F3577">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1</w:t>
            </w:r>
          </w:p>
        </w:tc>
        <w:tc>
          <w:tcPr>
            <w:tcW w:w="4119" w:type="pct"/>
            <w:vAlign w:val="center"/>
          </w:tcPr>
          <w:p w14:paraId="206D5948">
            <w:pPr>
              <w:rPr>
                <w:rFonts w:hint="eastAsia"/>
              </w:rPr>
            </w:pPr>
            <w:r>
              <w:rPr>
                <w:rFonts w:hint="eastAsia"/>
              </w:rPr>
              <w:t>(一)标准和规范</w:t>
            </w:r>
          </w:p>
          <w:p w14:paraId="4E542A55">
            <w:pPr>
              <w:rPr>
                <w:rFonts w:hint="eastAsia"/>
              </w:rPr>
            </w:pPr>
            <w:r>
              <w:rPr>
                <w:rFonts w:hint="eastAsia"/>
              </w:rPr>
              <w:t>应遵循的主要现行标准，但不仅限于下列标准的要求，所有设备都符合相应的标准、规范或法规的最新版本或其修正本的要求，除非另有特别外，合同期内有效的任何修正和补充都应包括在内。</w:t>
            </w:r>
          </w:p>
          <w:p w14:paraId="7B8B70CB">
            <w:pPr>
              <w:rPr>
                <w:rFonts w:hint="eastAsia"/>
              </w:rPr>
            </w:pPr>
            <w:r>
              <w:rPr>
                <w:rFonts w:hint="eastAsia"/>
                <w:lang w:val="en-US" w:eastAsia="zh-CN"/>
              </w:rPr>
              <w:t>1.</w:t>
            </w:r>
            <w:r>
              <w:rPr>
                <w:rFonts w:hint="eastAsia"/>
              </w:rPr>
              <w:t>《建筑结构检测技术标准》(GB/T 50344-2019)</w:t>
            </w:r>
          </w:p>
          <w:p w14:paraId="5FB1FD19">
            <w:pPr>
              <w:rPr>
                <w:rFonts w:hint="eastAsia"/>
              </w:rPr>
            </w:pPr>
            <w:r>
              <w:rPr>
                <w:rFonts w:hint="eastAsia"/>
                <w:lang w:val="en-US" w:eastAsia="zh-CN"/>
              </w:rPr>
              <w:t>2.</w:t>
            </w:r>
            <w:r>
              <w:rPr>
                <w:rFonts w:hint="eastAsia"/>
              </w:rPr>
              <w:t>《建筑变形测量规范》(JGJ 8-2016）</w:t>
            </w:r>
          </w:p>
          <w:p w14:paraId="3A3FB2CF">
            <w:pPr>
              <w:rPr>
                <w:rFonts w:hint="eastAsia"/>
              </w:rPr>
            </w:pPr>
            <w:r>
              <w:rPr>
                <w:rFonts w:hint="eastAsia"/>
                <w:lang w:val="en-US" w:eastAsia="zh-CN"/>
              </w:rPr>
              <w:t>3.</w:t>
            </w:r>
            <w:r>
              <w:rPr>
                <w:rFonts w:hint="eastAsia"/>
              </w:rPr>
              <w:t>《工程测量标准》(GB 50026-2020)</w:t>
            </w:r>
          </w:p>
          <w:p w14:paraId="125C6938">
            <w:pPr>
              <w:rPr>
                <w:rFonts w:hint="eastAsia"/>
              </w:rPr>
            </w:pPr>
            <w:r>
              <w:rPr>
                <w:rFonts w:hint="eastAsia"/>
                <w:lang w:val="en-US" w:eastAsia="zh-CN"/>
              </w:rPr>
              <w:t>4.</w:t>
            </w:r>
            <w:r>
              <w:rPr>
                <w:rFonts w:hint="eastAsia"/>
              </w:rPr>
              <w:t>《建筑钢结构焊接规程》应为JGJ81-91</w:t>
            </w:r>
          </w:p>
          <w:p w14:paraId="2774438B">
            <w:pPr>
              <w:rPr>
                <w:rFonts w:hint="eastAsia"/>
              </w:rPr>
            </w:pPr>
            <w:r>
              <w:rPr>
                <w:rFonts w:hint="eastAsia"/>
                <w:lang w:val="en-US" w:eastAsia="zh-CN"/>
              </w:rPr>
              <w:t>5.</w:t>
            </w:r>
            <w:r>
              <w:rPr>
                <w:rFonts w:hint="eastAsia"/>
              </w:rPr>
              <w:t>《户外广告设施钢结构技术规程》(CECS148:2003)</w:t>
            </w:r>
          </w:p>
          <w:p w14:paraId="6069D97F">
            <w:pPr>
              <w:rPr>
                <w:rFonts w:hint="eastAsia"/>
              </w:rPr>
            </w:pPr>
            <w:r>
              <w:rPr>
                <w:rFonts w:hint="eastAsia"/>
                <w:lang w:val="en-US" w:eastAsia="zh-CN"/>
              </w:rPr>
              <w:t>6.</w:t>
            </w:r>
            <w:r>
              <w:rPr>
                <w:rFonts w:hint="eastAsia"/>
              </w:rPr>
              <w:t>《钢结构工程施工质量验收标准》(GB 50205-2020)</w:t>
            </w:r>
          </w:p>
          <w:p w14:paraId="024CC8B2">
            <w:pPr>
              <w:rPr>
                <w:rFonts w:hint="eastAsia"/>
              </w:rPr>
            </w:pPr>
            <w:r>
              <w:rPr>
                <w:rFonts w:hint="eastAsia"/>
                <w:lang w:val="en-US" w:eastAsia="zh-CN"/>
              </w:rPr>
              <w:t>7.</w:t>
            </w:r>
            <w:r>
              <w:rPr>
                <w:rFonts w:hint="eastAsia"/>
              </w:rPr>
              <w:t>《钢结构设计标准》(GB 50017—2017)</w:t>
            </w:r>
          </w:p>
          <w:p w14:paraId="1C294A45">
            <w:pPr>
              <w:rPr>
                <w:rFonts w:hint="eastAsia"/>
              </w:rPr>
            </w:pPr>
            <w:r>
              <w:rPr>
                <w:rFonts w:hint="eastAsia"/>
                <w:lang w:val="en-US" w:eastAsia="zh-CN"/>
              </w:rPr>
              <w:t>8.</w:t>
            </w:r>
            <w:r>
              <w:rPr>
                <w:rFonts w:hint="eastAsia"/>
              </w:rPr>
              <w:t>《建筑结构荷载规范》(GB 50009-2012)</w:t>
            </w:r>
          </w:p>
          <w:p w14:paraId="2A0009F5">
            <w:pPr>
              <w:rPr>
                <w:rFonts w:hint="eastAsia"/>
              </w:rPr>
            </w:pPr>
            <w:r>
              <w:rPr>
                <w:rFonts w:hint="eastAsia"/>
                <w:lang w:val="en-US" w:eastAsia="zh-CN"/>
              </w:rPr>
              <w:t>9.</w:t>
            </w:r>
            <w:r>
              <w:rPr>
                <w:rFonts w:hint="eastAsia"/>
              </w:rPr>
              <w:t>《建筑抗震设计规范》(GB50011-2010(2016版))</w:t>
            </w:r>
          </w:p>
          <w:p w14:paraId="111DB3C2">
            <w:pPr>
              <w:rPr>
                <w:rFonts w:hint="eastAsia"/>
              </w:rPr>
            </w:pPr>
            <w:r>
              <w:rPr>
                <w:rFonts w:hint="eastAsia"/>
                <w:lang w:val="en-US" w:eastAsia="zh-CN"/>
              </w:rPr>
              <w:t>10.</w:t>
            </w:r>
            <w:r>
              <w:rPr>
                <w:rFonts w:hint="eastAsia"/>
              </w:rPr>
              <w:t>《建筑工程抗震设防分类标准》(GB 50223-2008)</w:t>
            </w:r>
          </w:p>
          <w:p w14:paraId="315A3E65">
            <w:pPr>
              <w:rPr>
                <w:rFonts w:hint="eastAsia"/>
              </w:rPr>
            </w:pPr>
            <w:r>
              <w:rPr>
                <w:rFonts w:hint="eastAsia"/>
                <w:lang w:val="en-US" w:eastAsia="zh-CN"/>
              </w:rPr>
              <w:t>11.</w:t>
            </w:r>
            <w:r>
              <w:rPr>
                <w:rFonts w:hint="eastAsia"/>
              </w:rPr>
              <w:t>DL/T 664-2016《带电设备红外诊断应用规范》</w:t>
            </w:r>
          </w:p>
          <w:p w14:paraId="674EF061">
            <w:pPr>
              <w:rPr>
                <w:rFonts w:hint="eastAsia"/>
              </w:rPr>
            </w:pPr>
            <w:r>
              <w:rPr>
                <w:rFonts w:hint="eastAsia"/>
                <w:lang w:val="en-US" w:eastAsia="zh-CN"/>
              </w:rPr>
              <w:t>12.</w:t>
            </w:r>
            <w:r>
              <w:rPr>
                <w:rFonts w:hint="eastAsia"/>
              </w:rPr>
              <w:t>SZDB/Z 139-2015《建筑电气防火检测技术规范》</w:t>
            </w:r>
          </w:p>
          <w:p w14:paraId="255CB6FE">
            <w:pPr>
              <w:rPr>
                <w:rFonts w:hint="eastAsia"/>
                <w:b w:val="0"/>
                <w:bCs/>
                <w:kern w:val="0"/>
                <w:sz w:val="20"/>
                <w:szCs w:val="21"/>
                <w:lang w:val="en-US" w:eastAsia="zh-CN"/>
              </w:rPr>
            </w:pPr>
            <w:r>
              <w:rPr>
                <w:rFonts w:hint="eastAsia"/>
                <w:lang w:val="en-US" w:eastAsia="zh-CN"/>
              </w:rPr>
              <w:t>13.</w:t>
            </w:r>
            <w:r>
              <w:rPr>
                <w:rFonts w:hint="eastAsia"/>
              </w:rPr>
              <w:t>GB 50303-2015《建筑电气工程施工质量验收规范》</w:t>
            </w:r>
          </w:p>
        </w:tc>
        <w:tc>
          <w:tcPr>
            <w:tcW w:w="295" w:type="pct"/>
          </w:tcPr>
          <w:p w14:paraId="7B61740B">
            <w:pPr>
              <w:jc w:val="center"/>
              <w:rPr>
                <w:kern w:val="0"/>
                <w:sz w:val="20"/>
                <w:szCs w:val="20"/>
              </w:rPr>
            </w:pPr>
          </w:p>
        </w:tc>
        <w:tc>
          <w:tcPr>
            <w:tcW w:w="377" w:type="pct"/>
          </w:tcPr>
          <w:p w14:paraId="4E6497BB">
            <w:pPr>
              <w:jc w:val="center"/>
              <w:rPr>
                <w:kern w:val="0"/>
                <w:sz w:val="20"/>
                <w:szCs w:val="20"/>
              </w:rPr>
            </w:pPr>
          </w:p>
        </w:tc>
      </w:tr>
      <w:tr w14:paraId="6D4C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07" w:type="pct"/>
            <w:vAlign w:val="center"/>
          </w:tcPr>
          <w:p w14:paraId="32E29429">
            <w:pPr>
              <w:spacing w:line="36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w:t>
            </w:r>
          </w:p>
        </w:tc>
        <w:tc>
          <w:tcPr>
            <w:tcW w:w="4119" w:type="pct"/>
            <w:vAlign w:val="center"/>
          </w:tcPr>
          <w:p w14:paraId="1AA5F9B9">
            <w:pPr>
              <w:rPr>
                <w:rFonts w:hint="eastAsia"/>
              </w:rPr>
            </w:pPr>
            <w:r>
              <w:rPr>
                <w:rFonts w:hint="eastAsia"/>
              </w:rPr>
              <w:t>（二）具体服务内容</w:t>
            </w:r>
          </w:p>
          <w:p w14:paraId="051771E4">
            <w:pPr>
              <w:rPr>
                <w:rFonts w:hint="eastAsia"/>
                <w:b w:val="0"/>
                <w:bCs/>
                <w:kern w:val="0"/>
                <w:sz w:val="20"/>
                <w:szCs w:val="21"/>
                <w:lang w:val="en-US" w:eastAsia="zh-CN"/>
              </w:rPr>
            </w:pPr>
          </w:p>
          <w:p w14:paraId="3082CCE6">
            <w:pPr>
              <w:rPr>
                <w:rFonts w:hint="default" w:eastAsia="宋体"/>
                <w:lang w:val="en-US" w:eastAsia="zh-CN"/>
              </w:rPr>
            </w:pPr>
            <w:r>
              <w:rPr>
                <w:rFonts w:hint="eastAsia"/>
                <w:lang w:val="en-US" w:eastAsia="zh-CN"/>
              </w:rPr>
              <w:t>具体服务内容详见下表：</w:t>
            </w:r>
          </w:p>
          <w:tbl>
            <w:tblPr>
              <w:tblStyle w:val="8"/>
              <w:tblW w:w="6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950"/>
              <w:gridCol w:w="2262"/>
              <w:gridCol w:w="1167"/>
              <w:gridCol w:w="967"/>
            </w:tblGrid>
            <w:tr w14:paraId="7277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1801740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50" w:type="dxa"/>
                  <w:tcBorders>
                    <w:top w:val="single" w:color="000000" w:sz="4" w:space="0"/>
                    <w:left w:val="nil"/>
                    <w:bottom w:val="single" w:color="000000" w:sz="4" w:space="0"/>
                    <w:right w:val="single" w:color="000000" w:sz="4" w:space="0"/>
                  </w:tcBorders>
                  <w:shd w:val="clear" w:color="000000" w:fill="C0C0C0"/>
                  <w:noWrap/>
                  <w:vAlign w:val="center"/>
                </w:tcPr>
                <w:p w14:paraId="3B8EC4E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现场图片</w:t>
                  </w:r>
                </w:p>
              </w:tc>
              <w:tc>
                <w:tcPr>
                  <w:tcW w:w="2262" w:type="dxa"/>
                  <w:tcBorders>
                    <w:top w:val="single" w:color="000000" w:sz="4" w:space="0"/>
                    <w:left w:val="nil"/>
                    <w:bottom w:val="single" w:color="000000" w:sz="4" w:space="0"/>
                    <w:right w:val="single" w:color="000000" w:sz="4" w:space="0"/>
                  </w:tcBorders>
                  <w:shd w:val="clear" w:color="000000" w:fill="C0C0C0"/>
                  <w:noWrap/>
                  <w:vAlign w:val="center"/>
                </w:tcPr>
                <w:p w14:paraId="6BC2661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167" w:type="dxa"/>
                  <w:tcBorders>
                    <w:top w:val="single" w:color="000000" w:sz="4" w:space="0"/>
                    <w:left w:val="nil"/>
                    <w:bottom w:val="single" w:color="000000" w:sz="4" w:space="0"/>
                    <w:right w:val="single" w:color="000000" w:sz="4" w:space="0"/>
                  </w:tcBorders>
                  <w:shd w:val="clear" w:color="000000" w:fill="C0C0C0"/>
                  <w:noWrap/>
                  <w:vAlign w:val="center"/>
                </w:tcPr>
                <w:p w14:paraId="06A2C28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t>
                  </w:r>
                </w:p>
              </w:tc>
              <w:tc>
                <w:tcPr>
                  <w:tcW w:w="967" w:type="dxa"/>
                  <w:tcBorders>
                    <w:top w:val="single" w:color="000000" w:sz="4" w:space="0"/>
                    <w:left w:val="nil"/>
                    <w:bottom w:val="single" w:color="000000" w:sz="4" w:space="0"/>
                    <w:right w:val="single" w:color="000000" w:sz="4" w:space="0"/>
                  </w:tcBorders>
                  <w:shd w:val="clear" w:color="000000" w:fill="C0C0C0"/>
                  <w:noWrap/>
                  <w:vAlign w:val="center"/>
                </w:tcPr>
                <w:p w14:paraId="074094C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制作时间</w:t>
                  </w:r>
                </w:p>
              </w:tc>
            </w:tr>
            <w:tr w14:paraId="2A88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426E86C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950" w:type="dxa"/>
                  <w:tcBorders>
                    <w:top w:val="nil"/>
                    <w:left w:val="nil"/>
                    <w:bottom w:val="single" w:color="000000" w:sz="4" w:space="0"/>
                    <w:right w:val="single" w:color="000000" w:sz="4" w:space="0"/>
                  </w:tcBorders>
                  <w:shd w:val="clear" w:color="auto" w:fill="auto"/>
                  <w:vAlign w:val="center"/>
                </w:tcPr>
                <w:p w14:paraId="18495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-694690</wp:posOffset>
                        </wp:positionV>
                        <wp:extent cx="762000" cy="1248410"/>
                        <wp:effectExtent l="0" t="0" r="0" b="8890"/>
                        <wp:wrapNone/>
                        <wp:docPr id="19" name="IM_6"/>
                        <wp:cNvGraphicFramePr/>
                        <a:graphic xmlns:a="http://schemas.openxmlformats.org/drawingml/2006/main">
                          <a:graphicData uri="http://schemas.openxmlformats.org/drawingml/2006/picture">
                            <pic:pic xmlns:pic="http://schemas.openxmlformats.org/drawingml/2006/picture">
                              <pic:nvPicPr>
                                <pic:cNvPr id="19" name="IM_6"/>
                                <pic:cNvPicPr/>
                              </pic:nvPicPr>
                              <pic:blipFill>
                                <a:blip r:embed="rId4"/>
                                <a:stretch>
                                  <a:fillRect/>
                                </a:stretch>
                              </pic:blipFill>
                              <pic:spPr>
                                <a:xfrm>
                                  <a:off x="0" y="0"/>
                                  <a:ext cx="762000" cy="1248410"/>
                                </a:xfrm>
                                <a:prstGeom prst="rect">
                                  <a:avLst/>
                                </a:prstGeom>
                                <a:noFill/>
                                <a:ln>
                                  <a:noFill/>
                                </a:ln>
                              </pic:spPr>
                            </pic:pic>
                          </a:graphicData>
                        </a:graphic>
                      </wp:anchor>
                    </w:drawing>
                  </w:r>
                  <w:bookmarkEnd w:id="0"/>
                </w:p>
              </w:tc>
              <w:tc>
                <w:tcPr>
                  <w:tcW w:w="2262" w:type="dxa"/>
                  <w:tcBorders>
                    <w:top w:val="nil"/>
                    <w:left w:val="nil"/>
                    <w:bottom w:val="single" w:color="000000" w:sz="4" w:space="0"/>
                    <w:right w:val="single" w:color="000000" w:sz="4" w:space="0"/>
                  </w:tcBorders>
                  <w:shd w:val="clear" w:color="auto" w:fill="auto"/>
                  <w:vAlign w:val="center"/>
                </w:tcPr>
                <w:p w14:paraId="5E405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健康管理中心”标识广告牌拆掉原有加固结构进行拆除和新建加固,对裸露在外的电源盒需加装电源箱。整改后受力构件的强度应力比，稳定应力比、长细比及抗风载能力满足正常使用的安全要求。(基本风压为0.75kN/m</w:t>
                  </w:r>
                  <w:r>
                    <w:rPr>
                      <w:rStyle w:val="17"/>
                      <w:rFonts w:hint="eastAsia" w:ascii="宋体" w:hAnsi="宋体" w:eastAsia="宋体" w:cs="宋体"/>
                      <w:lang w:val="en-US" w:eastAsia="zh-CN" w:bidi="ar"/>
                    </w:rPr>
                    <w:t>²</w:t>
                  </w:r>
                  <w:r>
                    <w:rPr>
                      <w:rStyle w:val="18"/>
                      <w:rFonts w:hint="eastAsia" w:ascii="宋体" w:hAnsi="宋体" w:eastAsia="宋体" w:cs="宋体"/>
                      <w:lang w:val="en-US" w:eastAsia="zh-CN" w:bidi="ar"/>
                    </w:rPr>
                    <w:t>)</w:t>
                  </w:r>
                </w:p>
              </w:tc>
              <w:tc>
                <w:tcPr>
                  <w:tcW w:w="1167" w:type="dxa"/>
                  <w:tcBorders>
                    <w:top w:val="nil"/>
                    <w:left w:val="nil"/>
                    <w:bottom w:val="single" w:color="000000" w:sz="4" w:space="0"/>
                    <w:right w:val="single" w:color="000000" w:sz="4" w:space="0"/>
                  </w:tcBorders>
                  <w:shd w:val="clear" w:color="auto" w:fill="auto"/>
                  <w:vAlign w:val="center"/>
                </w:tcPr>
                <w:p w14:paraId="1E351F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6200mm*1500mm</w:t>
                  </w:r>
                </w:p>
              </w:tc>
              <w:tc>
                <w:tcPr>
                  <w:tcW w:w="967" w:type="dxa"/>
                  <w:tcBorders>
                    <w:top w:val="nil"/>
                    <w:left w:val="nil"/>
                    <w:bottom w:val="single" w:color="000000" w:sz="4" w:space="0"/>
                    <w:right w:val="single" w:color="000000" w:sz="4" w:space="0"/>
                  </w:tcBorders>
                  <w:shd w:val="clear" w:color="auto" w:fill="auto"/>
                  <w:vAlign w:val="center"/>
                </w:tcPr>
                <w:p w14:paraId="7B2A52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w:t>
                  </w:r>
                </w:p>
              </w:tc>
            </w:tr>
            <w:tr w14:paraId="70ED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79A2522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50" w:type="dxa"/>
                  <w:tcBorders>
                    <w:top w:val="nil"/>
                    <w:left w:val="nil"/>
                    <w:bottom w:val="single" w:color="000000" w:sz="4" w:space="0"/>
                    <w:right w:val="single" w:color="000000" w:sz="4" w:space="0"/>
                  </w:tcBorders>
                  <w:shd w:val="clear" w:color="auto" w:fill="auto"/>
                  <w:vAlign w:val="center"/>
                </w:tcPr>
                <w:p w14:paraId="11252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95250</wp:posOffset>
                        </wp:positionV>
                        <wp:extent cx="1038225" cy="1171575"/>
                        <wp:effectExtent l="0" t="0" r="9525" b="9525"/>
                        <wp:wrapNone/>
                        <wp:docPr id="23" name="IM_28"/>
                        <wp:cNvGraphicFramePr/>
                        <a:graphic xmlns:a="http://schemas.openxmlformats.org/drawingml/2006/main">
                          <a:graphicData uri="http://schemas.openxmlformats.org/drawingml/2006/picture">
                            <pic:pic xmlns:pic="http://schemas.openxmlformats.org/drawingml/2006/picture">
                              <pic:nvPicPr>
                                <pic:cNvPr id="23" name="IM_28"/>
                                <pic:cNvPicPr/>
                              </pic:nvPicPr>
                              <pic:blipFill>
                                <a:blip r:embed="rId5"/>
                                <a:stretch>
                                  <a:fillRect/>
                                </a:stretch>
                              </pic:blipFill>
                              <pic:spPr>
                                <a:xfrm>
                                  <a:off x="0" y="0"/>
                                  <a:ext cx="1038225" cy="1171575"/>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51F61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十字LOG0广告牌电源控制箱未做防火封堵、箱体与箱门未安装接地跨接线，电源需重新焊接外架子升高并加装配电箱（防止雨天积水短路），整体拆装重新加固，电源连接线全部换成4平方（高空作业）。</w:t>
                  </w:r>
                </w:p>
              </w:tc>
              <w:tc>
                <w:tcPr>
                  <w:tcW w:w="1167" w:type="dxa"/>
                  <w:tcBorders>
                    <w:top w:val="nil"/>
                    <w:left w:val="nil"/>
                    <w:bottom w:val="single" w:color="000000" w:sz="4" w:space="0"/>
                    <w:right w:val="single" w:color="000000" w:sz="4" w:space="0"/>
                  </w:tcBorders>
                  <w:shd w:val="clear" w:color="auto" w:fill="auto"/>
                  <w:vAlign w:val="center"/>
                </w:tcPr>
                <w:p w14:paraId="59CB01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4600mm*4600mm</w:t>
                  </w:r>
                </w:p>
              </w:tc>
              <w:tc>
                <w:tcPr>
                  <w:tcW w:w="967" w:type="dxa"/>
                  <w:tcBorders>
                    <w:top w:val="nil"/>
                    <w:left w:val="nil"/>
                    <w:bottom w:val="single" w:color="000000" w:sz="4" w:space="0"/>
                    <w:right w:val="single" w:color="000000" w:sz="4" w:space="0"/>
                  </w:tcBorders>
                  <w:shd w:val="clear" w:color="auto" w:fill="auto"/>
                  <w:vAlign w:val="center"/>
                </w:tcPr>
                <w:p w14:paraId="375143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2018年5月前</w:t>
                  </w:r>
                </w:p>
              </w:tc>
            </w:tr>
            <w:tr w14:paraId="7923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10506B1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950" w:type="dxa"/>
                  <w:tcBorders>
                    <w:top w:val="nil"/>
                    <w:left w:val="nil"/>
                    <w:bottom w:val="single" w:color="000000" w:sz="4" w:space="0"/>
                    <w:right w:val="single" w:color="000000" w:sz="4" w:space="0"/>
                  </w:tcBorders>
                  <w:shd w:val="clear" w:color="auto" w:fill="auto"/>
                  <w:vAlign w:val="center"/>
                </w:tcPr>
                <w:p w14:paraId="4C6D7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180975</wp:posOffset>
                        </wp:positionV>
                        <wp:extent cx="1048385" cy="1057910"/>
                        <wp:effectExtent l="0" t="0" r="18415" b="8890"/>
                        <wp:wrapNone/>
                        <wp:docPr id="17" name="IM_34"/>
                        <wp:cNvGraphicFramePr/>
                        <a:graphic xmlns:a="http://schemas.openxmlformats.org/drawingml/2006/main">
                          <a:graphicData uri="http://schemas.openxmlformats.org/drawingml/2006/picture">
                            <pic:pic xmlns:pic="http://schemas.openxmlformats.org/drawingml/2006/picture">
                              <pic:nvPicPr>
                                <pic:cNvPr id="17" name="IM_34"/>
                                <pic:cNvPicPr/>
                              </pic:nvPicPr>
                              <pic:blipFill>
                                <a:blip r:embed="rId6"/>
                                <a:stretch>
                                  <a:fillRect/>
                                </a:stretch>
                              </pic:blipFill>
                              <pic:spPr>
                                <a:xfrm>
                                  <a:off x="0" y="0"/>
                                  <a:ext cx="1048385" cy="1057910"/>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13ED2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需维修问题及要求：“不忘初心、牢记使命”广告牌电源控制箱箱体与箱门未安装接地跨接线。</w:t>
                  </w:r>
                </w:p>
              </w:tc>
              <w:tc>
                <w:tcPr>
                  <w:tcW w:w="1167" w:type="dxa"/>
                  <w:tcBorders>
                    <w:top w:val="nil"/>
                    <w:left w:val="nil"/>
                    <w:bottom w:val="single" w:color="000000" w:sz="4" w:space="0"/>
                    <w:right w:val="single" w:color="000000" w:sz="4" w:space="0"/>
                  </w:tcBorders>
                  <w:shd w:val="clear" w:color="auto" w:fill="auto"/>
                  <w:vAlign w:val="center"/>
                </w:tcPr>
                <w:p w14:paraId="30EDDF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2000mm*2000mm*8</w:t>
                  </w:r>
                </w:p>
              </w:tc>
              <w:tc>
                <w:tcPr>
                  <w:tcW w:w="967" w:type="dxa"/>
                  <w:tcBorders>
                    <w:top w:val="nil"/>
                    <w:left w:val="nil"/>
                    <w:bottom w:val="single" w:color="000000" w:sz="4" w:space="0"/>
                    <w:right w:val="single" w:color="000000" w:sz="4" w:space="0"/>
                  </w:tcBorders>
                  <w:shd w:val="clear" w:color="auto" w:fill="auto"/>
                  <w:vAlign w:val="center"/>
                </w:tcPr>
                <w:p w14:paraId="418A51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w:t>
                  </w:r>
                </w:p>
              </w:tc>
            </w:tr>
            <w:tr w14:paraId="0F93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565304A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950" w:type="dxa"/>
                  <w:tcBorders>
                    <w:top w:val="nil"/>
                    <w:left w:val="nil"/>
                    <w:bottom w:val="single" w:color="000000" w:sz="4" w:space="0"/>
                    <w:right w:val="single" w:color="000000" w:sz="4" w:space="0"/>
                  </w:tcBorders>
                  <w:shd w:val="clear" w:color="auto" w:fill="auto"/>
                  <w:vAlign w:val="center"/>
                </w:tcPr>
                <w:p w14:paraId="52E77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95250</wp:posOffset>
                        </wp:positionV>
                        <wp:extent cx="1038860" cy="1104900"/>
                        <wp:effectExtent l="0" t="0" r="8890" b="0"/>
                        <wp:wrapNone/>
                        <wp:docPr id="15" name="IM_36"/>
                        <wp:cNvGraphicFramePr/>
                        <a:graphic xmlns:a="http://schemas.openxmlformats.org/drawingml/2006/main">
                          <a:graphicData uri="http://schemas.openxmlformats.org/drawingml/2006/picture">
                            <pic:pic xmlns:pic="http://schemas.openxmlformats.org/drawingml/2006/picture">
                              <pic:nvPicPr>
                                <pic:cNvPr id="15" name="IM_36"/>
                                <pic:cNvPicPr/>
                              </pic:nvPicPr>
                              <pic:blipFill>
                                <a:blip r:embed="rId7"/>
                                <a:stretch>
                                  <a:fillRect/>
                                </a:stretch>
                              </pic:blipFill>
                              <pic:spPr>
                                <a:xfrm>
                                  <a:off x="0" y="0"/>
                                  <a:ext cx="1038860" cy="1104900"/>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3AB53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需维修问题及要求：树中大情怀、建世界名院广告牌电源控制箱安装在无法操作处。</w:t>
                  </w:r>
                </w:p>
              </w:tc>
              <w:tc>
                <w:tcPr>
                  <w:tcW w:w="1167" w:type="dxa"/>
                  <w:tcBorders>
                    <w:top w:val="nil"/>
                    <w:left w:val="nil"/>
                    <w:bottom w:val="single" w:color="000000" w:sz="4" w:space="0"/>
                    <w:right w:val="single" w:color="000000" w:sz="4" w:space="0"/>
                  </w:tcBorders>
                  <w:shd w:val="clear" w:color="auto" w:fill="auto"/>
                  <w:vAlign w:val="center"/>
                </w:tcPr>
                <w:p w14:paraId="097D86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立体字：2000mm*2000mm*10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院徽LOGO：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2260*2500mm</w:t>
                  </w:r>
                </w:p>
              </w:tc>
              <w:tc>
                <w:tcPr>
                  <w:tcW w:w="967" w:type="dxa"/>
                  <w:tcBorders>
                    <w:top w:val="nil"/>
                    <w:left w:val="nil"/>
                    <w:bottom w:val="single" w:color="000000" w:sz="4" w:space="0"/>
                    <w:right w:val="single" w:color="000000" w:sz="4" w:space="0"/>
                  </w:tcBorders>
                  <w:shd w:val="clear" w:color="auto" w:fill="auto"/>
                  <w:vAlign w:val="center"/>
                </w:tcPr>
                <w:p w14:paraId="4E7BA1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2021年6月</w:t>
                  </w:r>
                </w:p>
              </w:tc>
            </w:tr>
            <w:tr w14:paraId="7307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450E62A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950" w:type="dxa"/>
                  <w:tcBorders>
                    <w:top w:val="nil"/>
                    <w:left w:val="nil"/>
                    <w:bottom w:val="single" w:color="000000" w:sz="4" w:space="0"/>
                    <w:right w:val="single" w:color="000000" w:sz="4" w:space="0"/>
                  </w:tcBorders>
                  <w:shd w:val="clear" w:color="auto" w:fill="auto"/>
                  <w:vAlign w:val="center"/>
                </w:tcPr>
                <w:p w14:paraId="2B9C8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123825</wp:posOffset>
                        </wp:positionV>
                        <wp:extent cx="971550" cy="800735"/>
                        <wp:effectExtent l="0" t="0" r="0" b="18415"/>
                        <wp:wrapNone/>
                        <wp:docPr id="25" name="IM_18"/>
                        <wp:cNvGraphicFramePr/>
                        <a:graphic xmlns:a="http://schemas.openxmlformats.org/drawingml/2006/main">
                          <a:graphicData uri="http://schemas.openxmlformats.org/drawingml/2006/picture">
                            <pic:pic xmlns:pic="http://schemas.openxmlformats.org/drawingml/2006/picture">
                              <pic:nvPicPr>
                                <pic:cNvPr id="25" name="IM_18"/>
                                <pic:cNvPicPr/>
                              </pic:nvPicPr>
                              <pic:blipFill>
                                <a:blip r:embed="rId8"/>
                                <a:stretch>
                                  <a:fillRect/>
                                </a:stretch>
                              </pic:blipFill>
                              <pic:spPr>
                                <a:xfrm>
                                  <a:off x="0" y="0"/>
                                  <a:ext cx="971550" cy="80073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1028700</wp:posOffset>
                        </wp:positionV>
                        <wp:extent cx="819150" cy="740410"/>
                        <wp:effectExtent l="0" t="0" r="0" b="2540"/>
                        <wp:wrapNone/>
                        <wp:docPr id="24" name="IM_32"/>
                        <wp:cNvGraphicFramePr/>
                        <a:graphic xmlns:a="http://schemas.openxmlformats.org/drawingml/2006/main">
                          <a:graphicData uri="http://schemas.openxmlformats.org/drawingml/2006/picture">
                            <pic:pic xmlns:pic="http://schemas.openxmlformats.org/drawingml/2006/picture">
                              <pic:nvPicPr>
                                <pic:cNvPr id="24" name="IM_32"/>
                                <pic:cNvPicPr/>
                              </pic:nvPicPr>
                              <pic:blipFill>
                                <a:blip r:embed="rId9"/>
                                <a:stretch>
                                  <a:fillRect/>
                                </a:stretch>
                              </pic:blipFill>
                              <pic:spPr>
                                <a:xfrm>
                                  <a:off x="0" y="0"/>
                                  <a:ext cx="819150" cy="740410"/>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66278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需维修问题及要求：门诊、急诊广告牌电源控制箱箱体未做保护接地线、电气设备安装在木板上、接地跨接线压接不良。</w:t>
                  </w:r>
                </w:p>
              </w:tc>
              <w:tc>
                <w:tcPr>
                  <w:tcW w:w="1167" w:type="dxa"/>
                  <w:tcBorders>
                    <w:top w:val="nil"/>
                    <w:left w:val="nil"/>
                    <w:bottom w:val="single" w:color="000000" w:sz="4" w:space="0"/>
                    <w:right w:val="single" w:color="000000" w:sz="4" w:space="0"/>
                  </w:tcBorders>
                  <w:shd w:val="clear" w:color="auto" w:fill="auto"/>
                  <w:vAlign w:val="center"/>
                </w:tcPr>
                <w:p w14:paraId="2A1701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急诊：高6000mm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门诊：4850*2300mm</w:t>
                  </w:r>
                </w:p>
              </w:tc>
              <w:tc>
                <w:tcPr>
                  <w:tcW w:w="967" w:type="dxa"/>
                  <w:tcBorders>
                    <w:top w:val="nil"/>
                    <w:left w:val="nil"/>
                    <w:bottom w:val="single" w:color="000000" w:sz="4" w:space="0"/>
                    <w:right w:val="single" w:color="000000" w:sz="4" w:space="0"/>
                  </w:tcBorders>
                  <w:shd w:val="clear" w:color="auto" w:fill="auto"/>
                  <w:vAlign w:val="center"/>
                </w:tcPr>
                <w:p w14:paraId="79F335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2018年5月前</w:t>
                  </w:r>
                </w:p>
              </w:tc>
            </w:tr>
            <w:tr w14:paraId="7C1A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0030986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950" w:type="dxa"/>
                  <w:tcBorders>
                    <w:top w:val="nil"/>
                    <w:left w:val="nil"/>
                    <w:bottom w:val="single" w:color="000000" w:sz="4" w:space="0"/>
                    <w:right w:val="single" w:color="000000" w:sz="4" w:space="0"/>
                  </w:tcBorders>
                  <w:shd w:val="clear" w:color="auto" w:fill="auto"/>
                  <w:vAlign w:val="center"/>
                </w:tcPr>
                <w:p w14:paraId="0F8B7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142875</wp:posOffset>
                        </wp:positionV>
                        <wp:extent cx="1029335" cy="1270635"/>
                        <wp:effectExtent l="0" t="0" r="18415" b="5715"/>
                        <wp:wrapNone/>
                        <wp:docPr id="18" name="Picture_595"/>
                        <wp:cNvGraphicFramePr/>
                        <a:graphic xmlns:a="http://schemas.openxmlformats.org/drawingml/2006/main">
                          <a:graphicData uri="http://schemas.openxmlformats.org/drawingml/2006/picture">
                            <pic:pic xmlns:pic="http://schemas.openxmlformats.org/drawingml/2006/picture">
                              <pic:nvPicPr>
                                <pic:cNvPr id="18" name="Picture_595"/>
                                <pic:cNvPicPr/>
                              </pic:nvPicPr>
                              <pic:blipFill>
                                <a:blip r:embed="rId10"/>
                                <a:stretch>
                                  <a:fillRect/>
                                </a:stretch>
                              </pic:blipFill>
                              <pic:spPr>
                                <a:xfrm>
                                  <a:off x="0" y="0"/>
                                  <a:ext cx="1029335" cy="1270635"/>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75899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需维修问题及要求：健康管理中心广告牌电源控制箱箱内进水、电线裸露、电气设备安装在木板上、保护接地线压接不良、箱体与箱门未安装接地跨接线，对裸露在外的电源盒需加装电源箱。</w:t>
                  </w:r>
                </w:p>
              </w:tc>
              <w:tc>
                <w:tcPr>
                  <w:tcW w:w="1167" w:type="dxa"/>
                  <w:tcBorders>
                    <w:top w:val="nil"/>
                    <w:left w:val="nil"/>
                    <w:bottom w:val="single" w:color="000000" w:sz="4" w:space="0"/>
                    <w:right w:val="single" w:color="000000" w:sz="4" w:space="0"/>
                  </w:tcBorders>
                  <w:shd w:val="clear" w:color="auto" w:fill="auto"/>
                  <w:vAlign w:val="center"/>
                </w:tcPr>
                <w:p w14:paraId="15B08B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6200mm*1500mm</w:t>
                  </w:r>
                </w:p>
              </w:tc>
              <w:tc>
                <w:tcPr>
                  <w:tcW w:w="967" w:type="dxa"/>
                  <w:tcBorders>
                    <w:top w:val="nil"/>
                    <w:left w:val="nil"/>
                    <w:bottom w:val="single" w:color="000000" w:sz="4" w:space="0"/>
                    <w:right w:val="single" w:color="000000" w:sz="4" w:space="0"/>
                  </w:tcBorders>
                  <w:shd w:val="clear" w:color="auto" w:fill="auto"/>
                  <w:vAlign w:val="center"/>
                </w:tcPr>
                <w:p w14:paraId="6F06DA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w:t>
                  </w:r>
                </w:p>
              </w:tc>
            </w:tr>
            <w:tr w14:paraId="0E43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5788499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950" w:type="dxa"/>
                  <w:tcBorders>
                    <w:top w:val="nil"/>
                    <w:left w:val="nil"/>
                    <w:bottom w:val="single" w:color="000000" w:sz="4" w:space="0"/>
                    <w:right w:val="single" w:color="000000" w:sz="4" w:space="0"/>
                  </w:tcBorders>
                  <w:shd w:val="clear" w:color="auto" w:fill="auto"/>
                  <w:vAlign w:val="center"/>
                </w:tcPr>
                <w:p w14:paraId="35537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180975</wp:posOffset>
                        </wp:positionV>
                        <wp:extent cx="781050" cy="1448435"/>
                        <wp:effectExtent l="0" t="0" r="0" b="18415"/>
                        <wp:wrapNone/>
                        <wp:docPr id="20" name="IM_4"/>
                        <wp:cNvGraphicFramePr/>
                        <a:graphic xmlns:a="http://schemas.openxmlformats.org/drawingml/2006/main">
                          <a:graphicData uri="http://schemas.openxmlformats.org/drawingml/2006/picture">
                            <pic:pic xmlns:pic="http://schemas.openxmlformats.org/drawingml/2006/picture">
                              <pic:nvPicPr>
                                <pic:cNvPr id="20" name="IM_4"/>
                                <pic:cNvPicPr/>
                              </pic:nvPicPr>
                              <pic:blipFill>
                                <a:blip r:embed="rId11"/>
                                <a:stretch>
                                  <a:fillRect/>
                                </a:stretch>
                              </pic:blipFill>
                              <pic:spPr>
                                <a:xfrm>
                                  <a:off x="0" y="0"/>
                                  <a:ext cx="781050" cy="1448435"/>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3F0DF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需维修问题及要求：保健康复门诊广告牌电源控制箱未安装保护接地线、箱体与箱门未安装接地跨接线，对裸露在外的电源盒需加装电源箱。</w:t>
                  </w:r>
                </w:p>
              </w:tc>
              <w:tc>
                <w:tcPr>
                  <w:tcW w:w="1167" w:type="dxa"/>
                  <w:tcBorders>
                    <w:top w:val="nil"/>
                    <w:left w:val="nil"/>
                    <w:bottom w:val="single" w:color="000000" w:sz="4" w:space="0"/>
                    <w:right w:val="single" w:color="000000" w:sz="4" w:space="0"/>
                  </w:tcBorders>
                  <w:shd w:val="clear" w:color="auto" w:fill="auto"/>
                  <w:vAlign w:val="center"/>
                </w:tcPr>
                <w:p w14:paraId="50383A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2000*6500mm</w:t>
                  </w:r>
                </w:p>
              </w:tc>
              <w:tc>
                <w:tcPr>
                  <w:tcW w:w="967" w:type="dxa"/>
                  <w:tcBorders>
                    <w:top w:val="nil"/>
                    <w:left w:val="nil"/>
                    <w:bottom w:val="single" w:color="000000" w:sz="4" w:space="0"/>
                    <w:right w:val="single" w:color="000000" w:sz="4" w:space="0"/>
                  </w:tcBorders>
                  <w:shd w:val="clear" w:color="auto" w:fill="auto"/>
                  <w:vAlign w:val="center"/>
                </w:tcPr>
                <w:p w14:paraId="7D321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59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44E82C0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950" w:type="dxa"/>
                  <w:tcBorders>
                    <w:top w:val="nil"/>
                    <w:left w:val="nil"/>
                    <w:bottom w:val="single" w:color="000000" w:sz="4" w:space="0"/>
                    <w:right w:val="single" w:color="000000" w:sz="4" w:space="0"/>
                  </w:tcBorders>
                  <w:shd w:val="clear" w:color="auto" w:fill="auto"/>
                  <w:vAlign w:val="center"/>
                </w:tcPr>
                <w:p w14:paraId="34FCB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133350</wp:posOffset>
                        </wp:positionV>
                        <wp:extent cx="1076960" cy="1139825"/>
                        <wp:effectExtent l="0" t="0" r="8890" b="3175"/>
                        <wp:wrapNone/>
                        <wp:docPr id="14" name="IM_8"/>
                        <wp:cNvGraphicFramePr/>
                        <a:graphic xmlns:a="http://schemas.openxmlformats.org/drawingml/2006/main">
                          <a:graphicData uri="http://schemas.openxmlformats.org/drawingml/2006/picture">
                            <pic:pic xmlns:pic="http://schemas.openxmlformats.org/drawingml/2006/picture">
                              <pic:nvPicPr>
                                <pic:cNvPr id="14" name="IM_8"/>
                                <pic:cNvPicPr/>
                              </pic:nvPicPr>
                              <pic:blipFill>
                                <a:blip r:embed="rId12"/>
                                <a:stretch>
                                  <a:fillRect/>
                                </a:stretch>
                              </pic:blipFill>
                              <pic:spPr>
                                <a:xfrm>
                                  <a:off x="0" y="0"/>
                                  <a:ext cx="1076960" cy="1139825"/>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760A7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需维修问题及要求：中山大学附属第七医院(深圳)广告牌电源控制箱左箱门与箱体未安装接地跨接线、总断路器损坏。</w:t>
                  </w:r>
                </w:p>
              </w:tc>
              <w:tc>
                <w:tcPr>
                  <w:tcW w:w="1167" w:type="dxa"/>
                  <w:tcBorders>
                    <w:top w:val="nil"/>
                    <w:left w:val="nil"/>
                    <w:bottom w:val="single" w:color="000000" w:sz="4" w:space="0"/>
                    <w:right w:val="single" w:color="000000" w:sz="4" w:space="0"/>
                  </w:tcBorders>
                  <w:shd w:val="clear" w:color="auto" w:fill="auto"/>
                  <w:vAlign w:val="center"/>
                </w:tcPr>
                <w:p w14:paraId="3DB500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38300*6000mm</w:t>
                  </w:r>
                </w:p>
              </w:tc>
              <w:tc>
                <w:tcPr>
                  <w:tcW w:w="967" w:type="dxa"/>
                  <w:tcBorders>
                    <w:top w:val="nil"/>
                    <w:left w:val="nil"/>
                    <w:bottom w:val="single" w:color="000000" w:sz="4" w:space="0"/>
                    <w:right w:val="single" w:color="000000" w:sz="4" w:space="0"/>
                  </w:tcBorders>
                  <w:shd w:val="clear" w:color="auto" w:fill="auto"/>
                  <w:vAlign w:val="center"/>
                </w:tcPr>
                <w:p w14:paraId="168E0E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w:t>
                  </w:r>
                </w:p>
              </w:tc>
            </w:tr>
            <w:tr w14:paraId="63FE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2CCAB49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950" w:type="dxa"/>
                  <w:tcBorders>
                    <w:top w:val="nil"/>
                    <w:left w:val="nil"/>
                    <w:bottom w:val="single" w:color="000000" w:sz="4" w:space="0"/>
                    <w:right w:val="single" w:color="000000" w:sz="4" w:space="0"/>
                  </w:tcBorders>
                  <w:shd w:val="clear" w:color="auto" w:fill="auto"/>
                  <w:vAlign w:val="center"/>
                </w:tcPr>
                <w:p w14:paraId="2604D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142875</wp:posOffset>
                        </wp:positionV>
                        <wp:extent cx="810895" cy="923925"/>
                        <wp:effectExtent l="0" t="0" r="8255" b="9525"/>
                        <wp:wrapNone/>
                        <wp:docPr id="16" name="IM_12"/>
                        <wp:cNvGraphicFramePr/>
                        <a:graphic xmlns:a="http://schemas.openxmlformats.org/drawingml/2006/main">
                          <a:graphicData uri="http://schemas.openxmlformats.org/drawingml/2006/picture">
                            <pic:pic xmlns:pic="http://schemas.openxmlformats.org/drawingml/2006/picture">
                              <pic:nvPicPr>
                                <pic:cNvPr id="16" name="IM_12"/>
                                <pic:cNvPicPr/>
                              </pic:nvPicPr>
                              <pic:blipFill>
                                <a:blip r:embed="rId13"/>
                                <a:stretch>
                                  <a:fillRect/>
                                </a:stretch>
                              </pic:blipFill>
                              <pic:spPr>
                                <a:xfrm>
                                  <a:off x="0" y="0"/>
                                  <a:ext cx="810895" cy="923925"/>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0CD0D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需维修问题及要求：住院楼背面主标识广告牌电源控制箱箱体与左侧箱门未安装接地跨接线、右侧箱门接地跨接线松动，对裸露在外的电源盒需加装电源箱。</w:t>
                  </w:r>
                </w:p>
              </w:tc>
              <w:tc>
                <w:tcPr>
                  <w:tcW w:w="1167" w:type="dxa"/>
                  <w:tcBorders>
                    <w:top w:val="nil"/>
                    <w:left w:val="nil"/>
                    <w:bottom w:val="single" w:color="000000" w:sz="4" w:space="0"/>
                    <w:right w:val="single" w:color="000000" w:sz="4" w:space="0"/>
                  </w:tcBorders>
                  <w:shd w:val="clear" w:color="auto" w:fill="auto"/>
                  <w:vAlign w:val="center"/>
                </w:tcPr>
                <w:p w14:paraId="0E154D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38300*6000mm</w:t>
                  </w:r>
                </w:p>
              </w:tc>
              <w:tc>
                <w:tcPr>
                  <w:tcW w:w="967" w:type="dxa"/>
                  <w:tcBorders>
                    <w:top w:val="nil"/>
                    <w:left w:val="nil"/>
                    <w:bottom w:val="single" w:color="000000" w:sz="4" w:space="0"/>
                    <w:right w:val="single" w:color="000000" w:sz="4" w:space="0"/>
                  </w:tcBorders>
                  <w:shd w:val="clear" w:color="auto" w:fill="auto"/>
                  <w:vAlign w:val="center"/>
                </w:tcPr>
                <w:p w14:paraId="052B6E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w:t>
                  </w:r>
                </w:p>
              </w:tc>
            </w:tr>
            <w:tr w14:paraId="27C6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462FB92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950" w:type="dxa"/>
                  <w:tcBorders>
                    <w:top w:val="nil"/>
                    <w:left w:val="nil"/>
                    <w:bottom w:val="single" w:color="000000" w:sz="4" w:space="0"/>
                    <w:right w:val="single" w:color="000000" w:sz="4" w:space="0"/>
                  </w:tcBorders>
                  <w:shd w:val="clear" w:color="auto" w:fill="auto"/>
                  <w:vAlign w:val="center"/>
                </w:tcPr>
                <w:p w14:paraId="533D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56515</wp:posOffset>
                        </wp:positionV>
                        <wp:extent cx="801370" cy="725170"/>
                        <wp:effectExtent l="0" t="0" r="17780" b="17780"/>
                        <wp:wrapNone/>
                        <wp:docPr id="26" name="IM_26"/>
                        <wp:cNvGraphicFramePr/>
                        <a:graphic xmlns:a="http://schemas.openxmlformats.org/drawingml/2006/main">
                          <a:graphicData uri="http://schemas.openxmlformats.org/drawingml/2006/picture">
                            <pic:pic xmlns:pic="http://schemas.openxmlformats.org/drawingml/2006/picture">
                              <pic:nvPicPr>
                                <pic:cNvPr id="26" name="IM_26"/>
                                <pic:cNvPicPr/>
                              </pic:nvPicPr>
                              <pic:blipFill>
                                <a:blip r:embed="rId14"/>
                                <a:stretch>
                                  <a:fillRect/>
                                </a:stretch>
                              </pic:blipFill>
                              <pic:spPr>
                                <a:xfrm>
                                  <a:off x="0" y="0"/>
                                  <a:ext cx="801370" cy="725170"/>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258A9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需维修问题及要求：学术厅广告牌电源控制箱箱体与箱门未安装接地跨接线、电器设备安装在木板上。</w:t>
                  </w:r>
                </w:p>
              </w:tc>
              <w:tc>
                <w:tcPr>
                  <w:tcW w:w="1167" w:type="dxa"/>
                  <w:tcBorders>
                    <w:top w:val="nil"/>
                    <w:left w:val="nil"/>
                    <w:bottom w:val="single" w:color="000000" w:sz="4" w:space="0"/>
                    <w:right w:val="single" w:color="000000" w:sz="4" w:space="0"/>
                  </w:tcBorders>
                  <w:shd w:val="clear" w:color="auto" w:fill="auto"/>
                  <w:vAlign w:val="center"/>
                </w:tcPr>
                <w:p w14:paraId="61D242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4300mm*1800mm</w:t>
                  </w:r>
                </w:p>
              </w:tc>
              <w:tc>
                <w:tcPr>
                  <w:tcW w:w="967" w:type="dxa"/>
                  <w:tcBorders>
                    <w:top w:val="nil"/>
                    <w:left w:val="nil"/>
                    <w:bottom w:val="single" w:color="000000" w:sz="4" w:space="0"/>
                    <w:right w:val="single" w:color="000000" w:sz="4" w:space="0"/>
                  </w:tcBorders>
                  <w:shd w:val="clear" w:color="auto" w:fill="auto"/>
                  <w:vAlign w:val="center"/>
                </w:tcPr>
                <w:p w14:paraId="741156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2018年5月前</w:t>
                  </w:r>
                </w:p>
              </w:tc>
            </w:tr>
            <w:tr w14:paraId="3796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6DD1A18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950" w:type="dxa"/>
                  <w:tcBorders>
                    <w:top w:val="nil"/>
                    <w:left w:val="nil"/>
                    <w:bottom w:val="single" w:color="000000" w:sz="4" w:space="0"/>
                    <w:right w:val="single" w:color="000000" w:sz="4" w:space="0"/>
                  </w:tcBorders>
                  <w:shd w:val="clear" w:color="auto" w:fill="auto"/>
                  <w:vAlign w:val="center"/>
                </w:tcPr>
                <w:p w14:paraId="1EEB3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142240</wp:posOffset>
                        </wp:positionV>
                        <wp:extent cx="915035" cy="1057910"/>
                        <wp:effectExtent l="0" t="0" r="18415" b="8890"/>
                        <wp:wrapNone/>
                        <wp:docPr id="21" name="IM_20"/>
                        <wp:cNvGraphicFramePr/>
                        <a:graphic xmlns:a="http://schemas.openxmlformats.org/drawingml/2006/main">
                          <a:graphicData uri="http://schemas.openxmlformats.org/drawingml/2006/picture">
                            <pic:pic xmlns:pic="http://schemas.openxmlformats.org/drawingml/2006/picture">
                              <pic:nvPicPr>
                                <pic:cNvPr id="21" name="IM_20"/>
                                <pic:cNvPicPr/>
                              </pic:nvPicPr>
                              <pic:blipFill>
                                <a:blip r:embed="rId15"/>
                                <a:stretch>
                                  <a:fillRect/>
                                </a:stretch>
                              </pic:blipFill>
                              <pic:spPr>
                                <a:xfrm>
                                  <a:off x="0" y="0"/>
                                  <a:ext cx="915035" cy="1057910"/>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1D522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需维修问题及要求：行政楼广告牌电源控制箱接地跨接线松动、未安装保护接地线、电器设备安装在木板上，对裸露在外的电源盒需加装电源箱。</w:t>
                  </w:r>
                </w:p>
              </w:tc>
              <w:tc>
                <w:tcPr>
                  <w:tcW w:w="1167" w:type="dxa"/>
                  <w:tcBorders>
                    <w:top w:val="nil"/>
                    <w:left w:val="nil"/>
                    <w:bottom w:val="single" w:color="000000" w:sz="4" w:space="0"/>
                    <w:right w:val="single" w:color="000000" w:sz="4" w:space="0"/>
                  </w:tcBorders>
                  <w:shd w:val="clear" w:color="auto" w:fill="auto"/>
                  <w:vAlign w:val="center"/>
                </w:tcPr>
                <w:p w14:paraId="549965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3150mm*127000mm</w:t>
                  </w:r>
                </w:p>
              </w:tc>
              <w:tc>
                <w:tcPr>
                  <w:tcW w:w="967" w:type="dxa"/>
                  <w:tcBorders>
                    <w:top w:val="nil"/>
                    <w:left w:val="nil"/>
                    <w:bottom w:val="single" w:color="000000" w:sz="4" w:space="0"/>
                    <w:right w:val="single" w:color="000000" w:sz="4" w:space="0"/>
                  </w:tcBorders>
                  <w:shd w:val="clear" w:color="auto" w:fill="auto"/>
                  <w:vAlign w:val="center"/>
                </w:tcPr>
                <w:p w14:paraId="734D15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2018年5月前</w:t>
                  </w:r>
                </w:p>
              </w:tc>
            </w:tr>
            <w:tr w14:paraId="5E72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7164F50E">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950" w:type="dxa"/>
                  <w:tcBorders>
                    <w:top w:val="nil"/>
                    <w:left w:val="nil"/>
                    <w:bottom w:val="single" w:color="000000" w:sz="4" w:space="0"/>
                    <w:right w:val="single" w:color="000000" w:sz="4" w:space="0"/>
                  </w:tcBorders>
                  <w:shd w:val="clear" w:color="auto" w:fill="auto"/>
                  <w:vAlign w:val="center"/>
                </w:tcPr>
                <w:p w14:paraId="199F7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94615</wp:posOffset>
                        </wp:positionV>
                        <wp:extent cx="1019175" cy="886460"/>
                        <wp:effectExtent l="0" t="0" r="9525" b="8890"/>
                        <wp:wrapNone/>
                        <wp:docPr id="22" name="IM_30"/>
                        <wp:cNvGraphicFramePr/>
                        <a:graphic xmlns:a="http://schemas.openxmlformats.org/drawingml/2006/main">
                          <a:graphicData uri="http://schemas.openxmlformats.org/drawingml/2006/picture">
                            <pic:pic xmlns:pic="http://schemas.openxmlformats.org/drawingml/2006/picture">
                              <pic:nvPicPr>
                                <pic:cNvPr id="22" name="IM_30"/>
                                <pic:cNvPicPr/>
                              </pic:nvPicPr>
                              <pic:blipFill>
                                <a:blip r:embed="rId16"/>
                                <a:stretch>
                                  <a:fillRect/>
                                </a:stretch>
                              </pic:blipFill>
                              <pic:spPr>
                                <a:xfrm>
                                  <a:off x="0" y="0"/>
                                  <a:ext cx="1019175" cy="886460"/>
                                </a:xfrm>
                                <a:prstGeom prst="rect">
                                  <a:avLst/>
                                </a:prstGeom>
                                <a:noFill/>
                                <a:ln>
                                  <a:noFill/>
                                </a:ln>
                              </pic:spPr>
                            </pic:pic>
                          </a:graphicData>
                        </a:graphic>
                      </wp:anchor>
                    </w:drawing>
                  </w:r>
                </w:p>
              </w:tc>
              <w:tc>
                <w:tcPr>
                  <w:tcW w:w="2262" w:type="dxa"/>
                  <w:tcBorders>
                    <w:top w:val="nil"/>
                    <w:left w:val="nil"/>
                    <w:bottom w:val="single" w:color="000000" w:sz="4" w:space="0"/>
                    <w:right w:val="single" w:color="000000" w:sz="4" w:space="0"/>
                  </w:tcBorders>
                  <w:shd w:val="clear" w:color="auto" w:fill="auto"/>
                  <w:vAlign w:val="center"/>
                </w:tcPr>
                <w:p w14:paraId="61398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需维修问题及要求：灾难医学救治中心+急诊广告牌电源控制箱箱体与箱门未安装接地跨接线、未做防火封堵，对裸露在外的电源盒需加装电源箱。</w:t>
                  </w:r>
                </w:p>
              </w:tc>
              <w:tc>
                <w:tcPr>
                  <w:tcW w:w="1167" w:type="dxa"/>
                  <w:tcBorders>
                    <w:top w:val="nil"/>
                    <w:left w:val="nil"/>
                    <w:bottom w:val="single" w:color="000000" w:sz="4" w:space="0"/>
                    <w:right w:val="single" w:color="000000" w:sz="4" w:space="0"/>
                  </w:tcBorders>
                  <w:shd w:val="clear" w:color="auto" w:fill="auto"/>
                  <w:vAlign w:val="center"/>
                </w:tcPr>
                <w:p w14:paraId="146DF2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急诊：2380mm*1215mm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灾难医学救治中心：9193mm*1500mm</w:t>
                  </w:r>
                </w:p>
              </w:tc>
              <w:tc>
                <w:tcPr>
                  <w:tcW w:w="967" w:type="dxa"/>
                  <w:tcBorders>
                    <w:top w:val="nil"/>
                    <w:left w:val="nil"/>
                    <w:bottom w:val="single" w:color="000000" w:sz="4" w:space="0"/>
                    <w:right w:val="single" w:color="000000" w:sz="4" w:space="0"/>
                  </w:tcBorders>
                  <w:shd w:val="clear" w:color="auto" w:fill="auto"/>
                  <w:vAlign w:val="center"/>
                </w:tcPr>
                <w:p w14:paraId="1FD5AD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2018年5月前</w:t>
                  </w:r>
                </w:p>
              </w:tc>
            </w:tr>
            <w:tr w14:paraId="7EF7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7" w:type="dxa"/>
                  <w:tcBorders>
                    <w:top w:val="nil"/>
                    <w:left w:val="single" w:color="000000" w:sz="4" w:space="0"/>
                    <w:bottom w:val="single" w:color="000000" w:sz="4" w:space="0"/>
                    <w:right w:val="single" w:color="000000" w:sz="4" w:space="0"/>
                  </w:tcBorders>
                  <w:shd w:val="clear" w:color="auto" w:fill="auto"/>
                  <w:vAlign w:val="center"/>
                </w:tcPr>
                <w:p w14:paraId="5DAADFD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950" w:type="dxa"/>
                  <w:tcBorders>
                    <w:top w:val="nil"/>
                    <w:left w:val="nil"/>
                    <w:bottom w:val="single" w:color="000000" w:sz="4" w:space="0"/>
                    <w:right w:val="single" w:color="000000" w:sz="4" w:space="0"/>
                  </w:tcBorders>
                  <w:shd w:val="clear" w:color="auto" w:fill="auto"/>
                  <w:vAlign w:val="center"/>
                </w:tcPr>
                <w:p w14:paraId="05BCAE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62" w:type="dxa"/>
                  <w:tcBorders>
                    <w:top w:val="nil"/>
                    <w:left w:val="nil"/>
                    <w:bottom w:val="single" w:color="000000" w:sz="4" w:space="0"/>
                    <w:right w:val="single" w:color="000000" w:sz="4" w:space="0"/>
                  </w:tcBorders>
                  <w:shd w:val="clear" w:color="auto" w:fill="auto"/>
                  <w:vAlign w:val="center"/>
                </w:tcPr>
                <w:p w14:paraId="2B5B1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rPr>
                    <w:t>总体需维修问题及要求</w:t>
                  </w:r>
                  <w:r>
                    <w:rPr>
                      <w:rFonts w:hint="eastAsia" w:ascii="宋体" w:hAnsi="宋体" w:eastAsia="宋体" w:cs="宋体"/>
                      <w:i w:val="0"/>
                      <w:iCs w:val="0"/>
                      <w:color w:val="000000"/>
                      <w:kern w:val="0"/>
                      <w:sz w:val="22"/>
                      <w:szCs w:val="22"/>
                      <w:u w:val="none"/>
                      <w:lang w:val="en-US" w:eastAsia="zh-CN" w:bidi="ar"/>
                    </w:rPr>
                    <w:t>：对共14处广告标识牌有锈蚀现象的钢构件及螺栓进行修缮。（需高空作业）</w:t>
                  </w:r>
                </w:p>
              </w:tc>
              <w:tc>
                <w:tcPr>
                  <w:tcW w:w="1167" w:type="dxa"/>
                  <w:tcBorders>
                    <w:top w:val="nil"/>
                    <w:left w:val="nil"/>
                    <w:bottom w:val="single" w:color="000000" w:sz="4" w:space="0"/>
                    <w:right w:val="single" w:color="000000" w:sz="4" w:space="0"/>
                  </w:tcBorders>
                  <w:shd w:val="clear" w:color="auto" w:fill="auto"/>
                  <w:vAlign w:val="center"/>
                </w:tcPr>
                <w:p w14:paraId="6EF6C8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7" w:type="dxa"/>
                  <w:tcBorders>
                    <w:top w:val="nil"/>
                    <w:left w:val="nil"/>
                    <w:bottom w:val="single" w:color="000000" w:sz="4" w:space="0"/>
                    <w:right w:val="single" w:color="000000" w:sz="4" w:space="0"/>
                  </w:tcBorders>
                  <w:shd w:val="clear" w:color="auto" w:fill="auto"/>
                  <w:vAlign w:val="center"/>
                </w:tcPr>
                <w:p w14:paraId="09EE9B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14:paraId="199EDFDD">
            <w:pPr>
              <w:rPr>
                <w:rFonts w:hint="eastAsia"/>
              </w:rPr>
            </w:pPr>
          </w:p>
          <w:p w14:paraId="6FF44A13">
            <w:pPr>
              <w:rPr>
                <w:rFonts w:hint="eastAsia"/>
                <w:b w:val="0"/>
                <w:bCs/>
                <w:kern w:val="0"/>
                <w:sz w:val="20"/>
                <w:szCs w:val="21"/>
                <w:lang w:val="en-US" w:eastAsia="zh-CN"/>
              </w:rPr>
            </w:pPr>
          </w:p>
          <w:p w14:paraId="2BDA1936">
            <w:pPr>
              <w:rPr>
                <w:rFonts w:hint="eastAsia"/>
                <w:b w:val="0"/>
                <w:bCs/>
                <w:kern w:val="0"/>
                <w:sz w:val="20"/>
                <w:szCs w:val="21"/>
                <w:lang w:val="en-US" w:eastAsia="zh-CN"/>
              </w:rPr>
            </w:pPr>
          </w:p>
          <w:p w14:paraId="6B9FD8F3">
            <w:pPr>
              <w:rPr>
                <w:rFonts w:hint="eastAsia"/>
                <w:b w:val="0"/>
                <w:bCs/>
                <w:kern w:val="0"/>
                <w:sz w:val="20"/>
                <w:szCs w:val="21"/>
                <w:lang w:val="en-US" w:eastAsia="zh-CN"/>
              </w:rPr>
            </w:pPr>
          </w:p>
        </w:tc>
        <w:tc>
          <w:tcPr>
            <w:tcW w:w="295" w:type="pct"/>
          </w:tcPr>
          <w:p w14:paraId="630AD4C9">
            <w:pPr>
              <w:jc w:val="center"/>
              <w:rPr>
                <w:kern w:val="0"/>
                <w:sz w:val="20"/>
                <w:szCs w:val="20"/>
              </w:rPr>
            </w:pPr>
          </w:p>
        </w:tc>
        <w:tc>
          <w:tcPr>
            <w:tcW w:w="377" w:type="pct"/>
          </w:tcPr>
          <w:p w14:paraId="4FCD2076">
            <w:pPr>
              <w:jc w:val="center"/>
              <w:rPr>
                <w:kern w:val="0"/>
                <w:sz w:val="20"/>
                <w:szCs w:val="20"/>
              </w:rPr>
            </w:pPr>
          </w:p>
        </w:tc>
      </w:tr>
    </w:tbl>
    <w:p w14:paraId="407DD0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NDBhNzNiZDE1NzEwNDFhM2QwOGQ1ZjY1ODdlMzUifQ=="/>
  </w:docVars>
  <w:rsids>
    <w:rsidRoot w:val="001D255B"/>
    <w:rsid w:val="000A6E20"/>
    <w:rsid w:val="001379EE"/>
    <w:rsid w:val="00180295"/>
    <w:rsid w:val="0018113F"/>
    <w:rsid w:val="001D255B"/>
    <w:rsid w:val="001E49A2"/>
    <w:rsid w:val="002C61CB"/>
    <w:rsid w:val="003F106F"/>
    <w:rsid w:val="004052AC"/>
    <w:rsid w:val="004D770A"/>
    <w:rsid w:val="004E604E"/>
    <w:rsid w:val="00513985"/>
    <w:rsid w:val="005313C6"/>
    <w:rsid w:val="00554C94"/>
    <w:rsid w:val="005A4B7A"/>
    <w:rsid w:val="007402B5"/>
    <w:rsid w:val="007C5FDD"/>
    <w:rsid w:val="00877FB7"/>
    <w:rsid w:val="00901EA0"/>
    <w:rsid w:val="00964E31"/>
    <w:rsid w:val="0097739D"/>
    <w:rsid w:val="00A04F71"/>
    <w:rsid w:val="00A262F7"/>
    <w:rsid w:val="00B96210"/>
    <w:rsid w:val="00BF227F"/>
    <w:rsid w:val="00C84D24"/>
    <w:rsid w:val="00CE75BA"/>
    <w:rsid w:val="00D97DBD"/>
    <w:rsid w:val="00DA1D1D"/>
    <w:rsid w:val="00E23A26"/>
    <w:rsid w:val="00F6679A"/>
    <w:rsid w:val="00FC216E"/>
    <w:rsid w:val="00FD1B85"/>
    <w:rsid w:val="02A97877"/>
    <w:rsid w:val="06C5373C"/>
    <w:rsid w:val="0F67596B"/>
    <w:rsid w:val="18B07930"/>
    <w:rsid w:val="202A7630"/>
    <w:rsid w:val="300B0D36"/>
    <w:rsid w:val="319559CF"/>
    <w:rsid w:val="32D7466C"/>
    <w:rsid w:val="42B644A7"/>
    <w:rsid w:val="49582023"/>
    <w:rsid w:val="666F0798"/>
    <w:rsid w:val="669E2BEE"/>
    <w:rsid w:val="6813705F"/>
    <w:rsid w:val="6897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4"/>
    <w:link w:val="14"/>
    <w:autoRedefine/>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3">
    <w:name w:val="heading 3"/>
    <w:basedOn w:val="1"/>
    <w:next w:val="1"/>
    <w:link w:val="15"/>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ind w:firstLine="0" w:firstLineChars="0"/>
      <w:jc w:val="left"/>
    </w:pPr>
  </w:style>
  <w:style w:type="paragraph" w:styleId="6">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标题 2 字符"/>
    <w:basedOn w:val="10"/>
    <w:link w:val="2"/>
    <w:autoRedefine/>
    <w:qFormat/>
    <w:uiPriority w:val="0"/>
    <w:rPr>
      <w:rFonts w:ascii="宋体" w:hAnsi="宋体" w:eastAsia="宋体" w:cs="Times New Roman"/>
      <w:b/>
      <w:kern w:val="0"/>
      <w:sz w:val="24"/>
      <w:szCs w:val="20"/>
    </w:rPr>
  </w:style>
  <w:style w:type="character" w:customStyle="1" w:styleId="15">
    <w:name w:val="标题 3 字符"/>
    <w:basedOn w:val="10"/>
    <w:link w:val="3"/>
    <w:autoRedefine/>
    <w:semiHidden/>
    <w:qFormat/>
    <w:uiPriority w:val="9"/>
    <w:rPr>
      <w:rFonts w:ascii="Calibri" w:hAnsi="Calibri" w:eastAsia="宋体" w:cs="Times New Roman"/>
      <w:b/>
      <w:bCs/>
      <w:sz w:val="32"/>
      <w:szCs w:val="32"/>
    </w:rPr>
  </w:style>
  <w:style w:type="character" w:customStyle="1" w:styleId="16">
    <w:name w:val="标题 4 字符"/>
    <w:basedOn w:val="10"/>
    <w:link w:val="4"/>
    <w:autoRedefine/>
    <w:semiHidden/>
    <w:qFormat/>
    <w:uiPriority w:val="9"/>
    <w:rPr>
      <w:rFonts w:asciiTheme="majorHAnsi" w:hAnsiTheme="majorHAnsi" w:eastAsiaTheme="majorEastAsia" w:cstheme="majorBidi"/>
      <w:b/>
      <w:bCs/>
      <w:sz w:val="28"/>
      <w:szCs w:val="28"/>
    </w:rPr>
  </w:style>
  <w:style w:type="character" w:customStyle="1" w:styleId="17">
    <w:name w:val="font3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default" w:ascii="方正仿宋_GB2312" w:hAnsi="方正仿宋_GB2312" w:eastAsia="方正仿宋_GB2312" w:cs="方正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1191</Words>
  <Characters>1393</Characters>
  <Lines>3</Lines>
  <Paragraphs>1</Paragraphs>
  <TotalTime>0</TotalTime>
  <ScaleCrop>false</ScaleCrop>
  <LinksUpToDate>false</LinksUpToDate>
  <CharactersWithSpaces>1404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2022-07-22T07:53:00Z</dcterms:created>
  <dc:creator>Chilan</dc:creator>
  <cp:lastModifiedBy>胖点可爱</cp:lastModifiedBy>
  <dcterms:modified xsi:type="dcterms:W3CDTF">2024-11-11T10:06:26Z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FAAD2754C9584FB99226D886A3E59540_12</vt:lpwstr>
  </property>
</Properties>
</file>